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8BF" w:rsidRPr="0022693C" w:rsidRDefault="004978BF" w:rsidP="004978BF">
      <w:pPr>
        <w:jc w:val="center"/>
        <w:outlineLvl w:val="0"/>
        <w:rPr>
          <w:rFonts w:ascii="Times New Roman" w:eastAsia="Times New Roman" w:hAnsi="Times New Roman"/>
          <w:b/>
          <w:noProof/>
          <w:lang w:val="lt-LT" w:eastAsia="lt-LT"/>
        </w:rPr>
      </w:pPr>
      <w:r w:rsidRPr="0022693C">
        <w:rPr>
          <w:rFonts w:ascii="Times New Roman" w:eastAsia="Times New Roman" w:hAnsi="Times New Roman"/>
          <w:b/>
          <w:noProof/>
          <w:lang w:val="lt-LT" w:eastAsia="lt-LT"/>
        </w:rPr>
        <w:t>PAKUOTĖS LAPELIS:</w:t>
      </w:r>
      <w:r>
        <w:rPr>
          <w:rFonts w:ascii="Times New Roman" w:eastAsia="Times New Roman" w:hAnsi="Times New Roman"/>
          <w:b/>
          <w:noProof/>
          <w:lang w:val="lt-LT" w:eastAsia="lt-LT"/>
        </w:rPr>
        <w:t xml:space="preserve"> INFORMACIJA VARTOTOJUI</w:t>
      </w:r>
    </w:p>
    <w:p w:rsidR="004978BF" w:rsidRPr="0022693C" w:rsidRDefault="004978BF" w:rsidP="004978BF">
      <w:pPr>
        <w:jc w:val="center"/>
        <w:outlineLvl w:val="0"/>
        <w:rPr>
          <w:rFonts w:ascii="Times New Roman" w:eastAsia="Times New Roman" w:hAnsi="Times New Roman"/>
          <w:b/>
          <w:bCs/>
          <w:noProof/>
          <w:lang w:val="lt-LT" w:eastAsia="lt-LT"/>
        </w:rPr>
      </w:pPr>
    </w:p>
    <w:p w:rsidR="004978BF" w:rsidRPr="0022693C" w:rsidRDefault="004978BF" w:rsidP="004978BF">
      <w:pPr>
        <w:keepNext/>
        <w:ind w:left="851" w:hanging="851"/>
        <w:jc w:val="center"/>
        <w:outlineLvl w:val="3"/>
        <w:rPr>
          <w:rFonts w:ascii="Times New Roman" w:eastAsia="Times New Roman" w:hAnsi="Times New Roman"/>
          <w:b/>
          <w:bCs/>
          <w:lang w:val="lt-LT" w:eastAsia="x-none"/>
        </w:rPr>
      </w:pPr>
      <w:r w:rsidRPr="0022693C">
        <w:rPr>
          <w:rFonts w:ascii="Times New Roman" w:eastAsia="Times New Roman" w:hAnsi="Times New Roman"/>
          <w:b/>
          <w:bCs/>
          <w:lang w:val="lt-LT" w:eastAsia="x-none"/>
        </w:rPr>
        <w:t>Ceftriaxone MIP 1 g milteliai injekciniam ar infuziniam tirpalui</w:t>
      </w:r>
    </w:p>
    <w:p w:rsidR="004978BF" w:rsidRDefault="004978BF" w:rsidP="004978BF">
      <w:pPr>
        <w:keepNext/>
        <w:ind w:left="851" w:hanging="851"/>
        <w:jc w:val="center"/>
        <w:outlineLvl w:val="3"/>
        <w:rPr>
          <w:rFonts w:ascii="Times New Roman" w:eastAsia="Times New Roman" w:hAnsi="Times New Roman"/>
          <w:b/>
          <w:bCs/>
          <w:lang w:val="lt-LT" w:eastAsia="x-none"/>
        </w:rPr>
      </w:pPr>
      <w:r w:rsidRPr="0022693C">
        <w:rPr>
          <w:rFonts w:ascii="Times New Roman" w:eastAsia="Times New Roman" w:hAnsi="Times New Roman"/>
          <w:b/>
          <w:bCs/>
          <w:lang w:val="lt-LT" w:eastAsia="x-none"/>
        </w:rPr>
        <w:t>Ceftriaxone MIP 2 g milteliai infuziniam tirpalui</w:t>
      </w:r>
    </w:p>
    <w:p w:rsidR="004978BF" w:rsidRPr="0022693C" w:rsidRDefault="004978BF" w:rsidP="004978BF">
      <w:pPr>
        <w:jc w:val="center"/>
        <w:rPr>
          <w:rFonts w:ascii="Times New Roman" w:eastAsia="Times New Roman" w:hAnsi="Times New Roman"/>
          <w:lang w:val="lt-LT" w:eastAsia="lt-LT"/>
        </w:rPr>
      </w:pPr>
      <w:r w:rsidRPr="0022693C">
        <w:rPr>
          <w:rFonts w:ascii="Times New Roman" w:eastAsia="Times New Roman" w:hAnsi="Times New Roman"/>
          <w:lang w:val="lt-LT" w:eastAsia="lt-LT"/>
        </w:rPr>
        <w:t>Ceftriaksonas (ceftriaksono natrio druskos pavidalu)</w:t>
      </w:r>
    </w:p>
    <w:p w:rsidR="004978BF" w:rsidRPr="0022693C" w:rsidRDefault="004978BF" w:rsidP="004978BF">
      <w:pPr>
        <w:jc w:val="center"/>
        <w:rPr>
          <w:rFonts w:ascii="Times New Roman" w:eastAsia="Times New Roman" w:hAnsi="Times New Roman"/>
          <w:noProof/>
          <w:lang w:val="lt-LT" w:eastAsia="lt-LT"/>
        </w:rPr>
      </w:pPr>
    </w:p>
    <w:p w:rsidR="004978BF" w:rsidRDefault="004978BF" w:rsidP="004978BF">
      <w:pPr>
        <w:pBdr>
          <w:top w:val="single" w:sz="4" w:space="1" w:color="auto"/>
          <w:left w:val="single" w:sz="4" w:space="4" w:color="auto"/>
          <w:right w:val="single" w:sz="4" w:space="4" w:color="auto"/>
        </w:pBdr>
        <w:suppressAutoHyphens/>
        <w:rPr>
          <w:rFonts w:ascii="Times New Roman" w:eastAsia="Times New Roman" w:hAnsi="Times New Roman"/>
          <w:b/>
          <w:bCs/>
          <w:lang w:val="lt-LT" w:eastAsia="lt-LT"/>
        </w:rPr>
      </w:pPr>
      <w:r w:rsidRPr="0022693C">
        <w:rPr>
          <w:rFonts w:ascii="Times New Roman" w:eastAsia="Times New Roman" w:hAnsi="Times New Roman"/>
          <w:b/>
          <w:bCs/>
          <w:lang w:val="lt-LT" w:eastAsia="lt-LT"/>
        </w:rPr>
        <w:t>Atidžiai perskaitykite visą šį lapelį, prieš pradėdami vartoti vaistą, nes jame pateikiama Jums svarbi informacija.</w:t>
      </w:r>
    </w:p>
    <w:p w:rsidR="004978BF" w:rsidRPr="0022693C" w:rsidRDefault="004978BF" w:rsidP="004978BF">
      <w:pPr>
        <w:pBdr>
          <w:top w:val="single" w:sz="4" w:space="1" w:color="auto"/>
          <w:left w:val="single" w:sz="4" w:space="4" w:color="auto"/>
          <w:right w:val="single" w:sz="4" w:space="4" w:color="auto"/>
        </w:pBdr>
        <w:tabs>
          <w:tab w:val="left" w:pos="567"/>
        </w:tabs>
        <w:suppressAutoHyphens/>
        <w:rPr>
          <w:rFonts w:ascii="Times New Roman" w:eastAsia="Times New Roman" w:hAnsi="Times New Roman"/>
          <w:noProof/>
          <w:lang w:val="lt-LT" w:eastAsia="lt-LT"/>
        </w:rPr>
      </w:pPr>
    </w:p>
    <w:p w:rsidR="004978BF" w:rsidRPr="0022693C" w:rsidRDefault="004978BF" w:rsidP="004978BF">
      <w:pPr>
        <w:numPr>
          <w:ilvl w:val="0"/>
          <w:numId w:val="2"/>
        </w:numPr>
        <w:pBdr>
          <w:left w:val="single" w:sz="4" w:space="4" w:color="auto"/>
          <w:bottom w:val="single" w:sz="4" w:space="0" w:color="auto"/>
          <w:right w:val="single" w:sz="4" w:space="4" w:color="auto"/>
        </w:pBdr>
        <w:tabs>
          <w:tab w:val="left"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Neišmeskite šio lapelio, nes</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vėl gali prireikti jį perskaityti.</w:t>
      </w:r>
    </w:p>
    <w:p w:rsidR="004978BF" w:rsidRPr="0022693C" w:rsidRDefault="004978BF" w:rsidP="004978BF">
      <w:pPr>
        <w:numPr>
          <w:ilvl w:val="0"/>
          <w:numId w:val="2"/>
        </w:numPr>
        <w:pBdr>
          <w:left w:val="single" w:sz="4" w:space="4" w:color="auto"/>
          <w:bottom w:val="single" w:sz="4" w:space="0" w:color="auto"/>
          <w:right w:val="single" w:sz="4" w:space="4" w:color="auto"/>
        </w:pBdr>
        <w:tabs>
          <w:tab w:val="left"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Jeigu kiltų daugiau klausimų, kreipkitės į gydytoją, vaistininką arba slaugytoją.</w:t>
      </w:r>
    </w:p>
    <w:p w:rsidR="004978BF" w:rsidRPr="0022693C" w:rsidRDefault="004978BF" w:rsidP="004978BF">
      <w:pPr>
        <w:numPr>
          <w:ilvl w:val="0"/>
          <w:numId w:val="2"/>
        </w:numPr>
        <w:pBdr>
          <w:left w:val="single" w:sz="4" w:space="4" w:color="auto"/>
          <w:bottom w:val="single" w:sz="4" w:space="0" w:color="auto"/>
          <w:right w:val="single" w:sz="4" w:space="4" w:color="auto"/>
        </w:pBdr>
        <w:tabs>
          <w:tab w:val="left"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Šis vaistas skirtas tik Jums,</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todėl kitiems žmonėms jo duoti negalima.</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Vaistas gali jiems pakenkti (net tiems, kurių ligos požymiai yra tokie patys kaip Jūsų).</w:t>
      </w:r>
    </w:p>
    <w:p w:rsidR="004978BF" w:rsidRPr="0022693C" w:rsidRDefault="004978BF" w:rsidP="004978BF">
      <w:pPr>
        <w:numPr>
          <w:ilvl w:val="0"/>
          <w:numId w:val="2"/>
        </w:numPr>
        <w:pBdr>
          <w:left w:val="single" w:sz="4" w:space="4" w:color="auto"/>
          <w:bottom w:val="single" w:sz="4" w:space="0" w:color="auto"/>
          <w:right w:val="single" w:sz="4" w:space="4" w:color="auto"/>
        </w:pBdr>
        <w:tabs>
          <w:tab w:val="left"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Jeigu pasireiškė šalutinis poveikis (net jei jis šiame lapelyje nenurodytas),</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kreipkitės į gydytoją, vaistininką arba slaugytoją. Ž</w:t>
      </w:r>
      <w:r w:rsidRPr="0022693C">
        <w:rPr>
          <w:rStyle w:val="hps"/>
          <w:rFonts w:ascii="Times New Roman" w:hAnsi="Times New Roman"/>
          <w:color w:val="222222"/>
          <w:lang w:val="lt-LT"/>
        </w:rPr>
        <w:t>r.</w:t>
      </w:r>
      <w:r w:rsidRPr="0022693C">
        <w:rPr>
          <w:rStyle w:val="shorttext"/>
          <w:rFonts w:ascii="Times New Roman" w:hAnsi="Times New Roman"/>
          <w:color w:val="222222"/>
          <w:lang w:val="lt-LT"/>
        </w:rPr>
        <w:t xml:space="preserve"> </w:t>
      </w:r>
      <w:r w:rsidRPr="0022693C">
        <w:rPr>
          <w:rStyle w:val="hps"/>
          <w:rFonts w:ascii="Times New Roman" w:hAnsi="Times New Roman"/>
          <w:color w:val="222222"/>
          <w:lang w:val="lt-LT"/>
        </w:rPr>
        <w:t>4</w:t>
      </w:r>
      <w:r w:rsidRPr="0022693C">
        <w:rPr>
          <w:rStyle w:val="shorttext"/>
          <w:rFonts w:ascii="Times New Roman" w:hAnsi="Times New Roman"/>
          <w:color w:val="222222"/>
          <w:lang w:val="lt-LT"/>
        </w:rPr>
        <w:t xml:space="preserve"> </w:t>
      </w:r>
      <w:r w:rsidRPr="0022693C">
        <w:rPr>
          <w:rStyle w:val="hps"/>
          <w:rFonts w:ascii="Times New Roman" w:hAnsi="Times New Roman"/>
          <w:color w:val="222222"/>
          <w:lang w:val="lt-LT"/>
        </w:rPr>
        <w:t>skyrių</w:t>
      </w:r>
    </w:p>
    <w:p w:rsidR="004978BF" w:rsidRPr="0022693C" w:rsidRDefault="004978BF" w:rsidP="004978BF">
      <w:pPr>
        <w:numPr>
          <w:ilvl w:val="12"/>
          <w:numId w:val="0"/>
        </w:numPr>
        <w:ind w:right="-2"/>
        <w:outlineLvl w:val="0"/>
        <w:rPr>
          <w:rFonts w:ascii="Times New Roman" w:eastAsia="Times New Roman" w:hAnsi="Times New Roman"/>
          <w:b/>
          <w:bCs/>
          <w:noProof/>
          <w:lang w:val="lt-LT" w:eastAsia="lt-LT"/>
        </w:rPr>
      </w:pPr>
    </w:p>
    <w:p w:rsidR="004978BF" w:rsidRPr="0022693C" w:rsidRDefault="004978BF" w:rsidP="004978BF">
      <w:pPr>
        <w:numPr>
          <w:ilvl w:val="12"/>
          <w:numId w:val="0"/>
        </w:numPr>
        <w:ind w:right="-2"/>
        <w:outlineLvl w:val="0"/>
        <w:rPr>
          <w:rFonts w:ascii="Times New Roman" w:eastAsia="Times New Roman" w:hAnsi="Times New Roman"/>
          <w:noProof/>
          <w:lang w:val="lt-LT" w:eastAsia="lt-LT"/>
        </w:rPr>
      </w:pPr>
      <w:r w:rsidRPr="0022693C">
        <w:rPr>
          <w:rFonts w:ascii="Times New Roman" w:eastAsia="Times New Roman" w:hAnsi="Times New Roman"/>
          <w:b/>
          <w:bCs/>
          <w:lang w:val="lt-LT" w:eastAsia="lt-LT"/>
        </w:rPr>
        <w:t>Apie ką rašoma šiame lapelyje?</w:t>
      </w:r>
      <w:r w:rsidRPr="0022693C">
        <w:rPr>
          <w:rFonts w:ascii="Times New Roman" w:eastAsia="Times New Roman" w:hAnsi="Times New Roman"/>
          <w:noProof/>
          <w:lang w:val="lt-LT" w:eastAsia="lt-LT"/>
        </w:rPr>
        <w:t xml:space="preserve"> </w:t>
      </w:r>
    </w:p>
    <w:p w:rsidR="004978BF" w:rsidRPr="0022693C" w:rsidRDefault="004978BF" w:rsidP="004978BF">
      <w:pPr>
        <w:numPr>
          <w:ilvl w:val="12"/>
          <w:numId w:val="0"/>
        </w:numPr>
        <w:ind w:right="-2"/>
        <w:outlineLvl w:val="0"/>
        <w:rPr>
          <w:rFonts w:ascii="Times New Roman" w:eastAsia="Times New Roman" w:hAnsi="Times New Roman"/>
          <w:noProof/>
          <w:lang w:val="lt-LT" w:eastAsia="lt-LT"/>
        </w:rPr>
      </w:pPr>
    </w:p>
    <w:p w:rsidR="004978BF" w:rsidRPr="0022693C" w:rsidRDefault="004978BF" w:rsidP="004978BF">
      <w:pPr>
        <w:numPr>
          <w:ilvl w:val="12"/>
          <w:numId w:val="0"/>
        </w:numPr>
        <w:tabs>
          <w:tab w:val="left" w:pos="567"/>
        </w:tabs>
        <w:ind w:right="-29"/>
        <w:rPr>
          <w:rFonts w:ascii="Times New Roman" w:eastAsia="Times New Roman" w:hAnsi="Times New Roman"/>
          <w:noProof/>
          <w:lang w:val="lt-LT" w:eastAsia="lt-LT"/>
        </w:rPr>
      </w:pPr>
      <w:r w:rsidRPr="0022693C">
        <w:rPr>
          <w:rFonts w:ascii="Times New Roman" w:eastAsia="Times New Roman" w:hAnsi="Times New Roman"/>
          <w:noProof/>
          <w:lang w:val="lt-LT" w:eastAsia="lt-LT"/>
        </w:rPr>
        <w:t>1.</w:t>
      </w:r>
      <w:r w:rsidRPr="0022693C">
        <w:rPr>
          <w:rFonts w:ascii="Times New Roman" w:eastAsia="Times New Roman" w:hAnsi="Times New Roman"/>
          <w:noProof/>
          <w:lang w:val="lt-LT" w:eastAsia="lt-LT"/>
        </w:rPr>
        <w:tab/>
      </w:r>
      <w:r w:rsidRPr="0022693C">
        <w:rPr>
          <w:rFonts w:ascii="Times New Roman" w:eastAsia="Times New Roman" w:hAnsi="Times New Roman"/>
          <w:lang w:val="lt-LT" w:eastAsia="lt-LT"/>
        </w:rPr>
        <w:t>Kas yra Ceftriaxone MIP</w:t>
      </w:r>
      <w:r w:rsidRPr="0022693C">
        <w:rPr>
          <w:rFonts w:ascii="Times New Roman" w:eastAsia="Times New Roman" w:hAnsi="Times New Roman"/>
          <w:b/>
          <w:bCs/>
          <w:lang w:val="lt-LT" w:eastAsia="lt-LT"/>
        </w:rPr>
        <w:t xml:space="preserve"> </w:t>
      </w:r>
      <w:r w:rsidRPr="0022693C">
        <w:rPr>
          <w:rFonts w:ascii="Times New Roman" w:eastAsia="Times New Roman" w:hAnsi="Times New Roman"/>
          <w:lang w:val="lt-LT" w:eastAsia="lt-LT"/>
        </w:rPr>
        <w:t>ir kam jis vartojamas</w:t>
      </w:r>
    </w:p>
    <w:p w:rsidR="004978BF" w:rsidRPr="0022693C" w:rsidRDefault="004978BF" w:rsidP="004978BF">
      <w:pPr>
        <w:numPr>
          <w:ilvl w:val="12"/>
          <w:numId w:val="0"/>
        </w:numPr>
        <w:tabs>
          <w:tab w:val="left" w:pos="567"/>
        </w:tabs>
        <w:ind w:right="-29"/>
        <w:rPr>
          <w:rFonts w:ascii="Times New Roman" w:eastAsia="Times New Roman" w:hAnsi="Times New Roman"/>
          <w:noProof/>
          <w:lang w:val="lt-LT" w:eastAsia="lt-LT"/>
        </w:rPr>
      </w:pPr>
      <w:r w:rsidRPr="0022693C">
        <w:rPr>
          <w:rFonts w:ascii="Times New Roman" w:eastAsia="Times New Roman" w:hAnsi="Times New Roman"/>
          <w:noProof/>
          <w:lang w:val="lt-LT" w:eastAsia="lt-LT"/>
        </w:rPr>
        <w:t>2.</w:t>
      </w:r>
      <w:r w:rsidRPr="0022693C">
        <w:rPr>
          <w:rFonts w:ascii="Times New Roman" w:eastAsia="Times New Roman" w:hAnsi="Times New Roman"/>
          <w:noProof/>
          <w:lang w:val="lt-LT" w:eastAsia="lt-LT"/>
        </w:rPr>
        <w:tab/>
      </w:r>
      <w:r w:rsidRPr="0022693C">
        <w:rPr>
          <w:rFonts w:ascii="Times New Roman" w:eastAsia="Times New Roman" w:hAnsi="Times New Roman"/>
          <w:lang w:val="lt-LT" w:eastAsia="lt-LT"/>
        </w:rPr>
        <w:t>Kas žinotina prieš vartojant Ceftriaxone MIP</w:t>
      </w:r>
    </w:p>
    <w:p w:rsidR="004978BF" w:rsidRPr="0022693C" w:rsidRDefault="004978BF" w:rsidP="004978BF">
      <w:pPr>
        <w:numPr>
          <w:ilvl w:val="12"/>
          <w:numId w:val="0"/>
        </w:numPr>
        <w:tabs>
          <w:tab w:val="left" w:pos="567"/>
        </w:tabs>
        <w:ind w:right="-29"/>
        <w:rPr>
          <w:rFonts w:ascii="Times New Roman" w:eastAsia="Times New Roman" w:hAnsi="Times New Roman"/>
          <w:noProof/>
          <w:lang w:val="lt-LT" w:eastAsia="lt-LT"/>
        </w:rPr>
      </w:pPr>
      <w:r w:rsidRPr="0022693C">
        <w:rPr>
          <w:rFonts w:ascii="Times New Roman" w:eastAsia="Times New Roman" w:hAnsi="Times New Roman"/>
          <w:noProof/>
          <w:lang w:val="lt-LT" w:eastAsia="lt-LT"/>
        </w:rPr>
        <w:t>3.</w:t>
      </w:r>
      <w:r w:rsidRPr="0022693C">
        <w:rPr>
          <w:rFonts w:ascii="Times New Roman" w:eastAsia="Times New Roman" w:hAnsi="Times New Roman"/>
          <w:noProof/>
          <w:lang w:val="lt-LT" w:eastAsia="lt-LT"/>
        </w:rPr>
        <w:tab/>
      </w:r>
      <w:r w:rsidRPr="0022693C">
        <w:rPr>
          <w:rFonts w:ascii="Times New Roman" w:eastAsia="Times New Roman" w:hAnsi="Times New Roman"/>
          <w:lang w:val="lt-LT" w:eastAsia="lt-LT"/>
        </w:rPr>
        <w:t>Kaip vartoti Ceftriaxone MIP</w:t>
      </w:r>
    </w:p>
    <w:p w:rsidR="004978BF" w:rsidRPr="0022693C" w:rsidRDefault="004978BF" w:rsidP="004978BF">
      <w:pPr>
        <w:numPr>
          <w:ilvl w:val="12"/>
          <w:numId w:val="0"/>
        </w:numPr>
        <w:tabs>
          <w:tab w:val="left" w:pos="567"/>
        </w:tabs>
        <w:ind w:right="-29"/>
        <w:rPr>
          <w:rFonts w:ascii="Times New Roman" w:eastAsia="Times New Roman" w:hAnsi="Times New Roman"/>
          <w:noProof/>
          <w:lang w:val="lt-LT" w:eastAsia="lt-LT"/>
        </w:rPr>
      </w:pPr>
      <w:r w:rsidRPr="0022693C">
        <w:rPr>
          <w:rFonts w:ascii="Times New Roman" w:eastAsia="Times New Roman" w:hAnsi="Times New Roman"/>
          <w:noProof/>
          <w:lang w:val="lt-LT" w:eastAsia="lt-LT"/>
        </w:rPr>
        <w:t>4.</w:t>
      </w:r>
      <w:r w:rsidRPr="0022693C">
        <w:rPr>
          <w:rFonts w:ascii="Times New Roman" w:eastAsia="Times New Roman" w:hAnsi="Times New Roman"/>
          <w:noProof/>
          <w:lang w:val="lt-LT" w:eastAsia="lt-LT"/>
        </w:rPr>
        <w:tab/>
      </w:r>
      <w:r w:rsidRPr="0022693C">
        <w:rPr>
          <w:rFonts w:ascii="Times New Roman" w:eastAsia="Times New Roman" w:hAnsi="Times New Roman"/>
          <w:lang w:val="lt-LT" w:eastAsia="lt-LT"/>
        </w:rPr>
        <w:t xml:space="preserve">Galimas šalutinis poveikis </w:t>
      </w:r>
    </w:p>
    <w:p w:rsidR="004978BF" w:rsidRPr="0022693C" w:rsidRDefault="004978BF" w:rsidP="004978BF">
      <w:pPr>
        <w:numPr>
          <w:ilvl w:val="0"/>
          <w:numId w:val="1"/>
        </w:numPr>
        <w:tabs>
          <w:tab w:val="clear" w:pos="570"/>
          <w:tab w:val="left" w:pos="567"/>
        </w:tabs>
        <w:ind w:right="-29"/>
        <w:rPr>
          <w:rFonts w:ascii="Times New Roman" w:eastAsia="Times New Roman" w:hAnsi="Times New Roman"/>
          <w:noProof/>
          <w:lang w:val="lt-LT" w:eastAsia="lt-LT"/>
        </w:rPr>
      </w:pPr>
      <w:r w:rsidRPr="0022693C">
        <w:rPr>
          <w:rFonts w:ascii="Times New Roman" w:eastAsia="Times New Roman" w:hAnsi="Times New Roman"/>
          <w:lang w:val="lt-LT" w:eastAsia="lt-LT"/>
        </w:rPr>
        <w:t>Kaip laikyti Ceftriaxone MIP</w:t>
      </w:r>
    </w:p>
    <w:p w:rsidR="004978BF" w:rsidRPr="0022693C" w:rsidRDefault="004978BF" w:rsidP="004978BF">
      <w:pPr>
        <w:numPr>
          <w:ilvl w:val="0"/>
          <w:numId w:val="1"/>
        </w:numPr>
        <w:tabs>
          <w:tab w:val="clear" w:pos="570"/>
          <w:tab w:val="left" w:pos="567"/>
        </w:tabs>
        <w:ind w:right="-29"/>
        <w:rPr>
          <w:rFonts w:ascii="Times New Roman" w:eastAsia="Times New Roman" w:hAnsi="Times New Roman"/>
          <w:noProof/>
          <w:lang w:val="lt-LT" w:eastAsia="lt-LT"/>
        </w:rPr>
      </w:pPr>
      <w:r w:rsidRPr="0022693C">
        <w:rPr>
          <w:rFonts w:ascii="Times New Roman" w:eastAsia="Times New Roman" w:hAnsi="Times New Roman"/>
          <w:lang w:val="lt-LT" w:eastAsia="lt-LT"/>
        </w:rPr>
        <w:t>Pakuotės turinys ir kita informacija</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tabs>
          <w:tab w:val="left" w:pos="567"/>
        </w:tabs>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1.</w:t>
      </w:r>
      <w:r w:rsidRPr="0022693C">
        <w:rPr>
          <w:rFonts w:ascii="Times New Roman" w:eastAsia="Times New Roman" w:hAnsi="Times New Roman"/>
          <w:b/>
          <w:bCs/>
          <w:noProof/>
          <w:lang w:val="lt-LT" w:eastAsia="lt-LT"/>
        </w:rPr>
        <w:tab/>
        <w:t xml:space="preserve">Kas yra Ceftriaxone MIP ir kam jis vartojamas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i/>
          <w:iCs/>
          <w:noProof/>
          <w:lang w:val="lt-LT" w:eastAsia="lt-LT"/>
        </w:rPr>
      </w:pPr>
      <w:r w:rsidRPr="0022693C">
        <w:rPr>
          <w:rFonts w:ascii="Times New Roman" w:eastAsia="Times New Roman" w:hAnsi="Times New Roman"/>
          <w:noProof/>
          <w:lang w:val="lt-LT" w:eastAsia="lt-LT"/>
        </w:rPr>
        <w:t>Ceftriaxone MIP yra antibiotikas, skiriamas suaugusiesiems ir vaikams (įskaitant naujagimius). Jis veikia naikindamas infekciją sukeliančias bakterijas. Jis priklauso antibiotikų grupei, kuri vadinama cefalosporinais</w:t>
      </w:r>
      <w:r w:rsidRPr="0022693C">
        <w:rPr>
          <w:rFonts w:ascii="Times New Roman" w:eastAsia="Times New Roman" w:hAnsi="Times New Roman"/>
          <w:i/>
          <w:iCs/>
          <w:noProof/>
          <w:lang w:val="lt-LT" w:eastAsia="lt-LT"/>
        </w:rPr>
        <w:t xml:space="preserve">.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Ceftriaxone MIP vartojamas gydymui jei yra: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smegenų infekcija (meningitas);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plaučių infekcija;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vidurinės ausies infekcija;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pilvo ertmės ir pilvo sienos infekcija (peritonitas);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šlapimo takų ir inkstų infekcija;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kaulų ir sąnarių infekcija;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odos ir minkštųjų audinių infekcija;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kraujo infekcija;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širdies infekcija.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Vaistas gali būti skiriamas: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gydyti tam tikras lytiškai plintančias infekcijas (gonorėją ir sifilį);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gydyti pacientus, kuriems yra sumažėjęs baltųjų kraujo ląstelių skaičius (neutropenija) ir kurie karščiuoja dėl bakterinės infekcijos;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gydyti krūtinės ląstos infekcijas lėtiniu bronchitu sergantiems suaugusiems žmonėms;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gydyti Laimo ligą (sukeltą erkės įkandimo) suaugusiems žmonėms ir vaikams, įskaitant naujagimius nuo 15 parų amžiaus;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siekiant išvengti infekcijos operacijos metu.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Pr="0022693C" w:rsidRDefault="004978BF" w:rsidP="004978BF">
      <w:pPr>
        <w:keepNext/>
        <w:numPr>
          <w:ilvl w:val="12"/>
          <w:numId w:val="0"/>
        </w:numPr>
        <w:tabs>
          <w:tab w:val="left" w:pos="567"/>
        </w:tabs>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2.</w:t>
      </w:r>
      <w:r w:rsidRPr="0022693C">
        <w:rPr>
          <w:rFonts w:ascii="Times New Roman" w:eastAsia="Times New Roman" w:hAnsi="Times New Roman"/>
          <w:b/>
          <w:bCs/>
          <w:noProof/>
          <w:lang w:val="lt-LT" w:eastAsia="lt-LT"/>
        </w:rPr>
        <w:tab/>
        <w:t xml:space="preserve">Kas žinotina prieš vartojant Ceftriaxone MIP </w:t>
      </w:r>
    </w:p>
    <w:p w:rsidR="004978BF" w:rsidRPr="0022693C" w:rsidRDefault="004978BF" w:rsidP="004978BF">
      <w:pPr>
        <w:keepNext/>
        <w:numPr>
          <w:ilvl w:val="12"/>
          <w:numId w:val="0"/>
        </w:numPr>
        <w:rPr>
          <w:rFonts w:ascii="Times New Roman" w:eastAsia="Times New Roman" w:hAnsi="Times New Roman"/>
          <w:noProof/>
          <w:lang w:val="lt-LT" w:eastAsia="lt-LT"/>
        </w:rPr>
      </w:pPr>
    </w:p>
    <w:p w:rsidR="004978BF" w:rsidRDefault="004978BF" w:rsidP="004978BF">
      <w:pPr>
        <w:keepNext/>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Ceftriaxone MIP vartoti negalima: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lastRenderedPageBreak/>
        <w:t>jeigu yra alergija ceftriaksonui;</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jei esate patyrę staigią ar sunkią alerginę reakciją dėl penicilino ar panašių antibiotikų vartojimo (pvz., cefalosporinų, karbapenemų ar monobaktamų). Tai apima tokius simptomus: staigus gerklės ar veido patinimas, dėl kurio gali būti sunku kvėpuoti ar ryti, staigus plaštakų, pėdų ir kulkšnių patinimas</w:t>
      </w:r>
      <w:r>
        <w:rPr>
          <w:rFonts w:ascii="Times New Roman" w:eastAsia="Times New Roman" w:hAnsi="Times New Roman"/>
          <w:noProof/>
          <w:lang w:val="lt-LT" w:eastAsia="lt-LT"/>
        </w:rPr>
        <w:t xml:space="preserve">, </w:t>
      </w:r>
      <w:r w:rsidRPr="000E0ED1">
        <w:rPr>
          <w:rFonts w:ascii="Times New Roman" w:eastAsia="Times New Roman" w:hAnsi="Times New Roman"/>
          <w:noProof/>
          <w:lang w:val="lt-LT" w:eastAsia="lt-LT"/>
        </w:rPr>
        <w:t>krūtinės skausmas</w:t>
      </w:r>
      <w:r w:rsidRPr="0022693C">
        <w:rPr>
          <w:rFonts w:ascii="Times New Roman" w:eastAsia="Times New Roman" w:hAnsi="Times New Roman"/>
          <w:noProof/>
          <w:lang w:val="lt-LT" w:eastAsia="lt-LT"/>
        </w:rPr>
        <w:t xml:space="preserve"> ir greitai plintantis sunkus išbėrimas;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esate alergiški lidokainui ir Ceftriaxone MIP bus vartojamas kaip injekcija į raumenį.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Ceftriaxone MIP vartoti naujagimiams negalima, jei: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naujagimis neišnešiotas;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naujagimiui (iki 28 parų amžiaus) yra tam tikrų kraujo sistemos sutrikimų ar gelta (pageltusi oda ar akių odena (baltymas)) arba jam į veną bus skiriamas kalcio turintis preparatas.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Įspėjimai ir atsargumo priemonės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Prieš pradėdami gydymą</w:t>
      </w:r>
      <w:r w:rsidRPr="0022693C" w:rsidDel="005509FA">
        <w:rPr>
          <w:rFonts w:ascii="Times New Roman" w:eastAsia="Times New Roman" w:hAnsi="Times New Roman"/>
          <w:noProof/>
          <w:lang w:val="lt-LT" w:eastAsia="lt-LT"/>
        </w:rPr>
        <w:t xml:space="preserve"> </w:t>
      </w:r>
      <w:r w:rsidRPr="0022693C">
        <w:rPr>
          <w:rFonts w:ascii="Times New Roman" w:eastAsia="Times New Roman" w:hAnsi="Times New Roman"/>
          <w:noProof/>
          <w:lang w:val="lt-LT" w:eastAsia="lt-LT"/>
        </w:rPr>
        <w:t xml:space="preserve">Ceftriaxone MIP, pasitarkite su gydytoju, vaistininku arba slaugytoja, jeigu: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Jums yra arba anksčiau yra pasireiškęs bet kuris iš šių simptomų derinių: išbėrimas, raudona oda, pūslelės ant lūpų, akyse ar burnoje, odos lupimasis, didelis karščiavimas, į gripą panašūs simptomai, padidėjęs kepenų fermentų kiekis (nustatomas kraujo tyrimu) ir padidėjęs tam tikrų baltųjų kraujo kūnelių skaičius (eozinofilija) ir padidėję limfmazgiai (sunkių odos reakcijų požymiai taip pat yra aprašyti 4 skyriuje „Galimas šalutinis poveikis“).</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neseniai vartojote ar planuojate vartoti kalcio turinčių preparatų;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neseniai po antibiotikų vartojimo viduriavote; jums buvo žarnų veiklos sutrikimų ar ligų, pvz., sirgote kolitu (žarnų uždegimu);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yra sutrikusi kepenų ar inkstų veikla (žr. 4 skyrių);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Jūsų tulžies pūslėje ar inkstuose yra akmenų;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sergate kitomis ligomis, pvz., hemolizine anemija (raudonųjų kraujo kūnelių sumažėjimas, dėl ko Jūsų oda gali šiek tiek pagelsti, atsirasti silpnumas ar dusulys);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laikotės dietos, su mažu natrio kiekiu maiste.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Jei reikia atlikti kraujo ar šlapimo tyrimą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 jums ilgą laiką skiriama Ceftriaxone MIP, reikia reguliariai atlikti kraujo tyrimus. Ceftriaxone MIP gali keisti kai kurių gliukozės koncentracijos tyrimų šlapime ir kraujo tyrimo, vadinamo Kumbso mėginių, rezultatus. Jei jums atliekami tyrimai: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informuokite mėginį imantį asmenį, kad vartojote Ceftriaxone MIP.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Vaikams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Prieš vaikui skiriant Ceftriaxone MIP, pasitarkite su gydytoju, vaistininku ar slaugytoja, jei: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jam ar jai neseniai į veną buvo skirtas ar bus skiriamas kalcio turintis preparatas.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Kiti vaistai ir Ceftriaxone MIP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Jeigu vartojate ar neseniai vartojote kitų vaistų, arba dėl to nesate tikri, apie tai pasakykite gydytojui arba vaistininkui. </w:t>
      </w: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Svarbiausia, informuokite gydytoją ar vaistininką, jei vartojate bet kuriuos iš šių preparatų: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antibiotikus, vadinamus aminoglikozidais;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antibiotiką, vadinamą chloramfenikoliu (vartojamas gydant infekcijas, ypač akių).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keepNext/>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Nėštumas, žindymo laikotarpis ir vaisingumas </w:t>
      </w:r>
    </w:p>
    <w:p w:rsidR="004978BF" w:rsidRPr="0022693C" w:rsidRDefault="004978BF" w:rsidP="004978BF">
      <w:pPr>
        <w:keepNext/>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Jeigu esate nėščia, žindote kūdikį, manote, kad galbūt esate nėščia arba planuojate pastoti, tai prieš vartodama šį vaistą pasitarkite su gydytoju.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Gydytojas įvertins Jūsų gydymo Ceftriaxone MIP naudą ir riziką kūdikiui.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Vairavimas ir mechanizmų valdymas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Ceftriaxone MIP gali sukelti svaigulį. Jei jaučiatės apsvaigę, nevairuokite ir nenaudokite įrankių ar mechanizmų. Jei pasireiškia šie simptomai, pasitarkite su gydytoju.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Default="004978BF" w:rsidP="004978BF">
      <w:pPr>
        <w:numPr>
          <w:ilvl w:val="12"/>
          <w:numId w:val="0"/>
        </w:numPr>
        <w:rPr>
          <w:rFonts w:ascii="Times New Roman" w:eastAsia="Times New Roman" w:hAnsi="Times New Roman"/>
          <w:b/>
          <w:noProof/>
          <w:lang w:val="lt-LT" w:eastAsia="lt-LT"/>
        </w:rPr>
      </w:pPr>
      <w:r w:rsidRPr="0022693C">
        <w:rPr>
          <w:rFonts w:ascii="Times New Roman" w:eastAsia="Times New Roman" w:hAnsi="Times New Roman"/>
          <w:b/>
          <w:noProof/>
          <w:lang w:val="lt-LT" w:eastAsia="lt-LT"/>
        </w:rPr>
        <w:t>Ceftriaxone MIP sudėtyje yra natris</w:t>
      </w:r>
    </w:p>
    <w:p w:rsidR="004978BF" w:rsidRPr="0022693C" w:rsidRDefault="004978BF" w:rsidP="004978BF">
      <w:pPr>
        <w:numPr>
          <w:ilvl w:val="12"/>
          <w:numId w:val="0"/>
        </w:numPr>
        <w:rPr>
          <w:rFonts w:ascii="Times New Roman" w:eastAsia="Times New Roman" w:hAnsi="Times New Roman"/>
          <w:b/>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Ceftriaxone MIP 1 g milteliai injekciniam ar infuziniam tirpalui:</w:t>
      </w: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Kiekviename šio vaisto flakone yra 83 mg natrio (valgomosios druskos sudedamosios dalies). Tai atitinka 4,15 % didžiausios rekomenduojamos natrio paros normos suaugusiesiems.</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Ceftriaxone MIP 2 g milteliai infuziniam tirpalui:</w:t>
      </w: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Kiekviename šio vaisto flakone yra 166 mg natrio (valgomosios druskos sudedamosios dalies). Tai atitinka 8,3 % didžiausios rekomenduojamos natrio paros normos suaugusiesiems.</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tabs>
          <w:tab w:val="left" w:pos="567"/>
        </w:tabs>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3.</w:t>
      </w:r>
      <w:r w:rsidRPr="0022693C">
        <w:rPr>
          <w:rFonts w:ascii="Times New Roman" w:eastAsia="Times New Roman" w:hAnsi="Times New Roman"/>
          <w:b/>
          <w:bCs/>
          <w:noProof/>
          <w:lang w:val="lt-LT" w:eastAsia="lt-LT"/>
        </w:rPr>
        <w:tab/>
        <w:t xml:space="preserve">Kaip vartoti Ceftriaxone MIP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Ceftriaxone MIP paprastai skiria gydytojas arba slaugytoja. Jis gali būti skiriamas lašeline (infuzija į veną) arba injekcija tiesiogiai į veną ar raumenį. Ceftriaxone MIP paruošia gydytojas, vaistininkas arba slaugytoja. Vaistas nėra maišomas ar skiriamas kartu su injekcijomis, kurių sudėtyje yra kalcio.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Įprastinė dozė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Gydytojas nustatys jums tinkamą Ceftriaxone MIP dozę. Dozė priklauso nuo infekcijos sunkumo ir tipo; nuo to, ar vartojate kitų antibiotikų; nuo svorio ir amžiaus; nuo inkstų ir kepenų funkcijos. Dienų ar savaičių skaičius, kurį bus skiriamas Ceftriaxone MIP, priklauso nuo infekcijos, kuria sergate, rūšies.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Suaugusieji, senyvo amžiaus žmonės ir 12-os metų amžiaus ar vyresni vaikai, sveriantys 50 kilogramų arba daugiau: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1-2 g per parą priklausomai nuo infekcijos sunkumo ir tipo. Jei sergate sunkia infekcija, gydytojas skirs didesnę dozę (iki 4 g kartą per parą). Jeigu Jūsų paros dozė yra didesnė nei 2 g, ją galima suvartoti kaip vieną dozę arba per du kartus.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Naujagimiai, kūdikiai ir vaikai (nuo 15-os parų iki 12-os metų amžiaus), sveriantys mažiau nei 50 kg: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50-80 mg Ceftriaxone MIP kiekvienam kilogramui vaiko kūno masės kartą per parą priklausomai nuo infekcijos sunkumo ir tipo. Jei sergate sunkia infekcija, gydytojas skirs didesnę dozę (iki 100 mg kiekvienam kilogramui kūno masės, iš viso iki 4 g kartą per parą). Jeigu Jūsų paros dozė yra didesnė nei 2 g, ją galima suvartoti kaip vieną dozę arba per du kartus.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50 kg ir daugiau sveriantiems vaikams turi būti skiriama įprastinė suaugusio žmogaus dozė.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Naujagimiai (0-14-os parų amžiaus)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20-50 mg Ceftriaxone MIP kiekvienam kilogramui naujagimio kūno masės kartą per parą priklausomai nuo infekcijos sunkumo ir tipo.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Didžiausia paros dozė negali viršyti 50 mg kiekvienam kilogramui naujagimio kūno masės.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Asmenys, kuriems yra kepenų ir inkstų veiklos sutrikimų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Jums gali būti skiriama kitokia nei įprastinė dozė. Jūsų gydytojas nuspręs, kokio kiekio Ceftriaxone MIP reikia, ir atidžiai stebės gydymo procesą, tai priklauso nuo kepenų ir inkstų ligos sunkumo.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Ką daryti pavartojus per didelę Ceftriaxone MIP dozę?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 dėl klaidos gavote didesnį vaisto kiekį, nei buvo išrašyta, iš karto susisiekite su gydytoju arba artimiausios ligoninės personalu.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Pamiršus pavartoti Ceftriaxone MIP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 užmiršote sušvirkšti injekciją, padarykite tai kuo greičiau. Tačiau jei netrukus bus laikas kitai injekcijai, praleiskite injekciją, kurią užmiršote sušvirkšti. </w:t>
      </w:r>
      <w:r w:rsidRPr="0022693C">
        <w:rPr>
          <w:rFonts w:ascii="Times New Roman" w:hAnsi="Times New Roman"/>
          <w:noProof/>
          <w:lang w:val="lt-LT"/>
        </w:rPr>
        <w:t>Negalima vartoti dvigubos dozės norint kompensuoti praleistą</w:t>
      </w:r>
      <w:r w:rsidRPr="0022693C">
        <w:rPr>
          <w:noProof/>
          <w:lang w:val="lt-LT"/>
        </w:rPr>
        <w:t xml:space="preserve"> </w:t>
      </w:r>
      <w:r w:rsidRPr="0022693C">
        <w:rPr>
          <w:rFonts w:ascii="Times New Roman" w:eastAsia="Times New Roman" w:hAnsi="Times New Roman"/>
          <w:noProof/>
          <w:lang w:val="lt-LT" w:eastAsia="lt-LT"/>
        </w:rPr>
        <w:t xml:space="preserve">ą dozę (dviejų injekcijų tuo pačiu metu).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Nustojus vartoti Ceftriaxone MIP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Nenutraukite gydymo Ceftriaxone MIP tol, kol to nenurodys gydytojas. Jeigu kiltų daugiau klausimų dėl šio vaisto vartojimo, kreipkitės į gydytoją arba slaugytoją.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tabs>
          <w:tab w:val="left" w:pos="567"/>
        </w:tabs>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4.</w:t>
      </w:r>
      <w:r w:rsidRPr="0022693C">
        <w:rPr>
          <w:rFonts w:ascii="Times New Roman" w:eastAsia="Times New Roman" w:hAnsi="Times New Roman"/>
          <w:b/>
          <w:bCs/>
          <w:noProof/>
          <w:lang w:val="lt-LT" w:eastAsia="lt-LT"/>
        </w:rPr>
        <w:tab/>
        <w:t xml:space="preserve">Galimas šalutinis poveikis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Šis vaistas, kaip ir visi kiti, gali sukelti šalutinį poveikį, nors jis pasireiškia ne visiems žmonėms. </w:t>
      </w: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Vartojant šį vaistą gali pasireikšti toks šalutinis poveikis: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Sunkios alerginės reakcijos (nežinomas, dažnio negalima nustatyti remiantis turimais duomenimis)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 pasireiškė sunki alerginė reakcija, nedelsdami kreipkitės į gydytoją. </w:t>
      </w: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Tai apima tokius simptomus: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staigus veido, gerklės, lūpų ar burnos patinimas. Dėl to gali būti sunku kvėpuoti ar ryti; </w:t>
      </w:r>
    </w:p>
    <w:p w:rsidR="004978BF"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staigus plaštakų, pėdų ir kulkšnių patinimas.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Pr>
          <w:rFonts w:ascii="Times New Roman" w:eastAsia="Times New Roman" w:hAnsi="Times New Roman"/>
          <w:noProof/>
          <w:lang w:val="lt-LT" w:eastAsia="lt-LT"/>
        </w:rPr>
        <w:t>i</w:t>
      </w:r>
      <w:r w:rsidRPr="000E0ED1">
        <w:rPr>
          <w:rFonts w:ascii="Times New Roman" w:eastAsia="Times New Roman" w:hAnsi="Times New Roman"/>
          <w:noProof/>
          <w:lang w:val="lt-LT" w:eastAsia="lt-LT"/>
        </w:rPr>
        <w:t>štikus alerginei reakcijai pasireiškęs krūtinės skausmas, kuris gali būti alergijos sukelto širdies infarkto simptomas (</w:t>
      </w:r>
      <w:r w:rsidRPr="000F6F24">
        <w:rPr>
          <w:rFonts w:ascii="Times New Roman" w:eastAsia="Times New Roman" w:hAnsi="Times New Roman"/>
          <w:i/>
          <w:noProof/>
          <w:lang w:val="lt-LT" w:eastAsia="lt-LT"/>
        </w:rPr>
        <w:t>Kounis</w:t>
      </w:r>
      <w:r w:rsidRPr="000E0ED1">
        <w:rPr>
          <w:rFonts w:ascii="Times New Roman" w:eastAsia="Times New Roman" w:hAnsi="Times New Roman"/>
          <w:noProof/>
          <w:lang w:val="lt-LT" w:eastAsia="lt-LT"/>
        </w:rPr>
        <w:t xml:space="preserve"> sindromas).</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Sunkios odos reakcijos (dažnis nežinomas; negali būti apskaičiuotas pagal turimus duomenimis)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Jeigu pasireiškia sunki odos reakcija išbėrimas, tuojau pat pasakykite gydytojui. </w:t>
      </w: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Jos požymiai gali būti:</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Sunkus, greitai išsivystantis išbėrimas, pasireiškiantis pūslėmis ar odos lupimusi ir galimai pūslelėmis burnoje (</w:t>
      </w:r>
      <w:r w:rsidRPr="0022693C">
        <w:rPr>
          <w:rFonts w:ascii="Times New Roman" w:eastAsia="Times New Roman" w:hAnsi="Times New Roman"/>
          <w:i/>
          <w:noProof/>
          <w:lang w:val="lt-LT" w:eastAsia="lt-LT"/>
        </w:rPr>
        <w:t xml:space="preserve">Stevens-Johnson </w:t>
      </w:r>
      <w:r w:rsidRPr="0022693C">
        <w:rPr>
          <w:rFonts w:ascii="Times New Roman" w:eastAsia="Times New Roman" w:hAnsi="Times New Roman"/>
          <w:noProof/>
          <w:lang w:val="lt-LT" w:eastAsia="lt-LT"/>
        </w:rPr>
        <w:t xml:space="preserve">sindromas ir toksinė epidermio nekrolizė, dar vadinamos </w:t>
      </w:r>
      <w:r w:rsidRPr="0022693C">
        <w:rPr>
          <w:rFonts w:ascii="Times New Roman" w:eastAsia="Times New Roman" w:hAnsi="Times New Roman"/>
          <w:i/>
          <w:noProof/>
          <w:lang w:val="lt-LT" w:eastAsia="lt-LT"/>
        </w:rPr>
        <w:t>SJS</w:t>
      </w:r>
      <w:r w:rsidRPr="0022693C">
        <w:rPr>
          <w:rFonts w:ascii="Times New Roman" w:eastAsia="Times New Roman" w:hAnsi="Times New Roman"/>
          <w:noProof/>
          <w:lang w:val="lt-LT" w:eastAsia="lt-LT"/>
        </w:rPr>
        <w:t xml:space="preserve"> ir </w:t>
      </w:r>
      <w:r w:rsidRPr="0022693C">
        <w:rPr>
          <w:rFonts w:ascii="Times New Roman" w:eastAsia="Times New Roman" w:hAnsi="Times New Roman"/>
          <w:i/>
          <w:noProof/>
          <w:lang w:val="lt-LT" w:eastAsia="lt-LT"/>
        </w:rPr>
        <w:t>TEN</w:t>
      </w:r>
      <w:r w:rsidRPr="0022693C">
        <w:rPr>
          <w:rFonts w:ascii="Times New Roman" w:eastAsia="Times New Roman" w:hAnsi="Times New Roman"/>
          <w:noProof/>
          <w:lang w:val="lt-LT" w:eastAsia="lt-LT"/>
        </w:rPr>
        <w:t xml:space="preserve">).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Bet kurių iš šių simptomų derinys: plačiai išplitęs išbėrimas, aukšta kūno temperatūra, kepenų fermentų aktyvumo padidėjimas, nuokrypiai kraujo tyrime (eozinofilija), padidėję limfmazgiai ir sureagavę kiti kūno organai (reakcija į vaistą su eozinofilija ir sisteminiais simptomais, taip pat vadinama DRESS arba padidėjusio jautrumo vaistui sindromas).</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i/>
          <w:noProof/>
          <w:lang w:val="lt-LT" w:eastAsia="lt-LT"/>
        </w:rPr>
        <w:t>Jarisch-Herxheimer</w:t>
      </w:r>
      <w:r w:rsidRPr="0022693C">
        <w:rPr>
          <w:rFonts w:ascii="Times New Roman" w:eastAsia="Times New Roman" w:hAnsi="Times New Roman"/>
          <w:noProof/>
          <w:lang w:val="lt-LT" w:eastAsia="lt-LT"/>
        </w:rPr>
        <w:t xml:space="preserve"> reakcija, kuri sukelia karščiavimą, šaltkrėtį, galvos skausmą, raumenų skausmą ir odos išbėrimą, kuri įprastai savaime praeina. Ji pasireiškia netrukus po spirochetų sukeltos infekcinės ligos, pvz., Laimo ligos, gydymo Ceftriaxone MIP pradžios.</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Kiti galimi šalutiniai poveikiai.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keepNext/>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Dažni šalutinio poveikio atvejai (gali pasireikšti mažiau nei 1 iš 10 pacientų): </w:t>
      </w:r>
    </w:p>
    <w:p w:rsidR="004978BF" w:rsidRPr="0022693C" w:rsidRDefault="004978BF" w:rsidP="004978BF">
      <w:pPr>
        <w:keepNext/>
        <w:numPr>
          <w:ilvl w:val="12"/>
          <w:numId w:val="0"/>
        </w:numPr>
        <w:rPr>
          <w:rFonts w:ascii="Times New Roman" w:eastAsia="Times New Roman" w:hAnsi="Times New Roman"/>
          <w:noProof/>
          <w:lang w:val="lt-LT" w:eastAsia="lt-LT"/>
        </w:rPr>
      </w:pP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baltųjų kraujo ląstelių pokyčiai (pvz., leukocitų skaičiaus sumažėjimas ir eozinofilų skaičiaus padidėjimas) ir trombocitų pokyčiai (trombocitų skaičiaus sumažėjimas);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tuštinimasis nesuformuotomis išmatomis ar viduriavimas;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kraujo tyrimų, kurie rodo kepenų funkciją, pokyčiai;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išbėrimas.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Nedažni šalutinio poveikio atvejai (gali pasireikšti mažiau nei 1 iš 100 pacientų):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grybelinės infekcijos (pvz., pienligė);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baltųjų kraujo ląstelių skaičiaus sumažėjimas (granuliocitopenija);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raudonųjų kraujo ląstelių skaičiaus sumažėjimas (anemija);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kraujo krešėjimo sutrikimai. Tai apima tokius simptomus: lengvai atsirandančios kraujosrūvos ir sąnarių skausmas bei patinimas;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galvos skausmas;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svaigulys;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bloga savijauta;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niežėjimas;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skausmas ir deginimo jausmas venoje, į kurią buvo skirta Ceftriaxone MIP; skausmas injekcijos vietoje;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aukšta kūno temperatūra (karščiavimas);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nenormalūs inkstų funkcijos tyrimų rezultatai (padidėjusi kreatinino koncentracija serume).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Reti šalutinio poveikio atvejai (gali pasireikšti mažiau nei 1 iš 1 000 pacientų):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storosios žarnos uždegimas. Tai apima tokius simptomus: viduriavimas, dažnai su kraujo ar gleivių priemaiša, pilvo skausmas ir karščiavimas;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Gydymas ceftriaksonu, ypač senyviems pacientams, kuriems yra sunkių kepenų funkcijos arba nervų sistemos sutrikimų, retai gali sukelti sąmonės sutrikimą, neįprastus judesius, susijaudinimą ir traukulius.</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sunkumas kvėpuoti (bronchospazmas);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iškilęs išbėrimas (dilgėlinė), kuris gali dengti didelį kūno plotą, niežėjimas ir patinimas;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kraujas ar gliukozė šlapime;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edema (skysčių susikaupimas);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šaltkrėtis.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Nežinomi (dažnio negalima įvertinti remiantis turimais duomenimis)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antrinė infekcija, galinti nereaguoti į gydymą anksčiau paskirtu antibiotiku;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anemijos forma, kuriai esant yra raudonosios kraujo ląstelės (hemolizinė anemija);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didelis baltųjų kraujo ląstelių skaičiaus sumažėjimas (agranuliocitozė);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traukuliai;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svaigimas (sukimosi pojūtis);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kasos uždegimas (pankreatitas). Tai apima tokius simptomus: stiprus pilvo skausmas, plintantis į nugarą;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burnos gleivinės uždegimas (stomatitas);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Liežuvio uždegimas (glositas). Tai apima tokius simptomus: liežuvio patinimas, paraudimas ir skausmas; </w:t>
      </w:r>
    </w:p>
    <w:p w:rsidR="004978BF" w:rsidRPr="0022693C" w:rsidRDefault="004978BF" w:rsidP="004978BF">
      <w:pPr>
        <w:numPr>
          <w:ilvl w:val="0"/>
          <w:numId w:val="3"/>
        </w:numPr>
        <w:tabs>
          <w:tab w:val="clear" w:pos="284"/>
          <w:tab w:val="left"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tulžies pūslės </w:t>
      </w:r>
      <w:r w:rsidRPr="00CB32D0">
        <w:rPr>
          <w:rFonts w:ascii="Times New Roman" w:eastAsia="Times New Roman" w:hAnsi="Times New Roman"/>
          <w:noProof/>
          <w:lang w:val="lt-LT" w:eastAsia="lt-LT"/>
        </w:rPr>
        <w:t xml:space="preserve">ir (arba) kepenų </w:t>
      </w:r>
      <w:r w:rsidRPr="0022693C">
        <w:rPr>
          <w:rFonts w:ascii="Times New Roman" w:eastAsia="Times New Roman" w:hAnsi="Times New Roman"/>
          <w:noProof/>
          <w:lang w:val="lt-LT" w:eastAsia="lt-LT"/>
        </w:rPr>
        <w:t>sutrikimai, kurie gali sukelti skausmą</w:t>
      </w:r>
      <w:r>
        <w:rPr>
          <w:rFonts w:ascii="Times New Roman" w:eastAsia="Times New Roman" w:hAnsi="Times New Roman"/>
          <w:noProof/>
          <w:lang w:val="lt-LT" w:eastAsia="lt-LT"/>
        </w:rPr>
        <w:t>,</w:t>
      </w:r>
      <w:r w:rsidRPr="000E0ED1">
        <w:rPr>
          <w:lang w:val="lt-LT"/>
        </w:rPr>
        <w:t xml:space="preserve"> </w:t>
      </w:r>
      <w:r w:rsidRPr="00CB32D0">
        <w:rPr>
          <w:rFonts w:ascii="Times New Roman" w:eastAsia="Times New Roman" w:hAnsi="Times New Roman"/>
          <w:noProof/>
          <w:lang w:val="lt-LT" w:eastAsia="lt-LT"/>
        </w:rPr>
        <w:t>pykinimą, vėmimą</w:t>
      </w:r>
      <w:r>
        <w:rPr>
          <w:rFonts w:ascii="Times New Roman" w:eastAsia="Times New Roman" w:hAnsi="Times New Roman"/>
          <w:noProof/>
          <w:lang w:val="lt-LT" w:eastAsia="lt-LT"/>
        </w:rPr>
        <w:t>,</w:t>
      </w:r>
      <w:r w:rsidRPr="0022693C">
        <w:rPr>
          <w:rFonts w:ascii="Times New Roman" w:eastAsia="Times New Roman" w:hAnsi="Times New Roman"/>
          <w:noProof/>
          <w:lang w:val="lt-LT" w:eastAsia="lt-LT"/>
        </w:rPr>
        <w:t xml:space="preserve"> </w:t>
      </w:r>
      <w:r w:rsidRPr="00CB32D0">
        <w:rPr>
          <w:rFonts w:ascii="Times New Roman" w:eastAsia="Times New Roman" w:hAnsi="Times New Roman"/>
          <w:noProof/>
          <w:lang w:val="lt-LT" w:eastAsia="lt-LT"/>
        </w:rPr>
        <w:t>odos pageltimą, niežulį, neįprastai tamsų šlapimą ir balkšvos spalvos išmatas</w:t>
      </w:r>
      <w:r w:rsidRPr="0022693C">
        <w:rPr>
          <w:rFonts w:ascii="Times New Roman" w:eastAsia="Times New Roman" w:hAnsi="Times New Roman"/>
          <w:noProof/>
          <w:lang w:val="lt-LT" w:eastAsia="lt-LT"/>
        </w:rPr>
        <w:t xml:space="preserve">;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neurologinis sutrikimas, galintis atsirasti naujagimiams, kuriems pasireiškė sunki branduolių gelta (kernicterus);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inkstų sutrikimai, kuriuos sukėlė kalcio ceftriaksono druskų nuosėdos. Gali būti jaučiamas skausmas šlapinantis ar sumažėjęs šlapimo kiekis;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klaidingai teigiamas Kumbso testo rezultatas (kai kuriems kraujo sutrikimams tirti naudojamas testas);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klaidingai teigiami galaktozemijos (per didelio angliavandenio galaktozės kiekio kraujyje susidarymo) tyrimo duomenys; </w:t>
      </w:r>
    </w:p>
    <w:p w:rsidR="004978BF" w:rsidRPr="0022693C" w:rsidRDefault="004978BF" w:rsidP="004978BF">
      <w:pPr>
        <w:numPr>
          <w:ilvl w:val="0"/>
          <w:numId w:val="3"/>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Ceftriaxone MIP gali veikti kai kurių rūšių gliukozės kiekio kraujo serume nustatymo tyrimus - pasitarkite su gydytoju. </w:t>
      </w:r>
    </w:p>
    <w:p w:rsidR="004978BF" w:rsidRPr="0022693C" w:rsidRDefault="004978BF" w:rsidP="004978BF">
      <w:pPr>
        <w:numPr>
          <w:ilvl w:val="12"/>
          <w:numId w:val="0"/>
        </w:numPr>
        <w:rPr>
          <w:rFonts w:ascii="Times New Roman" w:eastAsia="Times New Roman" w:hAnsi="Times New Roman"/>
          <w:b/>
          <w:bCs/>
          <w:noProof/>
          <w:lang w:val="lt-LT" w:eastAsia="lt-LT"/>
        </w:rPr>
      </w:pPr>
    </w:p>
    <w:p w:rsidR="004978BF" w:rsidRDefault="004978BF" w:rsidP="004978BF">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Pranešimas apie šalutinį poveikį </w:t>
      </w: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ind w:right="-449"/>
        <w:rPr>
          <w:rFonts w:ascii="Times New Roman" w:hAnsi="Times New Roman"/>
          <w:noProof/>
          <w:lang w:val="lt-LT"/>
        </w:rPr>
      </w:pPr>
      <w:r w:rsidRPr="0022693C">
        <w:rPr>
          <w:rFonts w:ascii="Times New Roman" w:hAnsi="Times New Roman"/>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22693C">
        <w:rPr>
          <w:rFonts w:ascii="Times New Roman" w:hAnsi="Times New Roman"/>
          <w:lang w:val="lt-LT" w:eastAsia="zh-CN"/>
        </w:rPr>
        <w:t>elefonu 8 800 73568</w:t>
      </w:r>
      <w:r w:rsidRPr="0022693C">
        <w:rPr>
          <w:rFonts w:ascii="Times New Roman" w:hAnsi="Times New Roman"/>
          <w:lang w:val="lt-LT"/>
        </w:rPr>
        <w:t xml:space="preserve"> arba užpildyti interneto svetainėje </w:t>
      </w:r>
      <w:hyperlink r:id="rId5" w:history="1">
        <w:r w:rsidRPr="0022693C">
          <w:rPr>
            <w:rStyle w:val="Hipersaitas"/>
            <w:rFonts w:ascii="Times New Roman" w:eastAsia="SimSun" w:hAnsi="Times New Roman"/>
            <w:lang w:val="lt-LT"/>
          </w:rPr>
          <w:t>www.vvkt.lt</w:t>
        </w:r>
      </w:hyperlink>
      <w:r w:rsidRPr="0022693C">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22693C">
        <w:rPr>
          <w:rFonts w:ascii="Times New Roman" w:hAnsi="Times New Roman"/>
          <w:lang w:val="lt-LT" w:eastAsia="zh-CN"/>
        </w:rPr>
        <w:t xml:space="preserve">nemokamu </w:t>
      </w:r>
      <w:r w:rsidRPr="0022693C">
        <w:rPr>
          <w:rFonts w:ascii="Times New Roman" w:hAnsi="Times New Roman"/>
          <w:lang w:val="lt-LT"/>
        </w:rPr>
        <w:t>fakso numeriu 8 800 20131</w:t>
      </w:r>
      <w:r w:rsidRPr="0022693C">
        <w:rPr>
          <w:rFonts w:ascii="Times New Roman" w:hAnsi="Times New Roman"/>
          <w:lang w:val="lt-LT" w:eastAsia="zh-CN"/>
        </w:rPr>
        <w:t xml:space="preserve">, </w:t>
      </w:r>
      <w:r w:rsidRPr="0022693C">
        <w:rPr>
          <w:rFonts w:ascii="Times New Roman" w:hAnsi="Times New Roman"/>
          <w:lang w:val="lt-LT"/>
        </w:rPr>
        <w:t xml:space="preserve">el. paštu </w:t>
      </w:r>
      <w:hyperlink r:id="rId6" w:history="1">
        <w:r w:rsidRPr="0022693C">
          <w:rPr>
            <w:rStyle w:val="Hipersaitas"/>
            <w:rFonts w:ascii="Times New Roman" w:eastAsia="SimSun" w:hAnsi="Times New Roman"/>
            <w:lang w:val="lt-LT"/>
          </w:rPr>
          <w:t>NepageidaujamaR@vvkt.lt</w:t>
        </w:r>
      </w:hyperlink>
      <w:r w:rsidRPr="0022693C">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22693C">
          <w:rPr>
            <w:rStyle w:val="Hipersaitas"/>
            <w:rFonts w:ascii="Times New Roman" w:eastAsia="SimSun" w:hAnsi="Times New Roman"/>
            <w:lang w:val="lt-LT"/>
          </w:rPr>
          <w:t>http://www.vvkt.lt</w:t>
        </w:r>
      </w:hyperlink>
      <w:r w:rsidRPr="0022693C">
        <w:rPr>
          <w:rFonts w:ascii="Times New Roman" w:hAnsi="Times New Roman"/>
          <w:lang w:val="lt-LT"/>
        </w:rPr>
        <w:t>). Pranešdami apie šalutinį poveikį galite mums padėti gauti daugiau informacijos apie šio vaisto saugumą.</w:t>
      </w:r>
    </w:p>
    <w:p w:rsidR="004978BF" w:rsidRPr="0022693C" w:rsidRDefault="004978BF" w:rsidP="004978BF">
      <w:pPr>
        <w:ind w:right="-449"/>
        <w:rPr>
          <w:noProof/>
          <w:lang w:val="lt-LT"/>
        </w:rPr>
      </w:pPr>
    </w:p>
    <w:p w:rsidR="004978BF" w:rsidRPr="0022693C" w:rsidRDefault="004978BF" w:rsidP="004978BF">
      <w:pPr>
        <w:numPr>
          <w:ilvl w:val="12"/>
          <w:numId w:val="0"/>
        </w:numPr>
        <w:rPr>
          <w:rFonts w:ascii="Times New Roman" w:eastAsia="Times New Roman" w:hAnsi="Times New Roman"/>
          <w:noProof/>
          <w:lang w:val="lt-LT" w:eastAsia="lt-LT"/>
        </w:rPr>
      </w:pPr>
    </w:p>
    <w:p w:rsidR="004978BF" w:rsidRPr="0022693C" w:rsidRDefault="004978BF" w:rsidP="004978BF">
      <w:pPr>
        <w:numPr>
          <w:ilvl w:val="12"/>
          <w:numId w:val="0"/>
        </w:numPr>
        <w:ind w:left="567" w:hanging="567"/>
        <w:rPr>
          <w:rFonts w:ascii="Times New Roman" w:eastAsia="Times New Roman" w:hAnsi="Times New Roman"/>
          <w:noProof/>
          <w:lang w:val="lt-LT" w:eastAsia="lt-LT"/>
        </w:rPr>
      </w:pPr>
      <w:r w:rsidRPr="0022693C">
        <w:rPr>
          <w:rFonts w:ascii="Times New Roman" w:eastAsia="Times New Roman" w:hAnsi="Times New Roman"/>
          <w:b/>
          <w:bCs/>
          <w:noProof/>
          <w:lang w:val="lt-LT" w:eastAsia="lt-LT"/>
        </w:rPr>
        <w:t>5.</w:t>
      </w:r>
      <w:r w:rsidRPr="0022693C">
        <w:rPr>
          <w:rFonts w:ascii="Times New Roman" w:eastAsia="Times New Roman" w:hAnsi="Times New Roman"/>
          <w:b/>
          <w:bCs/>
          <w:noProof/>
          <w:lang w:val="lt-LT" w:eastAsia="lt-LT"/>
        </w:rPr>
        <w:tab/>
      </w:r>
      <w:r w:rsidRPr="0022693C">
        <w:rPr>
          <w:rFonts w:ascii="Times New Roman" w:eastAsia="Times New Roman" w:hAnsi="Times New Roman"/>
          <w:b/>
          <w:bCs/>
          <w:lang w:val="lt-LT" w:eastAsia="lt-LT"/>
        </w:rPr>
        <w:t>Kaip laikyti Ceftriaxone MIP</w:t>
      </w:r>
    </w:p>
    <w:p w:rsidR="004978BF" w:rsidRPr="0022693C" w:rsidRDefault="004978BF" w:rsidP="004978BF">
      <w:pPr>
        <w:numPr>
          <w:ilvl w:val="12"/>
          <w:numId w:val="0"/>
        </w:numPr>
        <w:ind w:right="-2"/>
        <w:rPr>
          <w:rFonts w:ascii="Times New Roman" w:eastAsia="Times New Roman" w:hAnsi="Times New Roman"/>
          <w:noProof/>
          <w:lang w:val="lt-LT" w:eastAsia="lt-LT"/>
        </w:rPr>
      </w:pPr>
    </w:p>
    <w:p w:rsidR="004978BF" w:rsidRPr="0022693C" w:rsidRDefault="004978BF" w:rsidP="004978BF">
      <w:pPr>
        <w:numPr>
          <w:ilvl w:val="12"/>
          <w:numId w:val="0"/>
        </w:numPr>
        <w:ind w:right="-2"/>
        <w:rPr>
          <w:rFonts w:ascii="Times New Roman" w:eastAsia="Times New Roman" w:hAnsi="Times New Roman"/>
          <w:noProof/>
          <w:lang w:val="lt-LT" w:eastAsia="lt-LT"/>
        </w:rPr>
      </w:pPr>
      <w:r w:rsidRPr="0022693C">
        <w:rPr>
          <w:rFonts w:ascii="Times New Roman" w:eastAsia="Times New Roman" w:hAnsi="Times New Roman"/>
          <w:lang w:val="lt-LT" w:eastAsia="lt-LT"/>
        </w:rPr>
        <w:t>Šį vaistą laikykite vaikams nepastebimoje ir nepasiekiamoje vietoje.</w:t>
      </w:r>
    </w:p>
    <w:p w:rsidR="004978BF" w:rsidRPr="0022693C" w:rsidRDefault="004978BF" w:rsidP="004978BF">
      <w:pPr>
        <w:numPr>
          <w:ilvl w:val="12"/>
          <w:numId w:val="0"/>
        </w:numPr>
        <w:ind w:right="-2"/>
        <w:rPr>
          <w:rFonts w:ascii="Times New Roman" w:eastAsia="Times New Roman" w:hAnsi="Times New Roman"/>
          <w:noProof/>
          <w:lang w:val="lt-LT" w:eastAsia="lt-LT"/>
        </w:rPr>
      </w:pPr>
    </w:p>
    <w:p w:rsidR="004978BF" w:rsidRPr="0022693C" w:rsidRDefault="004978BF" w:rsidP="004978BF">
      <w:pPr>
        <w:numPr>
          <w:ilvl w:val="12"/>
          <w:numId w:val="0"/>
        </w:numPr>
        <w:ind w:right="-2"/>
        <w:rPr>
          <w:rFonts w:ascii="Times New Roman" w:eastAsia="Times New Roman" w:hAnsi="Times New Roman"/>
          <w:lang w:val="lt-LT" w:eastAsia="lt-LT"/>
        </w:rPr>
      </w:pPr>
      <w:r w:rsidRPr="0022693C">
        <w:rPr>
          <w:rFonts w:ascii="Times New Roman" w:eastAsia="Times New Roman" w:hAnsi="Times New Roman"/>
          <w:lang w:val="lt-LT" w:eastAsia="lt-LT"/>
        </w:rPr>
        <w:t>Ant išorinės dėžutės ir flakono etiketės po „Tinka iki“ nurodytam tinkamumo laikui pasibaigus, šio vaisto vartoti negalima.</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Vaistas tinkamas vartoti iki paskutinės nurodyto mėnesio dienos.</w:t>
      </w:r>
    </w:p>
    <w:p w:rsidR="004978BF" w:rsidRPr="0022693C" w:rsidRDefault="004978BF" w:rsidP="004978BF">
      <w:pPr>
        <w:numPr>
          <w:ilvl w:val="12"/>
          <w:numId w:val="0"/>
        </w:numPr>
        <w:ind w:right="-2"/>
        <w:rPr>
          <w:rFonts w:ascii="Times New Roman" w:eastAsia="Times New Roman" w:hAnsi="Times New Roman"/>
          <w:noProof/>
          <w:lang w:val="lt-LT" w:eastAsia="lt-LT"/>
        </w:rPr>
      </w:pPr>
    </w:p>
    <w:p w:rsidR="004978BF" w:rsidRPr="0022693C" w:rsidRDefault="004978BF" w:rsidP="004978BF">
      <w:pPr>
        <w:numPr>
          <w:ilvl w:val="12"/>
          <w:numId w:val="0"/>
        </w:numPr>
        <w:ind w:right="-2"/>
        <w:rPr>
          <w:rFonts w:ascii="Times New Roman" w:eastAsia="Times New Roman" w:hAnsi="Times New Roman"/>
          <w:noProof/>
          <w:lang w:val="lt-LT" w:eastAsia="lt-LT"/>
        </w:rPr>
      </w:pPr>
      <w:r w:rsidRPr="0022693C">
        <w:rPr>
          <w:rFonts w:ascii="Times New Roman" w:eastAsia="Times New Roman" w:hAnsi="Times New Roman"/>
          <w:lang w:val="lt-LT" w:eastAsia="lt-LT"/>
        </w:rPr>
        <w:t>Flakoną laikyti išorinėje dėžutėje, kad vaistas būtų apsaugotas nuo šviesos.</w:t>
      </w:r>
    </w:p>
    <w:p w:rsidR="004978BF" w:rsidRPr="0022693C" w:rsidRDefault="004978BF" w:rsidP="004978BF">
      <w:pPr>
        <w:jc w:val="both"/>
        <w:rPr>
          <w:rFonts w:ascii="Times New Roman" w:eastAsia="Times New Roman" w:hAnsi="Times New Roman"/>
          <w:lang w:val="lt-LT" w:eastAsia="lt-LT"/>
        </w:rPr>
      </w:pPr>
    </w:p>
    <w:p w:rsidR="004978BF" w:rsidRPr="0022693C" w:rsidRDefault="004978BF" w:rsidP="004978BF">
      <w:pPr>
        <w:rPr>
          <w:rFonts w:ascii="Times New Roman" w:eastAsia="Times New Roman" w:hAnsi="Times New Roman"/>
          <w:noProof/>
          <w:lang w:val="lt-LT" w:eastAsia="lt-LT"/>
        </w:rPr>
      </w:pPr>
      <w:r w:rsidRPr="0022693C">
        <w:rPr>
          <w:rFonts w:ascii="Times New Roman" w:eastAsia="Times New Roman" w:hAnsi="Times New Roman"/>
          <w:lang w:val="lt-LT" w:eastAsia="lt-LT"/>
        </w:rPr>
        <w:t>Vaistų negalima išmesti į kanalizaciją arba su buitinėmis atliekomis.</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Kaip išmesti nereikalingus vaistus, klauskite vaistininko.</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Šios priemonės padės apsaugoti aplinką.</w:t>
      </w:r>
    </w:p>
    <w:p w:rsidR="004978BF" w:rsidRPr="0022693C" w:rsidRDefault="004978BF" w:rsidP="004978BF">
      <w:pPr>
        <w:jc w:val="both"/>
        <w:rPr>
          <w:rFonts w:ascii="Times New Roman" w:eastAsia="Times New Roman" w:hAnsi="Times New Roman"/>
          <w:lang w:val="lt-LT" w:eastAsia="lt-LT"/>
        </w:rPr>
      </w:pPr>
    </w:p>
    <w:p w:rsidR="004978BF" w:rsidRPr="0022693C" w:rsidRDefault="004978BF" w:rsidP="004978BF">
      <w:pPr>
        <w:jc w:val="both"/>
        <w:rPr>
          <w:rFonts w:ascii="Times New Roman" w:eastAsia="Times New Roman" w:hAnsi="Times New Roman"/>
          <w:lang w:val="lt-LT" w:eastAsia="lt-LT"/>
        </w:rPr>
      </w:pPr>
    </w:p>
    <w:p w:rsidR="004978BF" w:rsidRPr="0022693C" w:rsidRDefault="004978BF" w:rsidP="004978BF">
      <w:pPr>
        <w:numPr>
          <w:ilvl w:val="12"/>
          <w:numId w:val="0"/>
        </w:numPr>
        <w:ind w:right="-2"/>
        <w:rPr>
          <w:rFonts w:ascii="Times New Roman" w:eastAsia="Times New Roman" w:hAnsi="Times New Roman"/>
          <w:b/>
          <w:bCs/>
          <w:lang w:val="lt-LT" w:eastAsia="lt-LT"/>
        </w:rPr>
      </w:pPr>
      <w:r w:rsidRPr="0022693C">
        <w:rPr>
          <w:rFonts w:ascii="Times New Roman" w:eastAsia="Times New Roman" w:hAnsi="Times New Roman"/>
          <w:b/>
          <w:bCs/>
          <w:noProof/>
          <w:lang w:val="lt-LT" w:eastAsia="lt-LT"/>
        </w:rPr>
        <w:t>6.</w:t>
      </w:r>
      <w:r w:rsidRPr="0022693C">
        <w:rPr>
          <w:rFonts w:ascii="Times New Roman" w:eastAsia="Times New Roman" w:hAnsi="Times New Roman"/>
          <w:b/>
          <w:bCs/>
          <w:noProof/>
          <w:lang w:val="lt-LT" w:eastAsia="lt-LT"/>
        </w:rPr>
        <w:tab/>
      </w:r>
      <w:r w:rsidRPr="0022693C">
        <w:rPr>
          <w:rFonts w:ascii="Times New Roman" w:eastAsia="Times New Roman" w:hAnsi="Times New Roman"/>
          <w:b/>
          <w:bCs/>
          <w:lang w:val="lt-LT" w:eastAsia="lt-LT"/>
        </w:rPr>
        <w:t>Pakuotės turinys ir kita informacija</w:t>
      </w:r>
    </w:p>
    <w:p w:rsidR="004978BF" w:rsidRPr="0022693C" w:rsidRDefault="004978BF" w:rsidP="004978BF">
      <w:pPr>
        <w:numPr>
          <w:ilvl w:val="12"/>
          <w:numId w:val="0"/>
        </w:numPr>
        <w:ind w:right="-2"/>
        <w:rPr>
          <w:rFonts w:ascii="Times New Roman" w:eastAsia="Times New Roman" w:hAnsi="Times New Roman"/>
          <w:b/>
          <w:bCs/>
          <w:noProof/>
          <w:lang w:val="lt-LT" w:eastAsia="lt-LT"/>
        </w:rPr>
      </w:pPr>
    </w:p>
    <w:p w:rsidR="004978BF" w:rsidRDefault="004978BF" w:rsidP="004978BF">
      <w:pPr>
        <w:keepNext/>
        <w:outlineLvl w:val="5"/>
        <w:rPr>
          <w:rFonts w:ascii="Times New Roman" w:eastAsia="Times New Roman" w:hAnsi="Times New Roman"/>
          <w:b/>
          <w:bCs/>
          <w:lang w:val="lt-LT" w:eastAsia="x-none"/>
        </w:rPr>
      </w:pPr>
      <w:r w:rsidRPr="0022693C">
        <w:rPr>
          <w:rFonts w:ascii="Times New Roman" w:eastAsia="Times New Roman" w:hAnsi="Times New Roman"/>
          <w:b/>
          <w:bCs/>
          <w:lang w:val="lt-LT" w:eastAsia="x-none"/>
        </w:rPr>
        <w:t>Ceftriaxone MIP sudėtis</w:t>
      </w:r>
    </w:p>
    <w:p w:rsidR="004978BF" w:rsidRPr="0022693C" w:rsidRDefault="004978BF" w:rsidP="004978BF">
      <w:pPr>
        <w:keepNext/>
        <w:outlineLvl w:val="5"/>
        <w:rPr>
          <w:rFonts w:ascii="Times New Roman" w:eastAsia="Times New Roman" w:hAnsi="Times New Roman"/>
          <w:b/>
          <w:lang w:val="lt-LT" w:eastAsia="x-none"/>
        </w:rPr>
      </w:pPr>
    </w:p>
    <w:p w:rsidR="004978BF" w:rsidRPr="0022693C" w:rsidRDefault="004978BF" w:rsidP="004978BF">
      <w:pPr>
        <w:numPr>
          <w:ilvl w:val="0"/>
          <w:numId w:val="4"/>
        </w:numPr>
        <w:tabs>
          <w:tab w:val="clear" w:pos="284"/>
          <w:tab w:val="num" w:pos="567"/>
        </w:tabs>
        <w:ind w:left="567" w:right="-2" w:hanging="567"/>
        <w:rPr>
          <w:rFonts w:ascii="Times New Roman" w:eastAsia="Times New Roman" w:hAnsi="Times New Roman"/>
          <w:i/>
          <w:iCs/>
          <w:noProof/>
          <w:lang w:val="lt-LT" w:eastAsia="lt-LT"/>
        </w:rPr>
      </w:pPr>
      <w:r w:rsidRPr="0022693C">
        <w:rPr>
          <w:rFonts w:ascii="Times New Roman" w:eastAsia="Times New Roman" w:hAnsi="Times New Roman"/>
          <w:lang w:val="lt-LT" w:eastAsia="lt-LT"/>
        </w:rPr>
        <w:t>Veiklioji medžiaga yra ceftriaksonas.</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Kiekviename flakone yra ceftriaksono natrio druskos, kuri atitinka 1 g arba 2 g ceftriaksono.</w:t>
      </w:r>
    </w:p>
    <w:p w:rsidR="004978BF" w:rsidRPr="0022693C" w:rsidRDefault="004978BF" w:rsidP="004978BF">
      <w:pPr>
        <w:numPr>
          <w:ilvl w:val="0"/>
          <w:numId w:val="4"/>
        </w:numPr>
        <w:tabs>
          <w:tab w:val="clear" w:pos="284"/>
          <w:tab w:val="num"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Pagalbinių medžiagų nėra.</w:t>
      </w:r>
    </w:p>
    <w:p w:rsidR="004978BF" w:rsidRPr="0022693C" w:rsidRDefault="004978BF" w:rsidP="004978BF">
      <w:pPr>
        <w:ind w:right="-2"/>
        <w:rPr>
          <w:rFonts w:ascii="Times New Roman" w:eastAsia="Times New Roman" w:hAnsi="Times New Roman"/>
          <w:noProof/>
          <w:lang w:val="lt-LT" w:eastAsia="lt-LT"/>
        </w:rPr>
      </w:pPr>
    </w:p>
    <w:p w:rsidR="004978BF" w:rsidRDefault="004978BF" w:rsidP="004978BF">
      <w:pPr>
        <w:numPr>
          <w:ilvl w:val="12"/>
          <w:numId w:val="0"/>
        </w:numPr>
        <w:ind w:right="-2"/>
        <w:rPr>
          <w:rFonts w:ascii="Times New Roman" w:eastAsia="Times New Roman" w:hAnsi="Times New Roman"/>
          <w:b/>
          <w:bCs/>
          <w:lang w:val="lt-LT" w:eastAsia="lt-LT"/>
        </w:rPr>
      </w:pPr>
      <w:r w:rsidRPr="0022693C">
        <w:rPr>
          <w:rFonts w:ascii="Times New Roman" w:eastAsia="Times New Roman" w:hAnsi="Times New Roman"/>
          <w:b/>
          <w:bCs/>
          <w:lang w:val="lt-LT" w:eastAsia="lt-LT"/>
        </w:rPr>
        <w:t>Ceftriaxone MIP išvaizda ir kiekis pakuotėje</w:t>
      </w:r>
    </w:p>
    <w:p w:rsidR="004978BF" w:rsidRPr="0022693C" w:rsidRDefault="004978BF" w:rsidP="004978BF">
      <w:pPr>
        <w:numPr>
          <w:ilvl w:val="12"/>
          <w:numId w:val="0"/>
        </w:numPr>
        <w:ind w:right="-2"/>
        <w:rPr>
          <w:rFonts w:ascii="Times New Roman" w:eastAsia="Times New Roman" w:hAnsi="Times New Roman"/>
          <w:b/>
          <w:bCs/>
          <w:noProof/>
          <w:lang w:val="lt-LT" w:eastAsia="lt-LT"/>
        </w:rPr>
      </w:pPr>
    </w:p>
    <w:p w:rsidR="004978BF" w:rsidRPr="0022693C" w:rsidRDefault="004978BF" w:rsidP="004978BF">
      <w:pPr>
        <w:numPr>
          <w:ilvl w:val="12"/>
          <w:numId w:val="0"/>
        </w:numPr>
        <w:ind w:right="-2"/>
        <w:rPr>
          <w:rFonts w:ascii="Times New Roman" w:eastAsia="Times New Roman" w:hAnsi="Times New Roman"/>
          <w:b/>
          <w:bCs/>
          <w:noProof/>
          <w:lang w:val="lt-LT" w:eastAsia="lt-LT"/>
        </w:rPr>
      </w:pPr>
      <w:r w:rsidRPr="0022693C">
        <w:rPr>
          <w:rFonts w:ascii="Times New Roman" w:eastAsia="Times New Roman" w:hAnsi="Times New Roman"/>
          <w:lang w:val="lt-LT" w:eastAsia="lt-LT"/>
        </w:rPr>
        <w:t>Smulkūs, beveik balti arba gelsvi milteliai.</w:t>
      </w:r>
    </w:p>
    <w:p w:rsidR="004978BF" w:rsidRPr="0022693C" w:rsidRDefault="004978BF" w:rsidP="004978BF">
      <w:pPr>
        <w:numPr>
          <w:ilvl w:val="12"/>
          <w:numId w:val="0"/>
        </w:numPr>
        <w:ind w:right="-2"/>
        <w:rPr>
          <w:rFonts w:ascii="Times New Roman" w:eastAsia="Times New Roman" w:hAnsi="Times New Roman"/>
          <w:b/>
          <w:bCs/>
          <w:noProof/>
          <w:lang w:val="lt-LT" w:eastAsia="lt-LT"/>
        </w:rPr>
      </w:pPr>
      <w:r w:rsidRPr="0022693C">
        <w:rPr>
          <w:rFonts w:ascii="Times New Roman" w:eastAsia="Times New Roman" w:hAnsi="Times New Roman"/>
          <w:lang w:val="lt-LT" w:eastAsia="lt-LT"/>
        </w:rPr>
        <w:t>Ceftriaxone MIP parduodamas pakuotėmis po 1, 5 arba 10 stiklinių flakonų su guminiais kamščiais ir nuplėšiamais dangteliais.</w:t>
      </w:r>
    </w:p>
    <w:p w:rsidR="004978BF" w:rsidRPr="0022693C" w:rsidRDefault="004978BF" w:rsidP="004978BF">
      <w:pPr>
        <w:numPr>
          <w:ilvl w:val="12"/>
          <w:numId w:val="0"/>
        </w:numPr>
        <w:ind w:right="-2"/>
        <w:rPr>
          <w:rFonts w:ascii="Times New Roman" w:eastAsia="Times New Roman" w:hAnsi="Times New Roman"/>
          <w:b/>
          <w:bCs/>
          <w:noProof/>
          <w:lang w:val="lt-LT" w:eastAsia="lt-LT"/>
        </w:rPr>
      </w:pPr>
    </w:p>
    <w:tbl>
      <w:tblPr>
        <w:tblW w:w="0" w:type="auto"/>
        <w:tblLayout w:type="fixed"/>
        <w:tblCellMar>
          <w:left w:w="70" w:type="dxa"/>
          <w:right w:w="70" w:type="dxa"/>
        </w:tblCellMar>
        <w:tblLook w:val="0000" w:firstRow="0" w:lastRow="0" w:firstColumn="0" w:lastColumn="0" w:noHBand="0" w:noVBand="0"/>
      </w:tblPr>
      <w:tblGrid>
        <w:gridCol w:w="4945"/>
        <w:gridCol w:w="4946"/>
      </w:tblGrid>
      <w:tr w:rsidR="004978BF" w:rsidRPr="0022693C" w:rsidTr="002E75A8">
        <w:tc>
          <w:tcPr>
            <w:tcW w:w="4945" w:type="dxa"/>
          </w:tcPr>
          <w:p w:rsidR="004978BF" w:rsidRDefault="004978BF" w:rsidP="002E75A8">
            <w:pPr>
              <w:rPr>
                <w:rFonts w:ascii="Times New Roman" w:eastAsia="Times New Roman" w:hAnsi="Times New Roman"/>
                <w:b/>
                <w:bCs/>
                <w:lang w:val="lt-LT" w:eastAsia="lt-LT"/>
              </w:rPr>
            </w:pPr>
            <w:r w:rsidRPr="0022693C">
              <w:rPr>
                <w:rFonts w:ascii="Times New Roman" w:eastAsia="Times New Roman" w:hAnsi="Times New Roman"/>
                <w:b/>
                <w:bCs/>
                <w:lang w:val="lt-LT" w:eastAsia="lt-LT"/>
              </w:rPr>
              <w:t>Registruotojas</w:t>
            </w:r>
          </w:p>
          <w:p w:rsidR="004978BF" w:rsidRPr="0022693C" w:rsidRDefault="004978BF" w:rsidP="002E75A8">
            <w:pPr>
              <w:rPr>
                <w:rFonts w:ascii="Times New Roman" w:eastAsia="Times New Roman" w:hAnsi="Times New Roman"/>
                <w:lang w:val="lt-LT" w:eastAsia="lt-LT"/>
              </w:rPr>
            </w:pPr>
          </w:p>
          <w:p w:rsidR="004978BF" w:rsidRPr="0022693C" w:rsidRDefault="004978BF" w:rsidP="002E75A8">
            <w:pPr>
              <w:tabs>
                <w:tab w:val="left" w:pos="0"/>
                <w:tab w:val="left" w:pos="142"/>
                <w:tab w:val="left" w:pos="284"/>
                <w:tab w:val="left" w:pos="709"/>
                <w:tab w:val="left" w:pos="1756"/>
              </w:tabs>
              <w:rPr>
                <w:rFonts w:ascii="Times New Roman" w:eastAsia="Times New Roman" w:hAnsi="Times New Roman"/>
                <w:lang w:val="lt-LT" w:eastAsia="lt-LT"/>
              </w:rPr>
            </w:pPr>
            <w:r w:rsidRPr="0022693C">
              <w:rPr>
                <w:rFonts w:ascii="Times New Roman" w:eastAsia="Times New Roman" w:hAnsi="Times New Roman"/>
                <w:lang w:val="lt-LT" w:eastAsia="lt-LT"/>
              </w:rPr>
              <w:t>MIP Pharma GmbH</w:t>
            </w:r>
          </w:p>
          <w:p w:rsidR="004978BF" w:rsidRPr="0022693C" w:rsidRDefault="004978BF" w:rsidP="002E75A8">
            <w:pPr>
              <w:tabs>
                <w:tab w:val="left" w:pos="0"/>
                <w:tab w:val="left" w:pos="142"/>
                <w:tab w:val="left" w:pos="284"/>
                <w:tab w:val="left" w:pos="709"/>
                <w:tab w:val="left" w:pos="1756"/>
              </w:tabs>
              <w:rPr>
                <w:rFonts w:ascii="Times New Roman" w:eastAsia="Times New Roman" w:hAnsi="Times New Roman"/>
                <w:lang w:val="lt-LT" w:eastAsia="lt-LT"/>
              </w:rPr>
            </w:pPr>
            <w:r w:rsidRPr="0022693C">
              <w:rPr>
                <w:rFonts w:ascii="Times New Roman" w:eastAsia="Times New Roman" w:hAnsi="Times New Roman"/>
                <w:lang w:val="lt-LT" w:eastAsia="lt-LT"/>
              </w:rPr>
              <w:t>Kirkeler Str. 41</w:t>
            </w:r>
          </w:p>
          <w:p w:rsidR="004978BF" w:rsidRPr="0022693C" w:rsidRDefault="004978BF" w:rsidP="002E75A8">
            <w:pPr>
              <w:tabs>
                <w:tab w:val="left" w:pos="0"/>
                <w:tab w:val="left" w:pos="142"/>
                <w:tab w:val="left" w:pos="284"/>
                <w:tab w:val="left" w:pos="709"/>
                <w:tab w:val="left" w:pos="1756"/>
              </w:tabs>
              <w:rPr>
                <w:rFonts w:ascii="Times New Roman" w:eastAsia="Times New Roman" w:hAnsi="Times New Roman"/>
                <w:lang w:val="lt-LT" w:eastAsia="lt-LT"/>
              </w:rPr>
            </w:pPr>
            <w:r w:rsidRPr="0022693C">
              <w:rPr>
                <w:rFonts w:ascii="Times New Roman" w:eastAsia="Times New Roman" w:hAnsi="Times New Roman"/>
                <w:lang w:val="lt-LT" w:eastAsia="lt-LT"/>
              </w:rPr>
              <w:t>66440 Blieskastel</w:t>
            </w:r>
          </w:p>
          <w:p w:rsidR="004978BF" w:rsidRPr="0022693C" w:rsidRDefault="004978BF" w:rsidP="002E75A8">
            <w:pPr>
              <w:tabs>
                <w:tab w:val="left" w:pos="0"/>
                <w:tab w:val="left" w:pos="142"/>
                <w:tab w:val="left" w:pos="284"/>
                <w:tab w:val="left" w:pos="709"/>
                <w:tab w:val="left" w:pos="1756"/>
              </w:tabs>
              <w:rPr>
                <w:rFonts w:ascii="Times New Roman" w:eastAsia="Times New Roman" w:hAnsi="Times New Roman"/>
                <w:lang w:val="lt-LT" w:eastAsia="lt-LT"/>
              </w:rPr>
            </w:pPr>
            <w:r w:rsidRPr="0022693C">
              <w:rPr>
                <w:rFonts w:ascii="Times New Roman" w:eastAsia="Times New Roman" w:hAnsi="Times New Roman"/>
                <w:lang w:val="lt-LT" w:eastAsia="lt-LT"/>
              </w:rPr>
              <w:t>Vokietija</w:t>
            </w:r>
          </w:p>
          <w:p w:rsidR="004978BF" w:rsidRPr="0022693C" w:rsidRDefault="004978BF" w:rsidP="002E75A8">
            <w:pPr>
              <w:tabs>
                <w:tab w:val="left" w:pos="0"/>
                <w:tab w:val="left" w:pos="142"/>
                <w:tab w:val="left" w:pos="284"/>
                <w:tab w:val="left" w:pos="709"/>
                <w:tab w:val="left" w:pos="1756"/>
              </w:tabs>
              <w:rPr>
                <w:rFonts w:ascii="Times New Roman" w:eastAsia="Times New Roman" w:hAnsi="Times New Roman"/>
                <w:lang w:val="lt-LT" w:eastAsia="lt-LT"/>
              </w:rPr>
            </w:pPr>
            <w:r w:rsidRPr="0022693C">
              <w:rPr>
                <w:rFonts w:ascii="Times New Roman" w:eastAsia="Times New Roman" w:hAnsi="Times New Roman"/>
                <w:lang w:val="lt-LT" w:eastAsia="lt-LT"/>
              </w:rPr>
              <w:t>Telefonas 0049 (0) 6842 9609 0</w:t>
            </w:r>
          </w:p>
          <w:p w:rsidR="004978BF" w:rsidRPr="0022693C" w:rsidRDefault="004978BF" w:rsidP="002E75A8">
            <w:pPr>
              <w:tabs>
                <w:tab w:val="left" w:pos="0"/>
                <w:tab w:val="left" w:pos="142"/>
                <w:tab w:val="left" w:pos="284"/>
                <w:tab w:val="left" w:pos="709"/>
                <w:tab w:val="left" w:pos="1756"/>
              </w:tabs>
              <w:rPr>
                <w:rFonts w:ascii="Times New Roman" w:eastAsia="Times New Roman" w:hAnsi="Times New Roman"/>
                <w:u w:val="single"/>
                <w:lang w:val="lt-LT" w:eastAsia="lt-LT"/>
              </w:rPr>
            </w:pPr>
            <w:r w:rsidRPr="0022693C">
              <w:rPr>
                <w:rFonts w:ascii="Times New Roman" w:eastAsia="Times New Roman" w:hAnsi="Times New Roman"/>
                <w:lang w:val="lt-LT" w:eastAsia="lt-LT"/>
              </w:rPr>
              <w:t>Faksas 0049 (0) 6842 9609 355</w:t>
            </w:r>
          </w:p>
        </w:tc>
        <w:tc>
          <w:tcPr>
            <w:tcW w:w="4946" w:type="dxa"/>
          </w:tcPr>
          <w:p w:rsidR="004978BF" w:rsidRDefault="004978BF" w:rsidP="002E75A8">
            <w:pPr>
              <w:rPr>
                <w:rFonts w:ascii="Times New Roman" w:eastAsia="Times New Roman" w:hAnsi="Times New Roman"/>
                <w:b/>
                <w:bCs/>
                <w:lang w:val="lt-LT" w:eastAsia="lt-LT"/>
              </w:rPr>
            </w:pPr>
            <w:r w:rsidRPr="0022693C">
              <w:rPr>
                <w:rFonts w:ascii="Times New Roman" w:eastAsia="Times New Roman" w:hAnsi="Times New Roman"/>
                <w:b/>
                <w:bCs/>
                <w:lang w:val="lt-LT" w:eastAsia="lt-LT"/>
              </w:rPr>
              <w:t>Gamintojas</w:t>
            </w:r>
          </w:p>
          <w:p w:rsidR="004978BF" w:rsidRPr="0022693C" w:rsidRDefault="004978BF" w:rsidP="002E75A8">
            <w:pPr>
              <w:rPr>
                <w:rFonts w:ascii="Times New Roman" w:eastAsia="Times New Roman" w:hAnsi="Times New Roman"/>
                <w:lang w:val="lt-LT" w:eastAsia="lt-LT"/>
              </w:rPr>
            </w:pPr>
          </w:p>
          <w:p w:rsidR="004978BF" w:rsidRPr="0022693C" w:rsidRDefault="004978BF" w:rsidP="002E75A8">
            <w:pPr>
              <w:rPr>
                <w:rFonts w:ascii="Times New Roman" w:eastAsia="Times New Roman" w:hAnsi="Times New Roman"/>
                <w:lang w:val="lt-LT" w:eastAsia="lt-LT"/>
              </w:rPr>
            </w:pPr>
            <w:r w:rsidRPr="0022693C">
              <w:rPr>
                <w:rFonts w:ascii="Times New Roman" w:eastAsia="Times New Roman" w:hAnsi="Times New Roman"/>
                <w:lang w:val="lt-LT" w:eastAsia="lt-LT"/>
              </w:rPr>
              <w:t>MIP Pharma GmbH</w:t>
            </w:r>
          </w:p>
          <w:p w:rsidR="004978BF" w:rsidRPr="0022693C" w:rsidRDefault="004978BF" w:rsidP="002E75A8">
            <w:pPr>
              <w:rPr>
                <w:rFonts w:ascii="Times New Roman" w:eastAsia="Times New Roman" w:hAnsi="Times New Roman"/>
                <w:lang w:val="lt-LT" w:eastAsia="lt-LT"/>
              </w:rPr>
            </w:pPr>
            <w:r w:rsidRPr="0022693C">
              <w:rPr>
                <w:rFonts w:ascii="Times New Roman" w:eastAsia="Times New Roman" w:hAnsi="Times New Roman"/>
                <w:lang w:val="lt-LT" w:eastAsia="lt-LT"/>
              </w:rPr>
              <w:t>Kirkeler Str. 41</w:t>
            </w:r>
          </w:p>
          <w:p w:rsidR="004978BF" w:rsidRPr="0022693C" w:rsidRDefault="004978BF" w:rsidP="002E75A8">
            <w:pPr>
              <w:rPr>
                <w:rFonts w:ascii="Times New Roman" w:eastAsia="Times New Roman" w:hAnsi="Times New Roman"/>
                <w:lang w:val="lt-LT" w:eastAsia="lt-LT"/>
              </w:rPr>
            </w:pPr>
            <w:r w:rsidRPr="0022693C">
              <w:rPr>
                <w:rFonts w:ascii="Times New Roman" w:eastAsia="Times New Roman" w:hAnsi="Times New Roman"/>
                <w:lang w:val="lt-LT" w:eastAsia="lt-LT"/>
              </w:rPr>
              <w:t>66440 Blieskastel</w:t>
            </w:r>
          </w:p>
          <w:p w:rsidR="004978BF" w:rsidRPr="0022693C" w:rsidRDefault="004978BF" w:rsidP="002E75A8">
            <w:pPr>
              <w:rPr>
                <w:rFonts w:ascii="Times New Roman" w:eastAsia="Times New Roman" w:hAnsi="Times New Roman"/>
                <w:lang w:val="lt-LT" w:eastAsia="lt-LT"/>
              </w:rPr>
            </w:pPr>
            <w:r w:rsidRPr="0022693C">
              <w:rPr>
                <w:rFonts w:ascii="Times New Roman" w:eastAsia="Times New Roman" w:hAnsi="Times New Roman"/>
                <w:lang w:val="lt-LT" w:eastAsia="lt-LT"/>
              </w:rPr>
              <w:t>Vokietija</w:t>
            </w:r>
          </w:p>
        </w:tc>
      </w:tr>
    </w:tbl>
    <w:p w:rsidR="004978BF" w:rsidRPr="0022693C" w:rsidRDefault="004978BF" w:rsidP="004978BF">
      <w:pPr>
        <w:rPr>
          <w:rFonts w:ascii="Times New Roman" w:eastAsia="Times New Roman" w:hAnsi="Times New Roman"/>
          <w:lang w:val="lt-LT" w:eastAsia="lt-LT"/>
        </w:rPr>
      </w:pPr>
    </w:p>
    <w:p w:rsidR="004978BF" w:rsidRPr="0022693C" w:rsidRDefault="004978BF" w:rsidP="004978BF">
      <w:pPr>
        <w:numPr>
          <w:ilvl w:val="12"/>
          <w:numId w:val="0"/>
        </w:numPr>
        <w:tabs>
          <w:tab w:val="left" w:pos="567"/>
        </w:tabs>
        <w:ind w:right="-2"/>
        <w:rPr>
          <w:rFonts w:ascii="Times New Roman" w:eastAsia="Times New Roman" w:hAnsi="Times New Roman"/>
          <w:snapToGrid w:val="0"/>
          <w:lang w:val="lt-LT"/>
        </w:rPr>
      </w:pPr>
      <w:r w:rsidRPr="0022693C">
        <w:rPr>
          <w:rFonts w:ascii="Times New Roman" w:eastAsia="Times New Roman" w:hAnsi="Times New Roman"/>
          <w:b/>
          <w:snapToGrid w:val="0"/>
          <w:lang w:val="lt-LT"/>
        </w:rPr>
        <w:t>Šis vaistas EEE valstybėse narėse registruotas tokiais pavadinimais</w:t>
      </w:r>
      <w:r w:rsidRPr="0022693C">
        <w:rPr>
          <w:rFonts w:ascii="Times New Roman" w:eastAsia="Times New Roman" w:hAnsi="Times New Roman"/>
          <w:snapToGrid w:val="0"/>
          <w:lang w:val="lt-LT"/>
        </w:rPr>
        <w:t>:</w:t>
      </w:r>
    </w:p>
    <w:p w:rsidR="004978BF" w:rsidRPr="0022693C" w:rsidRDefault="004978BF" w:rsidP="004978BF">
      <w:pPr>
        <w:numPr>
          <w:ilvl w:val="12"/>
          <w:numId w:val="0"/>
        </w:numPr>
        <w:tabs>
          <w:tab w:val="left" w:pos="567"/>
        </w:tabs>
        <w:ind w:right="-2"/>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7137"/>
      </w:tblGrid>
      <w:tr w:rsidR="004978BF" w:rsidRPr="0022693C" w:rsidTr="002E75A8">
        <w:tc>
          <w:tcPr>
            <w:tcW w:w="195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
                <w:bCs/>
                <w:sz w:val="22"/>
                <w:szCs w:val="22"/>
              </w:rPr>
              <w:t>Danija:</w:t>
            </w:r>
          </w:p>
        </w:tc>
        <w:tc>
          <w:tcPr>
            <w:tcW w:w="7261" w:type="dxa"/>
          </w:tcPr>
          <w:p w:rsidR="004978BF" w:rsidRPr="0022693C" w:rsidRDefault="004978BF" w:rsidP="002E75A8">
            <w:pPr>
              <w:numPr>
                <w:ilvl w:val="12"/>
                <w:numId w:val="0"/>
              </w:numPr>
              <w:tabs>
                <w:tab w:val="left" w:pos="567"/>
              </w:tabs>
              <w:ind w:right="-2"/>
              <w:rPr>
                <w:rFonts w:ascii="Times New Roman" w:eastAsia="Times New Roman" w:hAnsi="Times New Roman"/>
                <w:b/>
                <w:bCs/>
                <w:sz w:val="22"/>
                <w:szCs w:val="22"/>
              </w:rPr>
            </w:pPr>
            <w:r w:rsidRPr="0022693C">
              <w:rPr>
                <w:rFonts w:ascii="Times New Roman" w:eastAsia="Times New Roman" w:hAnsi="Times New Roman"/>
                <w:bCs/>
                <w:sz w:val="22"/>
                <w:szCs w:val="22"/>
              </w:rPr>
              <w:t>Ceftriaxon "MIP"</w:t>
            </w:r>
          </w:p>
        </w:tc>
      </w:tr>
      <w:tr w:rsidR="004978BF" w:rsidRPr="0022693C" w:rsidTr="002E75A8">
        <w:tc>
          <w:tcPr>
            <w:tcW w:w="195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
                <w:bCs/>
                <w:sz w:val="22"/>
                <w:szCs w:val="22"/>
              </w:rPr>
              <w:t>Estija:</w:t>
            </w:r>
          </w:p>
        </w:tc>
        <w:tc>
          <w:tcPr>
            <w:tcW w:w="726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Cs/>
                <w:sz w:val="22"/>
                <w:szCs w:val="22"/>
              </w:rPr>
              <w:t>Ceftriaxone MIP 1 g</w:t>
            </w:r>
          </w:p>
        </w:tc>
      </w:tr>
      <w:tr w:rsidR="004978BF" w:rsidRPr="0022693C" w:rsidTr="002E75A8">
        <w:tc>
          <w:tcPr>
            <w:tcW w:w="1951" w:type="dxa"/>
          </w:tcPr>
          <w:p w:rsidR="004978BF" w:rsidRPr="0022693C" w:rsidRDefault="004978BF" w:rsidP="002E75A8">
            <w:pPr>
              <w:rPr>
                <w:rFonts w:ascii="Times New Roman" w:hAnsi="Times New Roman"/>
                <w:sz w:val="22"/>
                <w:szCs w:val="22"/>
              </w:rPr>
            </w:pPr>
          </w:p>
        </w:tc>
        <w:tc>
          <w:tcPr>
            <w:tcW w:w="7261" w:type="dxa"/>
          </w:tcPr>
          <w:p w:rsidR="004978BF" w:rsidRPr="0022693C" w:rsidRDefault="004978BF" w:rsidP="002E75A8">
            <w:pPr>
              <w:numPr>
                <w:ilvl w:val="12"/>
                <w:numId w:val="0"/>
              </w:numPr>
              <w:tabs>
                <w:tab w:val="left" w:pos="567"/>
              </w:tabs>
              <w:ind w:right="-2"/>
              <w:rPr>
                <w:rFonts w:ascii="Times New Roman" w:eastAsia="Times New Roman" w:hAnsi="Times New Roman"/>
                <w:bCs/>
                <w:sz w:val="22"/>
                <w:szCs w:val="22"/>
              </w:rPr>
            </w:pPr>
            <w:r w:rsidRPr="0022693C">
              <w:rPr>
                <w:rFonts w:ascii="Times New Roman" w:eastAsia="Times New Roman" w:hAnsi="Times New Roman"/>
                <w:bCs/>
                <w:sz w:val="22"/>
                <w:szCs w:val="22"/>
              </w:rPr>
              <w:t>Ceftriaxone MIP 2 g</w:t>
            </w:r>
          </w:p>
        </w:tc>
      </w:tr>
      <w:tr w:rsidR="004978BF" w:rsidRPr="00CD5F8C" w:rsidTr="002E75A8">
        <w:tc>
          <w:tcPr>
            <w:tcW w:w="195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
                <w:sz w:val="22"/>
                <w:szCs w:val="22"/>
              </w:rPr>
              <w:t>Suomija:</w:t>
            </w:r>
          </w:p>
        </w:tc>
        <w:tc>
          <w:tcPr>
            <w:tcW w:w="726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sz w:val="22"/>
                <w:szCs w:val="22"/>
              </w:rPr>
              <w:t>Ceftriaxon MIP Pharma 1 g injektio/infuusiokuiva-aine</w:t>
            </w:r>
          </w:p>
        </w:tc>
      </w:tr>
      <w:tr w:rsidR="004978BF" w:rsidRPr="00CD5F8C" w:rsidTr="002E75A8">
        <w:tc>
          <w:tcPr>
            <w:tcW w:w="1951" w:type="dxa"/>
          </w:tcPr>
          <w:p w:rsidR="004978BF" w:rsidRPr="0022693C" w:rsidRDefault="004978BF" w:rsidP="002E75A8">
            <w:pPr>
              <w:rPr>
                <w:rFonts w:ascii="Times New Roman" w:hAnsi="Times New Roman"/>
                <w:sz w:val="22"/>
                <w:szCs w:val="22"/>
              </w:rPr>
            </w:pPr>
          </w:p>
        </w:tc>
        <w:tc>
          <w:tcPr>
            <w:tcW w:w="726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sz w:val="22"/>
                <w:szCs w:val="22"/>
              </w:rPr>
              <w:t>Ceftriaxon MIP Pharma 2 g infuusiokuiva-aine</w:t>
            </w:r>
          </w:p>
        </w:tc>
      </w:tr>
      <w:tr w:rsidR="004978BF" w:rsidRPr="0022693C" w:rsidTr="002E75A8">
        <w:tc>
          <w:tcPr>
            <w:tcW w:w="195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
                <w:bCs/>
                <w:sz w:val="22"/>
                <w:szCs w:val="22"/>
              </w:rPr>
              <w:t>Vokietija:</w:t>
            </w:r>
          </w:p>
        </w:tc>
        <w:tc>
          <w:tcPr>
            <w:tcW w:w="7261" w:type="dxa"/>
          </w:tcPr>
          <w:p w:rsidR="004978BF" w:rsidRPr="0022693C" w:rsidRDefault="004978BF" w:rsidP="002E75A8">
            <w:pPr>
              <w:numPr>
                <w:ilvl w:val="12"/>
                <w:numId w:val="0"/>
              </w:numPr>
              <w:tabs>
                <w:tab w:val="left" w:pos="567"/>
              </w:tabs>
              <w:ind w:right="-2"/>
              <w:rPr>
                <w:rFonts w:ascii="Times New Roman" w:eastAsia="Times New Roman" w:hAnsi="Times New Roman"/>
                <w:b/>
                <w:bCs/>
                <w:sz w:val="22"/>
                <w:szCs w:val="22"/>
              </w:rPr>
            </w:pPr>
            <w:r w:rsidRPr="0022693C">
              <w:rPr>
                <w:rFonts w:ascii="Times New Roman" w:eastAsia="Times New Roman" w:hAnsi="Times New Roman"/>
                <w:bCs/>
                <w:sz w:val="22"/>
                <w:szCs w:val="22"/>
              </w:rPr>
              <w:t>Ceftriaxon-CNP 1 g Pulver zur Herstellung einer Injektions- bzw. Infusionslösung</w:t>
            </w:r>
          </w:p>
        </w:tc>
      </w:tr>
      <w:tr w:rsidR="004978BF" w:rsidRPr="0022693C" w:rsidTr="002E75A8">
        <w:tc>
          <w:tcPr>
            <w:tcW w:w="1951" w:type="dxa"/>
          </w:tcPr>
          <w:p w:rsidR="004978BF" w:rsidRPr="0022693C" w:rsidRDefault="004978BF" w:rsidP="002E75A8">
            <w:pPr>
              <w:rPr>
                <w:rFonts w:ascii="Times New Roman" w:hAnsi="Times New Roman"/>
                <w:sz w:val="22"/>
                <w:szCs w:val="22"/>
              </w:rPr>
            </w:pPr>
          </w:p>
        </w:tc>
        <w:tc>
          <w:tcPr>
            <w:tcW w:w="726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Cs/>
                <w:sz w:val="22"/>
                <w:szCs w:val="22"/>
              </w:rPr>
              <w:t>Ceftriaxon-CNP 2 g Pulver zur Herstellung einer Infusionslösung</w:t>
            </w:r>
          </w:p>
        </w:tc>
      </w:tr>
      <w:tr w:rsidR="004978BF" w:rsidRPr="00CD5F8C" w:rsidTr="002E75A8">
        <w:tc>
          <w:tcPr>
            <w:tcW w:w="195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
                <w:bCs/>
                <w:sz w:val="22"/>
                <w:szCs w:val="22"/>
              </w:rPr>
              <w:t>Lietuva:</w:t>
            </w:r>
          </w:p>
        </w:tc>
        <w:tc>
          <w:tcPr>
            <w:tcW w:w="7261" w:type="dxa"/>
          </w:tcPr>
          <w:p w:rsidR="004978BF" w:rsidRPr="0022693C" w:rsidRDefault="004978BF" w:rsidP="002E75A8">
            <w:pPr>
              <w:numPr>
                <w:ilvl w:val="12"/>
                <w:numId w:val="0"/>
              </w:numPr>
              <w:tabs>
                <w:tab w:val="left" w:pos="567"/>
              </w:tabs>
              <w:ind w:right="-2"/>
              <w:rPr>
                <w:rFonts w:ascii="Times New Roman" w:eastAsia="Times New Roman" w:hAnsi="Times New Roman"/>
                <w:b/>
                <w:bCs/>
                <w:sz w:val="22"/>
                <w:szCs w:val="22"/>
              </w:rPr>
            </w:pPr>
            <w:r w:rsidRPr="0022693C">
              <w:rPr>
                <w:rFonts w:ascii="Times New Roman" w:eastAsia="Times New Roman" w:hAnsi="Times New Roman"/>
                <w:bCs/>
                <w:sz w:val="22"/>
                <w:szCs w:val="22"/>
              </w:rPr>
              <w:t>Ceftriaxone MIP 1 g milteliai injekciniam ar infuziniam tirpalui</w:t>
            </w:r>
          </w:p>
        </w:tc>
      </w:tr>
      <w:tr w:rsidR="004978BF" w:rsidRPr="00CD5F8C" w:rsidTr="002E75A8">
        <w:tc>
          <w:tcPr>
            <w:tcW w:w="1951" w:type="dxa"/>
          </w:tcPr>
          <w:p w:rsidR="004978BF" w:rsidRPr="0022693C" w:rsidRDefault="004978BF" w:rsidP="002E75A8">
            <w:pPr>
              <w:rPr>
                <w:rFonts w:ascii="Times New Roman" w:hAnsi="Times New Roman"/>
                <w:sz w:val="22"/>
                <w:szCs w:val="22"/>
              </w:rPr>
            </w:pPr>
          </w:p>
        </w:tc>
        <w:tc>
          <w:tcPr>
            <w:tcW w:w="7261" w:type="dxa"/>
          </w:tcPr>
          <w:p w:rsidR="004978BF" w:rsidRPr="0022693C" w:rsidRDefault="004978BF" w:rsidP="002E75A8">
            <w:pPr>
              <w:numPr>
                <w:ilvl w:val="12"/>
                <w:numId w:val="0"/>
              </w:numPr>
              <w:tabs>
                <w:tab w:val="left" w:pos="567"/>
              </w:tabs>
              <w:ind w:right="-2"/>
              <w:rPr>
                <w:rFonts w:ascii="Times New Roman" w:eastAsia="Times New Roman" w:hAnsi="Times New Roman"/>
                <w:bCs/>
                <w:sz w:val="22"/>
                <w:szCs w:val="22"/>
              </w:rPr>
            </w:pPr>
            <w:r w:rsidRPr="0022693C">
              <w:rPr>
                <w:rFonts w:ascii="Times New Roman" w:eastAsia="Times New Roman" w:hAnsi="Times New Roman"/>
                <w:bCs/>
                <w:sz w:val="22"/>
                <w:szCs w:val="22"/>
              </w:rPr>
              <w:t>Ceftriaxone MIP 2 g milteliai infuziniam tirpalui</w:t>
            </w:r>
          </w:p>
        </w:tc>
      </w:tr>
      <w:tr w:rsidR="004978BF" w:rsidRPr="00CD5F8C" w:rsidTr="002E75A8">
        <w:tc>
          <w:tcPr>
            <w:tcW w:w="195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
                <w:bCs/>
                <w:sz w:val="22"/>
                <w:szCs w:val="22"/>
              </w:rPr>
              <w:t>Latvija:</w:t>
            </w:r>
          </w:p>
        </w:tc>
        <w:tc>
          <w:tcPr>
            <w:tcW w:w="726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Cs/>
                <w:sz w:val="22"/>
                <w:szCs w:val="22"/>
              </w:rPr>
              <w:t>Ceftriaxon MIP 1 g pulveris injekciju un infūziju šķīduma pagatavošanai</w:t>
            </w:r>
          </w:p>
        </w:tc>
      </w:tr>
      <w:tr w:rsidR="004978BF" w:rsidRPr="00CD5F8C" w:rsidTr="002E75A8">
        <w:tc>
          <w:tcPr>
            <w:tcW w:w="1951" w:type="dxa"/>
          </w:tcPr>
          <w:p w:rsidR="004978BF" w:rsidRPr="0022693C" w:rsidRDefault="004978BF" w:rsidP="002E75A8">
            <w:pPr>
              <w:rPr>
                <w:rFonts w:ascii="Times New Roman" w:hAnsi="Times New Roman"/>
                <w:sz w:val="22"/>
                <w:szCs w:val="22"/>
              </w:rPr>
            </w:pPr>
          </w:p>
        </w:tc>
        <w:tc>
          <w:tcPr>
            <w:tcW w:w="726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Cs/>
                <w:sz w:val="22"/>
                <w:szCs w:val="22"/>
              </w:rPr>
              <w:t>Ceftriaxon MIP 2 g pulveris infūziju šķīduma pagatavošanai</w:t>
            </w:r>
          </w:p>
        </w:tc>
      </w:tr>
      <w:tr w:rsidR="004978BF" w:rsidRPr="00CD5F8C" w:rsidTr="002E75A8">
        <w:tc>
          <w:tcPr>
            <w:tcW w:w="195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
                <w:bCs/>
                <w:sz w:val="22"/>
                <w:szCs w:val="22"/>
              </w:rPr>
              <w:t>Norvegija:</w:t>
            </w:r>
          </w:p>
        </w:tc>
        <w:tc>
          <w:tcPr>
            <w:tcW w:w="7261" w:type="dxa"/>
          </w:tcPr>
          <w:p w:rsidR="004978BF" w:rsidRPr="0022693C" w:rsidRDefault="004978BF" w:rsidP="002E75A8">
            <w:pPr>
              <w:numPr>
                <w:ilvl w:val="12"/>
                <w:numId w:val="0"/>
              </w:numPr>
              <w:tabs>
                <w:tab w:val="left" w:pos="567"/>
              </w:tabs>
              <w:ind w:right="-2"/>
              <w:rPr>
                <w:rFonts w:ascii="Times New Roman" w:eastAsia="Times New Roman" w:hAnsi="Times New Roman"/>
                <w:b/>
                <w:bCs/>
                <w:sz w:val="22"/>
                <w:szCs w:val="22"/>
              </w:rPr>
            </w:pPr>
            <w:r w:rsidRPr="0022693C">
              <w:rPr>
                <w:rFonts w:ascii="Times New Roman" w:eastAsia="Times New Roman" w:hAnsi="Times New Roman"/>
                <w:bCs/>
                <w:sz w:val="22"/>
                <w:szCs w:val="22"/>
              </w:rPr>
              <w:t>Ceftriaxon MIP 1 g pulver til injeksjons-/infusjonsvæske</w:t>
            </w:r>
          </w:p>
        </w:tc>
      </w:tr>
      <w:tr w:rsidR="004978BF" w:rsidRPr="00CD5F8C" w:rsidTr="002E75A8">
        <w:tc>
          <w:tcPr>
            <w:tcW w:w="1951" w:type="dxa"/>
          </w:tcPr>
          <w:p w:rsidR="004978BF" w:rsidRPr="0022693C" w:rsidRDefault="004978BF" w:rsidP="002E75A8">
            <w:pPr>
              <w:rPr>
                <w:rFonts w:ascii="Times New Roman" w:hAnsi="Times New Roman"/>
                <w:sz w:val="22"/>
                <w:szCs w:val="22"/>
              </w:rPr>
            </w:pPr>
          </w:p>
        </w:tc>
        <w:tc>
          <w:tcPr>
            <w:tcW w:w="7261" w:type="dxa"/>
          </w:tcPr>
          <w:p w:rsidR="004978BF" w:rsidRPr="0022693C" w:rsidRDefault="004978BF" w:rsidP="002E75A8">
            <w:pPr>
              <w:numPr>
                <w:ilvl w:val="12"/>
                <w:numId w:val="0"/>
              </w:numPr>
              <w:tabs>
                <w:tab w:val="left" w:pos="567"/>
              </w:tabs>
              <w:ind w:right="-2"/>
              <w:rPr>
                <w:rFonts w:ascii="Times New Roman" w:eastAsia="Times New Roman" w:hAnsi="Times New Roman"/>
                <w:bCs/>
                <w:sz w:val="22"/>
                <w:szCs w:val="22"/>
              </w:rPr>
            </w:pPr>
            <w:r w:rsidRPr="0022693C">
              <w:rPr>
                <w:rFonts w:ascii="Times New Roman" w:eastAsia="Times New Roman" w:hAnsi="Times New Roman"/>
                <w:bCs/>
                <w:sz w:val="22"/>
                <w:szCs w:val="22"/>
              </w:rPr>
              <w:t>Ceftriaxon MIP 2 g pulver til infusjonsvæske</w:t>
            </w:r>
          </w:p>
        </w:tc>
      </w:tr>
      <w:tr w:rsidR="004978BF" w:rsidRPr="0022693C" w:rsidTr="002E75A8">
        <w:tc>
          <w:tcPr>
            <w:tcW w:w="195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
                <w:bCs/>
                <w:sz w:val="22"/>
                <w:szCs w:val="22"/>
              </w:rPr>
              <w:t>Švedija:</w:t>
            </w:r>
          </w:p>
        </w:tc>
        <w:tc>
          <w:tcPr>
            <w:tcW w:w="726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Cs/>
                <w:sz w:val="22"/>
                <w:szCs w:val="22"/>
              </w:rPr>
              <w:t>Ceftriaxon MIP 1 g pulver till injektions- / infusionsvätska</w:t>
            </w:r>
          </w:p>
        </w:tc>
      </w:tr>
      <w:tr w:rsidR="004978BF" w:rsidRPr="0022693C" w:rsidTr="002E75A8">
        <w:tc>
          <w:tcPr>
            <w:tcW w:w="1951" w:type="dxa"/>
          </w:tcPr>
          <w:p w:rsidR="004978BF" w:rsidRPr="0022693C" w:rsidRDefault="004978BF" w:rsidP="002E75A8">
            <w:pPr>
              <w:rPr>
                <w:rFonts w:ascii="Times New Roman" w:hAnsi="Times New Roman"/>
                <w:sz w:val="22"/>
                <w:szCs w:val="22"/>
              </w:rPr>
            </w:pPr>
          </w:p>
        </w:tc>
        <w:tc>
          <w:tcPr>
            <w:tcW w:w="726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Cs/>
                <w:sz w:val="22"/>
                <w:szCs w:val="22"/>
              </w:rPr>
              <w:t>Ceftriaxon MIP 2 g pulver till infusionsvätska</w:t>
            </w:r>
          </w:p>
        </w:tc>
      </w:tr>
      <w:tr w:rsidR="004978BF" w:rsidRPr="00CD5F8C" w:rsidTr="002E75A8">
        <w:tc>
          <w:tcPr>
            <w:tcW w:w="195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
                <w:sz w:val="22"/>
                <w:szCs w:val="22"/>
              </w:rPr>
              <w:t>Vengrija:</w:t>
            </w:r>
          </w:p>
        </w:tc>
        <w:tc>
          <w:tcPr>
            <w:tcW w:w="7261" w:type="dxa"/>
          </w:tcPr>
          <w:p w:rsidR="004978BF" w:rsidRPr="0022693C" w:rsidRDefault="004978BF" w:rsidP="002E75A8">
            <w:pPr>
              <w:numPr>
                <w:ilvl w:val="12"/>
                <w:numId w:val="0"/>
              </w:numPr>
              <w:tabs>
                <w:tab w:val="left" w:pos="567"/>
              </w:tabs>
              <w:ind w:right="-2"/>
              <w:rPr>
                <w:rFonts w:ascii="Times New Roman" w:eastAsia="Times New Roman" w:hAnsi="Times New Roman"/>
                <w:b/>
                <w:sz w:val="22"/>
                <w:szCs w:val="22"/>
              </w:rPr>
            </w:pPr>
            <w:r w:rsidRPr="0022693C">
              <w:rPr>
                <w:rFonts w:ascii="Times New Roman" w:eastAsia="Times New Roman" w:hAnsi="Times New Roman"/>
                <w:sz w:val="22"/>
                <w:szCs w:val="22"/>
              </w:rPr>
              <w:t>Ceftriaxon MIP 1 g por oldatos injekcióhoz vagy infúzióhoz</w:t>
            </w:r>
          </w:p>
        </w:tc>
      </w:tr>
      <w:tr w:rsidR="004978BF" w:rsidRPr="00CD5F8C" w:rsidTr="002E75A8">
        <w:tc>
          <w:tcPr>
            <w:tcW w:w="1951" w:type="dxa"/>
          </w:tcPr>
          <w:p w:rsidR="004978BF" w:rsidRPr="0022693C" w:rsidRDefault="004978BF" w:rsidP="002E75A8">
            <w:pPr>
              <w:rPr>
                <w:rFonts w:ascii="Times New Roman" w:hAnsi="Times New Roman"/>
                <w:sz w:val="22"/>
                <w:szCs w:val="22"/>
              </w:rPr>
            </w:pPr>
          </w:p>
        </w:tc>
        <w:tc>
          <w:tcPr>
            <w:tcW w:w="726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sz w:val="22"/>
                <w:szCs w:val="22"/>
              </w:rPr>
              <w:t>Ceftriaxon MIP 2 g por oldatos infúzióhoz</w:t>
            </w:r>
          </w:p>
        </w:tc>
      </w:tr>
      <w:tr w:rsidR="004978BF" w:rsidRPr="00CD5F8C" w:rsidTr="002E75A8">
        <w:tc>
          <w:tcPr>
            <w:tcW w:w="195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b/>
                <w:snapToGrid w:val="0"/>
                <w:sz w:val="22"/>
                <w:szCs w:val="22"/>
              </w:rPr>
              <w:t>Didžioji Britanija (Šiaurės Airija):</w:t>
            </w:r>
          </w:p>
        </w:tc>
        <w:tc>
          <w:tcPr>
            <w:tcW w:w="7261" w:type="dxa"/>
          </w:tcPr>
          <w:p w:rsidR="004978BF" w:rsidRPr="0022693C" w:rsidRDefault="004978BF" w:rsidP="002E75A8">
            <w:pPr>
              <w:numPr>
                <w:ilvl w:val="12"/>
                <w:numId w:val="0"/>
              </w:numPr>
              <w:tabs>
                <w:tab w:val="left" w:pos="567"/>
              </w:tabs>
              <w:ind w:right="-2"/>
              <w:rPr>
                <w:rFonts w:ascii="Times New Roman" w:hAnsi="Times New Roman"/>
                <w:sz w:val="22"/>
                <w:szCs w:val="22"/>
              </w:rPr>
            </w:pPr>
            <w:r w:rsidRPr="0022693C">
              <w:rPr>
                <w:rFonts w:ascii="Times New Roman" w:eastAsia="Times New Roman" w:hAnsi="Times New Roman"/>
                <w:snapToGrid w:val="0"/>
                <w:sz w:val="22"/>
                <w:szCs w:val="22"/>
              </w:rPr>
              <w:t>Ceftriaxone 1 g powder for solution for injection / infusion</w:t>
            </w:r>
          </w:p>
        </w:tc>
      </w:tr>
      <w:tr w:rsidR="004978BF" w:rsidRPr="00CD5F8C" w:rsidTr="002E75A8">
        <w:tc>
          <w:tcPr>
            <w:tcW w:w="1951" w:type="dxa"/>
          </w:tcPr>
          <w:p w:rsidR="004978BF" w:rsidRPr="0022693C" w:rsidRDefault="004978BF" w:rsidP="002E75A8">
            <w:pPr>
              <w:rPr>
                <w:rFonts w:ascii="Times New Roman" w:hAnsi="Times New Roman"/>
                <w:sz w:val="22"/>
                <w:szCs w:val="22"/>
              </w:rPr>
            </w:pPr>
          </w:p>
        </w:tc>
        <w:tc>
          <w:tcPr>
            <w:tcW w:w="7261" w:type="dxa"/>
          </w:tcPr>
          <w:p w:rsidR="004978BF" w:rsidRPr="0022693C" w:rsidRDefault="004978BF" w:rsidP="002E75A8">
            <w:pPr>
              <w:rPr>
                <w:rFonts w:ascii="Times New Roman" w:hAnsi="Times New Roman"/>
                <w:sz w:val="22"/>
                <w:szCs w:val="22"/>
              </w:rPr>
            </w:pPr>
            <w:r w:rsidRPr="0022693C">
              <w:rPr>
                <w:rFonts w:ascii="Times New Roman" w:eastAsia="Times New Roman" w:hAnsi="Times New Roman"/>
                <w:snapToGrid w:val="0"/>
                <w:sz w:val="22"/>
                <w:szCs w:val="22"/>
              </w:rPr>
              <w:t>Ceftriaxone 2 g powder for solution for infusion</w:t>
            </w:r>
          </w:p>
        </w:tc>
      </w:tr>
    </w:tbl>
    <w:p w:rsidR="004978BF" w:rsidRPr="0022693C" w:rsidRDefault="004978BF" w:rsidP="004978BF">
      <w:pPr>
        <w:numPr>
          <w:ilvl w:val="12"/>
          <w:numId w:val="0"/>
        </w:numPr>
        <w:tabs>
          <w:tab w:val="left" w:pos="567"/>
        </w:tabs>
        <w:ind w:right="-2"/>
        <w:rPr>
          <w:rFonts w:ascii="Times New Roman" w:eastAsia="Times New Roman" w:hAnsi="Times New Roman"/>
          <w:snapToGrid w:val="0"/>
          <w:lang w:val="lt-LT"/>
        </w:rPr>
      </w:pPr>
    </w:p>
    <w:p w:rsidR="004978BF" w:rsidRPr="0022693C" w:rsidRDefault="004978BF" w:rsidP="004978BF">
      <w:pPr>
        <w:rPr>
          <w:rFonts w:ascii="Times New Roman" w:eastAsia="Times New Roman" w:hAnsi="Times New Roman"/>
          <w:b/>
          <w:bCs/>
          <w:lang w:val="lt-LT" w:eastAsia="lt-LT"/>
        </w:rPr>
      </w:pPr>
      <w:r w:rsidRPr="0022693C">
        <w:rPr>
          <w:rFonts w:ascii="Times New Roman" w:eastAsia="Times New Roman" w:hAnsi="Times New Roman"/>
          <w:b/>
          <w:bCs/>
          <w:lang w:val="lt-LT" w:eastAsia="lt-LT"/>
        </w:rPr>
        <w:t>Šis pakuotės lapelis paskutinį kartą peržiūrėtas 20</w:t>
      </w:r>
      <w:r>
        <w:rPr>
          <w:rFonts w:ascii="Times New Roman" w:eastAsia="Times New Roman" w:hAnsi="Times New Roman"/>
          <w:b/>
          <w:bCs/>
          <w:lang w:val="lt-LT" w:eastAsia="lt-LT"/>
        </w:rPr>
        <w:t>24-04-02</w:t>
      </w:r>
      <w:r w:rsidRPr="0022693C">
        <w:rPr>
          <w:rFonts w:ascii="Times New Roman" w:eastAsia="Times New Roman" w:hAnsi="Times New Roman"/>
          <w:b/>
          <w:bCs/>
          <w:lang w:val="lt-LT" w:eastAsia="lt-LT"/>
        </w:rPr>
        <w:t>.</w:t>
      </w:r>
    </w:p>
    <w:p w:rsidR="004978BF" w:rsidRPr="0022693C" w:rsidRDefault="004978BF" w:rsidP="004978BF">
      <w:pPr>
        <w:rPr>
          <w:rFonts w:ascii="Times New Roman" w:eastAsia="Times New Roman" w:hAnsi="Times New Roman"/>
          <w:lang w:val="lt-LT" w:eastAsia="lt-LT"/>
        </w:rPr>
      </w:pPr>
    </w:p>
    <w:p w:rsidR="004978BF" w:rsidRPr="0022693C" w:rsidRDefault="004978BF" w:rsidP="004978BF">
      <w:pPr>
        <w:rPr>
          <w:rFonts w:ascii="Times New Roman" w:eastAsia="Times New Roman" w:hAnsi="Times New Roman"/>
          <w:lang w:val="lt-LT"/>
        </w:rPr>
      </w:pPr>
    </w:p>
    <w:p w:rsidR="004978BF" w:rsidRPr="0022693C" w:rsidRDefault="004978BF" w:rsidP="004978BF">
      <w:pPr>
        <w:rPr>
          <w:rFonts w:ascii="Times New Roman" w:eastAsia="Times New Roman" w:hAnsi="Times New Roman"/>
          <w:color w:val="0000FF"/>
          <w:lang w:val="lt-LT"/>
        </w:rPr>
      </w:pPr>
      <w:r w:rsidRPr="0022693C">
        <w:rPr>
          <w:rFonts w:ascii="Times New Roman" w:eastAsia="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Pr="0022693C">
          <w:rPr>
            <w:rFonts w:ascii="Times New Roman" w:eastAsia="Times New Roman" w:hAnsi="Times New Roman"/>
            <w:color w:val="0000FF"/>
            <w:u w:val="single"/>
            <w:lang w:val="lt-LT"/>
          </w:rPr>
          <w:t>http://www.vvkt.lt/</w:t>
        </w:r>
      </w:hyperlink>
      <w:r w:rsidRPr="0022693C">
        <w:rPr>
          <w:rFonts w:ascii="Times New Roman" w:eastAsia="Times New Roman" w:hAnsi="Times New Roman"/>
          <w:color w:val="0000FF"/>
          <w:u w:val="single"/>
          <w:lang w:val="lt-LT"/>
        </w:rPr>
        <w:t xml:space="preserve"> </w:t>
      </w:r>
    </w:p>
    <w:p w:rsidR="004978BF" w:rsidRPr="0022693C" w:rsidRDefault="004978BF" w:rsidP="004978BF">
      <w:pPr>
        <w:ind w:left="567" w:hanging="567"/>
        <w:jc w:val="both"/>
        <w:rPr>
          <w:rFonts w:ascii="Times New Roman" w:eastAsia="Times New Roman" w:hAnsi="Times New Roman"/>
          <w:lang w:val="lt-LT" w:eastAsia="lt-LT"/>
        </w:rPr>
      </w:pPr>
      <w:r w:rsidRPr="0022693C">
        <w:rPr>
          <w:rFonts w:ascii="Times New Roman" w:eastAsia="Times New Roman" w:hAnsi="Times New Roman"/>
          <w:lang w:val="lt-LT" w:eastAsia="lt-LT"/>
        </w:rPr>
        <w:t>-------------------------------------------------------------------------------------------------------------------------</w:t>
      </w:r>
    </w:p>
    <w:p w:rsidR="004978BF" w:rsidRPr="0022693C" w:rsidRDefault="004978BF" w:rsidP="004978BF">
      <w:pPr>
        <w:numPr>
          <w:ilvl w:val="12"/>
          <w:numId w:val="0"/>
        </w:numPr>
        <w:rPr>
          <w:rFonts w:ascii="Times New Roman" w:eastAsia="Times New Roman" w:hAnsi="Times New Roman"/>
          <w:lang w:val="lt-LT" w:eastAsia="lt-LT"/>
        </w:rPr>
      </w:pPr>
    </w:p>
    <w:p w:rsidR="004978BF" w:rsidRPr="0022693C" w:rsidRDefault="004978BF" w:rsidP="004978BF">
      <w:pPr>
        <w:numPr>
          <w:ilvl w:val="12"/>
          <w:numId w:val="0"/>
        </w:numPr>
        <w:rPr>
          <w:rFonts w:ascii="Times New Roman" w:eastAsia="Times New Roman" w:hAnsi="Times New Roman"/>
          <w:noProof/>
          <w:lang w:val="lt-LT" w:eastAsia="lt-LT"/>
        </w:rPr>
      </w:pPr>
      <w:r w:rsidRPr="0022693C">
        <w:rPr>
          <w:rFonts w:ascii="Times New Roman" w:eastAsia="Times New Roman" w:hAnsi="Times New Roman"/>
          <w:lang w:val="lt-LT" w:eastAsia="lt-LT"/>
        </w:rPr>
        <w:t>Toliau pateikta informacija skirta tik sveikatos priežiūros specialistams:</w:t>
      </w:r>
    </w:p>
    <w:p w:rsidR="004978BF" w:rsidRPr="0022693C" w:rsidRDefault="004978BF" w:rsidP="004978BF">
      <w:pPr>
        <w:ind w:right="-2"/>
        <w:rPr>
          <w:rFonts w:ascii="Times New Roman" w:eastAsia="Times New Roman" w:hAnsi="Times New Roman"/>
          <w:b/>
          <w:bCs/>
          <w:noProof/>
          <w:lang w:val="lt-LT" w:eastAsia="lt-LT"/>
        </w:rPr>
      </w:pPr>
    </w:p>
    <w:p w:rsidR="004978BF" w:rsidRDefault="004978BF" w:rsidP="004978BF">
      <w:pPr>
        <w:rPr>
          <w:rFonts w:ascii="Times New Roman" w:eastAsia="Times New Roman" w:hAnsi="Times New Roman"/>
          <w:b/>
          <w:bCs/>
          <w:lang w:val="lt-LT" w:eastAsia="lt-LT"/>
        </w:rPr>
      </w:pPr>
      <w:r w:rsidRPr="0022693C">
        <w:rPr>
          <w:rFonts w:ascii="Times New Roman" w:eastAsia="Times New Roman" w:hAnsi="Times New Roman"/>
          <w:b/>
          <w:bCs/>
          <w:lang w:val="lt-LT" w:eastAsia="lt-LT"/>
        </w:rPr>
        <w:t>Vartojimo būdas ir gydymo trukmė</w:t>
      </w:r>
    </w:p>
    <w:p w:rsidR="004978BF" w:rsidRPr="0022693C" w:rsidRDefault="004978BF" w:rsidP="004978BF">
      <w:pPr>
        <w:rPr>
          <w:rFonts w:ascii="Times New Roman" w:eastAsia="Times New Roman" w:hAnsi="Times New Roman"/>
          <w:b/>
          <w:bCs/>
          <w:lang w:val="lt-LT" w:eastAsia="lt-LT"/>
        </w:rPr>
      </w:pPr>
    </w:p>
    <w:p w:rsidR="004978BF" w:rsidRPr="0022693C" w:rsidRDefault="004978BF" w:rsidP="004978BF">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Skirto vartoti į veną tirpalo negalima leisti sistemomis, kuriose yra ar buvo skysčių, turinčių kalcio. </w:t>
      </w:r>
    </w:p>
    <w:p w:rsidR="004978BF" w:rsidRPr="0022693C" w:rsidRDefault="004978BF" w:rsidP="004978BF">
      <w:pPr>
        <w:rPr>
          <w:rFonts w:ascii="Times New Roman" w:eastAsia="Times New Roman" w:hAnsi="Times New Roman"/>
          <w:lang w:val="lt-LT" w:eastAsia="lt-LT"/>
        </w:rPr>
      </w:pPr>
    </w:p>
    <w:p w:rsidR="004978BF" w:rsidRPr="0022693C" w:rsidRDefault="004978BF" w:rsidP="004978BF">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Svarbus nesuderinamumas</w:t>
      </w:r>
    </w:p>
    <w:p w:rsidR="004978BF" w:rsidRPr="0022693C" w:rsidRDefault="004978BF" w:rsidP="004978BF">
      <w:pPr>
        <w:rPr>
          <w:rFonts w:ascii="Times New Roman" w:eastAsia="Times New Roman" w:hAnsi="Times New Roman"/>
          <w:lang w:val="lt-LT" w:eastAsia="lt-LT"/>
        </w:rPr>
      </w:pPr>
      <w:r w:rsidRPr="0022693C">
        <w:rPr>
          <w:rFonts w:ascii="Times New Roman" w:eastAsia="Times New Roman" w:hAnsi="Times New Roman"/>
          <w:lang w:val="lt-LT" w:eastAsia="lt-LT"/>
        </w:rPr>
        <w:t>Ceftriaksono negalima maišyti su tirpalais, kuriuose yra kalcio. Tirpikliai, kuriuose yra kalcio (pvz., Ringerio tirpalas, Hartmano tirpalas), negali būti naudojami ceftriaksono flakonų turiniui tirpinti ar ištirpintam flakono turiniui toliau skiesti ketinant leisti į veną, nes gali susiformuoti nuosėdų. Ceftriaksono negalima maišyti ar skirti vienu metu su tirpalais, kuriuose yra kalcio. Remiantis literatūroje pateikiama informacija, ceftriaksonas nesuderinamas su amsakrinu, vankomicinu, flukonazolu, aminoglikozidais ir labetaloliu.</w:t>
      </w:r>
    </w:p>
    <w:p w:rsidR="004978BF" w:rsidRPr="0022693C" w:rsidRDefault="004978BF" w:rsidP="004978BF">
      <w:pPr>
        <w:rPr>
          <w:rFonts w:ascii="Times New Roman" w:eastAsia="Times New Roman" w:hAnsi="Times New Roman"/>
          <w:lang w:val="lt-LT" w:eastAsia="lt-LT"/>
        </w:rPr>
      </w:pPr>
    </w:p>
    <w:p w:rsidR="004978BF" w:rsidRPr="0022693C" w:rsidRDefault="004978BF" w:rsidP="004978BF">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Injekcija į raumenis</w:t>
      </w:r>
    </w:p>
    <w:p w:rsidR="004978BF" w:rsidRPr="0022693C" w:rsidRDefault="004978BF" w:rsidP="004978BF">
      <w:pPr>
        <w:rPr>
          <w:rFonts w:ascii="Times New Roman" w:eastAsia="Times New Roman" w:hAnsi="Times New Roman"/>
          <w:lang w:val="lt-LT" w:eastAsia="lt-LT"/>
        </w:rPr>
      </w:pPr>
      <w:r w:rsidRPr="0022693C">
        <w:rPr>
          <w:rFonts w:ascii="Times New Roman" w:eastAsia="Times New Roman" w:hAnsi="Times New Roman"/>
          <w:lang w:val="lt-LT" w:eastAsia="lt-LT"/>
        </w:rPr>
        <w:t>1 g Ceftriaxone MIP reikia ištirpinti 3,5 ml 1 % lidokaino hidrochlorido tirpale. Tirpalas turi būti suleidžiamas giliai į raumenis – į didįjį sėdmens raumenį. Tirpalo su lidokainu negalima leisti į veną.</w:t>
      </w:r>
    </w:p>
    <w:p w:rsidR="004978BF" w:rsidRPr="0022693C" w:rsidRDefault="004978BF" w:rsidP="004978BF">
      <w:pPr>
        <w:rPr>
          <w:rFonts w:ascii="Times New Roman" w:eastAsia="Times New Roman" w:hAnsi="Times New Roman"/>
          <w:lang w:val="lt-LT" w:eastAsia="lt-LT"/>
        </w:rPr>
      </w:pPr>
    </w:p>
    <w:p w:rsidR="004978BF" w:rsidRPr="0022693C" w:rsidRDefault="004978BF" w:rsidP="004978BF">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Kaip paruošti injekcinį tirpalą</w:t>
      </w:r>
    </w:p>
    <w:p w:rsidR="004978BF" w:rsidRPr="0022693C" w:rsidRDefault="004978BF" w:rsidP="004978BF">
      <w:pPr>
        <w:rPr>
          <w:rFonts w:ascii="Times New Roman" w:eastAsia="Times New Roman" w:hAnsi="Times New Roman"/>
          <w:lang w:val="lt-LT" w:eastAsia="lt-LT"/>
        </w:rPr>
      </w:pPr>
      <w:r w:rsidRPr="0022693C">
        <w:rPr>
          <w:rFonts w:ascii="Times New Roman" w:eastAsia="Times New Roman" w:hAnsi="Times New Roman"/>
          <w:lang w:val="lt-LT" w:eastAsia="lt-LT"/>
        </w:rPr>
        <w:t>1 g Ceftriaxone MIP ištirpinama 10 ml injekcinio vandens. Injekciją reikia atlikti per mažiausiai 2-4 minutes, leidžiant tiesiai į veną.</w:t>
      </w:r>
    </w:p>
    <w:p w:rsidR="004978BF" w:rsidRPr="0022693C" w:rsidRDefault="004978BF" w:rsidP="004978BF">
      <w:pPr>
        <w:rPr>
          <w:rFonts w:ascii="Times New Roman" w:eastAsia="Times New Roman" w:hAnsi="Times New Roman"/>
          <w:lang w:val="lt-LT" w:eastAsia="lt-LT"/>
        </w:rPr>
      </w:pPr>
    </w:p>
    <w:p w:rsidR="004978BF" w:rsidRPr="0022693C" w:rsidRDefault="004978BF" w:rsidP="004978BF">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Kaip paruošti infuzinį tirpalą</w:t>
      </w:r>
    </w:p>
    <w:p w:rsidR="004978BF" w:rsidRPr="0022693C" w:rsidRDefault="004978BF" w:rsidP="004978BF">
      <w:pPr>
        <w:rPr>
          <w:rFonts w:ascii="Times New Roman" w:eastAsia="Times New Roman" w:hAnsi="Times New Roman"/>
          <w:lang w:val="lt-LT" w:eastAsia="lt-LT"/>
        </w:rPr>
      </w:pPr>
      <w:r w:rsidRPr="0022693C">
        <w:rPr>
          <w:rFonts w:ascii="Times New Roman" w:eastAsia="Times New Roman" w:hAnsi="Times New Roman"/>
          <w:lang w:val="lt-LT" w:eastAsia="lt-LT"/>
        </w:rPr>
        <w:t>Vieno Ceftriaxone MIP 1 g/2 g flakono turinį ištirpinkite 40 ml toliau išvardytų suderinamų tirpalų. Infuzinį tirpalą reikia suleisti per mažiausiai 30 minučių.</w:t>
      </w:r>
    </w:p>
    <w:p w:rsidR="004978BF" w:rsidRPr="0022693C" w:rsidRDefault="004978BF" w:rsidP="004978BF">
      <w:pPr>
        <w:rPr>
          <w:rFonts w:ascii="Times New Roman" w:eastAsia="Times New Roman" w:hAnsi="Times New Roman"/>
          <w:lang w:val="lt-LT" w:eastAsia="lt-LT"/>
        </w:rPr>
      </w:pPr>
      <w:r w:rsidRPr="0022693C">
        <w:rPr>
          <w:rFonts w:ascii="Times New Roman" w:eastAsia="Times New Roman" w:hAnsi="Times New Roman"/>
          <w:lang w:val="lt-LT" w:eastAsia="lt-LT"/>
        </w:rPr>
        <w:t>Neišnešiotiems ir išnešiotiems naujagimiams bei kūdikiams reikiama dozė gali būti suleista kaip trumpalaikė infuzija. Šiam tikslui mažos dozės injekcinis tirpalas paruošiamas su 5 ml injekcinio vandens ir toliau skiedžiamas fiziologiniu natrio chlorido tirpalu (9 mg/ml).</w:t>
      </w:r>
    </w:p>
    <w:p w:rsidR="004978BF" w:rsidRPr="0022693C" w:rsidRDefault="004978BF" w:rsidP="004978BF">
      <w:pPr>
        <w:rPr>
          <w:rFonts w:ascii="Times New Roman" w:eastAsia="Times New Roman" w:hAnsi="Times New Roman"/>
          <w:lang w:val="lt-LT" w:eastAsia="lt-LT"/>
        </w:rPr>
      </w:pPr>
    </w:p>
    <w:p w:rsidR="004978BF" w:rsidRPr="0022693C" w:rsidRDefault="004978BF" w:rsidP="004978BF">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Suderinamumas su intraveniniais skysčiais</w:t>
      </w:r>
    </w:p>
    <w:p w:rsidR="004978BF" w:rsidRPr="0022693C" w:rsidRDefault="004978BF" w:rsidP="004978BF">
      <w:pPr>
        <w:rPr>
          <w:rFonts w:ascii="Times New Roman" w:eastAsia="Times New Roman" w:hAnsi="Times New Roman"/>
          <w:lang w:val="lt-LT" w:eastAsia="lt-LT"/>
        </w:rPr>
      </w:pPr>
      <w:r w:rsidRPr="0022693C">
        <w:rPr>
          <w:rFonts w:ascii="Times New Roman" w:eastAsia="Times New Roman" w:hAnsi="Times New Roman"/>
          <w:lang w:val="lt-LT" w:eastAsia="lt-LT"/>
        </w:rPr>
        <w:t>Tirpalui ruošti tinka šie tirpikliai: injekcinis vanduo, 5 % gliukozės tirpalas ir fiziologinis natrio chlorido tirpalas.</w:t>
      </w:r>
    </w:p>
    <w:p w:rsidR="004978BF" w:rsidRPr="0022693C" w:rsidRDefault="004978BF" w:rsidP="004978BF">
      <w:pPr>
        <w:rPr>
          <w:rFonts w:ascii="Times New Roman" w:eastAsia="Times New Roman" w:hAnsi="Times New Roman"/>
          <w:lang w:val="lt-LT" w:eastAsia="lt-LT"/>
        </w:rPr>
      </w:pPr>
    </w:p>
    <w:p w:rsidR="004978BF" w:rsidRPr="0022693C" w:rsidRDefault="004978BF" w:rsidP="004978BF">
      <w:pPr>
        <w:rPr>
          <w:rFonts w:ascii="Times New Roman" w:eastAsia="Times New Roman" w:hAnsi="Times New Roman"/>
          <w:lang w:val="lt-LT" w:eastAsia="lt-LT"/>
        </w:rPr>
      </w:pPr>
      <w:r w:rsidRPr="0022693C">
        <w:rPr>
          <w:rFonts w:ascii="Times New Roman" w:eastAsia="Times New Roman" w:hAnsi="Times New Roman"/>
          <w:lang w:val="lt-LT" w:eastAsia="lt-LT"/>
        </w:rPr>
        <w:t>Turi būti tirpinama ir skiedžiama aseptinėmis sąlygomis. Įpilkite rekomenduojamą kiekį tirpinamojo tirpalo ir švelniai kratykite flakono turinį, kol jis visiškai ištirps.</w:t>
      </w:r>
    </w:p>
    <w:p w:rsidR="004978BF" w:rsidRPr="0022693C" w:rsidRDefault="004978BF" w:rsidP="004978BF">
      <w:pPr>
        <w:rPr>
          <w:rFonts w:ascii="Times New Roman" w:eastAsia="Times New Roman" w:hAnsi="Times New Roman"/>
          <w:lang w:val="lt-LT" w:eastAsia="lt-LT"/>
        </w:rPr>
      </w:pPr>
      <w:r w:rsidRPr="0022693C">
        <w:rPr>
          <w:rFonts w:ascii="Times New Roman" w:eastAsia="Times New Roman" w:hAnsi="Times New Roman"/>
          <w:lang w:val="lt-LT" w:eastAsia="lt-LT"/>
        </w:rPr>
        <w:t>Ištirpę balti ar gelsvi kristaliniai milteliai tampa blyškiai geltonu ar beveik gintaro spalvos tirpalu.</w:t>
      </w:r>
    </w:p>
    <w:p w:rsidR="004978BF" w:rsidRPr="0022693C" w:rsidRDefault="004978BF" w:rsidP="004978BF">
      <w:pPr>
        <w:rPr>
          <w:rFonts w:ascii="Times New Roman" w:eastAsia="Times New Roman" w:hAnsi="Times New Roman"/>
          <w:lang w:val="lt-LT" w:eastAsia="lt-LT"/>
        </w:rPr>
      </w:pPr>
      <w:r w:rsidRPr="0022693C">
        <w:rPr>
          <w:rFonts w:ascii="Times New Roman" w:eastAsia="Times New Roman" w:hAnsi="Times New Roman"/>
          <w:lang w:val="lt-LT" w:eastAsia="lt-LT"/>
        </w:rPr>
        <w:t>Kaip ir visus parenterinius vaistinius preparatus, prieš vartodami atidžiai apžiūrėkite paruoštą tirpalą ar jame nėra neištirpusių dalelių ir ar nepakitusi spalva. Tirpalą galima vartoti tik tuo atveju, jeigu jis skaidrus ir beveik be dalelių.</w:t>
      </w:r>
    </w:p>
    <w:p w:rsidR="004978BF" w:rsidRPr="0022693C" w:rsidRDefault="004978BF" w:rsidP="004978BF">
      <w:pPr>
        <w:rPr>
          <w:rFonts w:ascii="Times New Roman" w:eastAsia="Times New Roman" w:hAnsi="Times New Roman"/>
          <w:lang w:val="lt-LT" w:eastAsia="lt-LT"/>
        </w:rPr>
      </w:pPr>
    </w:p>
    <w:p w:rsidR="004978BF" w:rsidRPr="0022693C" w:rsidRDefault="004978BF" w:rsidP="004978BF">
      <w:pPr>
        <w:rPr>
          <w:rFonts w:ascii="Times New Roman" w:eastAsia="Times New Roman" w:hAnsi="Times New Roman"/>
          <w:lang w:val="lt-LT" w:eastAsia="lt-LT"/>
        </w:rPr>
      </w:pPr>
      <w:r w:rsidRPr="0022693C">
        <w:rPr>
          <w:rFonts w:ascii="Times New Roman" w:eastAsia="Times New Roman" w:hAnsi="Times New Roman"/>
          <w:lang w:val="lt-LT" w:eastAsia="lt-LT"/>
        </w:rPr>
        <w:t>Tik vienkartiniam vartojimui. Tirpalo likutis turi būti išmetamas. Nesuvartotą vaistinį preparatą ar atliekas reikia tvarkyti laikantis vietinių reikalavimų.</w:t>
      </w:r>
    </w:p>
    <w:p w:rsidR="004978BF" w:rsidRPr="0022693C" w:rsidRDefault="004978BF" w:rsidP="004978BF">
      <w:pPr>
        <w:rPr>
          <w:rFonts w:ascii="Times New Roman" w:eastAsia="Times New Roman" w:hAnsi="Times New Roman"/>
          <w:lang w:val="lt-LT" w:eastAsia="lt-LT"/>
        </w:rPr>
      </w:pPr>
    </w:p>
    <w:p w:rsidR="004978BF" w:rsidRDefault="004978BF" w:rsidP="004978BF">
      <w:pPr>
        <w:numPr>
          <w:ilvl w:val="12"/>
          <w:numId w:val="0"/>
        </w:numPr>
        <w:ind w:right="-2"/>
        <w:rPr>
          <w:rFonts w:ascii="Times New Roman" w:eastAsia="Times New Roman" w:hAnsi="Times New Roman"/>
          <w:b/>
          <w:bCs/>
          <w:lang w:val="lt-LT" w:eastAsia="lt-LT"/>
        </w:rPr>
      </w:pPr>
      <w:r w:rsidRPr="0022693C">
        <w:rPr>
          <w:rFonts w:ascii="Times New Roman" w:eastAsia="Times New Roman" w:hAnsi="Times New Roman"/>
          <w:b/>
          <w:bCs/>
          <w:lang w:val="lt-LT" w:eastAsia="lt-LT"/>
        </w:rPr>
        <w:t>Paruošto tirpalo laikymas</w:t>
      </w:r>
    </w:p>
    <w:p w:rsidR="004978BF" w:rsidRPr="0022693C" w:rsidRDefault="004978BF" w:rsidP="004978BF">
      <w:pPr>
        <w:numPr>
          <w:ilvl w:val="12"/>
          <w:numId w:val="0"/>
        </w:numPr>
        <w:ind w:right="-2"/>
        <w:rPr>
          <w:rFonts w:ascii="Times New Roman" w:eastAsia="Times New Roman" w:hAnsi="Times New Roman"/>
          <w:b/>
          <w:bCs/>
          <w:noProof/>
          <w:lang w:val="lt-LT" w:eastAsia="lt-LT"/>
        </w:rPr>
      </w:pPr>
    </w:p>
    <w:p w:rsidR="004978BF" w:rsidRPr="0022693C" w:rsidRDefault="004978BF" w:rsidP="004978BF">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Paruošto tirpalo tinkamumo laikas</w:t>
      </w:r>
    </w:p>
    <w:p w:rsidR="004978BF" w:rsidRPr="0022693C" w:rsidRDefault="004978BF" w:rsidP="004978BF">
      <w:pPr>
        <w:rPr>
          <w:rFonts w:ascii="Times New Roman" w:eastAsia="Times New Roman" w:hAnsi="Times New Roman"/>
          <w:lang w:val="lt-LT" w:eastAsia="lt-LT"/>
        </w:rPr>
      </w:pPr>
      <w:r w:rsidRPr="0022693C">
        <w:rPr>
          <w:rFonts w:ascii="Times New Roman" w:eastAsia="Times New Roman" w:hAnsi="Times New Roman"/>
          <w:lang w:val="lt-LT" w:eastAsia="lt-LT"/>
        </w:rPr>
        <w:t>Cheminis ir fizinis paruošto vartoti tirpalo stabilumas išlieka 24 valandas 25 °C temperatūroje ir 48 valandas 2°C -8 °C temperatūroje. Mikrobiologiniu požiūriu, vaistinis preparatas turi būti vartojamas nedelsiant. Vaistinio preparato nesuvartojus nedelsiant, paruošto vartoti tirpalo laikymo trukmė ir sąlygos iki vartojimo yra vartotojo atsakomybė, tačiau ilgiau negu 24 valandas 2°C -8 °C temperatūroje laikyti negalima, nebent buvo ruošiama kontroliuojamomis ir patvirtintomis aseptinėmis sąlygomis.</w:t>
      </w:r>
    </w:p>
    <w:p w:rsidR="004978BF" w:rsidRPr="0022693C" w:rsidRDefault="004978BF" w:rsidP="004978BF">
      <w:pPr>
        <w:rPr>
          <w:lang w:val="lt-LT"/>
        </w:rPr>
      </w:pPr>
    </w:p>
    <w:p w:rsidR="00BA6577" w:rsidRDefault="00BA6577">
      <w:bookmarkStart w:id="0" w:name="_GoBack"/>
      <w:bookmarkEnd w:id="0"/>
    </w:p>
    <w:sectPr w:rsidR="00BA6577" w:rsidSect="0022693C">
      <w:footerReference w:type="even" r:id="rId9"/>
      <w:footerReference w:type="default" r:id="rId1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93C" w:rsidRDefault="004978BF" w:rsidP="004913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2693C" w:rsidRDefault="004978BF" w:rsidP="004913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93C" w:rsidRDefault="004978BF" w:rsidP="004913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2693C" w:rsidRDefault="004978BF" w:rsidP="00491361">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8AB419F"/>
    <w:multiLevelType w:val="hybridMultilevel"/>
    <w:tmpl w:val="8B723986"/>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 w15:restartNumberingAfterBreak="0">
    <w:nsid w:val="76235C14"/>
    <w:multiLevelType w:val="hybridMultilevel"/>
    <w:tmpl w:val="E26CF9DE"/>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BF"/>
    <w:rsid w:val="00072F85"/>
    <w:rsid w:val="00181364"/>
    <w:rsid w:val="002945D9"/>
    <w:rsid w:val="00305C48"/>
    <w:rsid w:val="003362C6"/>
    <w:rsid w:val="004978BF"/>
    <w:rsid w:val="00742EBF"/>
    <w:rsid w:val="00B4219F"/>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66995-C5D8-4BC5-B01E-3C636DC5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78BF"/>
    <w:pPr>
      <w:spacing w:after="0" w:line="240" w:lineRule="auto"/>
    </w:pPr>
    <w:rPr>
      <w:rFonts w:ascii="Arial" w:eastAsia="Calibri" w:hAnsi="Arial" w:cs="Times New Roman"/>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978BF"/>
    <w:rPr>
      <w:rFonts w:ascii="Arial" w:hAnsi="Arial" w:cs="Times New Roman"/>
      <w:color w:val="0000FF"/>
      <w:u w:val="single"/>
    </w:rPr>
  </w:style>
  <w:style w:type="table" w:styleId="Lentelstinklelis">
    <w:name w:val="Table Grid"/>
    <w:basedOn w:val="prastojilentel"/>
    <w:uiPriority w:val="99"/>
    <w:rsid w:val="004978B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4978BF"/>
    <w:pPr>
      <w:tabs>
        <w:tab w:val="center" w:pos="4819"/>
        <w:tab w:val="right" w:pos="9638"/>
      </w:tabs>
    </w:pPr>
    <w:rPr>
      <w:rFonts w:ascii="Times New Roman" w:eastAsia="Times New Roman" w:hAnsi="Times New Roman"/>
      <w:sz w:val="20"/>
      <w:szCs w:val="20"/>
      <w:lang w:val="nl-NL" w:eastAsia="x-none"/>
    </w:rPr>
  </w:style>
  <w:style w:type="character" w:customStyle="1" w:styleId="PoratDiagrama">
    <w:name w:val="Poraštė Diagrama"/>
    <w:basedOn w:val="Numatytasispastraiposriftas"/>
    <w:link w:val="Porat"/>
    <w:uiPriority w:val="99"/>
    <w:rsid w:val="004978BF"/>
    <w:rPr>
      <w:rFonts w:ascii="Times New Roman" w:eastAsia="Times New Roman" w:hAnsi="Times New Roman" w:cs="Times New Roman"/>
      <w:sz w:val="20"/>
      <w:szCs w:val="20"/>
      <w:lang w:val="nl-NL" w:eastAsia="x-none"/>
    </w:rPr>
  </w:style>
  <w:style w:type="character" w:styleId="Puslapionumeris">
    <w:name w:val="page number"/>
    <w:uiPriority w:val="99"/>
    <w:rsid w:val="004978BF"/>
    <w:rPr>
      <w:rFonts w:cs="Times New Roman"/>
    </w:rPr>
  </w:style>
  <w:style w:type="character" w:customStyle="1" w:styleId="shorttext">
    <w:name w:val="short_text"/>
    <w:rsid w:val="004978BF"/>
  </w:style>
  <w:style w:type="character" w:customStyle="1" w:styleId="hps">
    <w:name w:val="hps"/>
    <w:rsid w:val="0049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13047</Words>
  <Characters>7437</Characters>
  <Application>Microsoft Office Word</Application>
  <DocSecurity>0</DocSecurity>
  <Lines>61</Lines>
  <Paragraphs>40</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PAKUOTĖS LAPELIS: INFORMACIJA VARTOTOJUI</vt:lpstr>
      <vt:lpstr/>
      <vt:lpstr/>
      <vt:lpstr>Apie ką rašoma šiame lapelyje? </vt:lpstr>
      <vt:lpstr/>
    </vt:vector>
  </TitlesOfParts>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2024-05-31T10:54:00Z</dcterms:created>
  <dcterms:modified xsi:type="dcterms:W3CDTF">2024-05-31T10:54:00Z</dcterms:modified>
</cp:coreProperties>
</file>