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D6C" w:rsidRPr="002541C7" w:rsidRDefault="00F33D6C" w:rsidP="00C25BBD">
      <w:pPr>
        <w:ind w:right="333"/>
        <w:rPr>
          <w:sz w:val="22"/>
          <w:szCs w:val="22"/>
        </w:rPr>
      </w:pPr>
    </w:p>
    <w:p w:rsidR="00F33D6C" w:rsidRPr="002541C7" w:rsidRDefault="00F33D6C" w:rsidP="00C25BBD">
      <w:pPr>
        <w:ind w:right="333"/>
        <w:rPr>
          <w:sz w:val="22"/>
          <w:szCs w:val="22"/>
        </w:rPr>
      </w:pPr>
    </w:p>
    <w:p w:rsidR="00F33D6C" w:rsidRPr="002541C7" w:rsidRDefault="00F33D6C" w:rsidP="00C25BBD">
      <w:pPr>
        <w:ind w:right="333"/>
        <w:rPr>
          <w:sz w:val="22"/>
          <w:szCs w:val="22"/>
        </w:rPr>
      </w:pPr>
    </w:p>
    <w:p w:rsidR="00F33D6C" w:rsidRPr="002541C7" w:rsidRDefault="00F33D6C" w:rsidP="00C25BBD">
      <w:pPr>
        <w:ind w:right="333"/>
        <w:rPr>
          <w:sz w:val="22"/>
          <w:szCs w:val="22"/>
        </w:rPr>
      </w:pPr>
    </w:p>
    <w:p w:rsidR="00F33D6C" w:rsidRPr="002541C7" w:rsidRDefault="00F33D6C" w:rsidP="00C25BBD">
      <w:pPr>
        <w:ind w:right="333"/>
        <w:rPr>
          <w:sz w:val="22"/>
          <w:szCs w:val="22"/>
        </w:rPr>
      </w:pPr>
    </w:p>
    <w:p w:rsidR="00F33D6C" w:rsidRPr="002541C7" w:rsidRDefault="00F33D6C" w:rsidP="00C25BBD">
      <w:pPr>
        <w:ind w:right="333"/>
        <w:rPr>
          <w:sz w:val="22"/>
          <w:szCs w:val="22"/>
        </w:rPr>
      </w:pPr>
    </w:p>
    <w:p w:rsidR="00F33D6C" w:rsidRPr="002541C7" w:rsidRDefault="00F33D6C" w:rsidP="00C25BBD">
      <w:pPr>
        <w:ind w:right="333"/>
        <w:rPr>
          <w:sz w:val="22"/>
          <w:szCs w:val="22"/>
        </w:rPr>
      </w:pPr>
    </w:p>
    <w:p w:rsidR="00F33D6C" w:rsidRPr="002541C7" w:rsidRDefault="00F33D6C" w:rsidP="00C25BBD">
      <w:pPr>
        <w:ind w:right="333"/>
        <w:rPr>
          <w:sz w:val="22"/>
          <w:szCs w:val="22"/>
        </w:rPr>
      </w:pPr>
    </w:p>
    <w:p w:rsidR="00F33D6C" w:rsidRPr="002541C7" w:rsidRDefault="00F33D6C" w:rsidP="00C25BBD">
      <w:pPr>
        <w:ind w:right="333"/>
        <w:rPr>
          <w:sz w:val="22"/>
          <w:szCs w:val="22"/>
        </w:rPr>
      </w:pPr>
    </w:p>
    <w:p w:rsidR="00F33D6C" w:rsidRPr="002541C7" w:rsidRDefault="00F33D6C" w:rsidP="00C25BBD">
      <w:pPr>
        <w:ind w:right="333"/>
        <w:rPr>
          <w:sz w:val="22"/>
          <w:szCs w:val="22"/>
        </w:rPr>
      </w:pPr>
    </w:p>
    <w:p w:rsidR="00F33D6C" w:rsidRPr="002541C7" w:rsidRDefault="00F33D6C" w:rsidP="00C25BBD">
      <w:pPr>
        <w:ind w:right="333"/>
        <w:rPr>
          <w:sz w:val="22"/>
          <w:szCs w:val="22"/>
        </w:rPr>
      </w:pP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TTEMEASMCA"/>
        <w:ind w:right="333"/>
      </w:pPr>
      <w:bookmarkStart w:id="0" w:name="_Toc129243096"/>
      <w:bookmarkStart w:id="1" w:name="_Toc129243221"/>
      <w:r w:rsidRPr="002541C7">
        <w:t>I PRIEDAS</w:t>
      </w:r>
      <w:bookmarkEnd w:id="0"/>
      <w:bookmarkEnd w:id="1"/>
    </w:p>
    <w:p w:rsidR="00F33D6C" w:rsidRPr="002541C7" w:rsidRDefault="00F33D6C" w:rsidP="00C25BBD">
      <w:pPr>
        <w:pStyle w:val="BTEMEASMCA"/>
        <w:ind w:right="333"/>
      </w:pPr>
    </w:p>
    <w:p w:rsidR="00F33D6C" w:rsidRPr="002541C7" w:rsidRDefault="00F33D6C" w:rsidP="00C25BBD">
      <w:pPr>
        <w:pStyle w:val="TTEMEASMCA"/>
        <w:ind w:right="333"/>
      </w:pPr>
      <w:bookmarkStart w:id="2" w:name="_Toc129243097"/>
      <w:bookmarkStart w:id="3" w:name="_Toc129243222"/>
      <w:r w:rsidRPr="002541C7">
        <w:t>PREPARATO CHARAKTERISTIKŲ SANTRAUKA</w:t>
      </w:r>
      <w:bookmarkEnd w:id="2"/>
      <w:bookmarkEnd w:id="3"/>
    </w:p>
    <w:p w:rsidR="00F33D6C" w:rsidRPr="002541C7" w:rsidRDefault="00F33D6C" w:rsidP="00C25BBD">
      <w:pPr>
        <w:pStyle w:val="PI-1EMEASMCA"/>
        <w:ind w:right="333"/>
      </w:pPr>
    </w:p>
    <w:p w:rsidR="00F33D6C" w:rsidRPr="002541C7" w:rsidRDefault="00F33D6C" w:rsidP="00C25BBD">
      <w:pPr>
        <w:pStyle w:val="PI-1EMEASMCA"/>
        <w:ind w:right="333"/>
      </w:pPr>
      <w:r w:rsidRPr="002541C7">
        <w:br w:type="page"/>
      </w:r>
      <w:bookmarkStart w:id="4" w:name="_Toc129243098"/>
      <w:bookmarkStart w:id="5" w:name="_Toc129243223"/>
      <w:r w:rsidRPr="002541C7">
        <w:lastRenderedPageBreak/>
        <w:t>1.</w:t>
      </w:r>
      <w:r w:rsidRPr="002541C7">
        <w:tab/>
        <w:t>VAISTINIO PREPARATO PAVADINIMAS</w:t>
      </w:r>
      <w:bookmarkEnd w:id="4"/>
      <w:bookmarkEnd w:id="5"/>
    </w:p>
    <w:p w:rsidR="00F33D6C" w:rsidRPr="002541C7" w:rsidRDefault="00F33D6C" w:rsidP="00C25BBD">
      <w:pPr>
        <w:pStyle w:val="BTEMEASMCA"/>
        <w:ind w:right="333"/>
      </w:pPr>
    </w:p>
    <w:p w:rsidR="00F33D6C" w:rsidRPr="002541C7" w:rsidRDefault="00F33D6C" w:rsidP="00C25BBD">
      <w:pPr>
        <w:ind w:right="333"/>
        <w:rPr>
          <w:sz w:val="22"/>
          <w:szCs w:val="22"/>
        </w:rPr>
      </w:pPr>
      <w:r w:rsidRPr="002541C7">
        <w:rPr>
          <w:sz w:val="22"/>
          <w:szCs w:val="22"/>
        </w:rPr>
        <w:t>Ketanov 10 mg burnoje disperguojamosios tabletės</w:t>
      </w: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PI-1EMEASMCA"/>
        <w:ind w:right="333"/>
      </w:pPr>
      <w:bookmarkStart w:id="6" w:name="_Toc129243099"/>
      <w:bookmarkStart w:id="7" w:name="_Toc129243224"/>
      <w:r w:rsidRPr="002541C7">
        <w:t>2.</w:t>
      </w:r>
      <w:r w:rsidRPr="002541C7">
        <w:tab/>
        <w:t>KOKYBINĖ IR KIEKYBINĖ SUDĖTIS</w:t>
      </w:r>
      <w:bookmarkEnd w:id="6"/>
      <w:bookmarkEnd w:id="7"/>
    </w:p>
    <w:p w:rsidR="00F33D6C" w:rsidRPr="002541C7" w:rsidRDefault="00F33D6C" w:rsidP="00C25BBD">
      <w:pPr>
        <w:pStyle w:val="BTEMEASMCA"/>
        <w:ind w:right="333"/>
      </w:pPr>
    </w:p>
    <w:p w:rsidR="00F33D6C" w:rsidRPr="002541C7" w:rsidRDefault="00F33D6C" w:rsidP="00C25BBD">
      <w:pPr>
        <w:pStyle w:val="BTEMEASMCA"/>
        <w:ind w:right="333"/>
      </w:pPr>
      <w:r w:rsidRPr="002541C7">
        <w:t>Kiekvienoje burnoje disperguojamojoje tabletėje yra 10 mg ketorolako trometamolio.</w:t>
      </w:r>
    </w:p>
    <w:p w:rsidR="00F33D6C" w:rsidRPr="002541C7" w:rsidRDefault="00F33D6C" w:rsidP="007D4820">
      <w:pPr>
        <w:pStyle w:val="BTEMEASMCA"/>
        <w:ind w:right="333"/>
      </w:pPr>
    </w:p>
    <w:p w:rsidR="00F33D6C" w:rsidRPr="002541C7" w:rsidRDefault="00F33D6C" w:rsidP="007D4820">
      <w:pPr>
        <w:pStyle w:val="BTEMEASMCA"/>
        <w:ind w:right="333"/>
      </w:pPr>
      <w:r w:rsidRPr="002541C7">
        <w:rPr>
          <w:u w:val="single"/>
          <w:lang w:val="lt-LT"/>
        </w:rPr>
        <w:t>Pagalbinė medžiaga, kurios poveikis žinomas</w:t>
      </w:r>
      <w:r w:rsidRPr="002541C7">
        <w:rPr>
          <w:lang w:val="lt-LT"/>
        </w:rPr>
        <w:t xml:space="preserve">: </w:t>
      </w:r>
      <w:r w:rsidRPr="002541C7">
        <w:t>kiekvienoje burnoje disperguojamojoje tabletėje yra 3,6 mg aspartamo (E 951).</w:t>
      </w:r>
    </w:p>
    <w:p w:rsidR="00F33D6C" w:rsidRPr="002541C7" w:rsidRDefault="00F33D6C" w:rsidP="00C25BBD">
      <w:pPr>
        <w:pStyle w:val="BTEMEASMCA"/>
        <w:ind w:right="333"/>
      </w:pPr>
      <w:r w:rsidRPr="002541C7">
        <w:t>Visos pagalbinės medžiagos išvardytos 6.1 skyriuje.</w:t>
      </w: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PI-1EMEASMCA"/>
        <w:ind w:right="333"/>
      </w:pPr>
      <w:bookmarkStart w:id="8" w:name="_Toc129243100"/>
      <w:bookmarkStart w:id="9" w:name="_Toc129243225"/>
      <w:r w:rsidRPr="002541C7">
        <w:t>3.</w:t>
      </w:r>
      <w:r w:rsidRPr="002541C7">
        <w:tab/>
        <w:t>FARMACINĖ FORMA</w:t>
      </w:r>
      <w:bookmarkEnd w:id="8"/>
      <w:bookmarkEnd w:id="9"/>
    </w:p>
    <w:p w:rsidR="00F33D6C" w:rsidRPr="002541C7" w:rsidRDefault="00F33D6C" w:rsidP="00C25BBD">
      <w:pPr>
        <w:pStyle w:val="BTEMEASMCA"/>
        <w:ind w:right="333"/>
      </w:pPr>
    </w:p>
    <w:p w:rsidR="00F33D6C" w:rsidRPr="002541C7" w:rsidRDefault="00F33D6C" w:rsidP="00C25BBD">
      <w:pPr>
        <w:pStyle w:val="BTEMEASMCA"/>
        <w:ind w:right="333"/>
      </w:pPr>
      <w:r w:rsidRPr="002541C7">
        <w:t>Burnoje disperguojamoji tabletė.</w:t>
      </w:r>
    </w:p>
    <w:p w:rsidR="00F33D6C" w:rsidRPr="002541C7" w:rsidRDefault="00F33D6C" w:rsidP="00C25BBD">
      <w:pPr>
        <w:pStyle w:val="BTEMEASMCA"/>
        <w:ind w:right="333"/>
      </w:pPr>
    </w:p>
    <w:p w:rsidR="00F33D6C" w:rsidRPr="002541C7" w:rsidRDefault="00F33D6C" w:rsidP="00C25BBD">
      <w:pPr>
        <w:pStyle w:val="BTEMEASMCA"/>
        <w:ind w:right="333"/>
        <w:rPr>
          <w:lang w:val="lt-LT"/>
        </w:rPr>
      </w:pPr>
      <w:r w:rsidRPr="002541C7">
        <w:rPr>
          <w:lang w:val="lt-LT"/>
        </w:rPr>
        <w:t>Mėlynos spalvos, taškuota, apvali, plokščia, nuožulniais kraštais, plėvele nedengta tabletė, kurios vienoje pusėje įspaustas užrašas „K17“, o kita tabletės pusė lygi.</w:t>
      </w: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PI-1EMEASMCA"/>
        <w:ind w:right="333"/>
      </w:pPr>
      <w:bookmarkStart w:id="10" w:name="_Toc129243101"/>
      <w:bookmarkStart w:id="11" w:name="_Toc129243226"/>
      <w:r w:rsidRPr="002541C7">
        <w:t>4.</w:t>
      </w:r>
      <w:r w:rsidRPr="002541C7">
        <w:tab/>
        <w:t>KLINIKINĖ INFORMACIJA</w:t>
      </w:r>
      <w:bookmarkEnd w:id="10"/>
      <w:bookmarkEnd w:id="11"/>
    </w:p>
    <w:p w:rsidR="00F33D6C" w:rsidRPr="002541C7" w:rsidRDefault="00F33D6C" w:rsidP="00C25BBD">
      <w:pPr>
        <w:pStyle w:val="BTEMEASMCA"/>
        <w:ind w:right="333"/>
      </w:pPr>
    </w:p>
    <w:p w:rsidR="00F33D6C" w:rsidRPr="002541C7" w:rsidRDefault="00F33D6C" w:rsidP="00C25BBD">
      <w:pPr>
        <w:pStyle w:val="PI-2EMEASMCA"/>
        <w:ind w:right="333"/>
      </w:pPr>
      <w:bookmarkStart w:id="12" w:name="_Toc129243102"/>
      <w:bookmarkStart w:id="13" w:name="_Toc129243227"/>
      <w:r w:rsidRPr="002541C7">
        <w:t>4.1</w:t>
      </w:r>
      <w:r w:rsidRPr="002541C7">
        <w:tab/>
        <w:t>Terapinės indikacijos</w:t>
      </w:r>
      <w:bookmarkEnd w:id="12"/>
      <w:bookmarkEnd w:id="13"/>
    </w:p>
    <w:p w:rsidR="00F33D6C" w:rsidRPr="002541C7" w:rsidRDefault="00F33D6C" w:rsidP="00C25BBD">
      <w:pPr>
        <w:pStyle w:val="BTEMEASMCA"/>
        <w:ind w:right="333"/>
      </w:pPr>
    </w:p>
    <w:p w:rsidR="00F33D6C" w:rsidRPr="002541C7" w:rsidRDefault="00F33D6C" w:rsidP="00C25BBD">
      <w:pPr>
        <w:pStyle w:val="BTEMEASMCA"/>
        <w:ind w:right="333"/>
      </w:pPr>
      <w:r w:rsidRPr="002541C7">
        <w:t>Vidutinio stiprumo pooperacinio skausmo trumpalaikis malšinimas.</w:t>
      </w:r>
    </w:p>
    <w:p w:rsidR="00F33D6C" w:rsidRPr="002541C7" w:rsidRDefault="00F33D6C" w:rsidP="00C25BBD">
      <w:pPr>
        <w:pStyle w:val="BTEMEASMCA"/>
        <w:ind w:right="333"/>
      </w:pPr>
      <w:r w:rsidRPr="002541C7">
        <w:t xml:space="preserve">Gydymas Ketanov turi būti pradedamas ligoninėje. Maksimali gydymo trukmė yra 7 dienos. </w:t>
      </w:r>
    </w:p>
    <w:p w:rsidR="00F33D6C" w:rsidRPr="002541C7" w:rsidRDefault="00F33D6C" w:rsidP="00C25BBD">
      <w:pPr>
        <w:pStyle w:val="BTEMEASMCA"/>
        <w:ind w:right="333"/>
      </w:pPr>
    </w:p>
    <w:p w:rsidR="00F33D6C" w:rsidRPr="002541C7" w:rsidRDefault="00F33D6C" w:rsidP="00C25BBD">
      <w:pPr>
        <w:pStyle w:val="PI-2EMEASMCA"/>
        <w:ind w:right="333"/>
      </w:pPr>
      <w:bookmarkStart w:id="14" w:name="_Toc129243103"/>
      <w:bookmarkStart w:id="15" w:name="_Toc129243228"/>
      <w:r w:rsidRPr="002541C7">
        <w:t>4.2</w:t>
      </w:r>
      <w:r w:rsidRPr="002541C7">
        <w:tab/>
        <w:t>Dozavimas ir vartojimo metodas</w:t>
      </w:r>
      <w:bookmarkEnd w:id="14"/>
      <w:bookmarkEnd w:id="15"/>
    </w:p>
    <w:p w:rsidR="00F33D6C" w:rsidRPr="002541C7" w:rsidRDefault="00F33D6C" w:rsidP="00C25BBD">
      <w:pPr>
        <w:pStyle w:val="BTEMEASMCA"/>
        <w:ind w:right="333"/>
      </w:pPr>
    </w:p>
    <w:p w:rsidR="00F33D6C" w:rsidRPr="002541C7" w:rsidRDefault="00F33D6C" w:rsidP="00C25BBD">
      <w:pPr>
        <w:pStyle w:val="BTEMEASMCA"/>
        <w:ind w:right="333"/>
        <w:rPr>
          <w:u w:val="single"/>
          <w:lang w:val="lt-LT"/>
        </w:rPr>
      </w:pPr>
      <w:r w:rsidRPr="002541C7">
        <w:rPr>
          <w:u w:val="single"/>
          <w:lang w:val="lt-LT"/>
        </w:rPr>
        <w:t>Dozavimas</w:t>
      </w:r>
    </w:p>
    <w:p w:rsidR="00F33D6C" w:rsidRPr="002541C7" w:rsidRDefault="00F33D6C" w:rsidP="00C25BBD">
      <w:pPr>
        <w:pStyle w:val="BTEMEASMCA"/>
        <w:ind w:right="333"/>
      </w:pPr>
    </w:p>
    <w:p w:rsidR="00F33D6C" w:rsidRPr="002541C7" w:rsidRDefault="00F33D6C" w:rsidP="00C25BBD">
      <w:pPr>
        <w:pStyle w:val="BTEMEASMCA"/>
        <w:ind w:right="333"/>
      </w:pPr>
      <w:r w:rsidRPr="002541C7">
        <w:t>Suaugusiems žmonėms paprastai rekomenduojama gerti 10 mg Ketanov burnoje disperguojamųjų tablečių. Tabletę reikia padėti ant liežuvio ir leisti suirti prieš nuryjant. Esant reikalui, galima užgerti vandeniu. Jeigu reikia, tokia dozė vartojama kas 4 – 6 valandas. Didesnės kaip 40 mg paros dozės vartoti nepatariama.</w:t>
      </w:r>
    </w:p>
    <w:p w:rsidR="00F33D6C" w:rsidRPr="002541C7" w:rsidRDefault="00F33D6C" w:rsidP="00C25BBD">
      <w:pPr>
        <w:pStyle w:val="BTEMEASMCA"/>
        <w:ind w:right="333"/>
      </w:pPr>
    </w:p>
    <w:p w:rsidR="00F33D6C" w:rsidRPr="002541C7" w:rsidRDefault="00F33D6C" w:rsidP="00C25BBD">
      <w:pPr>
        <w:pStyle w:val="BTEMEASMCA"/>
        <w:ind w:right="333"/>
      </w:pPr>
      <w:r w:rsidRPr="002541C7">
        <w:t xml:space="preserve">Ankstyvu pooperaciniu laikotarpiu, jei skausmas būna labai stiprus, ketorolako galima vartoti kartu su opioidiniais analgetikais, (pvz., morfinu arba petidinu). Ketorolakas nesijungia prie opioidinių receptorių, todėl nesukelia opioidiniams analgetikams būdingo kvėpavimo slopinimo arba sedacijos. </w:t>
      </w:r>
    </w:p>
    <w:p w:rsidR="00F33D6C" w:rsidRPr="002541C7" w:rsidRDefault="00F33D6C" w:rsidP="00C25BBD">
      <w:pPr>
        <w:pStyle w:val="BTEMEASMCA"/>
        <w:ind w:right="333"/>
      </w:pPr>
    </w:p>
    <w:p w:rsidR="00F33D6C" w:rsidRPr="002541C7" w:rsidRDefault="00F33D6C" w:rsidP="00C25BBD">
      <w:pPr>
        <w:pStyle w:val="BTEMEASMCA"/>
        <w:ind w:right="333"/>
      </w:pPr>
      <w:r w:rsidRPr="002541C7">
        <w:lastRenderedPageBreak/>
        <w:t>Pacientams, vartojantiems ketorolako parenteriniu būdu ir kuriems po to paskiriama gerti šio vaistinio preparato tablečių, bendra paros ketorolako dozė turi būti ne didesnė kaip 90 mg. Jei pacientas sveria mažiau kaip 50 kg, yra senyvo amžiaus arba jo inkstų veikla susilpnėjusi, paros dozė turi būti ne didesnė kaip 60 mg. Tą parą, kada injekcinė ketorolako forma keičiama geriamąja, geriamojo ketorolako paros dozė turi būti ne didesnė kaip 40 mg.</w:t>
      </w:r>
    </w:p>
    <w:p w:rsidR="00F33D6C" w:rsidRPr="002541C7" w:rsidRDefault="00F33D6C" w:rsidP="00C25BBD">
      <w:pPr>
        <w:pStyle w:val="BTEMEASMCA"/>
        <w:ind w:right="333"/>
      </w:pPr>
    </w:p>
    <w:p w:rsidR="00F33D6C" w:rsidRPr="002541C7" w:rsidRDefault="00F33D6C" w:rsidP="00C25BBD">
      <w:pPr>
        <w:pStyle w:val="BTEMEASMCA"/>
        <w:ind w:right="333"/>
      </w:pPr>
      <w:r w:rsidRPr="002541C7">
        <w:t>Pradėti skirti geriamojo ketorolako pacientams reikia iš karto, kai tai yra įmanoma.</w:t>
      </w:r>
    </w:p>
    <w:p w:rsidR="00F33D6C" w:rsidRPr="002541C7" w:rsidRDefault="00F33D6C" w:rsidP="00C25BBD">
      <w:pPr>
        <w:pStyle w:val="BTEMEASMCA"/>
        <w:ind w:right="333"/>
      </w:pPr>
    </w:p>
    <w:p w:rsidR="00F33D6C" w:rsidRPr="002541C7" w:rsidRDefault="00F33D6C" w:rsidP="00C25BBD">
      <w:pPr>
        <w:pStyle w:val="BTEMEASMCA"/>
        <w:ind w:right="333"/>
        <w:rPr>
          <w:i/>
          <w:iCs/>
          <w:lang w:val="lt-LT"/>
        </w:rPr>
      </w:pPr>
      <w:r w:rsidRPr="002541C7">
        <w:rPr>
          <w:i/>
          <w:iCs/>
          <w:lang w:val="lt-LT"/>
        </w:rPr>
        <w:t>Vaikų populiacija</w:t>
      </w:r>
    </w:p>
    <w:p w:rsidR="00F33D6C" w:rsidRPr="002541C7" w:rsidRDefault="00F33D6C" w:rsidP="00C25BBD">
      <w:pPr>
        <w:pStyle w:val="BTEMEASMCA"/>
        <w:ind w:right="333"/>
      </w:pPr>
      <w:r w:rsidRPr="002541C7">
        <w:t xml:space="preserve">Vaisto vartojimo saugumas ir veiksmingumas vaikams neištirtas, todėl jaunesniems negu 16 metų pacientams Ketanov vartoti draudžiama. </w:t>
      </w:r>
    </w:p>
    <w:p w:rsidR="00F33D6C" w:rsidRPr="002541C7" w:rsidRDefault="00F33D6C" w:rsidP="00C25BBD">
      <w:pPr>
        <w:pStyle w:val="BTEMEASMCA"/>
        <w:ind w:right="333"/>
      </w:pPr>
    </w:p>
    <w:p w:rsidR="00F33D6C" w:rsidRPr="002541C7" w:rsidRDefault="00F33D6C" w:rsidP="00C25BBD">
      <w:pPr>
        <w:pStyle w:val="BTEMEASMCA"/>
        <w:ind w:right="333"/>
        <w:rPr>
          <w:u w:val="single"/>
        </w:rPr>
      </w:pPr>
      <w:r w:rsidRPr="002541C7">
        <w:rPr>
          <w:u w:val="single"/>
        </w:rPr>
        <w:t>Senyviems pacientams (vyresniems nei 65 metų)</w:t>
      </w:r>
    </w:p>
    <w:p w:rsidR="00F33D6C" w:rsidRPr="002541C7" w:rsidRDefault="00F33D6C" w:rsidP="00C25BBD">
      <w:pPr>
        <w:pStyle w:val="BTEMEASMCA"/>
        <w:ind w:right="333"/>
      </w:pPr>
      <w:r w:rsidRPr="002541C7">
        <w:t>Vyresniems negu 65 metų žmonėms yra didesnis nepageidaujamų reiškinių pasireiškimo bei jų pasekmių pavojus. Šiai populiacijai reikia vartoti mažiausią rekomenduojamą paros dozę, kiek įmanoma trumpesnį laiką (žr. 4.4 skyrių). Skiriant nesteroidinių vaistų nuo uždegimo reikia reguliariai tirti dėl galimo kraujavimo iš virškinimo trakto.</w:t>
      </w:r>
    </w:p>
    <w:p w:rsidR="00F33D6C" w:rsidRPr="002541C7" w:rsidRDefault="00F33D6C" w:rsidP="00C25BBD">
      <w:pPr>
        <w:pStyle w:val="BTEMEASMCA"/>
        <w:ind w:right="333"/>
      </w:pPr>
      <w:r w:rsidRPr="002541C7">
        <w:t>Senyviems pacientams rekomenduojama paskirtą dozę vartoti kas 6 – 8 valandas.</w:t>
      </w:r>
    </w:p>
    <w:p w:rsidR="00F33D6C" w:rsidRPr="002541C7" w:rsidRDefault="00F33D6C" w:rsidP="00C25BBD">
      <w:pPr>
        <w:pStyle w:val="BTEMEASMCA"/>
        <w:ind w:right="333"/>
      </w:pPr>
    </w:p>
    <w:p w:rsidR="00F33D6C" w:rsidRPr="002541C7" w:rsidRDefault="00F33D6C" w:rsidP="00C25BBD">
      <w:pPr>
        <w:pStyle w:val="BTEMEASMCA"/>
        <w:ind w:right="333"/>
        <w:rPr>
          <w:u w:val="single"/>
          <w:lang w:val="lt-LT"/>
        </w:rPr>
      </w:pPr>
      <w:r w:rsidRPr="002541C7">
        <w:rPr>
          <w:u w:val="single"/>
          <w:lang w:val="lt-LT"/>
        </w:rPr>
        <w:t>Pacientams, kurių inkstų funkcija sutrikusi</w:t>
      </w:r>
    </w:p>
    <w:p w:rsidR="00F33D6C" w:rsidRPr="002541C7" w:rsidRDefault="00F33D6C" w:rsidP="00C25BBD">
      <w:pPr>
        <w:pStyle w:val="BTEMEASMCA"/>
        <w:ind w:right="333"/>
      </w:pPr>
      <w:r w:rsidRPr="002541C7">
        <w:t>Jei pacientas serga vidutiniu arba sunkiu inkstų veiklos sutrikimu, ketorolako vartoti negalima. Pacientus, kurie serga lengvu inkstų veiklos sutrikimu, reikia mažinti vaisto dozę -  į veną arba raumenis per parą galima leisti ne didesnę kaip 60 mg paros dozę (žr. 4.3 skyrių).</w:t>
      </w:r>
    </w:p>
    <w:p w:rsidR="00F33D6C" w:rsidRPr="002541C7" w:rsidRDefault="00F33D6C" w:rsidP="00C25BBD">
      <w:pPr>
        <w:pStyle w:val="BTEMEASMCA"/>
        <w:ind w:right="333"/>
      </w:pPr>
    </w:p>
    <w:p w:rsidR="00F33D6C" w:rsidRPr="002541C7" w:rsidRDefault="00F33D6C" w:rsidP="00C25BBD">
      <w:pPr>
        <w:pStyle w:val="BTEMEASMCA"/>
        <w:ind w:right="333"/>
      </w:pPr>
      <w:r w:rsidRPr="002541C7">
        <w:t>Nepageidaujamas poveikis gali sumažėti, vartojant mažiausią veiksmingą vaisto dozę trumpiausią laiką, būtiną simptomų kontrolei (žr. 4.4 skyrių).</w:t>
      </w:r>
    </w:p>
    <w:p w:rsidR="00F33D6C" w:rsidRPr="002541C7" w:rsidRDefault="00F33D6C" w:rsidP="00C25BBD">
      <w:pPr>
        <w:pStyle w:val="BTEMEASMCA"/>
        <w:ind w:right="333"/>
      </w:pPr>
    </w:p>
    <w:p w:rsidR="00F33D6C" w:rsidRPr="002541C7" w:rsidRDefault="00F33D6C" w:rsidP="00C25BBD">
      <w:pPr>
        <w:pStyle w:val="BTEMEASMCA"/>
        <w:ind w:right="333"/>
        <w:rPr>
          <w:u w:val="single"/>
          <w:lang w:val="lt-LT"/>
        </w:rPr>
      </w:pPr>
      <w:r w:rsidRPr="002541C7">
        <w:rPr>
          <w:u w:val="single"/>
          <w:lang w:val="lt-LT"/>
        </w:rPr>
        <w:t>Vartojimo metodas</w:t>
      </w:r>
    </w:p>
    <w:p w:rsidR="00F33D6C" w:rsidRPr="002541C7" w:rsidRDefault="00F33D6C" w:rsidP="00C25BBD">
      <w:pPr>
        <w:pStyle w:val="BTEMEASMCA"/>
        <w:ind w:right="333"/>
        <w:rPr>
          <w:lang w:val="lt-LT"/>
        </w:rPr>
      </w:pPr>
      <w:r w:rsidRPr="002541C7">
        <w:rPr>
          <w:lang w:val="lt-LT"/>
        </w:rPr>
        <w:t>Vartoti per burną.</w:t>
      </w:r>
    </w:p>
    <w:p w:rsidR="00F33D6C" w:rsidRPr="002541C7" w:rsidRDefault="00F33D6C" w:rsidP="00C25BBD">
      <w:pPr>
        <w:pStyle w:val="BTEMEASMCA"/>
        <w:ind w:right="333"/>
        <w:rPr>
          <w:lang w:val="lt-LT"/>
        </w:rPr>
      </w:pPr>
    </w:p>
    <w:p w:rsidR="00F33D6C" w:rsidRPr="002541C7" w:rsidRDefault="00F33D6C" w:rsidP="00C25BBD">
      <w:pPr>
        <w:tabs>
          <w:tab w:val="left" w:pos="567"/>
        </w:tabs>
        <w:ind w:right="333"/>
        <w:rPr>
          <w:sz w:val="22"/>
          <w:szCs w:val="22"/>
        </w:rPr>
      </w:pPr>
      <w:r w:rsidRPr="002541C7">
        <w:rPr>
          <w:sz w:val="22"/>
          <w:szCs w:val="22"/>
        </w:rPr>
        <w:t xml:space="preserve"> Vaistinį preparatą Ketanov burnoje disperguojamosios tabletės rekomenduojama gerti valgant ar pavalgius.</w:t>
      </w:r>
    </w:p>
    <w:p w:rsidR="00F33D6C" w:rsidRPr="002541C7" w:rsidRDefault="00F33D6C" w:rsidP="00C25BBD">
      <w:pPr>
        <w:pStyle w:val="BTEMEASMCA"/>
        <w:ind w:right="333"/>
      </w:pPr>
    </w:p>
    <w:p w:rsidR="00F33D6C" w:rsidRPr="002541C7" w:rsidRDefault="00F33D6C" w:rsidP="00C25BBD">
      <w:pPr>
        <w:pStyle w:val="PI-2EMEASMCA"/>
        <w:ind w:right="333"/>
      </w:pPr>
      <w:bookmarkStart w:id="16" w:name="_Toc129243104"/>
      <w:bookmarkStart w:id="17" w:name="_Toc129243229"/>
      <w:r w:rsidRPr="002541C7">
        <w:t>4.3</w:t>
      </w:r>
      <w:r w:rsidRPr="002541C7">
        <w:tab/>
        <w:t>Kontraindikacijos</w:t>
      </w:r>
      <w:bookmarkEnd w:id="16"/>
      <w:bookmarkEnd w:id="17"/>
    </w:p>
    <w:p w:rsidR="00F33D6C" w:rsidRPr="002541C7" w:rsidRDefault="00F33D6C" w:rsidP="00C25BBD">
      <w:pPr>
        <w:ind w:right="333"/>
        <w:jc w:val="both"/>
        <w:rPr>
          <w:sz w:val="22"/>
          <w:szCs w:val="22"/>
        </w:rPr>
      </w:pPr>
    </w:p>
    <w:p w:rsidR="00F33D6C" w:rsidRPr="002541C7" w:rsidRDefault="00F33D6C" w:rsidP="00C25BBD">
      <w:pPr>
        <w:ind w:right="333"/>
        <w:rPr>
          <w:sz w:val="22"/>
          <w:szCs w:val="22"/>
        </w:rPr>
      </w:pPr>
      <w:r w:rsidRPr="002541C7">
        <w:rPr>
          <w:sz w:val="22"/>
          <w:szCs w:val="22"/>
        </w:rPr>
        <w:t>Ketorolako draudžiama vartoti pacientams, sergantiems skrandžio arba dvylikapirštės žarnos opa arba praeityje patyrusiems virškinimo trakto kraujavimą, išopėjimą arba prakiurimą.</w:t>
      </w:r>
    </w:p>
    <w:p w:rsidR="00F33D6C" w:rsidRPr="002541C7" w:rsidRDefault="00F33D6C" w:rsidP="00C25BBD">
      <w:pPr>
        <w:ind w:right="333"/>
        <w:rPr>
          <w:sz w:val="22"/>
          <w:szCs w:val="22"/>
        </w:rPr>
      </w:pPr>
    </w:p>
    <w:p w:rsidR="00F33D6C" w:rsidRPr="002541C7" w:rsidRDefault="00F33D6C" w:rsidP="00C25BBD">
      <w:pPr>
        <w:ind w:right="333"/>
        <w:rPr>
          <w:sz w:val="22"/>
          <w:szCs w:val="22"/>
        </w:rPr>
      </w:pPr>
      <w:r w:rsidRPr="002541C7">
        <w:rPr>
          <w:sz w:val="22"/>
          <w:szCs w:val="22"/>
        </w:rPr>
        <w:lastRenderedPageBreak/>
        <w:t>Kaip ir kitų nesteroidinių vaistų nuo uždegimo (NVNU), ketorolako draudžiama vartoti pacientams, sergantiems sunkiu širdies nepakankamumu.</w:t>
      </w:r>
    </w:p>
    <w:p w:rsidR="00F33D6C" w:rsidRPr="002541C7" w:rsidRDefault="00F33D6C" w:rsidP="00C25BBD">
      <w:pPr>
        <w:ind w:right="333"/>
        <w:rPr>
          <w:sz w:val="22"/>
          <w:szCs w:val="22"/>
        </w:rPr>
      </w:pPr>
    </w:p>
    <w:p w:rsidR="00F33D6C" w:rsidRPr="002541C7" w:rsidRDefault="00F33D6C" w:rsidP="00C25BBD">
      <w:pPr>
        <w:ind w:right="333"/>
        <w:rPr>
          <w:sz w:val="22"/>
          <w:szCs w:val="22"/>
        </w:rPr>
      </w:pPr>
      <w:r w:rsidRPr="002541C7">
        <w:rPr>
          <w:sz w:val="22"/>
          <w:szCs w:val="22"/>
        </w:rPr>
        <w:t>Ketorolako draudžiama  vartoti pacientams, sergantiems vidutinio sunkumo ar sunkiu inkstų nepakankamumu (kreatinino kiekis serume  &gt;442 μmol/l), taip pat pacientams, kuriems yra padidėjusi inkstų nepakankamumo rizika dėl hipovolemijos ar dehidratacijos.</w:t>
      </w:r>
    </w:p>
    <w:p w:rsidR="00F33D6C" w:rsidRPr="002541C7" w:rsidRDefault="00F33D6C" w:rsidP="00C25BBD">
      <w:pPr>
        <w:ind w:right="333"/>
        <w:rPr>
          <w:sz w:val="22"/>
          <w:szCs w:val="22"/>
        </w:rPr>
      </w:pPr>
    </w:p>
    <w:p w:rsidR="00F33D6C" w:rsidRPr="002541C7" w:rsidRDefault="00F33D6C" w:rsidP="00C25BBD">
      <w:pPr>
        <w:ind w:right="333"/>
        <w:rPr>
          <w:sz w:val="22"/>
          <w:szCs w:val="22"/>
        </w:rPr>
      </w:pPr>
      <w:r w:rsidRPr="002541C7">
        <w:rPr>
          <w:sz w:val="22"/>
          <w:szCs w:val="22"/>
        </w:rPr>
        <w:t>Ketorolako draudžiama  vartotitrečiojo nėštumo trimestro ir gimdymo metu, bei maitinant krūtimi (žiūrėti 4.6 skyrių).</w:t>
      </w:r>
    </w:p>
    <w:p w:rsidR="00F33D6C" w:rsidRPr="002541C7" w:rsidRDefault="00F33D6C" w:rsidP="00C25BBD">
      <w:pPr>
        <w:ind w:right="333"/>
        <w:rPr>
          <w:sz w:val="22"/>
          <w:szCs w:val="22"/>
        </w:rPr>
      </w:pPr>
    </w:p>
    <w:p w:rsidR="00F33D6C" w:rsidRPr="002541C7" w:rsidRDefault="00F33D6C" w:rsidP="00C25BBD">
      <w:pPr>
        <w:ind w:right="333"/>
        <w:rPr>
          <w:sz w:val="22"/>
          <w:szCs w:val="22"/>
        </w:rPr>
      </w:pPr>
      <w:r w:rsidRPr="002541C7">
        <w:rPr>
          <w:sz w:val="22"/>
          <w:szCs w:val="22"/>
        </w:rPr>
        <w:t>Ketorolako draudžiama  vartotipacientams, kuriems praeityje buvo pasireiškusios padidėjusio jautrumo reakcijos ketorolakui arba kitiems NVNU, taip pat pacientams, kuriems aspirinas arba kiti prostaglandinų sintezės inhibitoriai buvo sukėlę alerginių reakcijų (tokiems pacientams buvo pasireiškę sunkios anafilaksinio tipo reakcijos).</w:t>
      </w:r>
    </w:p>
    <w:p w:rsidR="00F33D6C" w:rsidRPr="002541C7" w:rsidRDefault="00F33D6C" w:rsidP="00C25BBD">
      <w:pPr>
        <w:ind w:right="333"/>
        <w:rPr>
          <w:sz w:val="22"/>
          <w:szCs w:val="22"/>
        </w:rPr>
      </w:pPr>
    </w:p>
    <w:p w:rsidR="00F33D6C" w:rsidRPr="002541C7" w:rsidRDefault="00F33D6C" w:rsidP="00C25BBD">
      <w:pPr>
        <w:ind w:right="333"/>
        <w:rPr>
          <w:sz w:val="22"/>
          <w:szCs w:val="22"/>
        </w:rPr>
      </w:pPr>
      <w:r w:rsidRPr="002541C7">
        <w:rPr>
          <w:sz w:val="22"/>
          <w:szCs w:val="22"/>
        </w:rPr>
        <w:t>Ketorolako draudžiama vartoti kaip profilaktinio analgetiko prieš operaciją, kadangi jis slopina trombocitų agregaciją. Taip pat ketorolako draudžiama vartoti operacijos metu dėl padidėjusios kraujavimo rizikos.</w:t>
      </w:r>
    </w:p>
    <w:p w:rsidR="00F33D6C" w:rsidRPr="002541C7" w:rsidRDefault="00F33D6C" w:rsidP="00C25BBD">
      <w:pPr>
        <w:ind w:right="333"/>
        <w:rPr>
          <w:sz w:val="22"/>
          <w:szCs w:val="22"/>
        </w:rPr>
      </w:pPr>
    </w:p>
    <w:p w:rsidR="00F33D6C" w:rsidRPr="002541C7" w:rsidRDefault="00F33D6C" w:rsidP="00C25BBD">
      <w:pPr>
        <w:ind w:right="333"/>
        <w:rPr>
          <w:sz w:val="22"/>
          <w:szCs w:val="22"/>
        </w:rPr>
      </w:pPr>
      <w:r w:rsidRPr="002541C7">
        <w:rPr>
          <w:sz w:val="22"/>
          <w:szCs w:val="22"/>
        </w:rPr>
        <w:t xml:space="preserve">Ketorolakas slopina trombocitų funkciją, todėl jo draudžiama skirti pacientams, kuriems yra įtariamas arba nustatytas kraujavimas į smegenis, pacientams, kuriems po operacijos yra didelis hemoragijos pavojus arba nepilna hemostazė, taip pat pacientams, kuriems yra didelė kraujavimo rizika. </w:t>
      </w:r>
    </w:p>
    <w:p w:rsidR="00F33D6C" w:rsidRPr="002541C7" w:rsidRDefault="00F33D6C" w:rsidP="00C25BBD">
      <w:pPr>
        <w:ind w:right="333"/>
        <w:rPr>
          <w:sz w:val="22"/>
          <w:szCs w:val="22"/>
        </w:rPr>
      </w:pPr>
    </w:p>
    <w:p w:rsidR="00F33D6C" w:rsidRPr="002541C7" w:rsidRDefault="00F33D6C" w:rsidP="00C25BBD">
      <w:pPr>
        <w:ind w:right="333"/>
        <w:rPr>
          <w:sz w:val="22"/>
          <w:szCs w:val="22"/>
        </w:rPr>
      </w:pPr>
      <w:r w:rsidRPr="002541C7">
        <w:rPr>
          <w:sz w:val="22"/>
          <w:szCs w:val="22"/>
        </w:rPr>
        <w:t>Ketorolako draudžiama vartoti pacientams, šiuo metu vartojantiems acetilsalicilo rūgšties ar kitokių NVNU.</w:t>
      </w:r>
    </w:p>
    <w:p w:rsidR="00F33D6C" w:rsidRPr="002541C7" w:rsidRDefault="00F33D6C" w:rsidP="00C25BBD">
      <w:pPr>
        <w:ind w:right="333"/>
        <w:rPr>
          <w:sz w:val="22"/>
          <w:szCs w:val="22"/>
        </w:rPr>
      </w:pPr>
    </w:p>
    <w:p w:rsidR="00F33D6C" w:rsidRPr="002541C7" w:rsidRDefault="00F33D6C" w:rsidP="00C25BBD">
      <w:pPr>
        <w:ind w:right="333"/>
        <w:rPr>
          <w:sz w:val="22"/>
          <w:szCs w:val="22"/>
        </w:rPr>
      </w:pPr>
      <w:r w:rsidRPr="002541C7">
        <w:rPr>
          <w:sz w:val="22"/>
          <w:szCs w:val="22"/>
        </w:rPr>
        <w:t>Ketorolako draudžiama vartoti kartu su pentoksifilinu.</w:t>
      </w: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PI-2EMEASMCA"/>
        <w:ind w:right="333"/>
      </w:pPr>
      <w:bookmarkStart w:id="18" w:name="_Toc129243105"/>
      <w:bookmarkStart w:id="19" w:name="_Toc129243230"/>
      <w:r w:rsidRPr="002541C7">
        <w:t>4.4</w:t>
      </w:r>
      <w:r w:rsidRPr="002541C7">
        <w:tab/>
        <w:t>Specialūs įspėjimai ir atsargumo priemonės</w:t>
      </w:r>
      <w:bookmarkEnd w:id="18"/>
      <w:bookmarkEnd w:id="19"/>
    </w:p>
    <w:p w:rsidR="00F33D6C" w:rsidRPr="002541C7" w:rsidRDefault="00F33D6C" w:rsidP="00C25BBD">
      <w:pPr>
        <w:pStyle w:val="BTEMEASMCA"/>
        <w:ind w:right="333"/>
      </w:pPr>
    </w:p>
    <w:p w:rsidR="00F33D6C" w:rsidRPr="002541C7" w:rsidRDefault="00F33D6C" w:rsidP="00C25BBD">
      <w:pPr>
        <w:autoSpaceDE w:val="0"/>
        <w:autoSpaceDN w:val="0"/>
        <w:adjustRightInd w:val="0"/>
        <w:ind w:right="333"/>
        <w:rPr>
          <w:sz w:val="22"/>
          <w:szCs w:val="22"/>
        </w:rPr>
      </w:pPr>
      <w:r w:rsidRPr="002541C7">
        <w:rPr>
          <w:sz w:val="22"/>
          <w:szCs w:val="22"/>
        </w:rPr>
        <w:t>Epidemiologinių tyrimų duomenys rodo, kad ketorolako vartojimas gali būti susijęs su didele sunkaus toksinio poveikio virškinimo traktui rizika, panašia į kai kurių kitų NVNU, ypač vaistinį preparatą vartojant  ne pagal patvirtintas indikacijas ir/arba ilgiau nei nurodyta (žr. 4.1, 4.2 ir 4.3 skyrius).</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ind w:right="333"/>
        <w:jc w:val="both"/>
        <w:rPr>
          <w:sz w:val="22"/>
          <w:szCs w:val="22"/>
        </w:rPr>
      </w:pPr>
      <w:r w:rsidRPr="002541C7">
        <w:rPr>
          <w:sz w:val="22"/>
          <w:szCs w:val="22"/>
        </w:rPr>
        <w:t>Nerekomenduojama Ketanov vartoti kartu su kitais NVNU, tarp jų ir selektyviais ciklooksigenazės-2 inhibitoriais.</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pStyle w:val="BTEMEASMCA"/>
        <w:ind w:right="333"/>
        <w:rPr>
          <w:noProof w:val="0"/>
        </w:rPr>
      </w:pPr>
      <w:r w:rsidRPr="002541C7">
        <w:lastRenderedPageBreak/>
        <w:t xml:space="preserve">Norint sumažinti nepageidaujamą poveikį reikia kaip galima trumpiau vartoti mažiausią veiksmingą dozę, </w:t>
      </w:r>
      <w:r w:rsidRPr="002541C7">
        <w:rPr>
          <w:lang w:val="lt-LT"/>
        </w:rPr>
        <w:t>būtiną simptomų kontrolei.</w:t>
      </w:r>
    </w:p>
    <w:p w:rsidR="00F33D6C" w:rsidRPr="002541C7" w:rsidRDefault="00F33D6C" w:rsidP="00C25BBD">
      <w:pPr>
        <w:autoSpaceDE w:val="0"/>
        <w:autoSpaceDN w:val="0"/>
        <w:adjustRightInd w:val="0"/>
        <w:ind w:right="333"/>
        <w:rPr>
          <w:sz w:val="22"/>
          <w:szCs w:val="22"/>
        </w:rPr>
      </w:pPr>
      <w:bookmarkStart w:id="20" w:name="_Toc129243107"/>
      <w:bookmarkStart w:id="21" w:name="_Toc129243232"/>
    </w:p>
    <w:p w:rsidR="00F33D6C" w:rsidRPr="002541C7" w:rsidRDefault="00F33D6C" w:rsidP="00C25BBD">
      <w:pPr>
        <w:autoSpaceDE w:val="0"/>
        <w:autoSpaceDN w:val="0"/>
        <w:adjustRightInd w:val="0"/>
        <w:ind w:right="333"/>
        <w:rPr>
          <w:i/>
          <w:iCs/>
          <w:sz w:val="22"/>
          <w:szCs w:val="22"/>
        </w:rPr>
      </w:pPr>
      <w:r w:rsidRPr="002541C7">
        <w:rPr>
          <w:i/>
          <w:iCs/>
          <w:sz w:val="22"/>
          <w:szCs w:val="22"/>
        </w:rPr>
        <w:t>Virškinimo trakto išopėjimas, kraujavimas ir perforacija</w:t>
      </w:r>
      <w:r w:rsidRPr="002541C7" w:rsidDel="00057DF3">
        <w:rPr>
          <w:i/>
          <w:iCs/>
          <w:sz w:val="22"/>
          <w:szCs w:val="22"/>
        </w:rPr>
        <w:t xml:space="preserve"> </w:t>
      </w:r>
    </w:p>
    <w:p w:rsidR="00F33D6C" w:rsidRPr="002541C7" w:rsidRDefault="00F33D6C" w:rsidP="00C25BBD">
      <w:pPr>
        <w:ind w:right="333"/>
        <w:rPr>
          <w:sz w:val="22"/>
          <w:szCs w:val="22"/>
        </w:rPr>
      </w:pPr>
      <w:r w:rsidRPr="002541C7">
        <w:rPr>
          <w:sz w:val="22"/>
          <w:szCs w:val="22"/>
        </w:rPr>
        <w:t>Kraujavimas iš virškinimo trakto, virškinimo trakto išopėjimas ir perforacija, kurie kartais gali būti mirtini, pasireiškė vartojant visus NVNU, įskaitant ir ketorolaką, bet kuriuo gydymo metu, su perspėjamaisiais simptomais ar be jų, nepriklausomai nuo to, anksčiau buvo sunkių virškinimo trakto reiškinių ar ne.</w:t>
      </w:r>
    </w:p>
    <w:p w:rsidR="00F33D6C" w:rsidRPr="002541C7" w:rsidRDefault="00F33D6C" w:rsidP="00C25BBD">
      <w:pPr>
        <w:autoSpaceDE w:val="0"/>
        <w:autoSpaceDN w:val="0"/>
        <w:adjustRightInd w:val="0"/>
        <w:ind w:right="333"/>
        <w:rPr>
          <w:i/>
          <w:iCs/>
          <w:sz w:val="22"/>
          <w:szCs w:val="22"/>
        </w:rPr>
      </w:pPr>
    </w:p>
    <w:p w:rsidR="00F33D6C" w:rsidRPr="002541C7" w:rsidRDefault="00F33D6C" w:rsidP="00C25BBD">
      <w:pPr>
        <w:autoSpaceDE w:val="0"/>
        <w:autoSpaceDN w:val="0"/>
        <w:adjustRightInd w:val="0"/>
        <w:ind w:right="333"/>
        <w:rPr>
          <w:sz w:val="22"/>
          <w:szCs w:val="22"/>
        </w:rPr>
      </w:pPr>
      <w:r w:rsidRPr="002541C7">
        <w:rPr>
          <w:sz w:val="22"/>
          <w:szCs w:val="22"/>
        </w:rPr>
        <w:t xml:space="preserve">Senyviems pacientams NVNU dažniau gali sukelti nepageidaujamą poveikį, ypač kraujavimą iš virškinimo trakto arba perforaciją, kurie gali būti mirtini. Išsekę pacientai blogiau ištveria išopėjimą ir kraujavimą negu kiti pacientai. Dauguma mirtinų virškinimo trakto nepageidaujamų reiškinių, susijusių su NVNU vartojimu, pasireiškė senyviems ir išsekusiems pacientams. </w:t>
      </w:r>
    </w:p>
    <w:p w:rsidR="00F33D6C" w:rsidRPr="002541C7" w:rsidRDefault="00F33D6C" w:rsidP="007B37F0">
      <w:pPr>
        <w:autoSpaceDE w:val="0"/>
        <w:autoSpaceDN w:val="0"/>
        <w:adjustRightInd w:val="0"/>
        <w:ind w:right="333"/>
        <w:rPr>
          <w:sz w:val="22"/>
          <w:szCs w:val="22"/>
        </w:rPr>
      </w:pPr>
    </w:p>
    <w:p w:rsidR="00F33D6C" w:rsidRPr="002541C7" w:rsidRDefault="00F33D6C" w:rsidP="007B37F0">
      <w:pPr>
        <w:autoSpaceDE w:val="0"/>
        <w:autoSpaceDN w:val="0"/>
        <w:adjustRightInd w:val="0"/>
        <w:ind w:right="333"/>
        <w:rPr>
          <w:sz w:val="22"/>
          <w:szCs w:val="22"/>
        </w:rPr>
      </w:pPr>
      <w:r w:rsidRPr="002541C7">
        <w:rPr>
          <w:sz w:val="22"/>
          <w:szCs w:val="22"/>
        </w:rPr>
        <w:t>Kraujavimo iš virškinimo trakto rizika yra didesnė vartojant dideles NVNU, įskaitant ir ketorolako dozes, pacientams, kuriems praeityje buvo opa, ypač tokia, kuri komplikavosi kraujavimu ar perforacija, ir senyviems pacientams. Sunkaus kraujavimo iš virškinimo trakto rizika priklauso nuo vaistinio preparato dozės. Tokius ligonius reikia pradėti gydyti mažiausia įmanoma vaistinio preparato doze. Be to, minėtiems, ar vartojantiems mažą acetilsalicilo rūgšties dozę ar kitokių vaistų, kurie didina virškinimo trakto pažeidimo galimybę, pacientams, būtina apsvarstyti apsauginio gydymo galimybę (kartu vartojant mizoprostolio ar protonų siurblio inhibitorių) (žr. 4.5 skyrių).</w:t>
      </w:r>
    </w:p>
    <w:p w:rsidR="00F33D6C" w:rsidRPr="002541C7" w:rsidRDefault="00F33D6C" w:rsidP="00C25BBD">
      <w:pPr>
        <w:autoSpaceDE w:val="0"/>
        <w:autoSpaceDN w:val="0"/>
        <w:adjustRightInd w:val="0"/>
        <w:ind w:right="333"/>
        <w:rPr>
          <w:sz w:val="22"/>
          <w:szCs w:val="22"/>
        </w:rPr>
      </w:pPr>
    </w:p>
    <w:p w:rsidR="00F33D6C" w:rsidRPr="002541C7" w:rsidRDefault="00F33D6C" w:rsidP="00840DB5">
      <w:pPr>
        <w:ind w:right="333"/>
        <w:rPr>
          <w:sz w:val="22"/>
          <w:szCs w:val="22"/>
        </w:rPr>
      </w:pPr>
      <w:r w:rsidRPr="002541C7">
        <w:rPr>
          <w:sz w:val="22"/>
          <w:szCs w:val="22"/>
        </w:rPr>
        <w:t>NVNU reikia atsargiai skirti  pacientams, kurie praeityje sirgo uždegimine virškinimo trakto liga (opiniu kolitu, Krono liga), nes ji gali paūmėti (žr. 4.8 skyrių). Pacientai, kuriems praeityje pasireiškė toksinis poveikis virškinimo traktui, ypač senyvi, turi, ypač gydymo pradžioje, pasakyti apie visus neįprastus pilvo simptomus (ypač kraujavimą iš virškinimo trakto). Jeigu Ketanov vartojančiam pacientui, pasireiškė virškinimo trakto išopėjimas arba kraujavimas, gydymą būtina nedelsiant nutraukti.</w:t>
      </w:r>
    </w:p>
    <w:p w:rsidR="00F33D6C" w:rsidRPr="002541C7" w:rsidRDefault="00F33D6C" w:rsidP="00C25BBD">
      <w:pPr>
        <w:autoSpaceDE w:val="0"/>
        <w:autoSpaceDN w:val="0"/>
        <w:adjustRightInd w:val="0"/>
        <w:ind w:right="333"/>
        <w:rPr>
          <w:sz w:val="22"/>
          <w:szCs w:val="22"/>
        </w:rPr>
      </w:pPr>
    </w:p>
    <w:p w:rsidR="00F33D6C" w:rsidRPr="002541C7" w:rsidRDefault="00F33D6C" w:rsidP="006C27D4">
      <w:pPr>
        <w:autoSpaceDE w:val="0"/>
        <w:autoSpaceDN w:val="0"/>
        <w:adjustRightInd w:val="0"/>
        <w:ind w:right="333"/>
        <w:rPr>
          <w:sz w:val="22"/>
          <w:szCs w:val="22"/>
        </w:rPr>
      </w:pPr>
      <w:r w:rsidRPr="002541C7">
        <w:rPr>
          <w:sz w:val="22"/>
          <w:szCs w:val="22"/>
        </w:rPr>
        <w:t>Reikia laikytis atsargumo, jeigu pacientai, kartu vartoja kitokių vaistų, kurie didina virškinimo trakto išopėjimo arba kraujavimo pavojų – per burną vartojamų kortikosteroidų ar antikoaguliantų, tokių kaip varfarinas, selektyviųjų serotonino reabsorbcijos inhibitorių arba trombocitų agregaciją mažinančių preparatų, pvz. aspirino).</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sz w:val="22"/>
          <w:szCs w:val="22"/>
        </w:rPr>
      </w:pPr>
      <w:r w:rsidRPr="002541C7">
        <w:rPr>
          <w:sz w:val="22"/>
          <w:szCs w:val="22"/>
        </w:rPr>
        <w:t xml:space="preserve">Kaip ir vartojant kitų NVNU, ketorolako dozės didinimas ir ilgėjanti vartojimo trukmė didina virškinimo trakto </w:t>
      </w:r>
      <w:r w:rsidRPr="002541C7">
        <w:rPr>
          <w:sz w:val="22"/>
          <w:szCs w:val="22"/>
        </w:rPr>
        <w:lastRenderedPageBreak/>
        <w:t>komplikacijų pasireiškimo laipsnį bei jų sunkumą. Sunkaus kraujavimo iš virškinimo trakto rizika priklauso nuo vaistinio preparato dozės. Tai ypač taikoma senyviems pacientams, kurių vartojama vidutinė paros dozė yra didesnė nei 60 mg. Praeityje pasireiškusi peptinė opa didina sunkios virškinimo trakto komplikacijos atsiradimo tikimybę ketorolako vartojimo metu.</w:t>
      </w:r>
    </w:p>
    <w:p w:rsidR="00F33D6C" w:rsidRPr="002541C7" w:rsidRDefault="00F33D6C" w:rsidP="00C25BBD">
      <w:pPr>
        <w:autoSpaceDE w:val="0"/>
        <w:autoSpaceDN w:val="0"/>
        <w:adjustRightInd w:val="0"/>
        <w:ind w:right="333"/>
        <w:rPr>
          <w:sz w:val="22"/>
          <w:szCs w:val="22"/>
        </w:rPr>
      </w:pPr>
    </w:p>
    <w:p w:rsidR="00F33D6C" w:rsidRPr="002541C7" w:rsidRDefault="00F33D6C" w:rsidP="001E44BD">
      <w:pPr>
        <w:autoSpaceDE w:val="0"/>
        <w:autoSpaceDN w:val="0"/>
        <w:adjustRightInd w:val="0"/>
        <w:ind w:right="333"/>
        <w:rPr>
          <w:i/>
          <w:iCs/>
          <w:sz w:val="22"/>
          <w:szCs w:val="22"/>
        </w:rPr>
      </w:pPr>
      <w:r w:rsidRPr="002541C7">
        <w:rPr>
          <w:i/>
          <w:iCs/>
          <w:sz w:val="22"/>
          <w:szCs w:val="22"/>
        </w:rPr>
        <w:t>Poveikis kraujodarai</w:t>
      </w:r>
    </w:p>
    <w:p w:rsidR="00F33D6C" w:rsidRPr="002541C7" w:rsidRDefault="00F33D6C" w:rsidP="001E44BD">
      <w:pPr>
        <w:autoSpaceDE w:val="0"/>
        <w:autoSpaceDN w:val="0"/>
        <w:adjustRightInd w:val="0"/>
        <w:ind w:right="333"/>
        <w:rPr>
          <w:sz w:val="22"/>
          <w:szCs w:val="22"/>
        </w:rPr>
      </w:pPr>
      <w:r w:rsidRPr="002541C7">
        <w:rPr>
          <w:sz w:val="22"/>
          <w:szCs w:val="22"/>
        </w:rPr>
        <w:t xml:space="preserve">Pacientams, kurių kraujo krešėjimas sutrikęs, ketorolako vartoti reikia labai atsargiai, tokius pacientus reikia atidžiai stebėti. </w:t>
      </w:r>
      <w:bookmarkStart w:id="22" w:name="OLE_LINK2"/>
      <w:bookmarkStart w:id="23" w:name="OLE_LINK1"/>
      <w:r w:rsidRPr="002541C7">
        <w:rPr>
          <w:sz w:val="22"/>
          <w:szCs w:val="22"/>
        </w:rPr>
        <w:t>Nors tyrimų duomenys neparodė reikšmingos sąveikos tarp ketorolako ir varfarino ar heparino, vartojant ketorolako kartu su vaistiniais preparatais, kurie veikia hemostazę (įskaitant varfariną ir mažas profilaktines heparino dozes (2500 – 5000 VV dozė, vartojama kas dvylika valandų) ir dekstranus), gali padidėti kraujavimo rizika</w:t>
      </w:r>
      <w:bookmarkEnd w:id="22"/>
      <w:bookmarkEnd w:id="23"/>
      <w:r w:rsidRPr="002541C7">
        <w:rPr>
          <w:sz w:val="22"/>
          <w:szCs w:val="22"/>
        </w:rPr>
        <w:t xml:space="preserve">.  Ligonius, kurie vartoja vaistinių preparatų, sukeliančių poveikį hemostazei, kartu su ketorolaku, būtina atidžiai stebėti. </w:t>
      </w:r>
    </w:p>
    <w:p w:rsidR="00F33D6C" w:rsidRPr="002541C7" w:rsidRDefault="00F33D6C" w:rsidP="001E44BD">
      <w:pPr>
        <w:autoSpaceDE w:val="0"/>
        <w:autoSpaceDN w:val="0"/>
        <w:adjustRightInd w:val="0"/>
        <w:ind w:right="333"/>
        <w:rPr>
          <w:sz w:val="22"/>
          <w:szCs w:val="22"/>
        </w:rPr>
      </w:pPr>
      <w:r w:rsidRPr="002541C7">
        <w:rPr>
          <w:sz w:val="22"/>
          <w:szCs w:val="22"/>
        </w:rPr>
        <w:t>Vaistiniam preparatui patekus į rinką, gauta pranešimų apie pooperacines hematomas ir kitus žaizdos kraujavimo simptomus, susijusius su injekcinio ketorolako vartojimu prieš operaciją, jos metu arba po jos. Būtinos atsargumo priemonės tais atvejais, kai geras kraujavimo stabdymas itin svarbus, pvz., po kosmetinių ar dienos stacionaro operacijų, prostatos rezekcijos ar tonzilektomijos.</w:t>
      </w:r>
    </w:p>
    <w:p w:rsidR="00F33D6C" w:rsidRPr="002541C7" w:rsidRDefault="00F33D6C" w:rsidP="007B4B18">
      <w:pPr>
        <w:autoSpaceDE w:val="0"/>
        <w:autoSpaceDN w:val="0"/>
        <w:adjustRightInd w:val="0"/>
        <w:ind w:right="333"/>
        <w:rPr>
          <w:sz w:val="22"/>
          <w:szCs w:val="22"/>
        </w:rPr>
      </w:pPr>
    </w:p>
    <w:p w:rsidR="00F33D6C" w:rsidRPr="002541C7" w:rsidRDefault="00F33D6C" w:rsidP="007B4B18">
      <w:pPr>
        <w:autoSpaceDE w:val="0"/>
        <w:autoSpaceDN w:val="0"/>
        <w:adjustRightInd w:val="0"/>
        <w:ind w:right="333"/>
        <w:rPr>
          <w:sz w:val="22"/>
          <w:szCs w:val="22"/>
        </w:rPr>
      </w:pPr>
      <w:r w:rsidRPr="002541C7">
        <w:rPr>
          <w:i/>
          <w:iCs/>
          <w:sz w:val="22"/>
          <w:szCs w:val="22"/>
        </w:rPr>
        <w:t>Odos reakcijos</w:t>
      </w:r>
      <w:r w:rsidRPr="002541C7">
        <w:rPr>
          <w:sz w:val="22"/>
          <w:szCs w:val="22"/>
        </w:rPr>
        <w:t xml:space="preserve"> </w:t>
      </w:r>
    </w:p>
    <w:p w:rsidR="00F33D6C" w:rsidRPr="002541C7" w:rsidRDefault="00F33D6C" w:rsidP="007B4B18">
      <w:pPr>
        <w:autoSpaceDE w:val="0"/>
        <w:autoSpaceDN w:val="0"/>
        <w:adjustRightInd w:val="0"/>
        <w:ind w:right="333"/>
        <w:rPr>
          <w:sz w:val="22"/>
          <w:szCs w:val="22"/>
        </w:rPr>
      </w:pPr>
      <w:r w:rsidRPr="002541C7">
        <w:rPr>
          <w:sz w:val="22"/>
          <w:szCs w:val="22"/>
        </w:rPr>
        <w:t>Labai retai gauta pranešimų, kad vartojant NVNU gali pasireikšti sunkios odos reakcijos, kai kurios iš jų gali būti mirtinos, tarp jų: eksfoliacinis dermatitas, Stivenso - Džonsono sindromas toksinė epidermio nekrolizė (žr. 4.8 skyrių). Didesnis šių odos reakcijų pasireiškimo pavojus būna gydymo pradžioje. Ketanov skyrimą būtina nedelsiant nutraukti, jeigu pasireiškė odos bėrimas, gleivinės pažeidimas arba kitokių padidėjusio jautrumo požymių.</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i/>
          <w:iCs/>
          <w:sz w:val="22"/>
          <w:szCs w:val="22"/>
        </w:rPr>
      </w:pPr>
      <w:r w:rsidRPr="002541C7">
        <w:rPr>
          <w:i/>
          <w:iCs/>
          <w:sz w:val="22"/>
          <w:szCs w:val="22"/>
        </w:rPr>
        <w:t xml:space="preserve">Natrio arba skysčių susilaikymas, </w:t>
      </w:r>
      <w:r w:rsidRPr="002541C7">
        <w:rPr>
          <w:i/>
          <w:sz w:val="22"/>
          <w:szCs w:val="22"/>
        </w:rPr>
        <w:t>sergant širdies ir kraujagyslių ligomis</w:t>
      </w:r>
      <w:r w:rsidRPr="002541C7">
        <w:rPr>
          <w:i/>
          <w:iCs/>
          <w:sz w:val="22"/>
          <w:szCs w:val="22"/>
        </w:rPr>
        <w:t>, bei periferinė edema</w:t>
      </w:r>
    </w:p>
    <w:p w:rsidR="00F33D6C" w:rsidRPr="002541C7" w:rsidRDefault="00F33D6C" w:rsidP="00C25BBD">
      <w:pPr>
        <w:autoSpaceDE w:val="0"/>
        <w:autoSpaceDN w:val="0"/>
        <w:adjustRightInd w:val="0"/>
        <w:ind w:right="333"/>
        <w:rPr>
          <w:sz w:val="22"/>
          <w:szCs w:val="22"/>
        </w:rPr>
      </w:pPr>
      <w:r w:rsidRPr="002541C7">
        <w:rPr>
          <w:sz w:val="22"/>
          <w:szCs w:val="22"/>
        </w:rPr>
        <w:t xml:space="preserve">Pacientams, sergantiems hipertenzija ir/ arba kenčiantiems nuo širdies nepakankamumo, ketarolaką reikia vartoti atsargiai, nes buvo gauta pranešimų apie skysčių susilaikymo ir edemos atvejus, susijusius su NVNU vartojimu. </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sz w:val="22"/>
          <w:szCs w:val="22"/>
        </w:rPr>
      </w:pPr>
      <w:r w:rsidRPr="002541C7">
        <w:rPr>
          <w:sz w:val="22"/>
          <w:szCs w:val="22"/>
        </w:rPr>
        <w:t>Kai kuriems pacientams vartojant NVNU, įskaitant ketorolaką, susilaikė skysčiai, pasireiškė hipertenzija ir periferinė edema, todėl kai yra širdies dekompensacija, hipertenzija arba panaši liga, šį vaistinį preparatą reikia vartoti atsargiai.</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i/>
          <w:iCs/>
          <w:sz w:val="22"/>
          <w:szCs w:val="22"/>
        </w:rPr>
      </w:pPr>
      <w:r w:rsidRPr="002541C7">
        <w:rPr>
          <w:i/>
          <w:iCs/>
          <w:sz w:val="22"/>
          <w:szCs w:val="22"/>
        </w:rPr>
        <w:t>Poveikis širdies kraujagyslėms bei galvos smegenų kraujagyslėms</w:t>
      </w:r>
    </w:p>
    <w:p w:rsidR="00F33D6C" w:rsidRPr="002541C7" w:rsidRDefault="00F33D6C" w:rsidP="00C25BBD">
      <w:pPr>
        <w:autoSpaceDE w:val="0"/>
        <w:autoSpaceDN w:val="0"/>
        <w:adjustRightInd w:val="0"/>
        <w:ind w:right="333"/>
        <w:rPr>
          <w:sz w:val="22"/>
          <w:szCs w:val="22"/>
        </w:rPr>
      </w:pPr>
      <w:r w:rsidRPr="002541C7">
        <w:rPr>
          <w:sz w:val="22"/>
          <w:szCs w:val="22"/>
        </w:rPr>
        <w:lastRenderedPageBreak/>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sz w:val="22"/>
          <w:szCs w:val="22"/>
        </w:rPr>
      </w:pPr>
      <w:r w:rsidRPr="002541C7">
        <w:rPr>
          <w:sz w:val="22"/>
          <w:szCs w:val="22"/>
        </w:rPr>
        <w:t>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ketorolako keliamą pavojų, nepakanka.</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sz w:val="22"/>
          <w:szCs w:val="22"/>
        </w:rPr>
      </w:pPr>
      <w:r w:rsidRPr="002541C7">
        <w:rPr>
          <w:sz w:val="22"/>
          <w:szCs w:val="22"/>
        </w:rPr>
        <w:t>Pacientus, kuriems yra negydytas padidėjęs kraujospūdis, stazinis širdies nepakankamumas, nustatyta išeminė širdies liga, periferinių arterijų liga ir (arba) galvos smegenų kraujagyslių liga, ketorolaku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rsidR="00F33D6C" w:rsidRPr="002541C7" w:rsidRDefault="00F33D6C" w:rsidP="00FD533A">
      <w:pPr>
        <w:autoSpaceDE w:val="0"/>
        <w:autoSpaceDN w:val="0"/>
        <w:adjustRightInd w:val="0"/>
        <w:ind w:right="333"/>
        <w:rPr>
          <w:b/>
          <w:sz w:val="22"/>
          <w:szCs w:val="22"/>
        </w:rPr>
      </w:pPr>
    </w:p>
    <w:p w:rsidR="00F33D6C" w:rsidRPr="002541C7" w:rsidRDefault="00F33D6C" w:rsidP="00FD533A">
      <w:pPr>
        <w:autoSpaceDE w:val="0"/>
        <w:autoSpaceDN w:val="0"/>
        <w:adjustRightInd w:val="0"/>
        <w:ind w:right="333"/>
        <w:rPr>
          <w:i/>
          <w:iCs/>
          <w:sz w:val="22"/>
          <w:szCs w:val="22"/>
        </w:rPr>
      </w:pPr>
      <w:r w:rsidRPr="002541C7">
        <w:rPr>
          <w:i/>
          <w:iCs/>
          <w:sz w:val="22"/>
          <w:szCs w:val="22"/>
        </w:rPr>
        <w:t>Poveikis inkstams</w:t>
      </w:r>
    </w:p>
    <w:p w:rsidR="00F33D6C" w:rsidRPr="002541C7" w:rsidRDefault="00F33D6C" w:rsidP="00FD533A">
      <w:pPr>
        <w:autoSpaceDE w:val="0"/>
        <w:autoSpaceDN w:val="0"/>
        <w:adjustRightInd w:val="0"/>
        <w:ind w:right="333"/>
        <w:rPr>
          <w:sz w:val="22"/>
          <w:szCs w:val="22"/>
        </w:rPr>
      </w:pPr>
      <w:r w:rsidRPr="002541C7">
        <w:rPr>
          <w:sz w:val="22"/>
          <w:szCs w:val="22"/>
        </w:rPr>
        <w:t>Ketorolako, kaip ir kitų NVNU, reikia atsargiai skirti pacientams, kurių inkstų funkcija yra sutrikusi arba kurie yra sirgę inkstų liga, nes ketorolakas yra stiprus prostaglandinų sintezės inhibitorius. Sergant ligomis, dėl kurių sumažėja kraujo tūris ir (arba) pablogėja inkstų kraujotaka, inkstų prostaglandinai palaiko inkstų perfuziją, todėl būtina imtis atsargumo priemonių, nes pastebėtas nefrotoksinis ketorolako ir kitų NVNU poveikis. Šiems pacientams ketorolakas ir kiti NVNU priklausomai nuo dozės gali mažinti inkstų prostaglandinų sintezę ir sukelti akivaizdžią inkstų funkcijos dekompensaciją ar nepakankamumą. Didžiausia tokios reakcijos rizika kyla esant hipovolemijai, sutrikusiai inkstų, širdies arba kepenų funkcijai, taip pat vartojantiems diuretikų ir senyviems pacientams. Nutraukus ketorolako ar kito NVNU vartojimą, inkstų funkcija dažniausiai pasidaro tokia kaip iki gydymo.</w:t>
      </w:r>
    </w:p>
    <w:p w:rsidR="00F33D6C" w:rsidRPr="002541C7" w:rsidRDefault="00F33D6C" w:rsidP="00FD533A">
      <w:pPr>
        <w:autoSpaceDE w:val="0"/>
        <w:autoSpaceDN w:val="0"/>
        <w:adjustRightInd w:val="0"/>
        <w:ind w:right="333"/>
        <w:rPr>
          <w:sz w:val="22"/>
          <w:szCs w:val="22"/>
        </w:rPr>
      </w:pPr>
    </w:p>
    <w:p w:rsidR="00F33D6C" w:rsidRPr="002541C7" w:rsidRDefault="00F33D6C" w:rsidP="000F5649">
      <w:pPr>
        <w:ind w:right="333"/>
        <w:rPr>
          <w:i/>
          <w:iCs/>
          <w:sz w:val="22"/>
          <w:szCs w:val="22"/>
        </w:rPr>
      </w:pPr>
      <w:r w:rsidRPr="002541C7">
        <w:rPr>
          <w:i/>
          <w:iCs/>
          <w:sz w:val="22"/>
          <w:szCs w:val="22"/>
        </w:rPr>
        <w:t>Anafilaksinės (anafilaktoidinės) reakcijos</w:t>
      </w:r>
    </w:p>
    <w:p w:rsidR="00F33D6C" w:rsidRPr="002541C7" w:rsidRDefault="00F33D6C" w:rsidP="000F5649">
      <w:pPr>
        <w:ind w:right="333"/>
        <w:rPr>
          <w:sz w:val="22"/>
          <w:szCs w:val="22"/>
        </w:rPr>
      </w:pPr>
      <w:r w:rsidRPr="002541C7">
        <w:rPr>
          <w:sz w:val="22"/>
          <w:szCs w:val="22"/>
        </w:rPr>
        <w:t xml:space="preserve">Anafilaksinės (anafilaktoidinės) reakcijos (įskaitant anafilaksiją, bronchų spazmą, veido ir kaklo paraudimą, išbėrimą, hipotenziją, gerklų edemą ir angioedemą, bet neapsiribojant jais) gali pasireikšti nepriklausomai nuo to, ar praeityje buvo padidėjusio jautrumo reakcijų aspirinui, kitiems nesteroidiniams vaistams nuo uždegimo ar ketorolakui. Tokios reakcijos gali pasireikšti ir pacientams, kuriems anksčiau yra buvusi angioedema, padidėjęs bronchų reaktyvumas (pvz., astma) ir nosies polipai. Anafilaktoidinės reakcijos, pavyzdžiui, anafilaksija, gali baigtis mirtimi. </w:t>
      </w:r>
      <w:r w:rsidRPr="002541C7">
        <w:rPr>
          <w:sz w:val="22"/>
          <w:szCs w:val="22"/>
        </w:rPr>
        <w:lastRenderedPageBreak/>
        <w:t xml:space="preserve">Todėl ketorolako reikia atsargiai vartoti pacientams, kuriems praeityje yra buvusi astma, taip pat pacientams su nosies polipais, angioedema, bronchų spazmais. </w:t>
      </w:r>
    </w:p>
    <w:p w:rsidR="00F33D6C" w:rsidRPr="002541C7" w:rsidRDefault="00F33D6C" w:rsidP="000F5649">
      <w:pPr>
        <w:autoSpaceDE w:val="0"/>
        <w:autoSpaceDN w:val="0"/>
        <w:adjustRightInd w:val="0"/>
        <w:ind w:right="333"/>
        <w:rPr>
          <w:i/>
          <w:sz w:val="22"/>
          <w:szCs w:val="22"/>
        </w:rPr>
      </w:pPr>
    </w:p>
    <w:p w:rsidR="00F33D6C" w:rsidRPr="002541C7" w:rsidRDefault="00F33D6C" w:rsidP="000F5649">
      <w:pPr>
        <w:autoSpaceDE w:val="0"/>
        <w:autoSpaceDN w:val="0"/>
        <w:adjustRightInd w:val="0"/>
        <w:ind w:right="333"/>
        <w:rPr>
          <w:i/>
          <w:iCs/>
          <w:sz w:val="22"/>
          <w:szCs w:val="22"/>
        </w:rPr>
      </w:pPr>
      <w:r w:rsidRPr="002541C7">
        <w:rPr>
          <w:i/>
          <w:iCs/>
          <w:sz w:val="22"/>
          <w:szCs w:val="22"/>
        </w:rPr>
        <w:t>Poveikis vaisingumui</w:t>
      </w:r>
    </w:p>
    <w:p w:rsidR="00F33D6C" w:rsidRPr="002541C7" w:rsidRDefault="00F33D6C" w:rsidP="000F5649">
      <w:pPr>
        <w:autoSpaceDE w:val="0"/>
        <w:autoSpaceDN w:val="0"/>
        <w:adjustRightInd w:val="0"/>
        <w:ind w:right="333"/>
        <w:rPr>
          <w:sz w:val="22"/>
          <w:szCs w:val="22"/>
        </w:rPr>
      </w:pPr>
      <w:r w:rsidRPr="002541C7">
        <w:rPr>
          <w:sz w:val="22"/>
          <w:szCs w:val="22"/>
        </w:rPr>
        <w:t xml:space="preserve">Ketorolakas, kaip ir bet kuris kitas vaistas, slopinantis ciklooksigenazę ir prostaglandinų sintezę, gali mažinti vaisingumą, todėl ketinančioms pastoti moterims jo vartoti nerekomenduojama. Pacientėms, kurios negali pastoti arba kurių vaisingumas tiriamas, ketorolako vartojimą reikia nutraukti. </w:t>
      </w:r>
    </w:p>
    <w:p w:rsidR="00F33D6C" w:rsidRPr="002541C7" w:rsidRDefault="00F33D6C" w:rsidP="00C25BBD">
      <w:pPr>
        <w:autoSpaceDE w:val="0"/>
        <w:autoSpaceDN w:val="0"/>
        <w:adjustRightInd w:val="0"/>
        <w:ind w:right="333"/>
        <w:rPr>
          <w:i/>
          <w:sz w:val="22"/>
          <w:szCs w:val="22"/>
        </w:rPr>
      </w:pPr>
    </w:p>
    <w:p w:rsidR="00F33D6C" w:rsidRPr="002541C7" w:rsidRDefault="00F33D6C" w:rsidP="00C25BBD">
      <w:pPr>
        <w:autoSpaceDE w:val="0"/>
        <w:autoSpaceDN w:val="0"/>
        <w:adjustRightInd w:val="0"/>
        <w:ind w:right="333"/>
        <w:rPr>
          <w:i/>
          <w:iCs/>
          <w:sz w:val="22"/>
          <w:szCs w:val="22"/>
        </w:rPr>
      </w:pPr>
      <w:r w:rsidRPr="002541C7">
        <w:rPr>
          <w:i/>
          <w:iCs/>
          <w:sz w:val="22"/>
          <w:szCs w:val="22"/>
        </w:rPr>
        <w:t>Skysčių susilaikymas ir edema</w:t>
      </w:r>
    </w:p>
    <w:p w:rsidR="00F33D6C" w:rsidRPr="002541C7" w:rsidRDefault="00F33D6C" w:rsidP="00C25BBD">
      <w:pPr>
        <w:autoSpaceDE w:val="0"/>
        <w:autoSpaceDN w:val="0"/>
        <w:adjustRightInd w:val="0"/>
        <w:ind w:right="333"/>
        <w:rPr>
          <w:sz w:val="22"/>
          <w:szCs w:val="22"/>
        </w:rPr>
      </w:pPr>
      <w:r w:rsidRPr="002541C7">
        <w:rPr>
          <w:sz w:val="22"/>
          <w:szCs w:val="22"/>
        </w:rPr>
        <w:t>Buvo pranešta apie skysčių susilaikymo, hipertenzijos ir edemos atvejus, susijusius su ketorolako vartojimu, todėl jis turi būti vartojamas atsargiai pacientams, sergantiems širdies nepakankamumu, hipertenzija ar panašiomis ligomis.</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sz w:val="22"/>
          <w:szCs w:val="22"/>
        </w:rPr>
      </w:pPr>
      <w:r w:rsidRPr="002541C7">
        <w:rPr>
          <w:sz w:val="22"/>
          <w:szCs w:val="22"/>
        </w:rPr>
        <w:t>Patariama imtis atsargumo priemonių kartu su ketorolaku skiriant probenecido, nes buvo gauta pranešimų apie ketorolako farmakokinetikos pasikeitimus, susijusius su šio derinio vartojimu.</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sz w:val="22"/>
          <w:szCs w:val="22"/>
        </w:rPr>
      </w:pPr>
      <w:r w:rsidRPr="002541C7">
        <w:rPr>
          <w:sz w:val="22"/>
          <w:szCs w:val="22"/>
        </w:rPr>
        <w:t>Patariama imtis atsargumo priemonių kartu vartojant metotreksato, nes kai kurie prostaglandinų sintezę slopinantys vaistai, gali mažinti metotreksato klirensą ir taip didinti jo toksiškumą.</w:t>
      </w:r>
    </w:p>
    <w:p w:rsidR="00F33D6C" w:rsidRPr="002541C7" w:rsidRDefault="00F33D6C" w:rsidP="00C25BBD">
      <w:pPr>
        <w:autoSpaceDE w:val="0"/>
        <w:autoSpaceDN w:val="0"/>
        <w:adjustRightInd w:val="0"/>
        <w:ind w:right="333"/>
        <w:rPr>
          <w:i/>
          <w:iCs/>
          <w:sz w:val="22"/>
          <w:szCs w:val="22"/>
        </w:rPr>
      </w:pPr>
    </w:p>
    <w:p w:rsidR="00F33D6C" w:rsidRPr="002541C7" w:rsidRDefault="00F33D6C" w:rsidP="00C25BBD">
      <w:pPr>
        <w:autoSpaceDE w:val="0"/>
        <w:autoSpaceDN w:val="0"/>
        <w:adjustRightInd w:val="0"/>
        <w:ind w:right="333"/>
        <w:rPr>
          <w:i/>
          <w:iCs/>
          <w:sz w:val="22"/>
          <w:szCs w:val="22"/>
        </w:rPr>
      </w:pPr>
      <w:r w:rsidRPr="002541C7">
        <w:rPr>
          <w:i/>
          <w:iCs/>
          <w:sz w:val="22"/>
          <w:szCs w:val="22"/>
        </w:rPr>
        <w:t>Vartojimas vaikams</w:t>
      </w:r>
    </w:p>
    <w:p w:rsidR="00F33D6C" w:rsidRPr="002541C7" w:rsidRDefault="00F33D6C" w:rsidP="00C25BBD">
      <w:pPr>
        <w:autoSpaceDE w:val="0"/>
        <w:autoSpaceDN w:val="0"/>
        <w:adjustRightInd w:val="0"/>
        <w:ind w:right="333"/>
        <w:rPr>
          <w:iCs/>
          <w:sz w:val="22"/>
          <w:szCs w:val="22"/>
        </w:rPr>
      </w:pPr>
      <w:r w:rsidRPr="002541C7">
        <w:rPr>
          <w:sz w:val="22"/>
          <w:szCs w:val="22"/>
        </w:rPr>
        <w:t xml:space="preserve">Ketorolako tablečių nerekomenduojama vartoti vaikams. </w:t>
      </w:r>
      <w:r w:rsidRPr="002541C7">
        <w:rPr>
          <w:iCs/>
          <w:sz w:val="22"/>
          <w:szCs w:val="22"/>
        </w:rPr>
        <w:t>Ketorolako vartoti parenteriniu būdu nerekomenduojama vaikams iki 2 metų.</w:t>
      </w:r>
    </w:p>
    <w:p w:rsidR="00F33D6C" w:rsidRPr="002541C7" w:rsidRDefault="00F33D6C" w:rsidP="00C25BBD">
      <w:pPr>
        <w:autoSpaceDE w:val="0"/>
        <w:autoSpaceDN w:val="0"/>
        <w:adjustRightInd w:val="0"/>
        <w:ind w:right="333"/>
        <w:rPr>
          <w:iCs/>
          <w:sz w:val="22"/>
          <w:szCs w:val="22"/>
        </w:rPr>
      </w:pPr>
    </w:p>
    <w:p w:rsidR="00F33D6C" w:rsidRPr="002541C7" w:rsidRDefault="00F33D6C" w:rsidP="00C25BBD">
      <w:pPr>
        <w:autoSpaceDE w:val="0"/>
        <w:autoSpaceDN w:val="0"/>
        <w:adjustRightInd w:val="0"/>
        <w:ind w:right="333"/>
        <w:rPr>
          <w:i/>
          <w:iCs/>
          <w:sz w:val="22"/>
          <w:szCs w:val="22"/>
        </w:rPr>
      </w:pPr>
      <w:r w:rsidRPr="002541C7">
        <w:rPr>
          <w:i/>
          <w:iCs/>
          <w:sz w:val="22"/>
          <w:szCs w:val="22"/>
        </w:rPr>
        <w:t>Piktnaudžiavimais ir priklausomybė</w:t>
      </w:r>
    </w:p>
    <w:p w:rsidR="00F33D6C" w:rsidRPr="002541C7" w:rsidRDefault="00F33D6C" w:rsidP="00C25BBD">
      <w:pPr>
        <w:autoSpaceDE w:val="0"/>
        <w:autoSpaceDN w:val="0"/>
        <w:adjustRightInd w:val="0"/>
        <w:ind w:right="333"/>
        <w:rPr>
          <w:i/>
          <w:iCs/>
          <w:sz w:val="22"/>
          <w:szCs w:val="22"/>
        </w:rPr>
      </w:pPr>
      <w:r w:rsidRPr="002541C7">
        <w:rPr>
          <w:sz w:val="22"/>
          <w:szCs w:val="22"/>
        </w:rPr>
        <w:t>Ketorolakas piktnaudžiavimo nesukelia. Staiga nutraukus jo vartojimą į veną, nutraukimo simptomų nenustatyta.</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pStyle w:val="PI-2EMEASMCA"/>
        <w:ind w:right="333"/>
      </w:pPr>
      <w:bookmarkStart w:id="24" w:name="_Toc129243106"/>
      <w:bookmarkStart w:id="25" w:name="_Toc129243231"/>
      <w:r w:rsidRPr="002541C7">
        <w:t>4.5</w:t>
      </w:r>
      <w:r w:rsidRPr="002541C7">
        <w:tab/>
        <w:t>Sąveika su kitais vaistiniais preparatais ir kitokia sąveika</w:t>
      </w:r>
      <w:bookmarkEnd w:id="24"/>
      <w:bookmarkEnd w:id="25"/>
    </w:p>
    <w:p w:rsidR="00F33D6C" w:rsidRPr="002541C7" w:rsidRDefault="00F33D6C" w:rsidP="00C25BBD">
      <w:pPr>
        <w:pStyle w:val="BTEMEASMCA"/>
        <w:ind w:right="333"/>
      </w:pPr>
    </w:p>
    <w:p w:rsidR="00F33D6C" w:rsidRPr="002541C7" w:rsidRDefault="00F33D6C" w:rsidP="00C25BBD">
      <w:pPr>
        <w:autoSpaceDE w:val="0"/>
        <w:autoSpaceDN w:val="0"/>
        <w:adjustRightInd w:val="0"/>
        <w:ind w:right="333"/>
        <w:rPr>
          <w:sz w:val="22"/>
          <w:szCs w:val="22"/>
        </w:rPr>
      </w:pPr>
      <w:r w:rsidRPr="002541C7">
        <w:rPr>
          <w:sz w:val="22"/>
          <w:szCs w:val="22"/>
        </w:rPr>
        <w:t>Kortikosteroidai didina virškinimo trakto opų ir kraujavimo iš virškinimo trakto riziką (žr. 4.4 skyrių). NVNU gali didinti antikoaguliantų, tokių kaip varfarinas, poveikį. Ketorolakas slopina trombocitų agregaciją, mažina tromboksano koncentraciją ir pailgina kraujavimo laiką. Kitaip nei ilgalaikis aspirino poveikis, nutraukus ketorolako vartojimą trombocitų funkcija normalizuojasi per 24-48 valandas.</w:t>
      </w:r>
    </w:p>
    <w:p w:rsidR="00F33D6C" w:rsidRPr="002541C7" w:rsidRDefault="00F33D6C" w:rsidP="00C25BBD">
      <w:pPr>
        <w:autoSpaceDE w:val="0"/>
        <w:autoSpaceDN w:val="0"/>
        <w:adjustRightInd w:val="0"/>
        <w:ind w:right="333"/>
        <w:rPr>
          <w:sz w:val="22"/>
          <w:szCs w:val="22"/>
        </w:rPr>
      </w:pPr>
    </w:p>
    <w:p w:rsidR="00F33D6C" w:rsidRPr="002541C7" w:rsidRDefault="00F33D6C" w:rsidP="00B3655B">
      <w:pPr>
        <w:autoSpaceDE w:val="0"/>
        <w:autoSpaceDN w:val="0"/>
        <w:adjustRightInd w:val="0"/>
        <w:ind w:right="333"/>
        <w:rPr>
          <w:sz w:val="22"/>
          <w:szCs w:val="22"/>
        </w:rPr>
      </w:pPr>
      <w:r w:rsidRPr="002541C7">
        <w:rPr>
          <w:sz w:val="22"/>
          <w:szCs w:val="22"/>
        </w:rPr>
        <w:t xml:space="preserve">Trombocitų agregaciją mažinantys vaistiniai preparatai ir selektyvieji serotonino reabsorbcijos inhibitoriai vartojami </w:t>
      </w:r>
      <w:r w:rsidRPr="002541C7">
        <w:rPr>
          <w:sz w:val="22"/>
          <w:szCs w:val="22"/>
        </w:rPr>
        <w:lastRenderedPageBreak/>
        <w:t>kartu su NVNU, didina kraujavimo iš virškinimo trakto pavojų.</w:t>
      </w:r>
    </w:p>
    <w:p w:rsidR="00F33D6C" w:rsidRPr="002541C7" w:rsidRDefault="00F33D6C" w:rsidP="00B3655B">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sz w:val="22"/>
          <w:szCs w:val="22"/>
        </w:rPr>
      </w:pPr>
      <w:r w:rsidRPr="002541C7">
        <w:rPr>
          <w:sz w:val="22"/>
          <w:szCs w:val="22"/>
        </w:rPr>
        <w:t xml:space="preserve">Pacientams, kuriems šiuo metu yra skiriama acetilsalicilo rūgšties (ASR) arba kitų NVNU, NVNU sukeliamo nepageidaujamo poveikio pavojus gali būti padidėjęs. </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sz w:val="22"/>
          <w:szCs w:val="22"/>
        </w:rPr>
      </w:pPr>
      <w:r w:rsidRPr="002541C7">
        <w:rPr>
          <w:sz w:val="22"/>
          <w:szCs w:val="22"/>
        </w:rPr>
        <w:t>Ketarolaką vartojant kartu su pentoksifilinu, padidėja kraujavimo rizika.</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sz w:val="22"/>
          <w:szCs w:val="22"/>
        </w:rPr>
      </w:pPr>
      <w:r w:rsidRPr="002541C7">
        <w:rPr>
          <w:sz w:val="22"/>
          <w:szCs w:val="22"/>
        </w:rPr>
        <w:t>Buvo pranešta apie sumažėjusį ketorolako plazmos klirensą ir pasiskirstymo tūrį, bei padidėjusią ketorolako koncentraciją plazmoje ir pailgėjusį pusinės eliminacijos laiką, tais atvejais, kai ketorolakas buvo vartojamas kartu su probenicidu.</w:t>
      </w:r>
    </w:p>
    <w:p w:rsidR="00F33D6C" w:rsidRPr="002541C7" w:rsidRDefault="00F33D6C" w:rsidP="00C25BBD">
      <w:pPr>
        <w:autoSpaceDE w:val="0"/>
        <w:autoSpaceDN w:val="0"/>
        <w:adjustRightInd w:val="0"/>
        <w:ind w:right="333"/>
        <w:rPr>
          <w:sz w:val="22"/>
          <w:szCs w:val="22"/>
        </w:rPr>
      </w:pPr>
    </w:p>
    <w:p w:rsidR="00F33D6C" w:rsidRPr="002541C7" w:rsidRDefault="00F33D6C" w:rsidP="00C25BBD">
      <w:pPr>
        <w:autoSpaceDE w:val="0"/>
        <w:autoSpaceDN w:val="0"/>
        <w:adjustRightInd w:val="0"/>
        <w:ind w:right="333"/>
        <w:rPr>
          <w:sz w:val="22"/>
          <w:szCs w:val="22"/>
        </w:rPr>
      </w:pPr>
      <w:r w:rsidRPr="002541C7">
        <w:rPr>
          <w:sz w:val="22"/>
          <w:szCs w:val="22"/>
        </w:rPr>
        <w:t xml:space="preserve">Kai kurie prostaglandinų sintezę slopinantys vaistai mažina metotreksato klirensą, todėl gali didėti metotreksato toksinis poveikis. </w:t>
      </w:r>
    </w:p>
    <w:p w:rsidR="00F33D6C" w:rsidRPr="002541C7" w:rsidRDefault="00F33D6C" w:rsidP="00C25BBD">
      <w:pPr>
        <w:autoSpaceDE w:val="0"/>
        <w:autoSpaceDN w:val="0"/>
        <w:adjustRightInd w:val="0"/>
        <w:ind w:right="333"/>
        <w:rPr>
          <w:sz w:val="22"/>
          <w:szCs w:val="22"/>
        </w:rPr>
      </w:pPr>
    </w:p>
    <w:p w:rsidR="00F33D6C" w:rsidRPr="002541C7" w:rsidRDefault="00F33D6C" w:rsidP="00E35FA1">
      <w:pPr>
        <w:autoSpaceDE w:val="0"/>
        <w:autoSpaceDN w:val="0"/>
        <w:adjustRightInd w:val="0"/>
        <w:ind w:right="333"/>
        <w:rPr>
          <w:sz w:val="22"/>
          <w:szCs w:val="22"/>
        </w:rPr>
      </w:pPr>
      <w:r w:rsidRPr="002541C7">
        <w:rPr>
          <w:sz w:val="22"/>
          <w:szCs w:val="22"/>
        </w:rPr>
        <w:t>Jei kartu su ličio turinčiiais vaistiniais preparatais  kartu vartojama kai kurių prostaglandinų sintezės inhibitorių, mažėja ličio inkstų klirensas, didėja ličio koncentracija plazmoje. Gauta pranešimų apie atvejus, kai vartojant ketorolako padidėjo ličio koncentracija plazmoje.</w:t>
      </w:r>
    </w:p>
    <w:p w:rsidR="00F33D6C" w:rsidRPr="002541C7" w:rsidRDefault="00F33D6C" w:rsidP="00E35FA1">
      <w:pPr>
        <w:autoSpaceDE w:val="0"/>
        <w:autoSpaceDN w:val="0"/>
        <w:adjustRightInd w:val="0"/>
        <w:ind w:right="333"/>
        <w:rPr>
          <w:sz w:val="22"/>
          <w:szCs w:val="22"/>
        </w:rPr>
      </w:pPr>
    </w:p>
    <w:p w:rsidR="00F33D6C" w:rsidRPr="002541C7" w:rsidRDefault="00F33D6C" w:rsidP="003D6B5A">
      <w:pPr>
        <w:autoSpaceDE w:val="0"/>
        <w:autoSpaceDN w:val="0"/>
        <w:adjustRightInd w:val="0"/>
        <w:ind w:right="333"/>
        <w:rPr>
          <w:sz w:val="22"/>
          <w:szCs w:val="22"/>
        </w:rPr>
      </w:pPr>
      <w:r w:rsidRPr="002541C7">
        <w:rPr>
          <w:sz w:val="22"/>
          <w:szCs w:val="22"/>
        </w:rPr>
        <w:t xml:space="preserve">Ketorolakas nekeitė digoksino jungimosi su baltymais. </w:t>
      </w:r>
      <w:r w:rsidRPr="002541C7">
        <w:rPr>
          <w:i/>
          <w:iCs/>
          <w:sz w:val="22"/>
          <w:szCs w:val="22"/>
        </w:rPr>
        <w:t>In vitro</w:t>
      </w:r>
      <w:r w:rsidRPr="002541C7">
        <w:rPr>
          <w:sz w:val="22"/>
          <w:szCs w:val="22"/>
        </w:rPr>
        <w:t xml:space="preserve"> tyrimų metu nustatyta, kad terapinė (300 mikrogramų/ml) ar didesnė salicilatų dozė mažina ketorolako prisijungimą nuo 99,2% iki 97,5%. Terapinė digoksino, varfarino, paracetamolio, fenitoino ir tolbutamido koncentracija ketorolako jungimuisi su baltymais įtakos neturėjo. </w:t>
      </w:r>
    </w:p>
    <w:p w:rsidR="00F33D6C" w:rsidRPr="002541C7" w:rsidRDefault="00F33D6C" w:rsidP="00C25BBD">
      <w:pPr>
        <w:autoSpaceDE w:val="0"/>
        <w:autoSpaceDN w:val="0"/>
        <w:adjustRightInd w:val="0"/>
        <w:ind w:right="333"/>
        <w:rPr>
          <w:sz w:val="22"/>
          <w:szCs w:val="22"/>
        </w:rPr>
      </w:pPr>
      <w:r w:rsidRPr="002541C7">
        <w:rPr>
          <w:sz w:val="22"/>
          <w:szCs w:val="22"/>
        </w:rPr>
        <w:t xml:space="preserve"> </w:t>
      </w:r>
    </w:p>
    <w:p w:rsidR="00F33D6C" w:rsidRPr="002541C7" w:rsidRDefault="00F33D6C" w:rsidP="00C25BBD">
      <w:pPr>
        <w:autoSpaceDE w:val="0"/>
        <w:autoSpaceDN w:val="0"/>
        <w:adjustRightInd w:val="0"/>
        <w:ind w:right="333"/>
        <w:rPr>
          <w:sz w:val="22"/>
          <w:szCs w:val="22"/>
        </w:rPr>
      </w:pPr>
      <w:r w:rsidRPr="002541C7">
        <w:rPr>
          <w:sz w:val="22"/>
          <w:szCs w:val="22"/>
        </w:rPr>
        <w:t>Nors tyrimų duomenys neparodė reikšmingos sąveikos tarp ketorolako ir varfarino ar heparino, vartojant ketorolako kartu su vaistiniais preparatais, kurie veikia hemostazę (įskaitant terapines antikoaguliantų dozes, pvz., varfariną, mažas profilaktines heparino dozes (2500 – 5000 veikimo vienetų dozė, vartojama kas 12 valandų) ir dekstranus), gali padidėti kraujavimo rizika.</w:t>
      </w:r>
    </w:p>
    <w:p w:rsidR="00F33D6C" w:rsidRPr="002541C7" w:rsidRDefault="00F33D6C" w:rsidP="00C25BBD">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sz w:val="22"/>
          <w:szCs w:val="22"/>
        </w:rPr>
        <w:t>Sveikiems žmonėms, kurių organizme skysčio tūris normalus, ketorolako injekcinis tirpalas sumažino furozemido sukeliamą diurezinį poveikį maždaug 20 %, todėl pacientus, kurių širdies funkcija dekompensuota, reikia labai atidžiai stebėti.</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sz w:val="22"/>
          <w:szCs w:val="22"/>
        </w:rPr>
        <w:t xml:space="preserve">Nesteroidiniai vaistai nuo uždegimo gali mažinti diuretikų ir antihipertenzinių vaistinių preparatų poveikį. Kai kuriems pacientams, kurių inkstų funkcija sutrikusi (pvz., skysčių netekusiems ar senyviems pacientams), AKF inhibitorių ir/arba angiotenzino II receptorių blokatorių vartojimas kartu su nesteroidiniais vaistais nuo uždegimo gali </w:t>
      </w:r>
      <w:r w:rsidRPr="002541C7">
        <w:rPr>
          <w:sz w:val="22"/>
          <w:szCs w:val="22"/>
        </w:rPr>
        <w:lastRenderedPageBreak/>
        <w:t xml:space="preserve">padidinti ūminio inkstų nepakankamumo riziką. Tokie pokyčiai paprastai būna laikini. Taigi minėtais vaistiniais preparatais gydyti kartu reikia atsargiai, ypač senyvus pacientus. Reikia parinkti tinkamą dozę ir stebėti inkstų funkciją, tiek pradėjus kartu vartoti minėtų preparatų, tiek reguliariai tolesnio gydymo metu. </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sz w:val="22"/>
          <w:szCs w:val="22"/>
        </w:rPr>
        <w:t xml:space="preserve">Nustatyta, kad pooperacinio skausmo malšinimas opioidiniais analgetikais sumažina opioidinės analgezijos poreikį. </w:t>
      </w:r>
    </w:p>
    <w:p w:rsidR="00F33D6C" w:rsidRPr="002541C7" w:rsidRDefault="00F33D6C" w:rsidP="00067BBC">
      <w:pPr>
        <w:autoSpaceDE w:val="0"/>
        <w:autoSpaceDN w:val="0"/>
        <w:adjustRightInd w:val="0"/>
        <w:ind w:right="333"/>
        <w:rPr>
          <w:color w:val="000000"/>
          <w:sz w:val="22"/>
          <w:szCs w:val="22"/>
        </w:rPr>
      </w:pPr>
    </w:p>
    <w:p w:rsidR="00F33D6C" w:rsidRPr="002541C7" w:rsidRDefault="00F33D6C" w:rsidP="00067BBC">
      <w:pPr>
        <w:autoSpaceDE w:val="0"/>
        <w:autoSpaceDN w:val="0"/>
        <w:adjustRightInd w:val="0"/>
        <w:ind w:right="333"/>
        <w:rPr>
          <w:sz w:val="22"/>
          <w:szCs w:val="22"/>
        </w:rPr>
      </w:pPr>
      <w:r w:rsidRPr="002541C7">
        <w:rPr>
          <w:sz w:val="22"/>
          <w:szCs w:val="22"/>
        </w:rPr>
        <w:t>Išgėrus ketorolako tablečių po riebaus maisto, pasiekta mažesnė maksimali ketorolako koncentracija plazmoje, o laikas iki maksimalios koncentracijos buvo 1 val. ilgesnis. Skrandžio rūgštingumą mažinantys preparatai neturėjo įtakos absorbcijai.</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pStyle w:val="PI-2EMEASMCA"/>
        <w:ind w:right="333"/>
      </w:pPr>
      <w:r w:rsidRPr="002541C7">
        <w:t>4.6</w:t>
      </w:r>
      <w:r w:rsidRPr="002541C7">
        <w:tab/>
        <w:t>Vaisingumas, nėštumo ir žindymo laikotarpis</w:t>
      </w:r>
      <w:bookmarkEnd w:id="20"/>
      <w:bookmarkEnd w:id="21"/>
    </w:p>
    <w:p w:rsidR="00F33D6C" w:rsidRPr="002541C7" w:rsidRDefault="00F33D6C" w:rsidP="00067BBC">
      <w:pPr>
        <w:pStyle w:val="BTEMEASMCA"/>
        <w:ind w:right="333"/>
      </w:pPr>
    </w:p>
    <w:p w:rsidR="00F33D6C" w:rsidRPr="002541C7" w:rsidRDefault="00F33D6C" w:rsidP="00067BBC">
      <w:pPr>
        <w:autoSpaceDE w:val="0"/>
        <w:autoSpaceDN w:val="0"/>
        <w:adjustRightInd w:val="0"/>
        <w:ind w:right="333"/>
        <w:rPr>
          <w:sz w:val="22"/>
          <w:szCs w:val="22"/>
        </w:rPr>
      </w:pPr>
      <w:r w:rsidRPr="002541C7">
        <w:rPr>
          <w:i/>
          <w:iCs/>
          <w:sz w:val="22"/>
          <w:szCs w:val="22"/>
        </w:rPr>
        <w:t>Nėštumas</w:t>
      </w:r>
      <w:r w:rsidRPr="002541C7">
        <w:rPr>
          <w:sz w:val="22"/>
          <w:szCs w:val="22"/>
        </w:rPr>
        <w:t xml:space="preserve"> </w:t>
      </w:r>
    </w:p>
    <w:p w:rsidR="00F33D6C" w:rsidRPr="002541C7" w:rsidRDefault="00F33D6C" w:rsidP="00067BBC">
      <w:pPr>
        <w:autoSpaceDE w:val="0"/>
        <w:autoSpaceDN w:val="0"/>
        <w:adjustRightInd w:val="0"/>
        <w:ind w:right="333"/>
        <w:rPr>
          <w:sz w:val="22"/>
          <w:szCs w:val="22"/>
        </w:rPr>
      </w:pPr>
      <w:r w:rsidRPr="002541C7">
        <w:rPr>
          <w:sz w:val="22"/>
          <w:szCs w:val="22"/>
        </w:rPr>
        <w:t>Ketorolako draudžiama vartoti trečiojo nėštumo trimestro ir gimdymo metu, bei žindymo laikotarpiu (žr. 4.3 skyrių).</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sz w:val="22"/>
          <w:szCs w:val="22"/>
        </w:rPr>
        <w:t>Prostaglandinų sintezės slopinimas gali nepageidaujamai paveikti nėštumą ir (arba) embriono arba vaisiaus vystymąsi. Epidemiologinių tyrimų duomenys rodo, kad ankstyvuoju nėštumo laikotarpiu vartojami  prostaglandinų sintezės inhibitoriai didina persileidimo riziką, širdies apsigimimus ir įgimtą eventraciją (gastrošizę). Absoliuti širdies ir kraujagyslių apsigimimų rizika padidėjo nuo mažiau nei 1% iki maždaug 1,5%. Tikėtina, kad rizika didėja priklausomai nuo dozės ir vartojimo trukmės. Tyrimų su gyvūnais metu nustatyta, kad prostaglandinų sintezės inhibitorių vartojimas dažnino persileidimus prieš implantaciją ir po jos bei didino embriono ir vaisiaus mirštamumą.. Be to, gyvūnams, kuriems organogenezės laikotarpiu buvo skiriama  prostaglandinų sintezės inhibitorių, padidėjo įvairių apsigimimų, įskaitant širdies ir kraujagyslių. Pirmąjį ir antrąjį nėštumo trimestrus, ketorolako vartoti negalima, išskyrus neabejotinai būtinus atvejus. Jeigu ketorolako naudoja moteris bandanti pastoti arba pirmą ir antrą nėštumo trimestrus, dozė turi būti kuo mažesnė, o gydymo trukmė yra kiek įmanoma trumpesnė.</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sz w:val="22"/>
          <w:szCs w:val="22"/>
        </w:rPr>
        <w:t>Trečiajį nėštumo trimestrą, visi prostaglandinų sintezės inhibitoriai vaisiui gali sukelti:</w:t>
      </w:r>
    </w:p>
    <w:p w:rsidR="00F33D6C" w:rsidRPr="002541C7" w:rsidRDefault="00F33D6C" w:rsidP="00067BBC">
      <w:pPr>
        <w:pStyle w:val="ListParagraph"/>
        <w:numPr>
          <w:ilvl w:val="0"/>
          <w:numId w:val="13"/>
        </w:numPr>
        <w:autoSpaceDE w:val="0"/>
        <w:autoSpaceDN w:val="0"/>
        <w:adjustRightInd w:val="0"/>
        <w:ind w:right="333"/>
        <w:rPr>
          <w:sz w:val="22"/>
          <w:szCs w:val="22"/>
        </w:rPr>
      </w:pPr>
      <w:r w:rsidRPr="002541C7">
        <w:rPr>
          <w:sz w:val="22"/>
          <w:szCs w:val="22"/>
        </w:rPr>
        <w:t>toksinį poveikį širdžiai ir plaučiams (priešlaikinį arterinio latako užakimą ir plautinę hipertenziją);</w:t>
      </w:r>
    </w:p>
    <w:p w:rsidR="00F33D6C" w:rsidRPr="002541C7" w:rsidRDefault="00F33D6C" w:rsidP="00067BBC">
      <w:pPr>
        <w:pStyle w:val="ListParagraph"/>
        <w:numPr>
          <w:ilvl w:val="0"/>
          <w:numId w:val="13"/>
        </w:numPr>
        <w:autoSpaceDE w:val="0"/>
        <w:autoSpaceDN w:val="0"/>
        <w:adjustRightInd w:val="0"/>
        <w:ind w:right="333"/>
        <w:rPr>
          <w:sz w:val="22"/>
          <w:szCs w:val="22"/>
        </w:rPr>
      </w:pPr>
      <w:r w:rsidRPr="002541C7">
        <w:rPr>
          <w:sz w:val="22"/>
          <w:szCs w:val="22"/>
        </w:rPr>
        <w:t xml:space="preserve">inkstų funkcijos sutrikimą, kuris gali progresuoti iki inkstų nepakankamumo, pasireiškiančio oligohidramnionu. </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sz w:val="22"/>
          <w:szCs w:val="22"/>
        </w:rPr>
        <w:t>Motinai ir naujagimiui, nėštumo pabaigoje vartojami prostaglandinų sintezės inhibitoriai gali:</w:t>
      </w:r>
    </w:p>
    <w:p w:rsidR="00F33D6C" w:rsidRPr="002541C7" w:rsidRDefault="00F33D6C" w:rsidP="00067BBC">
      <w:pPr>
        <w:pStyle w:val="ListParagraph"/>
        <w:numPr>
          <w:ilvl w:val="0"/>
          <w:numId w:val="13"/>
        </w:numPr>
        <w:autoSpaceDE w:val="0"/>
        <w:autoSpaceDN w:val="0"/>
        <w:adjustRightInd w:val="0"/>
        <w:ind w:right="333"/>
        <w:rPr>
          <w:sz w:val="22"/>
          <w:szCs w:val="22"/>
        </w:rPr>
      </w:pPr>
      <w:r w:rsidRPr="002541C7">
        <w:rPr>
          <w:sz w:val="22"/>
          <w:szCs w:val="22"/>
        </w:rPr>
        <w:lastRenderedPageBreak/>
        <w:t>ilginti kraujavimo laiką ir slopinti trombocitų agregaciją, kas gali pasireikšti net ir vartojant labai mažas ketorolako dozes;</w:t>
      </w:r>
    </w:p>
    <w:p w:rsidR="00F33D6C" w:rsidRPr="002541C7" w:rsidRDefault="00F33D6C" w:rsidP="00067BBC">
      <w:pPr>
        <w:pStyle w:val="ListParagraph"/>
        <w:numPr>
          <w:ilvl w:val="0"/>
          <w:numId w:val="13"/>
        </w:numPr>
        <w:autoSpaceDE w:val="0"/>
        <w:autoSpaceDN w:val="0"/>
        <w:adjustRightInd w:val="0"/>
        <w:ind w:right="333"/>
        <w:rPr>
          <w:sz w:val="22"/>
          <w:szCs w:val="22"/>
        </w:rPr>
      </w:pPr>
      <w:r w:rsidRPr="002541C7">
        <w:rPr>
          <w:sz w:val="22"/>
          <w:szCs w:val="22"/>
        </w:rPr>
        <w:t xml:space="preserve">slopinti gimdos susitraukimus, vėlindami ir ilgindami gimdymą.. </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sz w:val="22"/>
          <w:szCs w:val="22"/>
        </w:rPr>
        <w:t>Taigi, ketorolako draudžiama vartoti trečio nėštumo trimestro metu.</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sz w:val="22"/>
          <w:szCs w:val="22"/>
        </w:rPr>
        <w:t>Informacija apie poveikį moterų vaisingumui pateikiama 4.4 skyriuje.</w:t>
      </w:r>
    </w:p>
    <w:p w:rsidR="00F33D6C" w:rsidRPr="002541C7" w:rsidRDefault="00F33D6C" w:rsidP="00067BBC">
      <w:pPr>
        <w:autoSpaceDE w:val="0"/>
        <w:autoSpaceDN w:val="0"/>
        <w:adjustRightInd w:val="0"/>
        <w:ind w:right="333"/>
        <w:rPr>
          <w:sz w:val="22"/>
          <w:szCs w:val="22"/>
        </w:rPr>
      </w:pPr>
      <w:r w:rsidRPr="002541C7">
        <w:rPr>
          <w:sz w:val="22"/>
          <w:szCs w:val="22"/>
        </w:rPr>
        <w:t>Maždaug 10 % ketorolako praeina placentą.</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sz w:val="22"/>
          <w:szCs w:val="22"/>
        </w:rPr>
        <w:t>Apie 10% ketorolako prasiskverbia per placentą.</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i/>
          <w:sz w:val="22"/>
          <w:szCs w:val="22"/>
        </w:rPr>
      </w:pPr>
      <w:r w:rsidRPr="002541C7">
        <w:rPr>
          <w:i/>
          <w:sz w:val="22"/>
          <w:szCs w:val="22"/>
        </w:rPr>
        <w:t>Gimdymas</w:t>
      </w:r>
    </w:p>
    <w:p w:rsidR="00F33D6C" w:rsidRPr="002541C7" w:rsidRDefault="00F33D6C" w:rsidP="00067BBC">
      <w:pPr>
        <w:autoSpaceDE w:val="0"/>
        <w:autoSpaceDN w:val="0"/>
        <w:adjustRightInd w:val="0"/>
        <w:ind w:right="333"/>
        <w:rPr>
          <w:sz w:val="22"/>
          <w:szCs w:val="22"/>
        </w:rPr>
      </w:pPr>
      <w:r w:rsidRPr="002541C7">
        <w:rPr>
          <w:sz w:val="22"/>
          <w:szCs w:val="22"/>
        </w:rPr>
        <w:t>Ketorolako negalima vartoti gimdymo metu, kadangi dėl prostaglandinų sintezės slopinimo jis gali pabloginti vaisiaus kraujotaką, slopinti gimdos susitraukimus ir todėl padidinti kraujavimo iš gimdos riziką. Be to, gali padidėti bendra kraujavimo moteriai ir vaikui rizika (žr. 4.3 skyrių).</w:t>
      </w:r>
    </w:p>
    <w:p w:rsidR="00F33D6C" w:rsidRPr="002541C7" w:rsidRDefault="00F33D6C" w:rsidP="00067BBC">
      <w:pPr>
        <w:autoSpaceDE w:val="0"/>
        <w:autoSpaceDN w:val="0"/>
        <w:adjustRightInd w:val="0"/>
        <w:ind w:right="333"/>
        <w:rPr>
          <w:i/>
          <w:iCs/>
          <w:sz w:val="22"/>
          <w:szCs w:val="22"/>
        </w:rPr>
      </w:pPr>
    </w:p>
    <w:p w:rsidR="00F33D6C" w:rsidRPr="002541C7" w:rsidRDefault="00F33D6C" w:rsidP="00067BBC">
      <w:pPr>
        <w:autoSpaceDE w:val="0"/>
        <w:autoSpaceDN w:val="0"/>
        <w:adjustRightInd w:val="0"/>
        <w:ind w:right="333"/>
        <w:rPr>
          <w:i/>
          <w:iCs/>
          <w:sz w:val="22"/>
          <w:szCs w:val="22"/>
        </w:rPr>
      </w:pPr>
      <w:r w:rsidRPr="002541C7">
        <w:rPr>
          <w:i/>
          <w:iCs/>
          <w:sz w:val="22"/>
          <w:szCs w:val="22"/>
        </w:rPr>
        <w:t>Žindymas</w:t>
      </w:r>
    </w:p>
    <w:p w:rsidR="00F33D6C" w:rsidRPr="002541C7" w:rsidRDefault="00F33D6C" w:rsidP="00067BBC">
      <w:pPr>
        <w:pStyle w:val="BTEMEASMCA"/>
        <w:ind w:right="333"/>
      </w:pPr>
      <w:r w:rsidRPr="002541C7">
        <w:t xml:space="preserve">Tiriant gyvūnus nustatyta, kad ketorolako ir jo metabolitų patenka į vaisių ir į patelės pieną. </w:t>
      </w:r>
    </w:p>
    <w:p w:rsidR="00F33D6C" w:rsidRPr="002541C7" w:rsidRDefault="00F33D6C" w:rsidP="00067BBC">
      <w:pPr>
        <w:pStyle w:val="BTEMEASMCA"/>
        <w:ind w:right="333"/>
      </w:pPr>
      <w:r w:rsidRPr="002541C7">
        <w:t xml:space="preserve">Moters piene būna nedidelis ketorolako kiekis. Dėl šios priežasties, nėštumo metu vaisto skirti negalima. </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2EMEASMCA"/>
        <w:ind w:right="333"/>
      </w:pPr>
      <w:bookmarkStart w:id="26" w:name="_Toc129243108"/>
      <w:bookmarkStart w:id="27" w:name="_Toc129243233"/>
      <w:r w:rsidRPr="002541C7">
        <w:t>4.7</w:t>
      </w:r>
      <w:r w:rsidRPr="002541C7">
        <w:tab/>
        <w:t>Poveikis gebėjimui vairuoti ir valdyti mechanizmus</w:t>
      </w:r>
      <w:bookmarkEnd w:id="26"/>
      <w:bookmarkEnd w:id="27"/>
    </w:p>
    <w:p w:rsidR="00F33D6C" w:rsidRPr="002541C7" w:rsidRDefault="00F33D6C" w:rsidP="00067BBC">
      <w:pPr>
        <w:pStyle w:val="BTEMEASMCA"/>
        <w:ind w:right="333"/>
      </w:pPr>
    </w:p>
    <w:p w:rsidR="00F33D6C" w:rsidRPr="002541C7" w:rsidRDefault="00F33D6C" w:rsidP="00067BBC">
      <w:pPr>
        <w:pStyle w:val="BTEMEASMCA"/>
        <w:ind w:right="333"/>
      </w:pPr>
      <w:r w:rsidRPr="002541C7">
        <w:t>Kai kuriems pacientams, vartojantiems ketorolako, gali pasireikšti mieguistumas, svaigulys,  svaigimas (</w:t>
      </w:r>
      <w:r w:rsidRPr="002541C7">
        <w:rPr>
          <w:i/>
        </w:rPr>
        <w:t>vertigo</w:t>
      </w:r>
      <w:r w:rsidRPr="002541C7">
        <w:t>),  nemiga arba depresija. Jeigu atsiras išvardintų arba panašių šalutinio poveikio reiškinių, veiklų, kurios reikalauja budrumo, reikia imtis atsargiai.</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2EMEASMCA"/>
        <w:ind w:right="333"/>
      </w:pPr>
      <w:bookmarkStart w:id="28" w:name="_Toc129243109"/>
      <w:bookmarkStart w:id="29" w:name="_Toc129243234"/>
      <w:r w:rsidRPr="002541C7">
        <w:t>4.8</w:t>
      </w:r>
      <w:r w:rsidRPr="002541C7">
        <w:tab/>
        <w:t>Nepageidaujamas poveikis</w:t>
      </w:r>
      <w:bookmarkEnd w:id="28"/>
      <w:bookmarkEnd w:id="29"/>
    </w:p>
    <w:p w:rsidR="00F33D6C" w:rsidRPr="002541C7" w:rsidRDefault="00F33D6C" w:rsidP="00067BBC">
      <w:pPr>
        <w:pStyle w:val="PI-2EMEASMCA"/>
        <w:ind w:right="333"/>
      </w:pPr>
    </w:p>
    <w:p w:rsidR="00F33D6C" w:rsidRPr="002541C7" w:rsidRDefault="00F33D6C" w:rsidP="00067BBC">
      <w:pPr>
        <w:pStyle w:val="BTEMEASMCA"/>
        <w:ind w:right="333"/>
        <w:rPr>
          <w:kern w:val="28"/>
        </w:rPr>
      </w:pPr>
      <w:r w:rsidRPr="002541C7">
        <w:rPr>
          <w:kern w:val="28"/>
        </w:rPr>
        <w:t>Pranešta apie toliau nurodytus ketoroloko sukeltus nepageidaujamo poveikio reiškinius. Nepageidaujamo poveikio dažnis negali būti nustatytas, kadangi pranešimai gauti savanoriškai, iš nežinomo dydžio populiacijos.</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kern w:val="28"/>
        </w:rPr>
      </w:pPr>
      <w:r w:rsidRPr="002541C7">
        <w:rPr>
          <w:i/>
          <w:iCs/>
          <w:kern w:val="28"/>
        </w:rPr>
        <w:t>Virškinimo trakto sutrikimai</w:t>
      </w:r>
    </w:p>
    <w:p w:rsidR="00F33D6C" w:rsidRPr="002541C7" w:rsidRDefault="00F33D6C" w:rsidP="00067BBC">
      <w:pPr>
        <w:pStyle w:val="BTEMEASMCA"/>
        <w:ind w:right="333"/>
        <w:rPr>
          <w:kern w:val="28"/>
        </w:rPr>
      </w:pPr>
      <w:r w:rsidRPr="002541C7">
        <w:rPr>
          <w:kern w:val="28"/>
        </w:rPr>
        <w:t xml:space="preserve">Dažniausiai pasireiškia nepageidaujamas poveikis virškinimo traktui. </w:t>
      </w:r>
    </w:p>
    <w:p w:rsidR="00F33D6C" w:rsidRPr="002541C7" w:rsidRDefault="00F33D6C" w:rsidP="00067BBC">
      <w:pPr>
        <w:pStyle w:val="BTEMEASMCA"/>
        <w:ind w:right="333"/>
        <w:rPr>
          <w:kern w:val="28"/>
        </w:rPr>
      </w:pPr>
    </w:p>
    <w:p w:rsidR="00F33D6C" w:rsidRPr="002541C7" w:rsidRDefault="00F33D6C" w:rsidP="00067BBC">
      <w:pPr>
        <w:pStyle w:val="BTEMEASMCA"/>
        <w:ind w:right="333"/>
        <w:rPr>
          <w:kern w:val="28"/>
        </w:rPr>
      </w:pPr>
      <w:r w:rsidRPr="002541C7">
        <w:rPr>
          <w:kern w:val="28"/>
        </w:rPr>
        <w:t xml:space="preserve">Gali atsirasti skrandžio ar dvylikapirštės žarnos opos, virškinimo trakto perforacija arba kraujavimas, kuris </w:t>
      </w:r>
      <w:r w:rsidRPr="002541C7">
        <w:rPr>
          <w:kern w:val="28"/>
        </w:rPr>
        <w:lastRenderedPageBreak/>
        <w:t>kartais gali baigtis mirtimi, ypač jeigu pacientas yra senyvo amžiaus (žr. 4.4 skyrių).</w:t>
      </w:r>
    </w:p>
    <w:p w:rsidR="00F33D6C" w:rsidRPr="002541C7" w:rsidRDefault="00F33D6C" w:rsidP="00067BBC">
      <w:pPr>
        <w:pStyle w:val="BTEMEASMCA"/>
        <w:ind w:right="333"/>
        <w:rPr>
          <w:kern w:val="28"/>
        </w:rPr>
      </w:pPr>
      <w:r w:rsidRPr="002541C7">
        <w:rPr>
          <w:kern w:val="28"/>
        </w:rPr>
        <w:t>Be to, gali atsirasti pykinimas, vėmimas, viduriavimas, pilvo pūtimas, vidurių užkietėjimas, dispepsiniai reiškiniai, pilvo skausmas, diskomfortas pilve, melena, vėmimas krauju, stomatitas, opinis stomatitas,  ezofagitas, atsirūgimas, viršinimo trakto opos, kraujavimas iš tiesiosios žarnos, burnos džiūvimas, pilnumo jausmas,</w:t>
      </w:r>
      <w:r w:rsidRPr="002541C7" w:rsidDel="00824B80">
        <w:rPr>
          <w:kern w:val="28"/>
        </w:rPr>
        <w:t xml:space="preserve"> </w:t>
      </w:r>
      <w:r w:rsidRPr="002541C7">
        <w:rPr>
          <w:kern w:val="28"/>
        </w:rPr>
        <w:t>kraujavimas, perforacija, pankreatitas, kolito ir Krono ligos paūmėjimas (žr. 4.4 skyrių). Retesniais atvejais buvo pranešta apie gastritą.</w:t>
      </w:r>
    </w:p>
    <w:p w:rsidR="00F33D6C" w:rsidRPr="002541C7" w:rsidRDefault="00F33D6C" w:rsidP="00067BBC">
      <w:pPr>
        <w:pStyle w:val="BTEMEASMCA"/>
        <w:ind w:right="333"/>
      </w:pPr>
    </w:p>
    <w:p w:rsidR="00F33D6C" w:rsidRPr="002541C7" w:rsidRDefault="00F33D6C" w:rsidP="00067BBC">
      <w:pPr>
        <w:pStyle w:val="BTEMEASMCA"/>
        <w:ind w:right="333"/>
        <w:rPr>
          <w:i/>
          <w:iCs/>
        </w:rPr>
      </w:pPr>
      <w:r w:rsidRPr="002541C7">
        <w:rPr>
          <w:i/>
          <w:iCs/>
        </w:rPr>
        <w:t>Infekcijos ir infestacijos</w:t>
      </w:r>
    </w:p>
    <w:p w:rsidR="00F33D6C" w:rsidRPr="002541C7" w:rsidRDefault="00F33D6C" w:rsidP="00067BBC">
      <w:pPr>
        <w:pStyle w:val="BTEMEASMCA"/>
        <w:ind w:right="333"/>
        <w:rPr>
          <w:lang w:eastAsia="lt-LT"/>
        </w:rPr>
      </w:pPr>
      <w:r w:rsidRPr="002541C7">
        <w:rPr>
          <w:lang w:eastAsia="lt-LT"/>
        </w:rPr>
        <w:t xml:space="preserve">Aseptinis meningitas (ypač pacientams su autoimuniniais sutrikimais, tokiais kaip sisteminė raudonoji vilkligė ir kitos jungiamojo audinio ligos), su lydinčiais simptomais, tokiais kaip nelankstus kaklas, galvos skausmas, pykinimas, vėmimas, karščiavimas ar orientacijos sutrikimai (žr. 4.4 skyrių). </w:t>
      </w:r>
    </w:p>
    <w:p w:rsidR="00F33D6C" w:rsidRPr="002541C7" w:rsidRDefault="00F33D6C" w:rsidP="00067BBC">
      <w:pPr>
        <w:pStyle w:val="BTEMEASMCA"/>
        <w:ind w:right="333"/>
        <w:rPr>
          <w:kern w:val="28"/>
        </w:rPr>
      </w:pPr>
    </w:p>
    <w:p w:rsidR="00F33D6C" w:rsidRPr="002541C7" w:rsidRDefault="00F33D6C" w:rsidP="00067BBC">
      <w:pPr>
        <w:pStyle w:val="BTEMEASMCA"/>
        <w:ind w:right="333"/>
        <w:rPr>
          <w:i/>
          <w:lang w:eastAsia="lt-LT"/>
        </w:rPr>
      </w:pPr>
      <w:r w:rsidRPr="002541C7">
        <w:rPr>
          <w:i/>
          <w:lang w:eastAsia="lt-LT"/>
        </w:rPr>
        <w:t>Kraujo ir limfinės sistemos sutrikimai</w:t>
      </w:r>
    </w:p>
    <w:p w:rsidR="00F33D6C" w:rsidRPr="002541C7" w:rsidRDefault="00F33D6C" w:rsidP="00067BBC">
      <w:pPr>
        <w:pStyle w:val="BTEMEASMCA"/>
        <w:ind w:right="333"/>
        <w:rPr>
          <w:lang w:eastAsia="lt-LT"/>
        </w:rPr>
      </w:pPr>
      <w:r w:rsidRPr="002541C7">
        <w:rPr>
          <w:lang w:eastAsia="lt-LT"/>
        </w:rPr>
        <w:t>Trombocitopenija.</w:t>
      </w:r>
    </w:p>
    <w:p w:rsidR="00F33D6C" w:rsidRPr="002541C7" w:rsidRDefault="00F33D6C" w:rsidP="00067BBC">
      <w:pPr>
        <w:pStyle w:val="BTEMEASMCA"/>
        <w:ind w:right="333"/>
      </w:pPr>
    </w:p>
    <w:p w:rsidR="00F33D6C" w:rsidRPr="002541C7" w:rsidRDefault="00F33D6C" w:rsidP="00067BBC">
      <w:pPr>
        <w:pStyle w:val="BTEMEASMCA"/>
        <w:ind w:right="333"/>
        <w:rPr>
          <w:i/>
        </w:rPr>
      </w:pPr>
      <w:r w:rsidRPr="002541C7">
        <w:rPr>
          <w:i/>
        </w:rPr>
        <w:t>Imuninės sistemos sutrikimai</w:t>
      </w:r>
    </w:p>
    <w:p w:rsidR="00F33D6C" w:rsidRPr="002541C7" w:rsidRDefault="00F33D6C" w:rsidP="00067BBC">
      <w:pPr>
        <w:pStyle w:val="BTEMEASMCA"/>
        <w:ind w:right="333"/>
        <w:rPr>
          <w:lang w:eastAsia="lt-LT"/>
        </w:rPr>
      </w:pPr>
      <w:r w:rsidRPr="002541C7">
        <w:rPr>
          <w:lang w:eastAsia="lt-LT"/>
        </w:rPr>
        <w:t>Anafilaksija ir anafilaktoidinės reakcijos. Anafilaksinės reakcijos, pavyzdžiui, anafilaksija, gali lemti padidėjusio jautrumo reakcijas, tokias kaip bronchospazmas, paraudimas, bėrimas, hipotenzija, gerklų edema.</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rPr>
      </w:pPr>
      <w:r w:rsidRPr="002541C7">
        <w:rPr>
          <w:i/>
          <w:iCs/>
        </w:rPr>
        <w:t xml:space="preserve">Metabolizmo ir mitybos sutrikimai </w:t>
      </w:r>
    </w:p>
    <w:p w:rsidR="00F33D6C" w:rsidRPr="002541C7" w:rsidRDefault="00F33D6C" w:rsidP="00067BBC">
      <w:pPr>
        <w:pStyle w:val="BTEMEASMCA"/>
        <w:ind w:right="333"/>
        <w:rPr>
          <w:lang w:eastAsia="lt-LT"/>
        </w:rPr>
      </w:pPr>
      <w:r w:rsidRPr="002541C7">
        <w:rPr>
          <w:lang w:eastAsia="lt-LT"/>
        </w:rPr>
        <w:t>Anoreksija, hiperkalemija, hiponatremija.</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rPr>
      </w:pPr>
      <w:r w:rsidRPr="002541C7">
        <w:rPr>
          <w:i/>
          <w:iCs/>
        </w:rPr>
        <w:t xml:space="preserve">Psichikos sutrikimai </w:t>
      </w:r>
    </w:p>
    <w:p w:rsidR="00F33D6C" w:rsidRPr="002541C7" w:rsidRDefault="00F33D6C" w:rsidP="00067BBC">
      <w:pPr>
        <w:pStyle w:val="BTEMEASMCA"/>
        <w:ind w:right="333"/>
        <w:rPr>
          <w:lang w:eastAsia="lt-LT"/>
        </w:rPr>
      </w:pPr>
      <w:r w:rsidRPr="002541C7">
        <w:rPr>
          <w:lang w:eastAsia="lt-LT"/>
        </w:rPr>
        <w:t>Mąstymo sutrikimas, depresija, nemiga, nerimas, nervingumas, psichozinės reakcijos, nenormalūs sapnai, haliucinacijos, euforija, dėmesio sutrikimas, mieguistumas.</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rPr>
      </w:pPr>
      <w:r w:rsidRPr="002541C7">
        <w:rPr>
          <w:i/>
          <w:iCs/>
        </w:rPr>
        <w:t xml:space="preserve">Nervų sistemos sutrikimai </w:t>
      </w:r>
    </w:p>
    <w:p w:rsidR="00F33D6C" w:rsidRPr="002541C7" w:rsidRDefault="00F33D6C" w:rsidP="00067BBC">
      <w:pPr>
        <w:pStyle w:val="BTEMEASMCA"/>
        <w:ind w:right="333"/>
        <w:rPr>
          <w:lang w:eastAsia="lt-LT"/>
        </w:rPr>
      </w:pPr>
      <w:r w:rsidRPr="002541C7">
        <w:rPr>
          <w:lang w:eastAsia="lt-LT"/>
        </w:rPr>
        <w:t xml:space="preserve">Galvos skausmas, svaigulys, traukuliai, parestezija, hiperkinezija, skonio pokyčiai. </w:t>
      </w:r>
    </w:p>
    <w:p w:rsidR="00F33D6C" w:rsidRPr="002541C7" w:rsidRDefault="00F33D6C" w:rsidP="00067BBC">
      <w:pPr>
        <w:ind w:right="333"/>
        <w:rPr>
          <w:color w:val="000000"/>
          <w:sz w:val="22"/>
          <w:szCs w:val="22"/>
        </w:rPr>
      </w:pPr>
    </w:p>
    <w:p w:rsidR="00F33D6C" w:rsidRPr="002541C7" w:rsidRDefault="00F33D6C" w:rsidP="00067BBC">
      <w:pPr>
        <w:autoSpaceDE w:val="0"/>
        <w:autoSpaceDN w:val="0"/>
        <w:adjustRightInd w:val="0"/>
        <w:ind w:right="333"/>
        <w:rPr>
          <w:i/>
          <w:iCs/>
          <w:sz w:val="22"/>
          <w:szCs w:val="22"/>
          <w:lang w:eastAsia="lt-LT"/>
        </w:rPr>
      </w:pPr>
      <w:r w:rsidRPr="002541C7">
        <w:rPr>
          <w:i/>
          <w:iCs/>
          <w:sz w:val="22"/>
          <w:szCs w:val="22"/>
          <w:lang w:eastAsia="lt-LT"/>
        </w:rPr>
        <w:t>Akių sutrikimai</w:t>
      </w:r>
    </w:p>
    <w:p w:rsidR="00F33D6C" w:rsidRPr="002541C7" w:rsidRDefault="00F33D6C" w:rsidP="00067BBC">
      <w:pPr>
        <w:ind w:right="333"/>
        <w:rPr>
          <w:sz w:val="22"/>
          <w:szCs w:val="22"/>
        </w:rPr>
      </w:pPr>
      <w:r w:rsidRPr="002541C7">
        <w:rPr>
          <w:sz w:val="22"/>
          <w:szCs w:val="22"/>
        </w:rPr>
        <w:t>Sutrikęs matymas.</w:t>
      </w:r>
    </w:p>
    <w:p w:rsidR="00F33D6C" w:rsidRPr="002541C7" w:rsidRDefault="00F33D6C" w:rsidP="00067BBC">
      <w:pPr>
        <w:ind w:right="333"/>
        <w:rPr>
          <w:b/>
          <w:bCs/>
          <w:i/>
          <w:iCs/>
          <w:sz w:val="22"/>
          <w:szCs w:val="22"/>
          <w:lang w:eastAsia="lt-LT"/>
        </w:rPr>
      </w:pPr>
    </w:p>
    <w:p w:rsidR="00F33D6C" w:rsidRPr="002541C7" w:rsidRDefault="00F33D6C" w:rsidP="00067BBC">
      <w:pPr>
        <w:ind w:right="333"/>
        <w:rPr>
          <w:i/>
          <w:iCs/>
          <w:sz w:val="22"/>
          <w:szCs w:val="22"/>
          <w:lang w:eastAsia="lt-LT"/>
        </w:rPr>
      </w:pPr>
      <w:r w:rsidRPr="002541C7">
        <w:rPr>
          <w:i/>
          <w:iCs/>
          <w:sz w:val="22"/>
          <w:szCs w:val="22"/>
          <w:lang w:eastAsia="lt-LT"/>
        </w:rPr>
        <w:t>Ausų ir labirintų sutrikimai</w:t>
      </w:r>
    </w:p>
    <w:p w:rsidR="00F33D6C" w:rsidRPr="002541C7" w:rsidRDefault="00F33D6C" w:rsidP="00067BBC">
      <w:pPr>
        <w:ind w:right="333"/>
        <w:rPr>
          <w:sz w:val="22"/>
          <w:szCs w:val="22"/>
        </w:rPr>
      </w:pPr>
      <w:r w:rsidRPr="002541C7">
        <w:rPr>
          <w:sz w:val="22"/>
          <w:szCs w:val="22"/>
        </w:rPr>
        <w:t xml:space="preserve">Ūžesys, klausos išnykimas, </w:t>
      </w:r>
      <w:r w:rsidRPr="002541C7">
        <w:rPr>
          <w:i/>
          <w:sz w:val="22"/>
          <w:szCs w:val="22"/>
        </w:rPr>
        <w:t>vertigo.</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kern w:val="28"/>
        </w:rPr>
      </w:pPr>
      <w:r w:rsidRPr="002541C7">
        <w:rPr>
          <w:i/>
          <w:iCs/>
          <w:kern w:val="28"/>
        </w:rPr>
        <w:t xml:space="preserve">Inkstų ir šlapimo takų sutrikimai </w:t>
      </w:r>
    </w:p>
    <w:p w:rsidR="00F33D6C" w:rsidRPr="002541C7" w:rsidRDefault="00F33D6C" w:rsidP="00067BBC">
      <w:pPr>
        <w:ind w:right="333"/>
        <w:rPr>
          <w:sz w:val="22"/>
          <w:szCs w:val="22"/>
        </w:rPr>
      </w:pPr>
      <w:r w:rsidRPr="002541C7">
        <w:rPr>
          <w:sz w:val="22"/>
          <w:szCs w:val="22"/>
        </w:rPr>
        <w:t xml:space="preserve">Ūminis inkstų nepakankamumas, padažnėjęs šlapinimasis, intersticinis nefritas, nefrozinis sindromas, šlapimo susilaikymas, oligurija, hemolizinis ureminis sindromas, inkstų </w:t>
      </w:r>
      <w:r w:rsidRPr="002541C7">
        <w:rPr>
          <w:sz w:val="22"/>
          <w:szCs w:val="22"/>
        </w:rPr>
        <w:lastRenderedPageBreak/>
        <w:t xml:space="preserve">skausmai (kartu gali pasireikšti hematurija ir (arba) azotemija). Kaip ir kitų vaistinių preparatų, kurie slopina inkstų prostaglandinų sintezę, atveju, pavartojus vieną ketorolako dozę gali pasireikšti inkstų veiklos sutrikimo požymiai, įskaitant, bet neapsiribojant kreatinino ir kalio koncentracijos padidėjimu. </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kern w:val="28"/>
        </w:rPr>
      </w:pPr>
      <w:r w:rsidRPr="002541C7">
        <w:rPr>
          <w:i/>
          <w:iCs/>
          <w:kern w:val="28"/>
        </w:rPr>
        <w:t xml:space="preserve">Širdies sutrikimai </w:t>
      </w:r>
    </w:p>
    <w:p w:rsidR="00F33D6C" w:rsidRPr="002541C7" w:rsidRDefault="00F33D6C" w:rsidP="00067BBC">
      <w:pPr>
        <w:ind w:right="333"/>
        <w:rPr>
          <w:sz w:val="22"/>
          <w:szCs w:val="22"/>
        </w:rPr>
      </w:pPr>
      <w:r w:rsidRPr="002541C7">
        <w:rPr>
          <w:sz w:val="22"/>
          <w:szCs w:val="22"/>
        </w:rPr>
        <w:t>Palpitacijos, bradikardija, širdies nepakankamumas.</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kern w:val="28"/>
        </w:rPr>
      </w:pPr>
      <w:r w:rsidRPr="002541C7">
        <w:rPr>
          <w:i/>
          <w:iCs/>
          <w:kern w:val="28"/>
        </w:rPr>
        <w:t xml:space="preserve">Kraujagyslių sutrikimai </w:t>
      </w:r>
    </w:p>
    <w:p w:rsidR="00F33D6C" w:rsidRPr="002541C7" w:rsidRDefault="00F33D6C" w:rsidP="00067BBC">
      <w:pPr>
        <w:ind w:right="333"/>
        <w:rPr>
          <w:b/>
          <w:bCs/>
          <w:sz w:val="22"/>
          <w:szCs w:val="22"/>
        </w:rPr>
      </w:pPr>
      <w:r w:rsidRPr="002541C7">
        <w:rPr>
          <w:sz w:val="22"/>
          <w:szCs w:val="22"/>
        </w:rPr>
        <w:t>Hipertenzija, hipotenzija, hematoma, veido ir kaklo paraudimas, blyškumas, kraujavimas iš pooperacinių žaidų.</w:t>
      </w:r>
    </w:p>
    <w:p w:rsidR="00F33D6C" w:rsidRPr="002541C7" w:rsidRDefault="00F33D6C" w:rsidP="00067BBC">
      <w:pPr>
        <w:pStyle w:val="BTEMEASMCA"/>
        <w:ind w:right="333"/>
        <w:rPr>
          <w:kern w:val="28"/>
        </w:rPr>
      </w:pPr>
    </w:p>
    <w:p w:rsidR="00F33D6C" w:rsidRPr="002541C7" w:rsidRDefault="00F33D6C" w:rsidP="00067BBC">
      <w:pPr>
        <w:pStyle w:val="BTEMEASMCA"/>
        <w:ind w:right="333"/>
        <w:rPr>
          <w:lang w:val="lt-LT"/>
        </w:rPr>
      </w:pPr>
      <w:r w:rsidRPr="002541C7">
        <w:rPr>
          <w:kern w:val="28"/>
        </w:rPr>
        <w:t xml:space="preserve">Klinikiniai tyrimai ir epidemiologiniai duomenys patvirtina, kad kai kurių NVNU vartojimas (ypač didelėmis dozėmis ilgą laiką) gali būti susijęs su arterijų trombozės reiškinių (pvz., miokardo infarkto arba insulto) nedideliu rizikos padidėjimu (žr. 4.4 skyrių). </w:t>
      </w:r>
      <w:r w:rsidRPr="002541C7">
        <w:rPr>
          <w:lang w:val="lt-LT"/>
        </w:rPr>
        <w:t>Nors nėra įrodyta, kad ketorolakas didina trombozės reiškinių (pvz., miokardo infarkto ar insulto) riziką, tokiai galimybei atmesti duomenų nepakanka.</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kern w:val="28"/>
        </w:rPr>
      </w:pPr>
      <w:r w:rsidRPr="002541C7">
        <w:rPr>
          <w:i/>
          <w:iCs/>
          <w:kern w:val="28"/>
        </w:rPr>
        <w:t xml:space="preserve">Lytinės sistemos ir krūties sutrikimai </w:t>
      </w:r>
    </w:p>
    <w:p w:rsidR="00F33D6C" w:rsidRPr="002541C7" w:rsidRDefault="00F33D6C" w:rsidP="00067BBC">
      <w:pPr>
        <w:pStyle w:val="BTEMEASMCA"/>
        <w:ind w:right="333"/>
        <w:rPr>
          <w:kern w:val="28"/>
        </w:rPr>
      </w:pPr>
      <w:r w:rsidRPr="002541C7">
        <w:rPr>
          <w:kern w:val="28"/>
        </w:rPr>
        <w:t>Moterų nevaisingumas.</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kern w:val="28"/>
        </w:rPr>
      </w:pPr>
      <w:r w:rsidRPr="002541C7">
        <w:rPr>
          <w:i/>
          <w:iCs/>
          <w:kern w:val="28"/>
        </w:rPr>
        <w:t>Kvėpavimo sistemos, krūtinės ląstos ir tarpuplaučio sutrikimai</w:t>
      </w:r>
    </w:p>
    <w:p w:rsidR="00F33D6C" w:rsidRPr="002541C7" w:rsidRDefault="00F33D6C" w:rsidP="00067BBC">
      <w:pPr>
        <w:pStyle w:val="BTEMEASMCA"/>
        <w:ind w:right="333"/>
        <w:rPr>
          <w:kern w:val="28"/>
        </w:rPr>
      </w:pPr>
      <w:r w:rsidRPr="002541C7">
        <w:rPr>
          <w:kern w:val="28"/>
        </w:rPr>
        <w:t xml:space="preserve">Astma, </w:t>
      </w:r>
      <w:r w:rsidRPr="002541C7">
        <w:rPr>
          <w:lang w:val="lt-LT"/>
        </w:rPr>
        <w:t>dusulys</w:t>
      </w:r>
      <w:r w:rsidRPr="002541C7">
        <w:rPr>
          <w:kern w:val="28"/>
        </w:rPr>
        <w:t>, plaučių edema.</w:t>
      </w:r>
    </w:p>
    <w:p w:rsidR="00F33D6C" w:rsidRPr="002541C7" w:rsidRDefault="00F33D6C" w:rsidP="00067BBC">
      <w:pPr>
        <w:pStyle w:val="BTEMEASMCA"/>
        <w:ind w:right="333"/>
        <w:rPr>
          <w:kern w:val="28"/>
        </w:rPr>
      </w:pPr>
    </w:p>
    <w:p w:rsidR="00F33D6C" w:rsidRPr="002541C7" w:rsidRDefault="00F33D6C" w:rsidP="00067BBC">
      <w:pPr>
        <w:pStyle w:val="BTEMEASMCA"/>
        <w:ind w:right="333"/>
        <w:rPr>
          <w:kern w:val="28"/>
        </w:rPr>
      </w:pPr>
      <w:r w:rsidRPr="002541C7">
        <w:rPr>
          <w:i/>
          <w:iCs/>
          <w:lang w:val="es-ES"/>
        </w:rPr>
        <w:t>Kepenų, tulžies pūslės ir latakų sutrikimai</w:t>
      </w:r>
    </w:p>
    <w:p w:rsidR="00F33D6C" w:rsidRPr="002541C7" w:rsidRDefault="00F33D6C" w:rsidP="00067BBC">
      <w:pPr>
        <w:pStyle w:val="BTEMEASMCA"/>
        <w:ind w:right="333"/>
        <w:rPr>
          <w:kern w:val="28"/>
        </w:rPr>
      </w:pPr>
      <w:r w:rsidRPr="002541C7">
        <w:rPr>
          <w:kern w:val="28"/>
        </w:rPr>
        <w:t>Hepatitas, cholestazinė gelta ir kepenų nepakankamumas.</w:t>
      </w:r>
    </w:p>
    <w:p w:rsidR="00F33D6C" w:rsidRPr="002541C7" w:rsidRDefault="00F33D6C" w:rsidP="00067BBC">
      <w:pPr>
        <w:pStyle w:val="BTEMEASMCA"/>
        <w:ind w:right="333"/>
        <w:rPr>
          <w:i/>
          <w:iCs/>
          <w:kern w:val="28"/>
        </w:rPr>
      </w:pP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kern w:val="28"/>
        </w:rPr>
      </w:pPr>
      <w:r w:rsidRPr="002541C7">
        <w:rPr>
          <w:i/>
          <w:iCs/>
          <w:kern w:val="28"/>
        </w:rPr>
        <w:t xml:space="preserve">Odos ir poodinio audinio sutrikimai </w:t>
      </w:r>
    </w:p>
    <w:p w:rsidR="00F33D6C" w:rsidRPr="002541C7" w:rsidRDefault="00F33D6C" w:rsidP="00067BBC">
      <w:pPr>
        <w:pStyle w:val="BTEMEASMCA"/>
        <w:ind w:right="333"/>
        <w:rPr>
          <w:kern w:val="28"/>
        </w:rPr>
      </w:pPr>
      <w:r w:rsidRPr="002541C7">
        <w:rPr>
          <w:kern w:val="28"/>
        </w:rPr>
        <w:t xml:space="preserve">Eksfoliacinis dermatitas, makulopapulinis išbėrimas, niežėjimas, dilgėlinė, purpura, angioneurozinė edema, prakaitavimas, pūslinės reakcijos, įskaitant ir Stivenso-Džonsono sindromą, labai retai toksinė epidermio nekrolizė. </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kern w:val="28"/>
        </w:rPr>
      </w:pPr>
      <w:r w:rsidRPr="002541C7">
        <w:rPr>
          <w:i/>
          <w:iCs/>
          <w:kern w:val="28"/>
        </w:rPr>
        <w:t xml:space="preserve">Skeleto, raumenų ir jungiamojo audinio sutrikimai </w:t>
      </w:r>
    </w:p>
    <w:p w:rsidR="00F33D6C" w:rsidRPr="002541C7" w:rsidRDefault="00F33D6C" w:rsidP="00067BBC">
      <w:pPr>
        <w:pStyle w:val="BTEMEASMCA"/>
        <w:ind w:right="333"/>
        <w:rPr>
          <w:kern w:val="28"/>
        </w:rPr>
      </w:pPr>
      <w:r w:rsidRPr="002541C7">
        <w:rPr>
          <w:kern w:val="28"/>
        </w:rPr>
        <w:t>Raumenų skausmas.</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kern w:val="28"/>
        </w:rPr>
      </w:pPr>
      <w:r w:rsidRPr="002541C7">
        <w:rPr>
          <w:i/>
          <w:iCs/>
          <w:kern w:val="28"/>
        </w:rPr>
        <w:t>Bendrieji sutrikimai ir vartojimo vietos pažeidimai</w:t>
      </w:r>
    </w:p>
    <w:p w:rsidR="00F33D6C" w:rsidRPr="002541C7" w:rsidRDefault="00F33D6C" w:rsidP="00067BBC">
      <w:pPr>
        <w:pStyle w:val="BTEMEASMCA"/>
        <w:ind w:right="333"/>
        <w:rPr>
          <w:kern w:val="28"/>
        </w:rPr>
      </w:pPr>
      <w:r w:rsidRPr="002541C7">
        <w:rPr>
          <w:kern w:val="28"/>
        </w:rPr>
        <w:t>Stiprus troškulys, astenija, edema, karščiavimas, krūtinės skausmas.</w:t>
      </w:r>
    </w:p>
    <w:p w:rsidR="00F33D6C" w:rsidRPr="002541C7" w:rsidRDefault="00F33D6C" w:rsidP="00067BBC">
      <w:pPr>
        <w:pStyle w:val="BTEMEASMCA"/>
        <w:ind w:right="333"/>
        <w:rPr>
          <w:kern w:val="28"/>
        </w:rPr>
      </w:pPr>
    </w:p>
    <w:p w:rsidR="00F33D6C" w:rsidRPr="002541C7" w:rsidRDefault="00F33D6C" w:rsidP="00067BBC">
      <w:pPr>
        <w:pStyle w:val="BTEMEASMCA"/>
        <w:ind w:right="333"/>
        <w:rPr>
          <w:i/>
          <w:iCs/>
          <w:kern w:val="28"/>
        </w:rPr>
      </w:pPr>
      <w:r w:rsidRPr="002541C7">
        <w:rPr>
          <w:i/>
          <w:iCs/>
          <w:kern w:val="28"/>
        </w:rPr>
        <w:t>Tyrimai</w:t>
      </w:r>
    </w:p>
    <w:p w:rsidR="00F33D6C" w:rsidRPr="002541C7" w:rsidRDefault="00F33D6C" w:rsidP="00067BBC">
      <w:pPr>
        <w:pStyle w:val="BTEMEASMCA"/>
        <w:ind w:right="333"/>
        <w:rPr>
          <w:kern w:val="28"/>
        </w:rPr>
      </w:pPr>
      <w:r w:rsidRPr="002541C7">
        <w:rPr>
          <w:kern w:val="28"/>
        </w:rPr>
        <w:t>Kraujavimo laiko pailgėjimas, šlapalo koncentracijos serume padidėjimas, kreatinino kiekio padidėjimas, kepenų funkcijos tyrimų rodmenų pokyčiai.</w:t>
      </w:r>
    </w:p>
    <w:p w:rsidR="00F33D6C" w:rsidRPr="002541C7" w:rsidRDefault="00F33D6C" w:rsidP="00067BBC">
      <w:pPr>
        <w:pStyle w:val="BTEMEASMCA"/>
        <w:ind w:right="333"/>
        <w:rPr>
          <w:kern w:val="28"/>
        </w:rPr>
      </w:pPr>
    </w:p>
    <w:p w:rsidR="00F33D6C" w:rsidRPr="002541C7" w:rsidRDefault="00F33D6C" w:rsidP="00067BBC">
      <w:pPr>
        <w:autoSpaceDE w:val="0"/>
        <w:autoSpaceDN w:val="0"/>
        <w:adjustRightInd w:val="0"/>
        <w:ind w:right="333"/>
        <w:jc w:val="both"/>
        <w:rPr>
          <w:sz w:val="22"/>
          <w:szCs w:val="22"/>
          <w:u w:val="single"/>
        </w:rPr>
      </w:pPr>
      <w:r w:rsidRPr="002541C7">
        <w:rPr>
          <w:noProof/>
          <w:sz w:val="22"/>
          <w:szCs w:val="22"/>
          <w:u w:val="single"/>
        </w:rPr>
        <w:lastRenderedPageBreak/>
        <w:t>Pranešimas apie įtariamas nepageidaujamas reakcijas</w:t>
      </w:r>
    </w:p>
    <w:p w:rsidR="00F33D6C" w:rsidRPr="002541C7" w:rsidRDefault="00F33D6C" w:rsidP="00067BBC">
      <w:pPr>
        <w:autoSpaceDE w:val="0"/>
        <w:autoSpaceDN w:val="0"/>
        <w:adjustRightInd w:val="0"/>
        <w:ind w:right="333"/>
        <w:jc w:val="both"/>
        <w:rPr>
          <w:noProof/>
          <w:sz w:val="22"/>
          <w:szCs w:val="22"/>
        </w:rPr>
      </w:pPr>
      <w:r w:rsidRPr="002541C7">
        <w:rPr>
          <w:noProof/>
          <w:sz w:val="22"/>
          <w:szCs w:val="22"/>
        </w:rPr>
        <w:t>Svarbu pranešti apie įtariamas nepageidaujamas reakcijas, pastebėtas po vaistinio preparato pateikimo į rinką, nes tai leidžia nuolat stebėti vaistinio preparato naudos ir rizikos santykį.</w:t>
      </w:r>
      <w:r w:rsidRPr="002541C7">
        <w:rPr>
          <w:sz w:val="22"/>
          <w:szCs w:val="22"/>
        </w:rPr>
        <w:t xml:space="preserve"> </w:t>
      </w:r>
      <w:r w:rsidRPr="002541C7">
        <w:rPr>
          <w:noProof/>
          <w:sz w:val="22"/>
          <w:szCs w:val="22"/>
        </w:rPr>
        <w:t>Sveikatos priežiūros specialistai turi pranešti apie bet kokias įtariamas nepageidaujamas reakcijas, užpildę interneto svetainėje http://</w:t>
      </w:r>
      <w:hyperlink r:id="rId7" w:history="1">
        <w:r w:rsidRPr="002541C7">
          <w:rPr>
            <w:rStyle w:val="Hipersaitas"/>
            <w:rFonts w:eastAsia="SimSun"/>
            <w:noProof/>
            <w:sz w:val="22"/>
            <w:szCs w:val="22"/>
          </w:rPr>
          <w:t>www.vvkt.lt</w:t>
        </w:r>
      </w:hyperlink>
      <w:r w:rsidRPr="002541C7">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2541C7">
          <w:rPr>
            <w:rStyle w:val="Hipersaitas"/>
            <w:rFonts w:eastAsia="SimSun"/>
            <w:noProof/>
            <w:sz w:val="22"/>
            <w:szCs w:val="22"/>
          </w:rPr>
          <w:t>NepageidaujamaR@vvkt.lt</w:t>
        </w:r>
      </w:hyperlink>
      <w:r w:rsidRPr="002541C7">
        <w:rPr>
          <w:noProof/>
          <w:sz w:val="22"/>
          <w:szCs w:val="22"/>
        </w:rPr>
        <w:t>.</w:t>
      </w:r>
    </w:p>
    <w:p w:rsidR="00F33D6C" w:rsidRPr="002541C7" w:rsidRDefault="00F33D6C" w:rsidP="00067BBC">
      <w:pPr>
        <w:pStyle w:val="BTEMEASMCA"/>
        <w:ind w:right="333"/>
        <w:rPr>
          <w:kern w:val="28"/>
        </w:rPr>
      </w:pPr>
    </w:p>
    <w:p w:rsidR="00F33D6C" w:rsidRPr="002541C7" w:rsidRDefault="00F33D6C" w:rsidP="00067BBC">
      <w:pPr>
        <w:pStyle w:val="BTEMEASMCA"/>
        <w:ind w:right="333"/>
      </w:pPr>
    </w:p>
    <w:p w:rsidR="00F33D6C" w:rsidRPr="002541C7" w:rsidRDefault="00F33D6C" w:rsidP="00067BBC">
      <w:pPr>
        <w:pStyle w:val="PI-2EMEASMCA"/>
        <w:ind w:right="333"/>
      </w:pPr>
      <w:bookmarkStart w:id="30" w:name="_Toc129243110"/>
      <w:bookmarkStart w:id="31" w:name="_Toc129243235"/>
      <w:r w:rsidRPr="002541C7">
        <w:t>4.9</w:t>
      </w:r>
      <w:r w:rsidRPr="002541C7">
        <w:tab/>
        <w:t>Perdozavimas</w:t>
      </w:r>
      <w:bookmarkEnd w:id="30"/>
      <w:bookmarkEnd w:id="31"/>
    </w:p>
    <w:p w:rsidR="00F33D6C" w:rsidRPr="002541C7" w:rsidRDefault="00F33D6C" w:rsidP="00067BBC">
      <w:pPr>
        <w:pStyle w:val="BTEMEASMCA"/>
        <w:ind w:right="333"/>
      </w:pPr>
    </w:p>
    <w:p w:rsidR="00F33D6C" w:rsidRPr="002541C7" w:rsidRDefault="00F33D6C" w:rsidP="00067BBC">
      <w:pPr>
        <w:pStyle w:val="BTEMEASMCA"/>
        <w:ind w:right="333"/>
        <w:rPr>
          <w:i/>
          <w:iCs/>
          <w:kern w:val="28"/>
        </w:rPr>
      </w:pPr>
      <w:r w:rsidRPr="002541C7">
        <w:rPr>
          <w:i/>
          <w:iCs/>
          <w:kern w:val="28"/>
        </w:rPr>
        <w:t>Simptomai ir požymiai</w:t>
      </w:r>
    </w:p>
    <w:p w:rsidR="00F33D6C" w:rsidRPr="002541C7" w:rsidRDefault="00F33D6C" w:rsidP="00067BBC">
      <w:pPr>
        <w:ind w:right="333"/>
        <w:rPr>
          <w:sz w:val="22"/>
          <w:szCs w:val="22"/>
        </w:rPr>
      </w:pPr>
      <w:r w:rsidRPr="002541C7">
        <w:rPr>
          <w:sz w:val="22"/>
          <w:szCs w:val="22"/>
        </w:rPr>
        <w:t>Perdozavus Ketanov, gali pasireikšti pilvo skausmas, pykinimas, vėmimas, hiperventiliacija, peptinė opa ir (ar) erozinis gastritas, sutrikti inkstų funkcija. Simptomai paprastai išnyksta nutraukus Ketanov vartojimą.</w:t>
      </w:r>
    </w:p>
    <w:p w:rsidR="00F33D6C" w:rsidRPr="002541C7" w:rsidRDefault="00F33D6C" w:rsidP="00067BBC">
      <w:pPr>
        <w:ind w:right="333"/>
        <w:rPr>
          <w:sz w:val="22"/>
          <w:szCs w:val="22"/>
        </w:rPr>
      </w:pPr>
      <w:r w:rsidRPr="002541C7">
        <w:rPr>
          <w:sz w:val="22"/>
          <w:szCs w:val="22"/>
        </w:rPr>
        <w:t>Gali atsirasti virškinimo trakto kraujavimas. Pavartojus NVNU, retai gali apsirasti hipertenzija, ūminis inkstų nepakankamumas, kvėpavimo slopinimas ir koma.</w:t>
      </w:r>
    </w:p>
    <w:p w:rsidR="00F33D6C" w:rsidRPr="002541C7" w:rsidRDefault="00F33D6C" w:rsidP="00067BBC">
      <w:pPr>
        <w:ind w:right="333"/>
        <w:rPr>
          <w:color w:val="000000"/>
          <w:sz w:val="22"/>
          <w:szCs w:val="22"/>
        </w:rPr>
      </w:pPr>
      <w:r w:rsidRPr="002541C7">
        <w:rPr>
          <w:sz w:val="22"/>
          <w:szCs w:val="22"/>
        </w:rPr>
        <w:t>Buvo pranešta apie anafilaksines reakcijas pavartojus terapines NVNU dozes, kurios gali pasireikšti ir po perdozavimo.</w:t>
      </w:r>
    </w:p>
    <w:p w:rsidR="00F33D6C" w:rsidRPr="002541C7" w:rsidRDefault="00F33D6C" w:rsidP="00067BBC">
      <w:pPr>
        <w:ind w:right="333"/>
        <w:rPr>
          <w:sz w:val="22"/>
          <w:szCs w:val="22"/>
        </w:rPr>
      </w:pPr>
    </w:p>
    <w:p w:rsidR="00F33D6C" w:rsidRPr="002541C7" w:rsidRDefault="00F33D6C" w:rsidP="00067BBC">
      <w:pPr>
        <w:pStyle w:val="BTEMEASMCA"/>
        <w:ind w:right="333"/>
        <w:rPr>
          <w:i/>
          <w:iCs/>
          <w:kern w:val="28"/>
        </w:rPr>
      </w:pPr>
      <w:r w:rsidRPr="002541C7">
        <w:rPr>
          <w:i/>
          <w:iCs/>
          <w:kern w:val="28"/>
        </w:rPr>
        <w:t>Gydymas</w:t>
      </w:r>
    </w:p>
    <w:p w:rsidR="00F33D6C" w:rsidRPr="002541C7" w:rsidRDefault="00F33D6C" w:rsidP="00067BBC">
      <w:pPr>
        <w:ind w:right="333"/>
        <w:rPr>
          <w:sz w:val="22"/>
          <w:szCs w:val="22"/>
        </w:rPr>
      </w:pPr>
      <w:r w:rsidRPr="002541C7">
        <w:rPr>
          <w:sz w:val="22"/>
          <w:szCs w:val="22"/>
        </w:rPr>
        <w:t>Ketorolako perdozavusius pacientus reikia kruopščiai tikrinti ir gydyti simptominėmis bei palaikančiomis priemonėmis. Specifinio priešnuodžio nėra. Dializė reikšmingai nepašalina ketorolako iš kraujotakos.</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EMEASMCA"/>
        <w:ind w:right="333"/>
      </w:pPr>
      <w:bookmarkStart w:id="32" w:name="_Toc129243111"/>
      <w:bookmarkStart w:id="33" w:name="_Toc129243236"/>
      <w:r w:rsidRPr="002541C7">
        <w:t>5.</w:t>
      </w:r>
      <w:r w:rsidRPr="002541C7">
        <w:tab/>
        <w:t>FARMAKOLOGINĖS SAVYBĖS</w:t>
      </w:r>
      <w:bookmarkEnd w:id="32"/>
      <w:bookmarkEnd w:id="33"/>
    </w:p>
    <w:p w:rsidR="00F33D6C" w:rsidRPr="002541C7" w:rsidRDefault="00F33D6C" w:rsidP="00067BBC">
      <w:pPr>
        <w:pStyle w:val="BTEMEASMCA"/>
        <w:ind w:right="333"/>
      </w:pPr>
    </w:p>
    <w:p w:rsidR="00F33D6C" w:rsidRPr="002541C7" w:rsidRDefault="00F33D6C" w:rsidP="00067BBC">
      <w:pPr>
        <w:pStyle w:val="PI-2EMEASMCA"/>
        <w:ind w:right="333"/>
      </w:pPr>
      <w:bookmarkStart w:id="34" w:name="_Toc129243112"/>
      <w:bookmarkStart w:id="35" w:name="_Toc129243237"/>
      <w:r w:rsidRPr="002541C7">
        <w:t>5.1</w:t>
      </w:r>
      <w:r w:rsidRPr="002541C7">
        <w:tab/>
        <w:t>Farmakodinaminės savybės</w:t>
      </w:r>
      <w:bookmarkEnd w:id="34"/>
      <w:bookmarkEnd w:id="35"/>
    </w:p>
    <w:p w:rsidR="00F33D6C" w:rsidRPr="002541C7" w:rsidRDefault="00F33D6C" w:rsidP="00067BBC">
      <w:pPr>
        <w:pStyle w:val="BTEMEASMCA"/>
        <w:ind w:right="333"/>
      </w:pPr>
    </w:p>
    <w:p w:rsidR="00F33D6C" w:rsidRPr="002541C7" w:rsidRDefault="00F33D6C" w:rsidP="00067BBC">
      <w:pPr>
        <w:pStyle w:val="BTEMEASMCA"/>
        <w:ind w:right="333"/>
      </w:pPr>
      <w:r w:rsidRPr="002541C7">
        <w:t xml:space="preserve">Farmakoterapinė grupė </w:t>
      </w:r>
      <w:r w:rsidRPr="002541C7">
        <w:noBreakHyphen/>
        <w:t xml:space="preserve"> nesteroidiniai priešuždegiminiai ir priešreumatiniai vaistai. Acto rūgšties dariniai ir jiems artimos medžiagos, ATC kodas </w:t>
      </w:r>
      <w:r w:rsidRPr="002541C7">
        <w:noBreakHyphen/>
        <w:t xml:space="preserve"> M01A B15.</w:t>
      </w:r>
    </w:p>
    <w:p w:rsidR="00F33D6C" w:rsidRPr="002541C7" w:rsidRDefault="00F33D6C" w:rsidP="00067BBC">
      <w:pPr>
        <w:pStyle w:val="BTEMEASMCA"/>
        <w:ind w:right="333"/>
      </w:pPr>
    </w:p>
    <w:p w:rsidR="00F33D6C" w:rsidRPr="002541C7" w:rsidRDefault="00F33D6C" w:rsidP="00067BBC">
      <w:pPr>
        <w:pStyle w:val="BTEMEASMCA"/>
        <w:ind w:right="333"/>
      </w:pPr>
      <w:r w:rsidRPr="002541C7">
        <w:t>Ketorolakas yra stiprus skausmą malšinantis vaistinis preparatas, priklausantis nesteroidiniams vaistams nuo uždegimo. Šis vaistinis preparatas slopina ciklooksigenazės fermentų sistemos aktyvumą ir prostaglandinų sintezę. Skausmą malšinančios dozės šiek tiek slopina uždegimą.</w:t>
      </w:r>
    </w:p>
    <w:p w:rsidR="00F33D6C" w:rsidRPr="002541C7" w:rsidRDefault="00F33D6C" w:rsidP="00067BBC">
      <w:pPr>
        <w:pStyle w:val="BTEMEASMCA"/>
        <w:ind w:right="333"/>
      </w:pPr>
      <w:r w:rsidRPr="002541C7">
        <w:t xml:space="preserve">Ketorolakas yra nenarkotinis analgetikas, nesteroidinis vaistas nuo uždegimo. Jis slopina uždegimą, malšina skausmą ir silpnai mažina padidėjusią kūno temperatūrą. Manoma, kad šio medikamento veikimo mechanizmas yra susijęs su fermento ciklooksigenazės, dalyvaujančios </w:t>
      </w:r>
      <w:r w:rsidRPr="002541C7">
        <w:lastRenderedPageBreak/>
        <w:t xml:space="preserve">prostaglandinų sintezėje, aktyvumo slopinimu. Ketorolakas - ne opioidas, jo poveikis opioidiniams receptoriams nenustatytas. </w:t>
      </w:r>
    </w:p>
    <w:p w:rsidR="00F33D6C" w:rsidRPr="002541C7" w:rsidRDefault="00F33D6C" w:rsidP="00067BBC">
      <w:pPr>
        <w:pStyle w:val="BTEMEASMCA"/>
        <w:ind w:right="333"/>
      </w:pPr>
      <w:r w:rsidRPr="002541C7">
        <w:t>Kontroliuojamų klinikinių tyrimų metu nustatyta, kad ketorolakas neturi įtakos kvėpavimo slopinimui. Ketorolakas nesutraukia vyzdžių.</w:t>
      </w:r>
    </w:p>
    <w:p w:rsidR="00F33D6C" w:rsidRPr="002541C7" w:rsidRDefault="00F33D6C" w:rsidP="00067BBC">
      <w:pPr>
        <w:pStyle w:val="BTEMEASMCA"/>
        <w:ind w:right="333"/>
      </w:pPr>
    </w:p>
    <w:p w:rsidR="00F33D6C" w:rsidRPr="002541C7" w:rsidRDefault="00F33D6C" w:rsidP="00067BBC">
      <w:pPr>
        <w:pStyle w:val="PI-2EMEASMCA"/>
        <w:ind w:right="333"/>
      </w:pPr>
      <w:bookmarkStart w:id="36" w:name="_Toc129243113"/>
      <w:bookmarkStart w:id="37" w:name="_Toc129243238"/>
      <w:r w:rsidRPr="002541C7">
        <w:t>5.2</w:t>
      </w:r>
      <w:r w:rsidRPr="002541C7">
        <w:tab/>
        <w:t>Farmakokinetinės savybės</w:t>
      </w:r>
      <w:bookmarkEnd w:id="36"/>
      <w:bookmarkEnd w:id="37"/>
    </w:p>
    <w:p w:rsidR="00F33D6C" w:rsidRPr="002541C7" w:rsidRDefault="00F33D6C" w:rsidP="00067BBC">
      <w:pPr>
        <w:pStyle w:val="BTEMEASMCA"/>
        <w:ind w:right="333"/>
      </w:pPr>
    </w:p>
    <w:p w:rsidR="00F33D6C" w:rsidRPr="002541C7" w:rsidRDefault="00F33D6C" w:rsidP="00067BBC">
      <w:pPr>
        <w:pStyle w:val="BTEMEASMCA"/>
        <w:ind w:right="333"/>
      </w:pPr>
      <w:r w:rsidRPr="002541C7">
        <w:t xml:space="preserve">Išgertas ketorolakas visas greitai rezorbuojasi iš virškinimo trakto. Išgėrus 10 mg šio medikamento, vidutinė didžiausia, t.y. 0,87 mg/l, koncentracija plazmoje atsiranda maždaug per 50 minučių. Ketorolako pusinės eliminacijos laikas plazmoje sveikiems pacientams vidutiniškai yra 5,4 valandos. Šis laikas pacientams, kurių inkstų funkcija pažeista, bei senyviems žmonėms yra ilgesnis – 6,2 valandos. Ne daugiau kaip 99% vaisto jungiasi su plazmos baltymais. </w:t>
      </w:r>
    </w:p>
    <w:p w:rsidR="00F33D6C" w:rsidRPr="002541C7" w:rsidRDefault="00F33D6C" w:rsidP="00067BBC">
      <w:pPr>
        <w:pStyle w:val="BTEMEASMCA"/>
        <w:ind w:right="333"/>
      </w:pPr>
    </w:p>
    <w:p w:rsidR="00F33D6C" w:rsidRPr="002541C7" w:rsidRDefault="00F33D6C" w:rsidP="00067BBC">
      <w:pPr>
        <w:pStyle w:val="BTEMEASMCA"/>
        <w:ind w:right="333"/>
      </w:pPr>
      <w:r w:rsidRPr="002541C7">
        <w:t>Per hematoencefalinį barjerą jis prasiskverbia blogai. Šiek tiek šio vaistinio preparato patenka į motinos pieną. Organizme metabolizuojama mažiau kaip 50% pavartotos dozės. Svarbiausi šio preparato metabolitai (junginiai su gliukuronidu ir p – hidroksiketorolakas) nėra farmakologiškai veiklūs.</w:t>
      </w:r>
    </w:p>
    <w:p w:rsidR="00F33D6C" w:rsidRPr="002541C7" w:rsidRDefault="00F33D6C" w:rsidP="00067BBC">
      <w:pPr>
        <w:pStyle w:val="BTEMEASMCA"/>
        <w:ind w:right="333"/>
      </w:pPr>
    </w:p>
    <w:p w:rsidR="00F33D6C" w:rsidRPr="002541C7" w:rsidRDefault="00F33D6C" w:rsidP="00067BBC">
      <w:pPr>
        <w:pStyle w:val="BTEMEASMCA"/>
        <w:ind w:right="333"/>
      </w:pPr>
      <w:r w:rsidRPr="002541C7">
        <w:t>Vienos dozės ar kartotinių ketorolako dozių farmakokinetika žmogaus organizme yra tiesinė. Pusiausvyrinė koncentracija plazmoje atsiranda per vieną parą, vaistinio preparato vartojant kas šešias valandas. Vaisto vartojant ilgai, klirenso rodmenys nekinta. Paprastai ketorolakas ir jo metabolitai yra šalinami pro inkstus. Vidutiniškai 91,4% vaisto dozės išsiskiria su šlapimu, 6,1% išsiskiria su išmatomis.</w:t>
      </w:r>
    </w:p>
    <w:p w:rsidR="00F33D6C" w:rsidRPr="002541C7" w:rsidRDefault="00F33D6C" w:rsidP="00067BBC">
      <w:pPr>
        <w:pStyle w:val="BTEMEASMCA"/>
        <w:ind w:right="333"/>
      </w:pPr>
    </w:p>
    <w:p w:rsidR="00F33D6C" w:rsidRPr="002541C7" w:rsidRDefault="00F33D6C" w:rsidP="00067BBC">
      <w:pPr>
        <w:pStyle w:val="BTEMEASMCA"/>
        <w:ind w:right="333"/>
      </w:pPr>
      <w:r w:rsidRPr="002541C7">
        <w:t>Vartojant šį preparatą su labai riebiu maistu, sulėtėja jo rezorbcija, tačiau rezorbuojamas kiekis nesikeičia.</w:t>
      </w:r>
    </w:p>
    <w:p w:rsidR="00F33D6C" w:rsidRPr="002541C7" w:rsidRDefault="00F33D6C" w:rsidP="00067BBC">
      <w:pPr>
        <w:pStyle w:val="BTEMEASMCA"/>
        <w:ind w:right="333"/>
      </w:pPr>
    </w:p>
    <w:p w:rsidR="00F33D6C" w:rsidRPr="002541C7" w:rsidRDefault="00F33D6C" w:rsidP="00067BBC">
      <w:pPr>
        <w:pStyle w:val="PI-2EMEASMCA"/>
        <w:ind w:right="333"/>
      </w:pPr>
      <w:bookmarkStart w:id="38" w:name="_Toc129243114"/>
      <w:bookmarkStart w:id="39" w:name="_Toc129243239"/>
      <w:r w:rsidRPr="002541C7">
        <w:t>5.3</w:t>
      </w:r>
      <w:r w:rsidRPr="002541C7">
        <w:tab/>
        <w:t>Ikiklinikinių saugumo tyrimų duomenys</w:t>
      </w:r>
      <w:bookmarkEnd w:id="38"/>
      <w:bookmarkEnd w:id="39"/>
    </w:p>
    <w:p w:rsidR="00F33D6C" w:rsidRPr="002541C7" w:rsidRDefault="00F33D6C" w:rsidP="00067BBC">
      <w:pPr>
        <w:pStyle w:val="BTEMEASMCA"/>
        <w:ind w:right="333"/>
      </w:pPr>
    </w:p>
    <w:p w:rsidR="00F33D6C" w:rsidRPr="002541C7" w:rsidRDefault="00F33D6C" w:rsidP="00067BBC">
      <w:pPr>
        <w:autoSpaceDE w:val="0"/>
        <w:autoSpaceDN w:val="0"/>
        <w:adjustRightInd w:val="0"/>
        <w:ind w:right="333"/>
        <w:rPr>
          <w:sz w:val="22"/>
          <w:szCs w:val="22"/>
        </w:rPr>
      </w:pPr>
      <w:r w:rsidRPr="002541C7">
        <w:rPr>
          <w:sz w:val="22"/>
          <w:szCs w:val="22"/>
        </w:rPr>
        <w:t>18 mėnesių trukmės su pelėmis tyrimų metu, per parą buvo sugirdoma 2 mg/kg kūno masės ketorolako trometamolio dozė (</w:t>
      </w:r>
      <w:r w:rsidRPr="002541C7">
        <w:rPr>
          <w:color w:val="000000"/>
          <w:sz w:val="22"/>
          <w:szCs w:val="22"/>
        </w:rPr>
        <w:t xml:space="preserve">0,9 </w:t>
      </w:r>
      <w:r w:rsidRPr="002541C7">
        <w:rPr>
          <w:rStyle w:val="hps"/>
          <w:color w:val="000000"/>
          <w:sz w:val="22"/>
          <w:szCs w:val="22"/>
        </w:rPr>
        <w:t>žmogaus</w:t>
      </w:r>
      <w:r w:rsidRPr="002541C7">
        <w:rPr>
          <w:color w:val="000000"/>
          <w:sz w:val="22"/>
          <w:szCs w:val="22"/>
        </w:rPr>
        <w:t xml:space="preserve"> </w:t>
      </w:r>
      <w:r w:rsidRPr="002541C7">
        <w:rPr>
          <w:rStyle w:val="hps"/>
          <w:color w:val="000000"/>
          <w:sz w:val="22"/>
          <w:szCs w:val="22"/>
        </w:rPr>
        <w:t>sisteminės</w:t>
      </w:r>
      <w:r w:rsidRPr="002541C7">
        <w:rPr>
          <w:color w:val="000000"/>
          <w:sz w:val="22"/>
          <w:szCs w:val="22"/>
        </w:rPr>
        <w:t xml:space="preserve"> </w:t>
      </w:r>
      <w:r w:rsidRPr="002541C7">
        <w:rPr>
          <w:rStyle w:val="hps"/>
          <w:color w:val="000000"/>
          <w:sz w:val="22"/>
          <w:szCs w:val="22"/>
        </w:rPr>
        <w:t>ekspozicijos</w:t>
      </w:r>
      <w:r w:rsidRPr="002541C7">
        <w:rPr>
          <w:color w:val="000000"/>
          <w:sz w:val="22"/>
          <w:szCs w:val="22"/>
        </w:rPr>
        <w:t xml:space="preserve"> </w:t>
      </w:r>
      <w:r w:rsidRPr="002541C7">
        <w:rPr>
          <w:rStyle w:val="hps"/>
          <w:color w:val="000000"/>
          <w:sz w:val="22"/>
          <w:szCs w:val="22"/>
        </w:rPr>
        <w:t>esant rekomenduojamai 30 mg 4 kartus per parą dozei, parinktai remiantis pagal plotą</w:t>
      </w:r>
      <w:r w:rsidRPr="002541C7">
        <w:rPr>
          <w:color w:val="000000"/>
          <w:sz w:val="22"/>
          <w:szCs w:val="22"/>
        </w:rPr>
        <w:t xml:space="preserve"> </w:t>
      </w:r>
      <w:r w:rsidRPr="002541C7">
        <w:rPr>
          <w:rStyle w:val="hps"/>
          <w:color w:val="000000"/>
          <w:sz w:val="22"/>
          <w:szCs w:val="22"/>
        </w:rPr>
        <w:t>po</w:t>
      </w:r>
      <w:r w:rsidRPr="002541C7">
        <w:rPr>
          <w:color w:val="000000"/>
          <w:sz w:val="22"/>
          <w:szCs w:val="22"/>
        </w:rPr>
        <w:t xml:space="preserve"> </w:t>
      </w:r>
      <w:r w:rsidRPr="002541C7">
        <w:rPr>
          <w:rStyle w:val="hps"/>
          <w:color w:val="000000"/>
          <w:sz w:val="22"/>
          <w:szCs w:val="22"/>
        </w:rPr>
        <w:t>koncentracijos</w:t>
      </w:r>
      <w:r w:rsidRPr="002541C7">
        <w:rPr>
          <w:color w:val="000000"/>
          <w:sz w:val="22"/>
          <w:szCs w:val="22"/>
        </w:rPr>
        <w:t xml:space="preserve"> </w:t>
      </w:r>
      <w:r w:rsidRPr="002541C7">
        <w:rPr>
          <w:rStyle w:val="hps"/>
          <w:color w:val="000000"/>
          <w:sz w:val="22"/>
          <w:szCs w:val="22"/>
        </w:rPr>
        <w:t>plazmoje</w:t>
      </w:r>
      <w:r w:rsidRPr="002541C7">
        <w:rPr>
          <w:color w:val="000000"/>
          <w:sz w:val="22"/>
          <w:szCs w:val="22"/>
        </w:rPr>
        <w:t xml:space="preserve"> </w:t>
      </w:r>
      <w:r w:rsidRPr="002541C7">
        <w:rPr>
          <w:rStyle w:val="hps"/>
          <w:color w:val="000000"/>
          <w:sz w:val="22"/>
          <w:szCs w:val="22"/>
        </w:rPr>
        <w:t>ir laiko</w:t>
      </w:r>
      <w:r w:rsidRPr="002541C7">
        <w:rPr>
          <w:color w:val="000000"/>
          <w:sz w:val="22"/>
          <w:szCs w:val="22"/>
        </w:rPr>
        <w:t xml:space="preserve"> </w:t>
      </w:r>
      <w:r w:rsidRPr="002541C7">
        <w:rPr>
          <w:rStyle w:val="hps"/>
          <w:color w:val="000000"/>
          <w:sz w:val="22"/>
          <w:szCs w:val="22"/>
        </w:rPr>
        <w:t>kreive (AUC))</w:t>
      </w:r>
      <w:r w:rsidRPr="002541C7">
        <w:rPr>
          <w:sz w:val="22"/>
          <w:szCs w:val="22"/>
        </w:rPr>
        <w:t>, bei 24 mėnesių trukmės tyrimų su žiurkėmis metu, joms vartojant 5 mg/kg (0,5 žmogaus AUC) kūno masės per parą dozę, tumorogeninis poveikis nepasireiškė.</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i/>
          <w:iCs/>
          <w:sz w:val="22"/>
          <w:szCs w:val="22"/>
        </w:rPr>
        <w:lastRenderedPageBreak/>
        <w:t>Ames</w:t>
      </w:r>
      <w:r w:rsidRPr="002541C7">
        <w:rPr>
          <w:sz w:val="22"/>
          <w:szCs w:val="22"/>
        </w:rPr>
        <w:t xml:space="preserve"> testo, išprovokuoto DNR sintezės ir pažeistos DNR sunormalinimo bei ankstyvosios mutacijos tyrimo duomenimis, ketorolako trometamolis mutageninio poveikio nesukelia.</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i/>
          <w:iCs/>
          <w:sz w:val="22"/>
          <w:szCs w:val="22"/>
        </w:rPr>
        <w:t>In vivo</w:t>
      </w:r>
      <w:r w:rsidRPr="002541C7">
        <w:rPr>
          <w:sz w:val="22"/>
          <w:szCs w:val="22"/>
        </w:rPr>
        <w:t xml:space="preserve"> pelių mikrobranduolių tyrimų duomenimis ketorolako trometamolis chromosomų vientisumo pažeidimų nesukėlė. 1590 mikrogramų/ml ir didesnė ketorolako trometamolio koncentracija padažnino kininių žiurkėnų patelių kiaušidžių ląstelių chromosomų aberaciją. </w:t>
      </w:r>
    </w:p>
    <w:p w:rsidR="00F33D6C" w:rsidRPr="002541C7" w:rsidRDefault="00F33D6C" w:rsidP="00067BBC">
      <w:pPr>
        <w:autoSpaceDE w:val="0"/>
        <w:autoSpaceDN w:val="0"/>
        <w:adjustRightInd w:val="0"/>
        <w:ind w:right="333"/>
        <w:rPr>
          <w:sz w:val="22"/>
          <w:szCs w:val="22"/>
        </w:rPr>
      </w:pPr>
    </w:p>
    <w:p w:rsidR="00F33D6C" w:rsidRPr="002541C7" w:rsidRDefault="00F33D6C" w:rsidP="00067BBC">
      <w:pPr>
        <w:autoSpaceDE w:val="0"/>
        <w:autoSpaceDN w:val="0"/>
        <w:adjustRightInd w:val="0"/>
        <w:ind w:right="333"/>
        <w:rPr>
          <w:sz w:val="22"/>
          <w:szCs w:val="22"/>
        </w:rPr>
      </w:pPr>
      <w:r w:rsidRPr="002541C7">
        <w:rPr>
          <w:sz w:val="22"/>
          <w:szCs w:val="22"/>
        </w:rPr>
        <w:t>Tyrimų, kurių metu žiurkių patinams buvo sugirdoma 9 mg/kg kūno masės (0,9 žmogaus AUC), o patelėms - 16 mg/kg kūno masės (1,6 žmogaus AUC) ketorolako trometamolio dozė, gyvūnų vaisingumas nesumažėjo.</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EMEASMCA"/>
        <w:ind w:right="333"/>
      </w:pPr>
      <w:bookmarkStart w:id="40" w:name="_Toc129243115"/>
      <w:bookmarkStart w:id="41" w:name="_Toc129243240"/>
      <w:r w:rsidRPr="002541C7">
        <w:t>6.</w:t>
      </w:r>
      <w:r w:rsidRPr="002541C7">
        <w:tab/>
        <w:t>FARMACINĖ INFORMACIJA</w:t>
      </w:r>
      <w:bookmarkEnd w:id="40"/>
      <w:bookmarkEnd w:id="41"/>
    </w:p>
    <w:p w:rsidR="00F33D6C" w:rsidRPr="002541C7" w:rsidRDefault="00F33D6C" w:rsidP="00067BBC">
      <w:pPr>
        <w:pStyle w:val="BTEMEASMCA"/>
        <w:ind w:right="333"/>
      </w:pPr>
    </w:p>
    <w:p w:rsidR="00F33D6C" w:rsidRPr="002541C7" w:rsidRDefault="00F33D6C" w:rsidP="00067BBC">
      <w:pPr>
        <w:pStyle w:val="PI-2EMEASMCA"/>
        <w:ind w:right="333"/>
      </w:pPr>
      <w:bookmarkStart w:id="42" w:name="_Toc129243116"/>
      <w:bookmarkStart w:id="43" w:name="_Toc129243241"/>
      <w:r w:rsidRPr="002541C7">
        <w:t>6.1</w:t>
      </w:r>
      <w:r w:rsidRPr="002541C7">
        <w:tab/>
        <w:t>Pagalbinių medžiagų sąrašas</w:t>
      </w:r>
      <w:bookmarkEnd w:id="42"/>
      <w:bookmarkEnd w:id="43"/>
    </w:p>
    <w:p w:rsidR="00F33D6C" w:rsidRPr="002541C7" w:rsidRDefault="00F33D6C" w:rsidP="00067BBC">
      <w:pPr>
        <w:pStyle w:val="BTEMEASMCA"/>
        <w:ind w:right="333"/>
      </w:pPr>
    </w:p>
    <w:p w:rsidR="00F33D6C" w:rsidRPr="002541C7" w:rsidRDefault="00F33D6C" w:rsidP="00067BBC">
      <w:pPr>
        <w:pStyle w:val="BTEMEASMCA"/>
        <w:ind w:right="333"/>
      </w:pPr>
      <w:r w:rsidRPr="002541C7">
        <w:t>Manitolis (E 421)</w:t>
      </w:r>
    </w:p>
    <w:p w:rsidR="00F33D6C" w:rsidRPr="002541C7" w:rsidRDefault="00F33D6C" w:rsidP="00067BBC">
      <w:pPr>
        <w:pStyle w:val="BTEMEASMCA"/>
        <w:ind w:right="333"/>
      </w:pPr>
      <w:r w:rsidRPr="002541C7">
        <w:t>Mikrokristalinė celiuliozė</w:t>
      </w:r>
    </w:p>
    <w:p w:rsidR="00F33D6C" w:rsidRPr="002541C7" w:rsidRDefault="00F33D6C" w:rsidP="00067BBC">
      <w:pPr>
        <w:pStyle w:val="BTEMEASMCA"/>
        <w:ind w:right="333"/>
      </w:pPr>
      <w:r w:rsidRPr="002541C7">
        <w:t>Kukurūzų krakmolas</w:t>
      </w:r>
    </w:p>
    <w:p w:rsidR="00F33D6C" w:rsidRPr="002541C7" w:rsidRDefault="00F33D6C" w:rsidP="00067BBC">
      <w:pPr>
        <w:pStyle w:val="BTEMEASMCA"/>
        <w:ind w:right="333"/>
      </w:pPr>
      <w:r w:rsidRPr="002541C7">
        <w:t>Aspartamas (E 951)</w:t>
      </w:r>
    </w:p>
    <w:p w:rsidR="00F33D6C" w:rsidRPr="002541C7" w:rsidRDefault="00F33D6C" w:rsidP="00067BBC">
      <w:pPr>
        <w:pStyle w:val="BTEMEASMCA"/>
        <w:ind w:right="333"/>
      </w:pPr>
      <w:r w:rsidRPr="002541C7">
        <w:t>Krospovidonas  B</w:t>
      </w:r>
    </w:p>
    <w:p w:rsidR="00F33D6C" w:rsidRPr="002541C7" w:rsidRDefault="00F33D6C" w:rsidP="00067BBC">
      <w:pPr>
        <w:pStyle w:val="BTEMEASMCA"/>
        <w:ind w:right="333"/>
      </w:pPr>
      <w:r w:rsidRPr="002541C7">
        <w:t>Propilo galatas</w:t>
      </w:r>
    </w:p>
    <w:p w:rsidR="00F33D6C" w:rsidRPr="002541C7" w:rsidRDefault="00F33D6C" w:rsidP="00067BBC">
      <w:pPr>
        <w:pStyle w:val="BTEMEASMCA"/>
        <w:ind w:right="333"/>
      </w:pPr>
      <w:r w:rsidRPr="002541C7">
        <w:t>Indigokarminas (E 132)</w:t>
      </w:r>
    </w:p>
    <w:p w:rsidR="00F33D6C" w:rsidRPr="002541C7" w:rsidRDefault="00F33D6C" w:rsidP="00067BBC">
      <w:pPr>
        <w:pStyle w:val="BTEMEASMCA"/>
        <w:ind w:right="333"/>
      </w:pPr>
      <w:r w:rsidRPr="002541C7">
        <w:t>Pipirmėčių aromatinė medžiaga (sudėtyje yra natūralių aromatinų medžiagų, natūralioms identiškų aromatinių medžiagų, kukurūzų maltodekstrino, modifikuoto kukurūzų krakmolo (E 1450), glicerolio triacetato (E 1518), pulgeono)</w:t>
      </w:r>
    </w:p>
    <w:p w:rsidR="00F33D6C" w:rsidRPr="002541C7" w:rsidRDefault="00F33D6C" w:rsidP="00067BBC">
      <w:pPr>
        <w:pStyle w:val="BTEMEASMCA"/>
        <w:ind w:right="333"/>
      </w:pPr>
      <w:r w:rsidRPr="002541C7">
        <w:t>Magnio stearatas</w:t>
      </w:r>
    </w:p>
    <w:p w:rsidR="00F33D6C" w:rsidRPr="002541C7" w:rsidRDefault="00F33D6C" w:rsidP="00067BBC">
      <w:pPr>
        <w:pStyle w:val="BTEMEASMCA"/>
        <w:ind w:right="333"/>
      </w:pPr>
    </w:p>
    <w:p w:rsidR="00F33D6C" w:rsidRPr="002541C7" w:rsidRDefault="00F33D6C" w:rsidP="00067BBC">
      <w:pPr>
        <w:pStyle w:val="PI-2EMEASMCA"/>
        <w:ind w:right="333"/>
      </w:pPr>
      <w:bookmarkStart w:id="44" w:name="_Toc129243117"/>
      <w:bookmarkStart w:id="45" w:name="_Toc129243242"/>
      <w:r w:rsidRPr="002541C7">
        <w:t>6.2</w:t>
      </w:r>
      <w:r w:rsidRPr="002541C7">
        <w:tab/>
        <w:t>Nesuderinamumas</w:t>
      </w:r>
      <w:bookmarkEnd w:id="44"/>
      <w:bookmarkEnd w:id="45"/>
    </w:p>
    <w:p w:rsidR="00F33D6C" w:rsidRPr="002541C7" w:rsidRDefault="00F33D6C" w:rsidP="00067BBC">
      <w:pPr>
        <w:pStyle w:val="BTEMEASMCA"/>
        <w:ind w:right="333"/>
      </w:pPr>
    </w:p>
    <w:p w:rsidR="00F33D6C" w:rsidRPr="002541C7" w:rsidRDefault="00F33D6C" w:rsidP="00067BBC">
      <w:pPr>
        <w:pStyle w:val="BTEMEASMCA"/>
        <w:ind w:right="333"/>
        <w:rPr>
          <w:caps/>
        </w:rPr>
      </w:pPr>
      <w:r w:rsidRPr="002541C7">
        <w:t>Duomenys nebūtini.</w:t>
      </w:r>
    </w:p>
    <w:p w:rsidR="00F33D6C" w:rsidRPr="002541C7" w:rsidRDefault="00F33D6C" w:rsidP="00067BBC">
      <w:pPr>
        <w:pStyle w:val="BTEMEASMCA"/>
        <w:ind w:right="333"/>
      </w:pPr>
    </w:p>
    <w:p w:rsidR="00F33D6C" w:rsidRPr="002541C7" w:rsidRDefault="00F33D6C" w:rsidP="00067BBC">
      <w:pPr>
        <w:pStyle w:val="PI-2EMEASMCA"/>
        <w:ind w:right="333"/>
      </w:pPr>
      <w:bookmarkStart w:id="46" w:name="_Toc129243118"/>
      <w:bookmarkStart w:id="47" w:name="_Toc129243243"/>
      <w:r w:rsidRPr="002541C7">
        <w:t>6.3</w:t>
      </w:r>
      <w:r w:rsidRPr="002541C7">
        <w:tab/>
        <w:t>Tinkamumo laikas</w:t>
      </w:r>
      <w:bookmarkEnd w:id="46"/>
      <w:bookmarkEnd w:id="47"/>
    </w:p>
    <w:p w:rsidR="00F33D6C" w:rsidRPr="002541C7" w:rsidRDefault="00F33D6C" w:rsidP="00067BBC">
      <w:pPr>
        <w:pStyle w:val="BTEMEASMCA"/>
        <w:ind w:right="333"/>
      </w:pPr>
    </w:p>
    <w:p w:rsidR="00F33D6C" w:rsidRPr="002541C7" w:rsidRDefault="00F33D6C" w:rsidP="00067BBC">
      <w:pPr>
        <w:ind w:right="333"/>
        <w:rPr>
          <w:sz w:val="22"/>
          <w:szCs w:val="22"/>
        </w:rPr>
      </w:pPr>
      <w:r w:rsidRPr="002541C7">
        <w:rPr>
          <w:sz w:val="22"/>
          <w:szCs w:val="22"/>
          <w:lang w:val="pt-PT"/>
        </w:rPr>
        <w:t>2</w:t>
      </w:r>
      <w:r w:rsidRPr="002541C7">
        <w:rPr>
          <w:sz w:val="22"/>
          <w:szCs w:val="22"/>
        </w:rPr>
        <w:t xml:space="preserve"> metai</w:t>
      </w:r>
    </w:p>
    <w:p w:rsidR="00F33D6C" w:rsidRPr="002541C7" w:rsidRDefault="00F33D6C" w:rsidP="00067BBC">
      <w:pPr>
        <w:pStyle w:val="BTEMEASMCA"/>
        <w:ind w:right="333"/>
      </w:pPr>
    </w:p>
    <w:p w:rsidR="00F33D6C" w:rsidRPr="002541C7" w:rsidRDefault="00F33D6C" w:rsidP="00067BBC">
      <w:pPr>
        <w:pStyle w:val="PI-2EMEASMCA"/>
        <w:ind w:right="333"/>
      </w:pPr>
      <w:bookmarkStart w:id="48" w:name="_Toc129243119"/>
      <w:bookmarkStart w:id="49" w:name="_Toc129243244"/>
      <w:r w:rsidRPr="002541C7">
        <w:t>6.4</w:t>
      </w:r>
      <w:r w:rsidRPr="002541C7">
        <w:tab/>
        <w:t>Specialios laikymo sąlygos</w:t>
      </w:r>
      <w:bookmarkEnd w:id="48"/>
      <w:bookmarkEnd w:id="49"/>
    </w:p>
    <w:p w:rsidR="00F33D6C" w:rsidRPr="002541C7" w:rsidRDefault="00F33D6C" w:rsidP="00067BBC">
      <w:pPr>
        <w:pStyle w:val="BTEMEASMCA"/>
        <w:ind w:right="333"/>
      </w:pPr>
    </w:p>
    <w:p w:rsidR="00F33D6C" w:rsidRPr="002541C7" w:rsidRDefault="00F33D6C" w:rsidP="00067BBC">
      <w:pPr>
        <w:pStyle w:val="BTEMEASMCA"/>
        <w:ind w:right="333"/>
        <w:rPr>
          <w:lang w:val="lt-LT"/>
        </w:rPr>
      </w:pPr>
      <w:r w:rsidRPr="002541C7">
        <w:rPr>
          <w:lang w:val="lt-LT"/>
        </w:rPr>
        <w:t xml:space="preserve">Laikyti ne aukštesnėje kaip 25 </w:t>
      </w:r>
      <w:r w:rsidRPr="002541C7">
        <w:rPr>
          <w:lang w:val="lt-LT"/>
        </w:rPr>
        <w:sym w:font="Symbol" w:char="F0B0"/>
      </w:r>
      <w:r w:rsidRPr="002541C7">
        <w:rPr>
          <w:lang w:val="lt-LT"/>
        </w:rPr>
        <w:t>C temperatūroje.</w:t>
      </w:r>
    </w:p>
    <w:p w:rsidR="00F33D6C" w:rsidRPr="002541C7" w:rsidRDefault="00F33D6C" w:rsidP="00067BBC">
      <w:pPr>
        <w:ind w:right="333"/>
        <w:rPr>
          <w:sz w:val="22"/>
          <w:szCs w:val="22"/>
        </w:rPr>
      </w:pPr>
      <w:r w:rsidRPr="002541C7">
        <w:rPr>
          <w:sz w:val="22"/>
          <w:szCs w:val="22"/>
        </w:rPr>
        <w:t>Laikyti gamintojo pakuotėje, kad preparatas būtų apsaugotas nuo šviesos ir drėgmės.</w:t>
      </w:r>
    </w:p>
    <w:p w:rsidR="00F33D6C" w:rsidRPr="002541C7" w:rsidRDefault="00F33D6C" w:rsidP="00067BBC">
      <w:pPr>
        <w:pStyle w:val="BTEMEASMCA"/>
        <w:ind w:right="333"/>
        <w:rPr>
          <w:noProof w:val="0"/>
        </w:rPr>
      </w:pPr>
    </w:p>
    <w:p w:rsidR="00F33D6C" w:rsidRPr="002541C7" w:rsidRDefault="00F33D6C" w:rsidP="00067BBC">
      <w:pPr>
        <w:pStyle w:val="BTEMEASMCA"/>
        <w:ind w:right="333"/>
      </w:pPr>
    </w:p>
    <w:p w:rsidR="00F33D6C" w:rsidRPr="002541C7" w:rsidRDefault="00F33D6C" w:rsidP="00067BBC">
      <w:pPr>
        <w:pStyle w:val="PI-2EMEASMCA"/>
        <w:ind w:right="333"/>
      </w:pPr>
      <w:bookmarkStart w:id="50" w:name="_Toc129243120"/>
      <w:bookmarkStart w:id="51" w:name="_Toc129243245"/>
      <w:r w:rsidRPr="002541C7">
        <w:t>6.5</w:t>
      </w:r>
      <w:r w:rsidRPr="002541C7">
        <w:tab/>
        <w:t>Talpyklės pobūdis ir jos turinys</w:t>
      </w:r>
      <w:bookmarkEnd w:id="50"/>
      <w:bookmarkEnd w:id="51"/>
    </w:p>
    <w:p w:rsidR="00F33D6C" w:rsidRPr="002541C7" w:rsidRDefault="00F33D6C" w:rsidP="00067BBC">
      <w:pPr>
        <w:pStyle w:val="BTEMEASMCA"/>
        <w:ind w:right="333"/>
      </w:pPr>
    </w:p>
    <w:p w:rsidR="00F33D6C" w:rsidRPr="002541C7" w:rsidRDefault="00F33D6C" w:rsidP="00067BBC">
      <w:pPr>
        <w:pStyle w:val="BTEMEASMCA"/>
        <w:ind w:right="333"/>
      </w:pPr>
      <w:r w:rsidRPr="002541C7">
        <w:lastRenderedPageBreak/>
        <w:t>Šaltu būdu suformuota OPA/aliuminio/PVC/aliuminio lizdinė plokštelė, kurioje yra 10 tablečių. Kartono dėžutėje yra viena arba dvi lizdinės plokštelės.</w:t>
      </w:r>
    </w:p>
    <w:p w:rsidR="00F33D6C" w:rsidRPr="002541C7" w:rsidRDefault="00F33D6C" w:rsidP="00067BBC">
      <w:pPr>
        <w:pStyle w:val="Pagrindinistekstas"/>
        <w:ind w:right="333"/>
        <w:rPr>
          <w:b w:val="0"/>
          <w:sz w:val="22"/>
          <w:szCs w:val="22"/>
        </w:rPr>
      </w:pPr>
      <w:r w:rsidRPr="002541C7">
        <w:rPr>
          <w:b w:val="0"/>
          <w:sz w:val="22"/>
          <w:szCs w:val="22"/>
        </w:rPr>
        <w:t>Gali būti tiekiamos ne visų dydžių pakuotės.</w:t>
      </w:r>
    </w:p>
    <w:p w:rsidR="00F33D6C" w:rsidRPr="002541C7" w:rsidRDefault="00F33D6C" w:rsidP="00067BBC">
      <w:pPr>
        <w:pStyle w:val="BTEMEASMCA"/>
        <w:ind w:right="333"/>
      </w:pPr>
    </w:p>
    <w:p w:rsidR="00F33D6C" w:rsidRPr="002541C7" w:rsidRDefault="00F33D6C" w:rsidP="00067BBC">
      <w:pPr>
        <w:pStyle w:val="PI-2EMEASMCA"/>
        <w:ind w:right="333"/>
      </w:pPr>
      <w:bookmarkStart w:id="52" w:name="_Toc129243121"/>
      <w:bookmarkStart w:id="53" w:name="_Toc129243246"/>
      <w:r w:rsidRPr="002541C7">
        <w:t>6.6</w:t>
      </w:r>
      <w:r w:rsidRPr="002541C7">
        <w:tab/>
        <w:t xml:space="preserve">Specialūs reikalavimai atliekoms tvarkyti </w:t>
      </w:r>
      <w:bookmarkEnd w:id="52"/>
      <w:bookmarkEnd w:id="53"/>
    </w:p>
    <w:p w:rsidR="00F33D6C" w:rsidRPr="002541C7" w:rsidRDefault="00F33D6C" w:rsidP="00067BBC">
      <w:pPr>
        <w:pStyle w:val="BTEMEASMCA"/>
        <w:ind w:right="333"/>
      </w:pPr>
    </w:p>
    <w:p w:rsidR="00F33D6C" w:rsidRPr="002541C7" w:rsidRDefault="00F33D6C" w:rsidP="00067BBC">
      <w:pPr>
        <w:ind w:right="333"/>
        <w:rPr>
          <w:sz w:val="22"/>
          <w:szCs w:val="22"/>
        </w:rPr>
      </w:pPr>
      <w:r w:rsidRPr="002541C7">
        <w:rPr>
          <w:sz w:val="22"/>
          <w:szCs w:val="22"/>
        </w:rPr>
        <w:t>Specialių reikalavimų nėra.</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EMEASMCA"/>
        <w:ind w:right="333"/>
      </w:pPr>
      <w:bookmarkStart w:id="54" w:name="_Toc129243122"/>
      <w:bookmarkStart w:id="55" w:name="_Toc129243247"/>
      <w:r w:rsidRPr="002541C7">
        <w:t>7.</w:t>
      </w:r>
      <w:r w:rsidRPr="002541C7">
        <w:tab/>
        <w:t>RINKODAROS TEISĖS TURĖTOJAS</w:t>
      </w:r>
      <w:bookmarkEnd w:id="54"/>
      <w:bookmarkEnd w:id="55"/>
    </w:p>
    <w:p w:rsidR="00F33D6C" w:rsidRPr="002541C7" w:rsidRDefault="00F33D6C" w:rsidP="00067BBC">
      <w:pPr>
        <w:pStyle w:val="BTEMEASMCA"/>
        <w:ind w:right="333"/>
      </w:pPr>
    </w:p>
    <w:p w:rsidR="00F33D6C" w:rsidRPr="002541C7" w:rsidRDefault="00F33D6C" w:rsidP="00067BBC">
      <w:pPr>
        <w:ind w:right="333"/>
        <w:rPr>
          <w:sz w:val="22"/>
          <w:szCs w:val="22"/>
        </w:rPr>
      </w:pPr>
      <w:r w:rsidRPr="002541C7">
        <w:rPr>
          <w:sz w:val="22"/>
          <w:szCs w:val="22"/>
        </w:rPr>
        <w:t>Ranbaxy UK Ltd.</w:t>
      </w:r>
    </w:p>
    <w:p w:rsidR="00E21CDE" w:rsidRPr="009E04E0" w:rsidRDefault="00E21CDE" w:rsidP="00E21CDE">
      <w:pPr>
        <w:ind w:right="333"/>
        <w:rPr>
          <w:sz w:val="22"/>
          <w:szCs w:val="22"/>
        </w:rPr>
      </w:pPr>
      <w:r w:rsidRPr="009E04E0">
        <w:rPr>
          <w:sz w:val="22"/>
          <w:szCs w:val="22"/>
        </w:rPr>
        <w:t>5th floor, Hyde Park, Hayes 3</w:t>
      </w:r>
    </w:p>
    <w:p w:rsidR="00E21CDE" w:rsidRPr="009E04E0" w:rsidRDefault="00E21CDE" w:rsidP="00E21CDE">
      <w:pPr>
        <w:ind w:right="333"/>
        <w:rPr>
          <w:sz w:val="22"/>
          <w:szCs w:val="22"/>
        </w:rPr>
      </w:pPr>
      <w:r w:rsidRPr="009E04E0">
        <w:rPr>
          <w:sz w:val="22"/>
          <w:szCs w:val="22"/>
        </w:rPr>
        <w:t>11 Millington Road</w:t>
      </w:r>
    </w:p>
    <w:p w:rsidR="00E21CDE" w:rsidRDefault="00E21CDE" w:rsidP="00E21CDE">
      <w:pPr>
        <w:pStyle w:val="BTEMEASMCA"/>
        <w:ind w:right="333"/>
      </w:pPr>
      <w:r w:rsidRPr="009E04E0">
        <w:t>Hayes</w:t>
      </w:r>
      <w:r>
        <w:t>,</w:t>
      </w:r>
      <w:r w:rsidRPr="009E04E0">
        <w:t xml:space="preserve"> UB3 4AZ</w:t>
      </w:r>
      <w:r w:rsidRPr="009E04E0" w:rsidDel="009E04E0">
        <w:t xml:space="preserve"> </w:t>
      </w:r>
    </w:p>
    <w:p w:rsidR="00F33D6C" w:rsidRPr="002541C7" w:rsidRDefault="00F33D6C" w:rsidP="00067BBC">
      <w:pPr>
        <w:pStyle w:val="BTEMEASMCA"/>
        <w:ind w:right="333"/>
      </w:pPr>
      <w:r w:rsidRPr="002541C7">
        <w:t>Jungtinė Karalystė</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EMEASMCA"/>
        <w:ind w:right="333"/>
      </w:pPr>
      <w:bookmarkStart w:id="56" w:name="_Toc129243123"/>
      <w:bookmarkStart w:id="57" w:name="_Toc129243248"/>
      <w:r w:rsidRPr="002541C7">
        <w:t>8.</w:t>
      </w:r>
      <w:r w:rsidRPr="002541C7">
        <w:tab/>
        <w:t>RINKODAROS PAŽYMĖJIMO NUMERIS</w:t>
      </w:r>
      <w:bookmarkEnd w:id="56"/>
      <w:bookmarkEnd w:id="57"/>
      <w:r w:rsidRPr="002541C7">
        <w:t xml:space="preserve"> (-IAI)</w:t>
      </w:r>
    </w:p>
    <w:p w:rsidR="00F33D6C" w:rsidRPr="002541C7" w:rsidRDefault="00F33D6C" w:rsidP="00067BBC">
      <w:pPr>
        <w:pStyle w:val="BTEMEASMCA"/>
        <w:ind w:right="333"/>
      </w:pPr>
    </w:p>
    <w:p w:rsidR="00F33D6C" w:rsidRPr="002541C7" w:rsidRDefault="00F33D6C" w:rsidP="00067BBC">
      <w:pPr>
        <w:pStyle w:val="BTEMEASMCA"/>
        <w:ind w:right="333"/>
      </w:pPr>
      <w:r w:rsidRPr="002541C7">
        <w:t>N20 - LT/1/96/2907/003</w:t>
      </w:r>
    </w:p>
    <w:p w:rsidR="00F33D6C" w:rsidRPr="002541C7" w:rsidRDefault="00F33D6C" w:rsidP="00067BBC">
      <w:pPr>
        <w:pStyle w:val="BTEMEASMCA"/>
        <w:ind w:right="333"/>
      </w:pPr>
      <w:r w:rsidRPr="002541C7">
        <w:t>N10 - LT/1/96/2907/004</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EMEASMCA"/>
        <w:ind w:right="333"/>
      </w:pPr>
      <w:bookmarkStart w:id="58" w:name="_Toc129243124"/>
      <w:bookmarkStart w:id="59" w:name="_Toc129243249"/>
      <w:r w:rsidRPr="002541C7">
        <w:t>9.</w:t>
      </w:r>
      <w:r w:rsidRPr="002541C7">
        <w:tab/>
        <w:t>RINKODAROS TEISĖS SUTEIKIMO / ATNAUJINIMO DATA</w:t>
      </w:r>
      <w:bookmarkEnd w:id="58"/>
      <w:bookmarkEnd w:id="59"/>
    </w:p>
    <w:p w:rsidR="00F33D6C" w:rsidRPr="002541C7" w:rsidRDefault="00F33D6C" w:rsidP="00067BBC">
      <w:pPr>
        <w:pStyle w:val="BTEMEASMCA"/>
        <w:ind w:right="333"/>
      </w:pPr>
    </w:p>
    <w:p w:rsidR="00F33D6C" w:rsidRPr="002541C7" w:rsidRDefault="00F33D6C" w:rsidP="00067BBC">
      <w:pPr>
        <w:pStyle w:val="BTEMEASMCA"/>
        <w:ind w:right="333"/>
      </w:pPr>
      <w:r w:rsidRPr="002541C7">
        <w:t>Rinkodaros teisė pirmą kartą suteikta 2012 m. lapkričio mėn. 09 d.</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EMEASMCA"/>
        <w:ind w:right="333"/>
      </w:pPr>
      <w:bookmarkStart w:id="60" w:name="_Toc129243125"/>
      <w:bookmarkStart w:id="61" w:name="_Toc129243250"/>
      <w:r w:rsidRPr="002541C7">
        <w:t>10.</w:t>
      </w:r>
      <w:r w:rsidRPr="002541C7">
        <w:tab/>
        <w:t>TEKSTO PERŽIŪROS DATA</w:t>
      </w:r>
      <w:bookmarkEnd w:id="60"/>
      <w:bookmarkEnd w:id="61"/>
    </w:p>
    <w:p w:rsidR="00F33D6C" w:rsidRPr="002541C7" w:rsidRDefault="00F33D6C" w:rsidP="00067BBC">
      <w:pPr>
        <w:pStyle w:val="BTEMEASMCA"/>
        <w:ind w:right="333"/>
      </w:pPr>
    </w:p>
    <w:p w:rsidR="00F33D6C" w:rsidRDefault="002541C7" w:rsidP="00067BBC">
      <w:pPr>
        <w:pStyle w:val="BTEMEASMCA"/>
        <w:ind w:right="333"/>
      </w:pPr>
      <w:r>
        <w:t>201</w:t>
      </w:r>
      <w:r w:rsidR="00E21CDE">
        <w:t>6</w:t>
      </w:r>
      <w:r>
        <w:t>-0</w:t>
      </w:r>
      <w:r w:rsidR="00E21CDE">
        <w:t>6</w:t>
      </w:r>
      <w:r>
        <w:t>-0</w:t>
      </w:r>
      <w:r w:rsidR="00E21CDE">
        <w:t>6</w:t>
      </w:r>
    </w:p>
    <w:p w:rsidR="002541C7" w:rsidRPr="002541C7" w:rsidRDefault="002541C7" w:rsidP="00067BBC">
      <w:pPr>
        <w:pStyle w:val="BTEMEASMCA"/>
        <w:ind w:right="333"/>
      </w:pPr>
    </w:p>
    <w:p w:rsidR="00F33D6C" w:rsidRPr="002541C7" w:rsidRDefault="00F33D6C" w:rsidP="00B92FB0">
      <w:pPr>
        <w:pStyle w:val="Paprastasistekstas"/>
        <w:tabs>
          <w:tab w:val="left" w:pos="5954"/>
          <w:tab w:val="left" w:pos="6237"/>
          <w:tab w:val="left" w:pos="6663"/>
          <w:tab w:val="left" w:pos="6946"/>
        </w:tabs>
        <w:rPr>
          <w:rFonts w:ascii="Times New Roman" w:hAnsi="Times New Roman"/>
          <w:sz w:val="22"/>
          <w:szCs w:val="22"/>
          <w:lang w:val="lt-LT"/>
        </w:rPr>
      </w:pPr>
      <w:r w:rsidRPr="002541C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541C7">
        <w:rPr>
          <w:rFonts w:ascii="Times New Roman" w:hAnsi="Times New Roman"/>
          <w:i/>
          <w:noProof/>
          <w:sz w:val="22"/>
          <w:szCs w:val="22"/>
          <w:lang w:val="lt-LT"/>
        </w:rPr>
        <w:t xml:space="preserve"> </w:t>
      </w:r>
      <w:hyperlink r:id="rId9" w:history="1">
        <w:r w:rsidRPr="002541C7">
          <w:rPr>
            <w:rStyle w:val="Hipersaitas"/>
            <w:noProof/>
            <w:sz w:val="22"/>
            <w:szCs w:val="22"/>
            <w:lang w:val="lt-LT"/>
          </w:rPr>
          <w:t>http://www.</w:t>
        </w:r>
        <w:r w:rsidRPr="002541C7">
          <w:rPr>
            <w:rStyle w:val="Hipersaitas"/>
            <w:sz w:val="22"/>
            <w:szCs w:val="22"/>
            <w:lang w:val="lt-LT"/>
          </w:rPr>
          <w:t>vvkt.lt</w:t>
        </w:r>
      </w:hyperlink>
    </w:p>
    <w:p w:rsidR="00F33D6C" w:rsidRPr="002541C7" w:rsidRDefault="00F33D6C" w:rsidP="00B92FB0">
      <w:pPr>
        <w:pStyle w:val="Paprastasistekstas"/>
        <w:tabs>
          <w:tab w:val="left" w:pos="5954"/>
          <w:tab w:val="left" w:pos="6237"/>
          <w:tab w:val="left" w:pos="6663"/>
          <w:tab w:val="left" w:pos="6946"/>
        </w:tabs>
        <w:jc w:val="center"/>
        <w:rPr>
          <w:rFonts w:ascii="Times New Roman" w:hAnsi="Times New Roman"/>
          <w:sz w:val="22"/>
          <w:szCs w:val="22"/>
          <w:lang w:val="lt-LT"/>
        </w:rPr>
      </w:pPr>
    </w:p>
    <w:p w:rsidR="00F33D6C" w:rsidRPr="002541C7" w:rsidRDefault="00F33D6C" w:rsidP="00067BBC">
      <w:pPr>
        <w:pStyle w:val="BTEMEASMCA"/>
        <w:ind w:right="333"/>
      </w:pPr>
    </w:p>
    <w:p w:rsidR="00F33D6C" w:rsidRPr="002541C7" w:rsidRDefault="00F33D6C" w:rsidP="00067BBC">
      <w:pPr>
        <w:ind w:right="333"/>
        <w:rPr>
          <w:b/>
          <w:bCs/>
          <w:kern w:val="28"/>
          <w:sz w:val="22"/>
          <w:szCs w:val="22"/>
          <w:lang w:eastAsia="lt-LT"/>
        </w:rPr>
      </w:pPr>
      <w:r w:rsidRPr="002541C7">
        <w:rPr>
          <w:b/>
          <w:bCs/>
          <w:kern w:val="28"/>
          <w:sz w:val="22"/>
          <w:szCs w:val="22"/>
          <w:lang w:eastAsia="lt-LT"/>
        </w:rPr>
        <w:br w:type="page"/>
      </w: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p>
    <w:p w:rsidR="00F33D6C" w:rsidRPr="002541C7" w:rsidRDefault="00F33D6C" w:rsidP="00067BBC">
      <w:pPr>
        <w:pStyle w:val="Pavadinimas"/>
        <w:ind w:right="333"/>
      </w:pPr>
      <w:r w:rsidRPr="002541C7">
        <w:t>II PRIEDAS</w:t>
      </w:r>
    </w:p>
    <w:p w:rsidR="00F33D6C" w:rsidRPr="002541C7" w:rsidRDefault="00F33D6C" w:rsidP="00067BBC">
      <w:pPr>
        <w:pStyle w:val="Pagrindinistekstas"/>
        <w:spacing w:line="240" w:lineRule="auto"/>
        <w:ind w:right="333"/>
        <w:rPr>
          <w:sz w:val="22"/>
          <w:szCs w:val="22"/>
        </w:rPr>
      </w:pPr>
    </w:p>
    <w:p w:rsidR="00F33D6C" w:rsidRPr="002541C7" w:rsidRDefault="00F33D6C" w:rsidP="00067BBC">
      <w:pPr>
        <w:pStyle w:val="TTEMEASMCA"/>
        <w:ind w:right="333"/>
      </w:pPr>
      <w:r w:rsidRPr="002541C7">
        <w:t>RINKODAROS SĄLYGOS</w:t>
      </w:r>
    </w:p>
    <w:p w:rsidR="00F33D6C" w:rsidRPr="002541C7" w:rsidRDefault="00F33D6C" w:rsidP="00067BBC">
      <w:pPr>
        <w:pStyle w:val="TTEMEASMCA"/>
        <w:ind w:right="333"/>
      </w:pPr>
    </w:p>
    <w:p w:rsidR="00F33D6C" w:rsidRPr="002541C7" w:rsidRDefault="00F33D6C" w:rsidP="00067BBC">
      <w:pPr>
        <w:ind w:left="1701" w:right="333" w:hanging="708"/>
        <w:rPr>
          <w:b/>
          <w:bCs/>
          <w:sz w:val="22"/>
          <w:szCs w:val="22"/>
        </w:rPr>
      </w:pPr>
      <w:r w:rsidRPr="002541C7">
        <w:rPr>
          <w:b/>
          <w:bCs/>
          <w:sz w:val="22"/>
          <w:szCs w:val="22"/>
        </w:rPr>
        <w:t>A.</w:t>
      </w:r>
      <w:r w:rsidRPr="002541C7">
        <w:rPr>
          <w:b/>
          <w:bCs/>
          <w:sz w:val="22"/>
          <w:szCs w:val="22"/>
        </w:rPr>
        <w:tab/>
        <w:t>GAMINTOJAS (-AI), ATSAKINGAS (-I) UŽ SERIJŲ IŠLEIDIMĄ</w:t>
      </w:r>
    </w:p>
    <w:p w:rsidR="00F33D6C" w:rsidRPr="002541C7" w:rsidRDefault="00F33D6C" w:rsidP="00067BBC">
      <w:pPr>
        <w:ind w:right="333"/>
        <w:rPr>
          <w:sz w:val="22"/>
          <w:szCs w:val="22"/>
        </w:rPr>
      </w:pPr>
    </w:p>
    <w:p w:rsidR="00F33D6C" w:rsidRPr="002541C7" w:rsidRDefault="00F33D6C" w:rsidP="00067BBC">
      <w:pPr>
        <w:suppressLineNumbers/>
        <w:ind w:left="1701" w:right="333" w:hanging="708"/>
        <w:rPr>
          <w:sz w:val="22"/>
          <w:szCs w:val="22"/>
        </w:rPr>
      </w:pPr>
      <w:r w:rsidRPr="002541C7">
        <w:rPr>
          <w:b/>
          <w:bCs/>
          <w:sz w:val="22"/>
          <w:szCs w:val="22"/>
        </w:rPr>
        <w:t>B.</w:t>
      </w:r>
      <w:r w:rsidRPr="002541C7">
        <w:rPr>
          <w:b/>
          <w:bCs/>
          <w:sz w:val="22"/>
          <w:szCs w:val="22"/>
        </w:rPr>
        <w:tab/>
        <w:t>TIEKIMO IR VARTOJIMO SĄLYGOS AR APRIBOJIMAI</w:t>
      </w:r>
    </w:p>
    <w:p w:rsidR="00F33D6C" w:rsidRPr="002541C7" w:rsidRDefault="00F33D6C" w:rsidP="00067BBC">
      <w:pPr>
        <w:ind w:right="333"/>
        <w:rPr>
          <w:sz w:val="22"/>
          <w:szCs w:val="22"/>
        </w:rPr>
      </w:pPr>
    </w:p>
    <w:p w:rsidR="00F33D6C" w:rsidRPr="002541C7" w:rsidRDefault="00F33D6C" w:rsidP="00067BBC">
      <w:pPr>
        <w:pStyle w:val="BTAnIIEMEASMCA"/>
        <w:ind w:right="333"/>
        <w:rPr>
          <w:lang w:val="lt-LT"/>
        </w:rPr>
      </w:pPr>
    </w:p>
    <w:p w:rsidR="00F33D6C" w:rsidRPr="002541C7" w:rsidRDefault="00F33D6C" w:rsidP="00067BBC">
      <w:pPr>
        <w:pStyle w:val="Pagrindinistekstas"/>
        <w:spacing w:line="240" w:lineRule="auto"/>
        <w:ind w:right="333"/>
        <w:rPr>
          <w:sz w:val="22"/>
          <w:szCs w:val="22"/>
        </w:rPr>
      </w:pPr>
    </w:p>
    <w:p w:rsidR="00F33D6C" w:rsidRPr="002541C7" w:rsidRDefault="00F33D6C" w:rsidP="00067BBC">
      <w:pPr>
        <w:pStyle w:val="Pagrindinistekstas"/>
        <w:tabs>
          <w:tab w:val="left" w:pos="567"/>
        </w:tabs>
        <w:spacing w:line="240" w:lineRule="auto"/>
        <w:ind w:right="333"/>
        <w:rPr>
          <w:sz w:val="22"/>
          <w:szCs w:val="22"/>
        </w:rPr>
      </w:pPr>
      <w:r w:rsidRPr="002541C7">
        <w:rPr>
          <w:sz w:val="22"/>
          <w:szCs w:val="22"/>
        </w:rPr>
        <w:br w:type="page"/>
      </w:r>
      <w:r w:rsidRPr="002541C7">
        <w:rPr>
          <w:sz w:val="22"/>
          <w:szCs w:val="22"/>
        </w:rPr>
        <w:lastRenderedPageBreak/>
        <w:t xml:space="preserve">A. </w:t>
      </w:r>
      <w:r w:rsidRPr="002541C7">
        <w:rPr>
          <w:sz w:val="22"/>
          <w:szCs w:val="22"/>
        </w:rPr>
        <w:tab/>
        <w:t>GAMINTOJAS (-AI), ATSAKINGAS (-I) UŽ SERIJŲ IŠLEIDIMĄ</w:t>
      </w:r>
    </w:p>
    <w:p w:rsidR="00F33D6C" w:rsidRPr="002541C7" w:rsidRDefault="00F33D6C" w:rsidP="00067BBC">
      <w:pPr>
        <w:pStyle w:val="Pagrindinistekstas"/>
        <w:spacing w:line="240" w:lineRule="auto"/>
        <w:ind w:right="333"/>
        <w:rPr>
          <w:sz w:val="22"/>
          <w:szCs w:val="22"/>
        </w:rPr>
      </w:pPr>
    </w:p>
    <w:p w:rsidR="00F33D6C" w:rsidRPr="002541C7" w:rsidRDefault="00F33D6C" w:rsidP="00067BBC">
      <w:pPr>
        <w:pStyle w:val="BTuEMEASMCA"/>
        <w:ind w:right="333"/>
        <w:rPr>
          <w:noProof w:val="0"/>
        </w:rPr>
      </w:pPr>
      <w:r w:rsidRPr="002541C7">
        <w:rPr>
          <w:noProof w:val="0"/>
        </w:rPr>
        <w:t>Gamintojo (-ų), atsakingo (-ų) už serijų išleidimą, pavadinimas (-ai) ir adresas (-ai)</w:t>
      </w:r>
    </w:p>
    <w:p w:rsidR="00F33D6C" w:rsidRPr="002541C7" w:rsidRDefault="00F33D6C" w:rsidP="00067BBC">
      <w:pPr>
        <w:pStyle w:val="Pagrindinistekstas"/>
        <w:spacing w:line="240" w:lineRule="auto"/>
        <w:ind w:right="333"/>
        <w:rPr>
          <w:sz w:val="22"/>
          <w:szCs w:val="22"/>
        </w:rPr>
      </w:pPr>
    </w:p>
    <w:p w:rsidR="00F33D6C" w:rsidRPr="002541C7" w:rsidRDefault="00F33D6C" w:rsidP="00067BBC">
      <w:pPr>
        <w:widowControl w:val="0"/>
        <w:autoSpaceDE w:val="0"/>
        <w:autoSpaceDN w:val="0"/>
        <w:adjustRightInd w:val="0"/>
        <w:ind w:right="333"/>
        <w:rPr>
          <w:color w:val="000000"/>
          <w:sz w:val="22"/>
          <w:szCs w:val="22"/>
        </w:rPr>
      </w:pPr>
      <w:r w:rsidRPr="002541C7">
        <w:rPr>
          <w:color w:val="000000"/>
          <w:spacing w:val="2"/>
          <w:sz w:val="22"/>
          <w:szCs w:val="22"/>
        </w:rPr>
        <w:t>S.C. T</w:t>
      </w:r>
      <w:r w:rsidRPr="002541C7">
        <w:rPr>
          <w:color w:val="000000"/>
          <w:sz w:val="22"/>
          <w:szCs w:val="22"/>
        </w:rPr>
        <w:t>e</w:t>
      </w:r>
      <w:r w:rsidRPr="002541C7">
        <w:rPr>
          <w:color w:val="000000"/>
          <w:spacing w:val="-1"/>
          <w:sz w:val="22"/>
          <w:szCs w:val="22"/>
        </w:rPr>
        <w:t>ra</w:t>
      </w:r>
      <w:r w:rsidRPr="002541C7">
        <w:rPr>
          <w:color w:val="000000"/>
          <w:sz w:val="22"/>
          <w:szCs w:val="22"/>
        </w:rPr>
        <w:t>p</w:t>
      </w:r>
      <w:r w:rsidRPr="002541C7">
        <w:rPr>
          <w:color w:val="000000"/>
          <w:spacing w:val="-4"/>
          <w:sz w:val="22"/>
          <w:szCs w:val="22"/>
        </w:rPr>
        <w:t>i</w:t>
      </w:r>
      <w:r w:rsidRPr="002541C7">
        <w:rPr>
          <w:color w:val="000000"/>
          <w:sz w:val="22"/>
          <w:szCs w:val="22"/>
        </w:rPr>
        <w:t>a</w:t>
      </w:r>
      <w:r w:rsidRPr="002541C7">
        <w:rPr>
          <w:color w:val="000000"/>
          <w:spacing w:val="-1"/>
          <w:sz w:val="22"/>
          <w:szCs w:val="22"/>
        </w:rPr>
        <w:t xml:space="preserve"> </w:t>
      </w:r>
      <w:r w:rsidRPr="002541C7">
        <w:rPr>
          <w:color w:val="000000"/>
          <w:sz w:val="22"/>
          <w:szCs w:val="22"/>
        </w:rPr>
        <w:t>S.A.</w:t>
      </w:r>
    </w:p>
    <w:p w:rsidR="00F33D6C" w:rsidRPr="002541C7" w:rsidRDefault="00F33D6C" w:rsidP="00067BBC">
      <w:pPr>
        <w:widowControl w:val="0"/>
        <w:autoSpaceDE w:val="0"/>
        <w:autoSpaceDN w:val="0"/>
        <w:adjustRightInd w:val="0"/>
        <w:ind w:right="333"/>
        <w:rPr>
          <w:color w:val="000000"/>
          <w:sz w:val="22"/>
          <w:szCs w:val="22"/>
        </w:rPr>
      </w:pPr>
      <w:r w:rsidRPr="002541C7">
        <w:rPr>
          <w:color w:val="000000"/>
          <w:sz w:val="22"/>
          <w:szCs w:val="22"/>
        </w:rPr>
        <w:t xml:space="preserve">124 </w:t>
      </w:r>
      <w:r w:rsidRPr="002541C7">
        <w:rPr>
          <w:color w:val="000000"/>
          <w:spacing w:val="-3"/>
          <w:sz w:val="22"/>
          <w:szCs w:val="22"/>
        </w:rPr>
        <w:t>F</w:t>
      </w:r>
      <w:r w:rsidRPr="002541C7">
        <w:rPr>
          <w:color w:val="000000"/>
          <w:sz w:val="22"/>
          <w:szCs w:val="22"/>
        </w:rPr>
        <w:t>ab</w:t>
      </w:r>
      <w:r w:rsidRPr="002541C7">
        <w:rPr>
          <w:color w:val="000000"/>
          <w:spacing w:val="-1"/>
          <w:sz w:val="22"/>
          <w:szCs w:val="22"/>
        </w:rPr>
        <w:t>r</w:t>
      </w:r>
      <w:r w:rsidRPr="002541C7">
        <w:rPr>
          <w:color w:val="000000"/>
          <w:spacing w:val="1"/>
          <w:sz w:val="22"/>
          <w:szCs w:val="22"/>
        </w:rPr>
        <w:t>i</w:t>
      </w:r>
      <w:r w:rsidRPr="002541C7">
        <w:rPr>
          <w:color w:val="000000"/>
          <w:spacing w:val="-2"/>
          <w:sz w:val="22"/>
          <w:szCs w:val="22"/>
        </w:rPr>
        <w:t>c</w:t>
      </w:r>
      <w:r w:rsidRPr="002541C7">
        <w:rPr>
          <w:color w:val="000000"/>
          <w:spacing w:val="1"/>
          <w:sz w:val="22"/>
          <w:szCs w:val="22"/>
        </w:rPr>
        <w:t>i</w:t>
      </w:r>
      <w:r w:rsidRPr="002541C7">
        <w:rPr>
          <w:color w:val="000000"/>
          <w:sz w:val="22"/>
          <w:szCs w:val="22"/>
        </w:rPr>
        <w:t>i</w:t>
      </w:r>
      <w:r w:rsidRPr="002541C7">
        <w:rPr>
          <w:color w:val="000000"/>
          <w:spacing w:val="1"/>
          <w:sz w:val="22"/>
          <w:szCs w:val="22"/>
        </w:rPr>
        <w:t xml:space="preserve"> </w:t>
      </w:r>
      <w:r w:rsidRPr="002541C7">
        <w:rPr>
          <w:color w:val="000000"/>
          <w:spacing w:val="-2"/>
          <w:sz w:val="22"/>
          <w:szCs w:val="22"/>
        </w:rPr>
        <w:t>Street</w:t>
      </w:r>
    </w:p>
    <w:p w:rsidR="00F33D6C" w:rsidRPr="002541C7" w:rsidRDefault="00F33D6C" w:rsidP="00067BBC">
      <w:pPr>
        <w:widowControl w:val="0"/>
        <w:autoSpaceDE w:val="0"/>
        <w:autoSpaceDN w:val="0"/>
        <w:adjustRightInd w:val="0"/>
        <w:ind w:right="333"/>
        <w:rPr>
          <w:color w:val="000000"/>
          <w:sz w:val="22"/>
          <w:szCs w:val="22"/>
        </w:rPr>
      </w:pPr>
      <w:r w:rsidRPr="002541C7">
        <w:rPr>
          <w:color w:val="000000"/>
          <w:sz w:val="22"/>
          <w:szCs w:val="22"/>
        </w:rPr>
        <w:t xml:space="preserve">400 632 </w:t>
      </w:r>
      <w:r w:rsidRPr="002541C7">
        <w:rPr>
          <w:color w:val="000000"/>
          <w:spacing w:val="-1"/>
          <w:sz w:val="22"/>
          <w:szCs w:val="22"/>
        </w:rPr>
        <w:t>Cl</w:t>
      </w:r>
      <w:r w:rsidRPr="002541C7">
        <w:rPr>
          <w:color w:val="000000"/>
          <w:spacing w:val="-2"/>
          <w:sz w:val="22"/>
          <w:szCs w:val="22"/>
        </w:rPr>
        <w:t>u</w:t>
      </w:r>
      <w:r w:rsidRPr="002541C7">
        <w:rPr>
          <w:color w:val="000000"/>
          <w:spacing w:val="3"/>
          <w:sz w:val="22"/>
          <w:szCs w:val="22"/>
        </w:rPr>
        <w:t>j</w:t>
      </w:r>
      <w:r w:rsidRPr="002541C7">
        <w:rPr>
          <w:color w:val="000000"/>
          <w:spacing w:val="-4"/>
          <w:sz w:val="22"/>
          <w:szCs w:val="22"/>
        </w:rPr>
        <w:t xml:space="preserve"> </w:t>
      </w:r>
      <w:r w:rsidRPr="002541C7">
        <w:rPr>
          <w:color w:val="000000"/>
          <w:spacing w:val="-1"/>
          <w:sz w:val="22"/>
          <w:szCs w:val="22"/>
        </w:rPr>
        <w:t>N</w:t>
      </w:r>
      <w:r w:rsidRPr="002541C7">
        <w:rPr>
          <w:color w:val="000000"/>
          <w:sz w:val="22"/>
          <w:szCs w:val="22"/>
        </w:rPr>
        <w:t>apoca</w:t>
      </w:r>
    </w:p>
    <w:p w:rsidR="00F33D6C" w:rsidRPr="002541C7" w:rsidRDefault="00F33D6C" w:rsidP="00067BBC">
      <w:pPr>
        <w:widowControl w:val="0"/>
        <w:autoSpaceDE w:val="0"/>
        <w:autoSpaceDN w:val="0"/>
        <w:adjustRightInd w:val="0"/>
        <w:ind w:right="333"/>
        <w:rPr>
          <w:color w:val="000000"/>
          <w:sz w:val="22"/>
          <w:szCs w:val="22"/>
        </w:rPr>
      </w:pPr>
      <w:r w:rsidRPr="002541C7">
        <w:rPr>
          <w:color w:val="000000"/>
          <w:spacing w:val="-1"/>
          <w:sz w:val="22"/>
          <w:szCs w:val="22"/>
        </w:rPr>
        <w:t>R</w:t>
      </w:r>
      <w:r w:rsidRPr="002541C7">
        <w:rPr>
          <w:color w:val="000000"/>
          <w:sz w:val="22"/>
          <w:szCs w:val="22"/>
        </w:rPr>
        <w:t>u</w:t>
      </w:r>
      <w:r w:rsidRPr="002541C7">
        <w:rPr>
          <w:color w:val="000000"/>
          <w:spacing w:val="-4"/>
          <w:sz w:val="22"/>
          <w:szCs w:val="22"/>
        </w:rPr>
        <w:t>m</w:t>
      </w:r>
      <w:r w:rsidRPr="002541C7">
        <w:rPr>
          <w:color w:val="000000"/>
          <w:sz w:val="22"/>
          <w:szCs w:val="22"/>
        </w:rPr>
        <w:t>un</w:t>
      </w:r>
      <w:r w:rsidRPr="002541C7">
        <w:rPr>
          <w:color w:val="000000"/>
          <w:spacing w:val="1"/>
          <w:sz w:val="22"/>
          <w:szCs w:val="22"/>
        </w:rPr>
        <w:t>i</w:t>
      </w:r>
      <w:r w:rsidRPr="002541C7">
        <w:rPr>
          <w:color w:val="000000"/>
          <w:spacing w:val="3"/>
          <w:sz w:val="22"/>
          <w:szCs w:val="22"/>
        </w:rPr>
        <w:t>j</w:t>
      </w:r>
      <w:r w:rsidRPr="002541C7">
        <w:rPr>
          <w:color w:val="000000"/>
          <w:sz w:val="22"/>
          <w:szCs w:val="22"/>
        </w:rPr>
        <w:t>a</w:t>
      </w:r>
    </w:p>
    <w:p w:rsidR="00F33D6C" w:rsidRPr="002541C7" w:rsidRDefault="00F33D6C" w:rsidP="00067BBC">
      <w:pPr>
        <w:widowControl w:val="0"/>
        <w:autoSpaceDE w:val="0"/>
        <w:autoSpaceDN w:val="0"/>
        <w:adjustRightInd w:val="0"/>
        <w:ind w:right="333"/>
        <w:rPr>
          <w:color w:val="000000"/>
          <w:sz w:val="22"/>
          <w:szCs w:val="22"/>
        </w:rPr>
      </w:pPr>
    </w:p>
    <w:p w:rsidR="00F33D6C" w:rsidRPr="002541C7" w:rsidRDefault="00F33D6C" w:rsidP="00067BBC">
      <w:pPr>
        <w:widowControl w:val="0"/>
        <w:autoSpaceDE w:val="0"/>
        <w:autoSpaceDN w:val="0"/>
        <w:adjustRightInd w:val="0"/>
        <w:ind w:right="333"/>
        <w:rPr>
          <w:color w:val="000000"/>
          <w:sz w:val="22"/>
          <w:szCs w:val="22"/>
        </w:rPr>
      </w:pPr>
      <w:r w:rsidRPr="002541C7">
        <w:rPr>
          <w:color w:val="000000"/>
          <w:sz w:val="22"/>
          <w:szCs w:val="22"/>
        </w:rPr>
        <w:t>arba</w:t>
      </w:r>
    </w:p>
    <w:p w:rsidR="00F33D6C" w:rsidRPr="002541C7" w:rsidRDefault="00F33D6C" w:rsidP="00067BBC">
      <w:pPr>
        <w:widowControl w:val="0"/>
        <w:autoSpaceDE w:val="0"/>
        <w:autoSpaceDN w:val="0"/>
        <w:adjustRightInd w:val="0"/>
        <w:ind w:right="333"/>
        <w:rPr>
          <w:color w:val="000000"/>
          <w:sz w:val="22"/>
          <w:szCs w:val="22"/>
        </w:rPr>
      </w:pPr>
    </w:p>
    <w:p w:rsidR="00F33D6C" w:rsidRPr="002541C7" w:rsidRDefault="00F33D6C" w:rsidP="00067BBC">
      <w:pPr>
        <w:widowControl w:val="0"/>
        <w:autoSpaceDE w:val="0"/>
        <w:autoSpaceDN w:val="0"/>
        <w:adjustRightInd w:val="0"/>
        <w:ind w:right="333"/>
        <w:rPr>
          <w:color w:val="000000"/>
          <w:sz w:val="22"/>
          <w:szCs w:val="22"/>
        </w:rPr>
      </w:pPr>
      <w:r w:rsidRPr="002541C7">
        <w:rPr>
          <w:color w:val="000000"/>
          <w:spacing w:val="-1"/>
          <w:sz w:val="22"/>
          <w:szCs w:val="22"/>
        </w:rPr>
        <w:t>R</w:t>
      </w:r>
      <w:r w:rsidRPr="002541C7">
        <w:rPr>
          <w:color w:val="000000"/>
          <w:sz w:val="22"/>
          <w:szCs w:val="22"/>
        </w:rPr>
        <w:t>anbaxy</w:t>
      </w:r>
      <w:r w:rsidRPr="002541C7">
        <w:rPr>
          <w:color w:val="000000"/>
          <w:spacing w:val="-2"/>
          <w:sz w:val="22"/>
          <w:szCs w:val="22"/>
        </w:rPr>
        <w:t xml:space="preserve"> </w:t>
      </w:r>
      <w:r w:rsidRPr="002541C7">
        <w:rPr>
          <w:color w:val="000000"/>
          <w:spacing w:val="-4"/>
          <w:sz w:val="22"/>
          <w:szCs w:val="22"/>
        </w:rPr>
        <w:t>I</w:t>
      </w:r>
      <w:r w:rsidRPr="002541C7">
        <w:rPr>
          <w:color w:val="000000"/>
          <w:spacing w:val="1"/>
          <w:sz w:val="22"/>
          <w:szCs w:val="22"/>
        </w:rPr>
        <w:t>r</w:t>
      </w:r>
      <w:r w:rsidRPr="002541C7">
        <w:rPr>
          <w:color w:val="000000"/>
          <w:sz w:val="22"/>
          <w:szCs w:val="22"/>
        </w:rPr>
        <w:t>e</w:t>
      </w:r>
      <w:r w:rsidRPr="002541C7">
        <w:rPr>
          <w:color w:val="000000"/>
          <w:spacing w:val="1"/>
          <w:sz w:val="22"/>
          <w:szCs w:val="22"/>
        </w:rPr>
        <w:t>l</w:t>
      </w:r>
      <w:r w:rsidRPr="002541C7">
        <w:rPr>
          <w:color w:val="000000"/>
          <w:sz w:val="22"/>
          <w:szCs w:val="22"/>
        </w:rPr>
        <w:t>and L</w:t>
      </w:r>
      <w:r w:rsidRPr="002541C7">
        <w:rPr>
          <w:color w:val="000000"/>
          <w:spacing w:val="1"/>
          <w:sz w:val="22"/>
          <w:szCs w:val="22"/>
        </w:rPr>
        <w:t>td.</w:t>
      </w:r>
    </w:p>
    <w:p w:rsidR="00F33D6C" w:rsidRPr="002541C7" w:rsidRDefault="00F33D6C" w:rsidP="00067BBC">
      <w:pPr>
        <w:widowControl w:val="0"/>
        <w:autoSpaceDE w:val="0"/>
        <w:autoSpaceDN w:val="0"/>
        <w:adjustRightInd w:val="0"/>
        <w:ind w:right="333"/>
        <w:rPr>
          <w:color w:val="000000"/>
          <w:sz w:val="22"/>
          <w:szCs w:val="22"/>
        </w:rPr>
      </w:pPr>
      <w:r w:rsidRPr="002541C7">
        <w:rPr>
          <w:color w:val="000000"/>
          <w:sz w:val="22"/>
          <w:szCs w:val="22"/>
        </w:rPr>
        <w:t>Spa</w:t>
      </w:r>
      <w:r w:rsidRPr="002541C7">
        <w:rPr>
          <w:color w:val="000000"/>
          <w:spacing w:val="1"/>
          <w:sz w:val="22"/>
          <w:szCs w:val="22"/>
        </w:rPr>
        <w:t>f</w:t>
      </w:r>
      <w:r w:rsidRPr="002541C7">
        <w:rPr>
          <w:color w:val="000000"/>
          <w:spacing w:val="-1"/>
          <w:sz w:val="22"/>
          <w:szCs w:val="22"/>
        </w:rPr>
        <w:t>i</w:t>
      </w:r>
      <w:r w:rsidRPr="002541C7">
        <w:rPr>
          <w:color w:val="000000"/>
          <w:sz w:val="22"/>
          <w:szCs w:val="22"/>
        </w:rPr>
        <w:t>e</w:t>
      </w:r>
      <w:r w:rsidRPr="002541C7">
        <w:rPr>
          <w:color w:val="000000"/>
          <w:spacing w:val="1"/>
          <w:sz w:val="22"/>
          <w:szCs w:val="22"/>
        </w:rPr>
        <w:t>l</w:t>
      </w:r>
      <w:r w:rsidRPr="002541C7">
        <w:rPr>
          <w:color w:val="000000"/>
          <w:spacing w:val="-2"/>
          <w:sz w:val="22"/>
          <w:szCs w:val="22"/>
        </w:rPr>
        <w:t>d</w:t>
      </w:r>
      <w:r w:rsidRPr="002541C7">
        <w:rPr>
          <w:color w:val="000000"/>
          <w:sz w:val="22"/>
          <w:szCs w:val="22"/>
        </w:rPr>
        <w:t xml:space="preserve">, </w:t>
      </w:r>
      <w:r w:rsidRPr="002541C7">
        <w:rPr>
          <w:color w:val="000000"/>
          <w:spacing w:val="-1"/>
          <w:sz w:val="22"/>
          <w:szCs w:val="22"/>
        </w:rPr>
        <w:t>C</w:t>
      </w:r>
      <w:r w:rsidRPr="002541C7">
        <w:rPr>
          <w:color w:val="000000"/>
          <w:sz w:val="22"/>
          <w:szCs w:val="22"/>
        </w:rPr>
        <w:t>o</w:t>
      </w:r>
      <w:r w:rsidRPr="002541C7">
        <w:rPr>
          <w:color w:val="000000"/>
          <w:spacing w:val="1"/>
          <w:sz w:val="22"/>
          <w:szCs w:val="22"/>
        </w:rPr>
        <w:t>r</w:t>
      </w:r>
      <w:r w:rsidRPr="002541C7">
        <w:rPr>
          <w:color w:val="000000"/>
          <w:sz w:val="22"/>
          <w:szCs w:val="22"/>
        </w:rPr>
        <w:t>k</w:t>
      </w:r>
      <w:r w:rsidRPr="002541C7">
        <w:rPr>
          <w:color w:val="000000"/>
          <w:spacing w:val="-2"/>
          <w:sz w:val="22"/>
          <w:szCs w:val="22"/>
        </w:rPr>
        <w:t xml:space="preserve"> </w:t>
      </w:r>
      <w:r w:rsidRPr="002541C7">
        <w:rPr>
          <w:color w:val="000000"/>
          <w:spacing w:val="-1"/>
          <w:sz w:val="22"/>
          <w:szCs w:val="22"/>
        </w:rPr>
        <w:t>R</w:t>
      </w:r>
      <w:r w:rsidRPr="002541C7">
        <w:rPr>
          <w:color w:val="000000"/>
          <w:sz w:val="22"/>
          <w:szCs w:val="22"/>
        </w:rPr>
        <w:t>oad</w:t>
      </w:r>
    </w:p>
    <w:p w:rsidR="00F33D6C" w:rsidRPr="002541C7" w:rsidRDefault="00F33D6C" w:rsidP="00067BBC">
      <w:pPr>
        <w:widowControl w:val="0"/>
        <w:autoSpaceDE w:val="0"/>
        <w:autoSpaceDN w:val="0"/>
        <w:adjustRightInd w:val="0"/>
        <w:ind w:right="333"/>
        <w:rPr>
          <w:color w:val="000000"/>
          <w:sz w:val="22"/>
          <w:szCs w:val="22"/>
        </w:rPr>
      </w:pPr>
      <w:r w:rsidRPr="002541C7">
        <w:rPr>
          <w:color w:val="000000"/>
          <w:spacing w:val="-1"/>
          <w:sz w:val="22"/>
          <w:szCs w:val="22"/>
        </w:rPr>
        <w:t>C</w:t>
      </w:r>
      <w:r w:rsidRPr="002541C7">
        <w:rPr>
          <w:color w:val="000000"/>
          <w:spacing w:val="-2"/>
          <w:sz w:val="22"/>
          <w:szCs w:val="22"/>
        </w:rPr>
        <w:t>a</w:t>
      </w:r>
      <w:r w:rsidRPr="002541C7">
        <w:rPr>
          <w:color w:val="000000"/>
          <w:spacing w:val="1"/>
          <w:sz w:val="22"/>
          <w:szCs w:val="22"/>
        </w:rPr>
        <w:t>s</w:t>
      </w:r>
      <w:r w:rsidRPr="002541C7">
        <w:rPr>
          <w:color w:val="000000"/>
          <w:sz w:val="22"/>
          <w:szCs w:val="22"/>
        </w:rPr>
        <w:t>h</w:t>
      </w:r>
      <w:r w:rsidRPr="002541C7">
        <w:rPr>
          <w:color w:val="000000"/>
          <w:spacing w:val="-2"/>
          <w:sz w:val="22"/>
          <w:szCs w:val="22"/>
        </w:rPr>
        <w:t>e</w:t>
      </w:r>
      <w:r w:rsidRPr="002541C7">
        <w:rPr>
          <w:color w:val="000000"/>
          <w:spacing w:val="1"/>
          <w:sz w:val="22"/>
          <w:szCs w:val="22"/>
        </w:rPr>
        <w:t>l</w:t>
      </w:r>
      <w:r w:rsidRPr="002541C7">
        <w:rPr>
          <w:color w:val="000000"/>
          <w:sz w:val="22"/>
          <w:szCs w:val="22"/>
        </w:rPr>
        <w:t xml:space="preserve">, </w:t>
      </w:r>
      <w:r w:rsidRPr="002541C7">
        <w:rPr>
          <w:color w:val="000000"/>
          <w:spacing w:val="-1"/>
          <w:sz w:val="22"/>
          <w:szCs w:val="22"/>
        </w:rPr>
        <w:t>C</w:t>
      </w:r>
      <w:r w:rsidRPr="002541C7">
        <w:rPr>
          <w:color w:val="000000"/>
          <w:sz w:val="22"/>
          <w:szCs w:val="22"/>
        </w:rPr>
        <w:t>o.</w:t>
      </w:r>
      <w:r w:rsidRPr="002541C7">
        <w:rPr>
          <w:color w:val="000000"/>
          <w:spacing w:val="-2"/>
          <w:sz w:val="22"/>
          <w:szCs w:val="22"/>
        </w:rPr>
        <w:t xml:space="preserve"> </w:t>
      </w:r>
      <w:r w:rsidRPr="002541C7">
        <w:rPr>
          <w:color w:val="000000"/>
          <w:spacing w:val="2"/>
          <w:sz w:val="22"/>
          <w:szCs w:val="22"/>
        </w:rPr>
        <w:t>T</w:t>
      </w:r>
      <w:r w:rsidRPr="002541C7">
        <w:rPr>
          <w:color w:val="000000"/>
          <w:spacing w:val="1"/>
          <w:sz w:val="22"/>
          <w:szCs w:val="22"/>
        </w:rPr>
        <w:t>i</w:t>
      </w:r>
      <w:r w:rsidRPr="002541C7">
        <w:rPr>
          <w:color w:val="000000"/>
          <w:spacing w:val="-2"/>
          <w:sz w:val="22"/>
          <w:szCs w:val="22"/>
        </w:rPr>
        <w:t>p</w:t>
      </w:r>
      <w:r w:rsidRPr="002541C7">
        <w:rPr>
          <w:color w:val="000000"/>
          <w:sz w:val="22"/>
          <w:szCs w:val="22"/>
        </w:rPr>
        <w:t>pe</w:t>
      </w:r>
      <w:r w:rsidRPr="002541C7">
        <w:rPr>
          <w:color w:val="000000"/>
          <w:spacing w:val="-1"/>
          <w:sz w:val="22"/>
          <w:szCs w:val="22"/>
        </w:rPr>
        <w:t>r</w:t>
      </w:r>
      <w:r w:rsidRPr="002541C7">
        <w:rPr>
          <w:color w:val="000000"/>
          <w:sz w:val="22"/>
          <w:szCs w:val="22"/>
        </w:rPr>
        <w:t>a</w:t>
      </w:r>
      <w:r w:rsidRPr="002541C7">
        <w:rPr>
          <w:color w:val="000000"/>
          <w:spacing w:val="1"/>
          <w:sz w:val="22"/>
          <w:szCs w:val="22"/>
        </w:rPr>
        <w:t>r</w:t>
      </w:r>
      <w:r w:rsidRPr="002541C7">
        <w:rPr>
          <w:color w:val="000000"/>
          <w:spacing w:val="-2"/>
          <w:sz w:val="22"/>
          <w:szCs w:val="22"/>
        </w:rPr>
        <w:t>y</w:t>
      </w:r>
    </w:p>
    <w:p w:rsidR="00F33D6C" w:rsidRPr="002541C7" w:rsidRDefault="00F33D6C" w:rsidP="00067BBC">
      <w:pPr>
        <w:widowControl w:val="0"/>
        <w:autoSpaceDE w:val="0"/>
        <w:autoSpaceDN w:val="0"/>
        <w:adjustRightInd w:val="0"/>
        <w:ind w:right="333"/>
        <w:rPr>
          <w:color w:val="000000"/>
          <w:sz w:val="22"/>
          <w:szCs w:val="22"/>
        </w:rPr>
      </w:pPr>
      <w:r w:rsidRPr="002541C7">
        <w:rPr>
          <w:color w:val="000000"/>
          <w:spacing w:val="-1"/>
          <w:sz w:val="22"/>
          <w:szCs w:val="22"/>
        </w:rPr>
        <w:t>A</w:t>
      </w:r>
      <w:r w:rsidRPr="002541C7">
        <w:rPr>
          <w:color w:val="000000"/>
          <w:spacing w:val="1"/>
          <w:sz w:val="22"/>
          <w:szCs w:val="22"/>
        </w:rPr>
        <w:t>ir</w:t>
      </w:r>
      <w:r w:rsidRPr="002541C7">
        <w:rPr>
          <w:color w:val="000000"/>
          <w:spacing w:val="-1"/>
          <w:sz w:val="22"/>
          <w:szCs w:val="22"/>
        </w:rPr>
        <w:t>i</w:t>
      </w:r>
      <w:r w:rsidRPr="002541C7">
        <w:rPr>
          <w:color w:val="000000"/>
          <w:spacing w:val="1"/>
          <w:sz w:val="22"/>
          <w:szCs w:val="22"/>
        </w:rPr>
        <w:t>j</w:t>
      </w:r>
      <w:r w:rsidRPr="002541C7">
        <w:rPr>
          <w:color w:val="000000"/>
          <w:sz w:val="22"/>
          <w:szCs w:val="22"/>
        </w:rPr>
        <w:t>a</w:t>
      </w:r>
    </w:p>
    <w:p w:rsidR="00F33D6C" w:rsidRPr="002541C7" w:rsidRDefault="00F33D6C" w:rsidP="00067BBC">
      <w:pPr>
        <w:widowControl w:val="0"/>
        <w:autoSpaceDE w:val="0"/>
        <w:autoSpaceDN w:val="0"/>
        <w:adjustRightInd w:val="0"/>
        <w:ind w:right="333"/>
        <w:rPr>
          <w:color w:val="000000"/>
          <w:sz w:val="22"/>
          <w:szCs w:val="22"/>
        </w:rPr>
      </w:pPr>
    </w:p>
    <w:p w:rsidR="00F33D6C" w:rsidRPr="002541C7" w:rsidRDefault="00F33D6C" w:rsidP="00067BBC">
      <w:pPr>
        <w:widowControl w:val="0"/>
        <w:autoSpaceDE w:val="0"/>
        <w:autoSpaceDN w:val="0"/>
        <w:adjustRightInd w:val="0"/>
        <w:ind w:right="333"/>
        <w:rPr>
          <w:color w:val="000000"/>
          <w:sz w:val="22"/>
          <w:szCs w:val="22"/>
        </w:rPr>
      </w:pPr>
      <w:r w:rsidRPr="002541C7">
        <w:rPr>
          <w:color w:val="000000"/>
          <w:sz w:val="22"/>
          <w:szCs w:val="22"/>
        </w:rPr>
        <w:t>arba</w:t>
      </w:r>
    </w:p>
    <w:p w:rsidR="00F33D6C" w:rsidRPr="002541C7" w:rsidRDefault="00F33D6C" w:rsidP="00067BBC">
      <w:pPr>
        <w:widowControl w:val="0"/>
        <w:autoSpaceDE w:val="0"/>
        <w:autoSpaceDN w:val="0"/>
        <w:adjustRightInd w:val="0"/>
        <w:ind w:right="333"/>
        <w:rPr>
          <w:color w:val="000000"/>
          <w:sz w:val="22"/>
          <w:szCs w:val="22"/>
        </w:rPr>
      </w:pPr>
    </w:p>
    <w:p w:rsidR="00F33D6C" w:rsidRPr="002541C7" w:rsidRDefault="00F33D6C" w:rsidP="00067BBC">
      <w:pPr>
        <w:widowControl w:val="0"/>
        <w:autoSpaceDE w:val="0"/>
        <w:autoSpaceDN w:val="0"/>
        <w:adjustRightInd w:val="0"/>
        <w:ind w:right="333"/>
        <w:rPr>
          <w:color w:val="000000"/>
          <w:sz w:val="22"/>
          <w:szCs w:val="22"/>
        </w:rPr>
      </w:pPr>
      <w:r w:rsidRPr="002541C7">
        <w:rPr>
          <w:color w:val="000000"/>
          <w:spacing w:val="-1"/>
          <w:sz w:val="22"/>
          <w:szCs w:val="22"/>
        </w:rPr>
        <w:t>B</w:t>
      </w:r>
      <w:r w:rsidRPr="002541C7">
        <w:rPr>
          <w:color w:val="000000"/>
          <w:sz w:val="22"/>
          <w:szCs w:val="22"/>
        </w:rPr>
        <w:t>a</w:t>
      </w:r>
      <w:r w:rsidRPr="002541C7">
        <w:rPr>
          <w:color w:val="000000"/>
          <w:spacing w:val="1"/>
          <w:sz w:val="22"/>
          <w:szCs w:val="22"/>
        </w:rPr>
        <w:t>si</w:t>
      </w:r>
      <w:r w:rsidRPr="002541C7">
        <w:rPr>
          <w:color w:val="000000"/>
          <w:spacing w:val="-2"/>
          <w:sz w:val="22"/>
          <w:szCs w:val="22"/>
        </w:rPr>
        <w:t>c</w:t>
      </w:r>
      <w:r w:rsidRPr="002541C7">
        <w:rPr>
          <w:color w:val="000000"/>
          <w:sz w:val="22"/>
          <w:szCs w:val="22"/>
        </w:rPr>
        <w:t>s</w:t>
      </w:r>
      <w:r w:rsidRPr="002541C7">
        <w:rPr>
          <w:color w:val="000000"/>
          <w:spacing w:val="1"/>
          <w:sz w:val="22"/>
          <w:szCs w:val="22"/>
        </w:rPr>
        <w:t xml:space="preserve"> </w:t>
      </w:r>
      <w:r w:rsidRPr="002541C7">
        <w:rPr>
          <w:color w:val="000000"/>
          <w:spacing w:val="-1"/>
          <w:sz w:val="22"/>
          <w:szCs w:val="22"/>
        </w:rPr>
        <w:t>G</w:t>
      </w:r>
      <w:r w:rsidRPr="002541C7">
        <w:rPr>
          <w:color w:val="000000"/>
          <w:spacing w:val="1"/>
          <w:sz w:val="22"/>
          <w:szCs w:val="22"/>
        </w:rPr>
        <w:t>mb</w:t>
      </w:r>
      <w:r w:rsidRPr="002541C7">
        <w:rPr>
          <w:color w:val="000000"/>
          <w:spacing w:val="-1"/>
          <w:sz w:val="22"/>
          <w:szCs w:val="22"/>
        </w:rPr>
        <w:t>H</w:t>
      </w:r>
    </w:p>
    <w:p w:rsidR="00F33D6C" w:rsidRPr="002541C7" w:rsidRDefault="00F33D6C" w:rsidP="00067BBC">
      <w:pPr>
        <w:widowControl w:val="0"/>
        <w:autoSpaceDE w:val="0"/>
        <w:autoSpaceDN w:val="0"/>
        <w:adjustRightInd w:val="0"/>
        <w:ind w:right="333"/>
        <w:rPr>
          <w:color w:val="000000"/>
          <w:spacing w:val="-2"/>
          <w:sz w:val="22"/>
          <w:szCs w:val="22"/>
        </w:rPr>
      </w:pPr>
      <w:r w:rsidRPr="002541C7">
        <w:rPr>
          <w:color w:val="000000"/>
          <w:spacing w:val="-1"/>
          <w:sz w:val="22"/>
          <w:szCs w:val="22"/>
        </w:rPr>
        <w:t>H</w:t>
      </w:r>
      <w:r w:rsidRPr="002541C7">
        <w:rPr>
          <w:color w:val="000000"/>
          <w:sz w:val="22"/>
          <w:szCs w:val="22"/>
        </w:rPr>
        <w:t>e</w:t>
      </w:r>
      <w:r w:rsidRPr="002541C7">
        <w:rPr>
          <w:color w:val="000000"/>
          <w:spacing w:val="-1"/>
          <w:sz w:val="22"/>
          <w:szCs w:val="22"/>
        </w:rPr>
        <w:t>m</w:t>
      </w:r>
      <w:r w:rsidRPr="002541C7">
        <w:rPr>
          <w:color w:val="000000"/>
          <w:spacing w:val="-4"/>
          <w:sz w:val="22"/>
          <w:szCs w:val="22"/>
        </w:rPr>
        <w:t>m</w:t>
      </w:r>
      <w:r w:rsidRPr="002541C7">
        <w:rPr>
          <w:color w:val="000000"/>
          <w:sz w:val="22"/>
          <w:szCs w:val="22"/>
        </w:rPr>
        <w:t>e</w:t>
      </w:r>
      <w:r w:rsidRPr="002541C7">
        <w:rPr>
          <w:color w:val="000000"/>
          <w:spacing w:val="1"/>
          <w:sz w:val="22"/>
          <w:szCs w:val="22"/>
        </w:rPr>
        <w:t>lr</w:t>
      </w:r>
      <w:r w:rsidRPr="002541C7">
        <w:rPr>
          <w:color w:val="000000"/>
          <w:sz w:val="22"/>
          <w:szCs w:val="22"/>
        </w:rPr>
        <w:t>a</w:t>
      </w:r>
      <w:r w:rsidRPr="002541C7">
        <w:rPr>
          <w:color w:val="000000"/>
          <w:spacing w:val="1"/>
          <w:sz w:val="22"/>
          <w:szCs w:val="22"/>
        </w:rPr>
        <w:t>t</w:t>
      </w:r>
      <w:r w:rsidRPr="002541C7">
        <w:rPr>
          <w:color w:val="000000"/>
          <w:spacing w:val="-2"/>
          <w:sz w:val="22"/>
          <w:szCs w:val="22"/>
        </w:rPr>
        <w:t>h</w:t>
      </w:r>
      <w:r w:rsidRPr="002541C7">
        <w:rPr>
          <w:color w:val="000000"/>
          <w:sz w:val="22"/>
          <w:szCs w:val="22"/>
        </w:rPr>
        <w:t>er</w:t>
      </w:r>
      <w:r w:rsidRPr="002541C7">
        <w:rPr>
          <w:color w:val="000000"/>
          <w:spacing w:val="-1"/>
          <w:sz w:val="22"/>
          <w:szCs w:val="22"/>
        </w:rPr>
        <w:t xml:space="preserve"> </w:t>
      </w:r>
      <w:r w:rsidRPr="002541C7">
        <w:rPr>
          <w:color w:val="000000"/>
          <w:sz w:val="22"/>
          <w:szCs w:val="22"/>
        </w:rPr>
        <w:t>We</w:t>
      </w:r>
      <w:r w:rsidRPr="002541C7">
        <w:rPr>
          <w:color w:val="000000"/>
          <w:spacing w:val="-2"/>
          <w:sz w:val="22"/>
          <w:szCs w:val="22"/>
        </w:rPr>
        <w:t>g 201</w:t>
      </w:r>
    </w:p>
    <w:p w:rsidR="00F33D6C" w:rsidRPr="002541C7" w:rsidRDefault="00F33D6C" w:rsidP="00067BBC">
      <w:pPr>
        <w:widowControl w:val="0"/>
        <w:autoSpaceDE w:val="0"/>
        <w:autoSpaceDN w:val="0"/>
        <w:adjustRightInd w:val="0"/>
        <w:ind w:right="333"/>
        <w:rPr>
          <w:color w:val="000000"/>
          <w:sz w:val="22"/>
          <w:szCs w:val="22"/>
        </w:rPr>
      </w:pPr>
      <w:r w:rsidRPr="002541C7">
        <w:rPr>
          <w:color w:val="000000"/>
          <w:sz w:val="22"/>
          <w:szCs w:val="22"/>
        </w:rPr>
        <w:t>D-51377 Le</w:t>
      </w:r>
      <w:r w:rsidRPr="002541C7">
        <w:rPr>
          <w:color w:val="000000"/>
          <w:spacing w:val="-2"/>
          <w:sz w:val="22"/>
          <w:szCs w:val="22"/>
        </w:rPr>
        <w:t>v</w:t>
      </w:r>
      <w:r w:rsidRPr="002541C7">
        <w:rPr>
          <w:color w:val="000000"/>
          <w:sz w:val="22"/>
          <w:szCs w:val="22"/>
        </w:rPr>
        <w:t>e</w:t>
      </w:r>
      <w:r w:rsidRPr="002541C7">
        <w:rPr>
          <w:color w:val="000000"/>
          <w:spacing w:val="1"/>
          <w:sz w:val="22"/>
          <w:szCs w:val="22"/>
        </w:rPr>
        <w:t>r</w:t>
      </w:r>
      <w:r w:rsidRPr="002541C7">
        <w:rPr>
          <w:color w:val="000000"/>
          <w:spacing w:val="-2"/>
          <w:sz w:val="22"/>
          <w:szCs w:val="22"/>
        </w:rPr>
        <w:t>k</w:t>
      </w:r>
      <w:r w:rsidRPr="002541C7">
        <w:rPr>
          <w:color w:val="000000"/>
          <w:sz w:val="22"/>
          <w:szCs w:val="22"/>
        </w:rPr>
        <w:t>u</w:t>
      </w:r>
      <w:r w:rsidRPr="002541C7">
        <w:rPr>
          <w:color w:val="000000"/>
          <w:spacing w:val="1"/>
          <w:sz w:val="22"/>
          <w:szCs w:val="22"/>
        </w:rPr>
        <w:t>s</w:t>
      </w:r>
      <w:r w:rsidRPr="002541C7">
        <w:rPr>
          <w:color w:val="000000"/>
          <w:sz w:val="22"/>
          <w:szCs w:val="22"/>
        </w:rPr>
        <w:t xml:space="preserve">en </w:t>
      </w:r>
    </w:p>
    <w:p w:rsidR="00F33D6C" w:rsidRPr="002541C7" w:rsidRDefault="00F33D6C" w:rsidP="00067BBC">
      <w:pPr>
        <w:widowControl w:val="0"/>
        <w:autoSpaceDE w:val="0"/>
        <w:autoSpaceDN w:val="0"/>
        <w:adjustRightInd w:val="0"/>
        <w:ind w:right="333"/>
        <w:rPr>
          <w:color w:val="000000"/>
          <w:sz w:val="22"/>
          <w:szCs w:val="22"/>
        </w:rPr>
      </w:pPr>
      <w:r w:rsidRPr="002541C7">
        <w:rPr>
          <w:color w:val="000000"/>
          <w:spacing w:val="1"/>
          <w:sz w:val="22"/>
          <w:szCs w:val="22"/>
        </w:rPr>
        <w:t>V</w:t>
      </w:r>
      <w:r w:rsidRPr="002541C7">
        <w:rPr>
          <w:color w:val="000000"/>
          <w:sz w:val="22"/>
          <w:szCs w:val="22"/>
        </w:rPr>
        <w:t>o</w:t>
      </w:r>
      <w:r w:rsidRPr="002541C7">
        <w:rPr>
          <w:color w:val="000000"/>
          <w:spacing w:val="-2"/>
          <w:sz w:val="22"/>
          <w:szCs w:val="22"/>
        </w:rPr>
        <w:t>k</w:t>
      </w:r>
      <w:r w:rsidRPr="002541C7">
        <w:rPr>
          <w:color w:val="000000"/>
          <w:spacing w:val="1"/>
          <w:sz w:val="22"/>
          <w:szCs w:val="22"/>
        </w:rPr>
        <w:t>i</w:t>
      </w:r>
      <w:r w:rsidRPr="002541C7">
        <w:rPr>
          <w:color w:val="000000"/>
          <w:sz w:val="22"/>
          <w:szCs w:val="22"/>
        </w:rPr>
        <w:t>e</w:t>
      </w:r>
      <w:r w:rsidRPr="002541C7">
        <w:rPr>
          <w:color w:val="000000"/>
          <w:spacing w:val="-1"/>
          <w:sz w:val="22"/>
          <w:szCs w:val="22"/>
        </w:rPr>
        <w:t>ti</w:t>
      </w:r>
      <w:r w:rsidRPr="002541C7">
        <w:rPr>
          <w:color w:val="000000"/>
          <w:spacing w:val="1"/>
          <w:sz w:val="22"/>
          <w:szCs w:val="22"/>
        </w:rPr>
        <w:t>j</w:t>
      </w:r>
      <w:r w:rsidRPr="002541C7">
        <w:rPr>
          <w:color w:val="000000"/>
          <w:sz w:val="22"/>
          <w:szCs w:val="22"/>
        </w:rPr>
        <w:t>a</w:t>
      </w:r>
    </w:p>
    <w:p w:rsidR="00F33D6C" w:rsidRPr="002541C7" w:rsidRDefault="00F33D6C" w:rsidP="00067BBC">
      <w:pPr>
        <w:pStyle w:val="Pagrindinistekstas"/>
        <w:spacing w:line="240" w:lineRule="auto"/>
        <w:ind w:right="333"/>
        <w:rPr>
          <w:sz w:val="22"/>
          <w:szCs w:val="22"/>
        </w:rPr>
      </w:pPr>
    </w:p>
    <w:p w:rsidR="00F33D6C" w:rsidRPr="002541C7" w:rsidRDefault="00F33D6C" w:rsidP="00067BBC">
      <w:pPr>
        <w:pStyle w:val="BTEMEASMCA"/>
        <w:ind w:right="333"/>
        <w:rPr>
          <w:noProof w:val="0"/>
        </w:rPr>
      </w:pPr>
      <w:r w:rsidRPr="002541C7">
        <w:rPr>
          <w:noProof w:val="0"/>
        </w:rPr>
        <w:t>Su pakuote pateikiamame lapelyje nurodomas gamintojo, atsakingo už konkrečios serijos išleidimą, pavadinimas ir adresas.</w:t>
      </w:r>
    </w:p>
    <w:p w:rsidR="00F33D6C" w:rsidRPr="002541C7" w:rsidRDefault="00F33D6C" w:rsidP="00067BBC">
      <w:pPr>
        <w:pStyle w:val="BTEMEASMCA"/>
        <w:ind w:right="333"/>
        <w:rPr>
          <w:noProof w:val="0"/>
        </w:rPr>
      </w:pPr>
    </w:p>
    <w:p w:rsidR="00F33D6C" w:rsidRPr="002541C7" w:rsidRDefault="00F33D6C" w:rsidP="00067BBC">
      <w:pPr>
        <w:pStyle w:val="Pagrindinistekstas"/>
        <w:spacing w:line="240" w:lineRule="auto"/>
        <w:ind w:right="333"/>
        <w:rPr>
          <w:sz w:val="22"/>
          <w:szCs w:val="22"/>
        </w:rPr>
      </w:pPr>
    </w:p>
    <w:p w:rsidR="00F33D6C" w:rsidRPr="002541C7" w:rsidRDefault="00F33D6C" w:rsidP="00067BBC">
      <w:pPr>
        <w:suppressLineNumbers/>
        <w:ind w:left="567" w:right="333" w:hanging="567"/>
        <w:rPr>
          <w:sz w:val="22"/>
          <w:szCs w:val="22"/>
        </w:rPr>
      </w:pPr>
      <w:bookmarkStart w:id="62" w:name="_Toc129243129"/>
      <w:bookmarkStart w:id="63" w:name="_Toc129243254"/>
      <w:r w:rsidRPr="002541C7">
        <w:rPr>
          <w:b/>
          <w:bCs/>
          <w:sz w:val="22"/>
          <w:szCs w:val="22"/>
        </w:rPr>
        <w:t>B.</w:t>
      </w:r>
      <w:r w:rsidRPr="002541C7">
        <w:rPr>
          <w:b/>
          <w:bCs/>
          <w:sz w:val="22"/>
          <w:szCs w:val="22"/>
        </w:rPr>
        <w:tab/>
        <w:t xml:space="preserve">TIEKIMO IR VARTOJIMO SĄLYGOS AR APRIBOJIMAI </w:t>
      </w:r>
    </w:p>
    <w:p w:rsidR="00F33D6C" w:rsidRPr="002541C7" w:rsidRDefault="00F33D6C" w:rsidP="00067BBC">
      <w:pPr>
        <w:ind w:right="333"/>
        <w:rPr>
          <w:sz w:val="22"/>
          <w:szCs w:val="22"/>
        </w:rPr>
      </w:pPr>
    </w:p>
    <w:p w:rsidR="00F33D6C" w:rsidRPr="002541C7" w:rsidRDefault="00F33D6C" w:rsidP="00067BBC">
      <w:pPr>
        <w:ind w:right="333"/>
        <w:rPr>
          <w:sz w:val="22"/>
          <w:szCs w:val="22"/>
        </w:rPr>
      </w:pPr>
      <w:r w:rsidRPr="002541C7">
        <w:rPr>
          <w:sz w:val="22"/>
          <w:szCs w:val="22"/>
        </w:rPr>
        <w:t>Receptinis vaistinis preparatas.</w:t>
      </w:r>
    </w:p>
    <w:p w:rsidR="00F33D6C" w:rsidRPr="002541C7" w:rsidRDefault="00F33D6C" w:rsidP="00067BBC">
      <w:pPr>
        <w:ind w:right="333"/>
        <w:rPr>
          <w:sz w:val="22"/>
          <w:szCs w:val="22"/>
        </w:rPr>
      </w:pPr>
    </w:p>
    <w:bookmarkEnd w:id="62"/>
    <w:bookmarkEnd w:id="63"/>
    <w:p w:rsidR="00F33D6C" w:rsidRPr="002541C7" w:rsidRDefault="00F33D6C" w:rsidP="00067BBC">
      <w:pPr>
        <w:pStyle w:val="BTEMEASMCA"/>
        <w:ind w:right="333"/>
        <w:rPr>
          <w:noProof w:val="0"/>
        </w:rPr>
      </w:pPr>
    </w:p>
    <w:p w:rsidR="00F33D6C" w:rsidRPr="002541C7" w:rsidRDefault="00F33D6C" w:rsidP="00067BBC">
      <w:pPr>
        <w:pStyle w:val="BTEMEASMCA"/>
        <w:ind w:right="333"/>
        <w:rPr>
          <w:noProof w:val="0"/>
        </w:rPr>
      </w:pPr>
    </w:p>
    <w:p w:rsidR="00F33D6C" w:rsidRPr="002541C7" w:rsidRDefault="00F33D6C" w:rsidP="00067BBC">
      <w:pPr>
        <w:pStyle w:val="BTEMEASMCA"/>
        <w:ind w:right="333"/>
        <w:rPr>
          <w:noProof w:val="0"/>
        </w:rPr>
      </w:pPr>
    </w:p>
    <w:p w:rsidR="00F33D6C" w:rsidRPr="002541C7" w:rsidRDefault="00F33D6C" w:rsidP="00067BBC">
      <w:pPr>
        <w:pStyle w:val="BTEMEASMCA"/>
        <w:ind w:right="333"/>
        <w:rPr>
          <w:noProof w:val="0"/>
        </w:rPr>
      </w:pPr>
    </w:p>
    <w:p w:rsidR="00F33D6C" w:rsidRPr="002541C7" w:rsidRDefault="00F33D6C" w:rsidP="00067BBC">
      <w:pPr>
        <w:pStyle w:val="BTEMEASMCA"/>
        <w:ind w:right="333"/>
        <w:rPr>
          <w:noProof w:val="0"/>
        </w:rPr>
      </w:pPr>
    </w:p>
    <w:p w:rsidR="00F33D6C" w:rsidRPr="002541C7" w:rsidRDefault="00F33D6C" w:rsidP="00067BBC">
      <w:pPr>
        <w:pStyle w:val="BTEMEASMCA"/>
        <w:ind w:right="333"/>
        <w:rPr>
          <w:noProof w:val="0"/>
        </w:rPr>
      </w:pPr>
    </w:p>
    <w:p w:rsidR="00F33D6C" w:rsidRPr="002541C7" w:rsidRDefault="00F33D6C" w:rsidP="00067BBC">
      <w:pPr>
        <w:pStyle w:val="BTEMEASMCA"/>
        <w:ind w:right="333"/>
        <w:rPr>
          <w:noProof w:val="0"/>
        </w:rPr>
      </w:pPr>
    </w:p>
    <w:p w:rsidR="00F33D6C" w:rsidRPr="002541C7" w:rsidRDefault="00F33D6C" w:rsidP="00067BBC">
      <w:pPr>
        <w:spacing w:after="200" w:line="276" w:lineRule="auto"/>
        <w:ind w:right="333"/>
        <w:rPr>
          <w:sz w:val="22"/>
          <w:szCs w:val="22"/>
        </w:rPr>
      </w:pPr>
      <w:r w:rsidRPr="002541C7">
        <w:rPr>
          <w:sz w:val="22"/>
          <w:szCs w:val="22"/>
        </w:rPr>
        <w:br w:type="page"/>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TTEMEASMCA"/>
        <w:ind w:right="333"/>
      </w:pPr>
      <w:bookmarkStart w:id="64" w:name="_Toc129243134"/>
      <w:bookmarkStart w:id="65" w:name="_Toc129243259"/>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r w:rsidRPr="002541C7">
        <w:t>III PRIEDAS</w:t>
      </w:r>
      <w:bookmarkEnd w:id="64"/>
      <w:bookmarkEnd w:id="65"/>
    </w:p>
    <w:p w:rsidR="00F33D6C" w:rsidRPr="002541C7" w:rsidRDefault="00F33D6C" w:rsidP="00067BBC">
      <w:pPr>
        <w:pStyle w:val="BTEMEASMCA"/>
        <w:ind w:right="333"/>
      </w:pPr>
    </w:p>
    <w:p w:rsidR="00F33D6C" w:rsidRPr="002541C7" w:rsidRDefault="00F33D6C" w:rsidP="00067BBC">
      <w:pPr>
        <w:pStyle w:val="TTEMEASMCA"/>
        <w:ind w:right="333"/>
      </w:pPr>
      <w:bookmarkStart w:id="66" w:name="_Toc129243135"/>
      <w:bookmarkStart w:id="67" w:name="_Toc129243260"/>
      <w:r w:rsidRPr="002541C7">
        <w:t>ŽENKLINIMAS IR PAKUOTĖS LAPELIS</w:t>
      </w:r>
      <w:bookmarkEnd w:id="66"/>
      <w:bookmarkEnd w:id="67"/>
    </w:p>
    <w:p w:rsidR="00F33D6C" w:rsidRPr="002541C7" w:rsidRDefault="00F33D6C" w:rsidP="00067BBC">
      <w:pPr>
        <w:pStyle w:val="BTEMEASMCA"/>
        <w:ind w:right="333"/>
      </w:pPr>
      <w:r w:rsidRPr="002541C7">
        <w:br w:type="page"/>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TTEMEASMCA"/>
        <w:ind w:right="333"/>
        <w:rPr>
          <w:kern w:val="2"/>
        </w:rPr>
      </w:pPr>
      <w:r w:rsidRPr="002541C7">
        <w:rPr>
          <w:kern w:val="2"/>
        </w:rPr>
        <w:t>A. ŽENKLINIMAS</w:t>
      </w:r>
      <w:r w:rsidRPr="002541C7">
        <w:rPr>
          <w:lang w:val="pt-BR"/>
        </w:rPr>
        <w:br w:type="page"/>
      </w:r>
    </w:p>
    <w:p w:rsidR="00F33D6C" w:rsidRPr="002541C7" w:rsidRDefault="00F33D6C" w:rsidP="00067BBC">
      <w:pPr>
        <w:pStyle w:val="PI-1labEMEASMCA"/>
        <w:ind w:right="333"/>
      </w:pPr>
      <w:r w:rsidRPr="002541C7">
        <w:t>INFORMACIJA ANT IŠORINĖS PAKUOTĖS</w:t>
      </w:r>
    </w:p>
    <w:p w:rsidR="00F33D6C" w:rsidRPr="002541C7" w:rsidRDefault="00F33D6C" w:rsidP="00067BBC">
      <w:pPr>
        <w:pStyle w:val="PI-1labEMEASMCA"/>
        <w:ind w:right="333"/>
      </w:pPr>
    </w:p>
    <w:p w:rsidR="00F33D6C" w:rsidRPr="002541C7" w:rsidRDefault="00F33D6C" w:rsidP="00067BBC">
      <w:pPr>
        <w:pStyle w:val="PI-1labEMEASMCA"/>
        <w:ind w:right="333"/>
      </w:pPr>
      <w:r w:rsidRPr="002541C7">
        <w:t>KARTONO DĖŽUTĖ</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1.</w:t>
      </w:r>
      <w:r w:rsidRPr="002541C7">
        <w:tab/>
        <w:t>VAISTINIO PREPARATO PAVADINIMAS</w:t>
      </w:r>
    </w:p>
    <w:p w:rsidR="00F33D6C" w:rsidRPr="002541C7" w:rsidRDefault="00F33D6C" w:rsidP="00067BBC">
      <w:pPr>
        <w:pStyle w:val="BTEMEASMCA"/>
        <w:ind w:right="333"/>
      </w:pPr>
    </w:p>
    <w:p w:rsidR="00F33D6C" w:rsidRPr="002541C7" w:rsidRDefault="00F33D6C" w:rsidP="00067BBC">
      <w:pPr>
        <w:pStyle w:val="BTEMEASMCA"/>
        <w:ind w:right="333"/>
      </w:pPr>
      <w:r w:rsidRPr="002541C7">
        <w:t xml:space="preserve">Ketanov </w:t>
      </w:r>
      <w:r w:rsidRPr="002541C7">
        <w:rPr>
          <w:lang w:val="pt-BR"/>
        </w:rPr>
        <w:t>10</w:t>
      </w:r>
      <w:r w:rsidRPr="002541C7">
        <w:t> mg burnoje disperguojamosios tabletės</w:t>
      </w:r>
    </w:p>
    <w:p w:rsidR="00F33D6C" w:rsidRPr="002541C7" w:rsidRDefault="00F33D6C" w:rsidP="00067BBC">
      <w:pPr>
        <w:pStyle w:val="BTEMEASMCA"/>
        <w:ind w:right="333"/>
      </w:pPr>
      <w:r w:rsidRPr="002541C7">
        <w:t>Ketorolacum trometamolum</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pBdr>
          <w:top w:val="single" w:sz="4" w:space="3" w:color="000000"/>
        </w:pBdr>
        <w:ind w:right="333"/>
      </w:pPr>
      <w:r w:rsidRPr="002541C7">
        <w:t>2.</w:t>
      </w:r>
      <w:r w:rsidRPr="002541C7">
        <w:tab/>
        <w:t>VEIKLIOJI MEDŽIAGA IR JOS KIEKIS</w:t>
      </w:r>
    </w:p>
    <w:p w:rsidR="00F33D6C" w:rsidRPr="002541C7" w:rsidRDefault="00F33D6C" w:rsidP="00067BBC">
      <w:pPr>
        <w:pStyle w:val="BTEMEASMCA"/>
        <w:ind w:right="333"/>
      </w:pPr>
    </w:p>
    <w:p w:rsidR="00F33D6C" w:rsidRPr="002541C7" w:rsidRDefault="00F33D6C" w:rsidP="00067BBC">
      <w:pPr>
        <w:pStyle w:val="BTEMEASMCA"/>
        <w:ind w:right="333"/>
      </w:pPr>
      <w:r w:rsidRPr="002541C7">
        <w:t>Kiekvienoje burnoje disperguojamojoje tabletėje yra 10 mg ketorolako trometamolio.</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3.</w:t>
      </w:r>
      <w:r w:rsidRPr="002541C7">
        <w:tab/>
        <w:t>PAGALBINIŲ MEDŽIAGŲ SĄRAŠAS</w:t>
      </w:r>
    </w:p>
    <w:p w:rsidR="00F33D6C" w:rsidRPr="002541C7" w:rsidRDefault="00F33D6C" w:rsidP="00067BBC">
      <w:pPr>
        <w:pStyle w:val="BTEMEASMCA"/>
        <w:ind w:right="333"/>
      </w:pPr>
    </w:p>
    <w:p w:rsidR="00F33D6C" w:rsidRPr="002541C7" w:rsidRDefault="00F33D6C" w:rsidP="00067BBC">
      <w:pPr>
        <w:pStyle w:val="BTEMEASMCA"/>
        <w:ind w:right="333"/>
      </w:pPr>
      <w:r w:rsidRPr="002541C7">
        <w:t>Sudėtyje yra aspartamo (E 951). Daugiau informacijos pateikta pakuotės lapelyje.</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4.</w:t>
      </w:r>
      <w:r w:rsidRPr="002541C7">
        <w:tab/>
        <w:t>FARMACINĖ FORMA IR KIEKIS PAKUOTĖJE</w:t>
      </w:r>
    </w:p>
    <w:p w:rsidR="00F33D6C" w:rsidRPr="002541C7" w:rsidRDefault="00F33D6C" w:rsidP="00067BBC">
      <w:pPr>
        <w:pStyle w:val="BTEMEASMCA"/>
        <w:ind w:right="333"/>
      </w:pPr>
    </w:p>
    <w:p w:rsidR="00F33D6C" w:rsidRPr="002541C7" w:rsidRDefault="00F33D6C" w:rsidP="00067BBC">
      <w:pPr>
        <w:pStyle w:val="BTEMEASMCA"/>
        <w:ind w:right="333"/>
      </w:pPr>
      <w:r w:rsidRPr="002541C7">
        <w:t>Burnoje disperguojamosios tabletės</w:t>
      </w:r>
    </w:p>
    <w:p w:rsidR="00F33D6C" w:rsidRPr="002541C7" w:rsidRDefault="00F33D6C" w:rsidP="00067BBC">
      <w:pPr>
        <w:pStyle w:val="BTEMEASMCA"/>
        <w:ind w:right="333"/>
      </w:pPr>
    </w:p>
    <w:p w:rsidR="00F33D6C" w:rsidRPr="002541C7" w:rsidRDefault="00F33D6C" w:rsidP="00067BBC">
      <w:pPr>
        <w:pStyle w:val="BTEMEASMCA"/>
        <w:ind w:right="333"/>
      </w:pPr>
      <w:r w:rsidRPr="002541C7">
        <w:t>10 burnoje disperguojamųjų tablečių.</w:t>
      </w:r>
    </w:p>
    <w:p w:rsidR="00F33D6C" w:rsidRPr="002541C7" w:rsidRDefault="00F33D6C" w:rsidP="00067BBC">
      <w:pPr>
        <w:pStyle w:val="BTEMEASMCA"/>
        <w:ind w:right="333"/>
      </w:pPr>
      <w:r w:rsidRPr="002541C7">
        <w:rPr>
          <w:highlight w:val="lightGray"/>
        </w:rPr>
        <w:t>20 burnoje disperguojamųjų tablečių.</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5.</w:t>
      </w:r>
      <w:r w:rsidRPr="002541C7">
        <w:tab/>
        <w:t>VARTOJIMO METODAS IR BŪDAS (-AI)</w:t>
      </w:r>
    </w:p>
    <w:p w:rsidR="00F33D6C" w:rsidRPr="002541C7" w:rsidRDefault="00F33D6C" w:rsidP="00067BBC">
      <w:pPr>
        <w:pStyle w:val="BTEMEASMCA"/>
        <w:ind w:right="333"/>
      </w:pPr>
    </w:p>
    <w:p w:rsidR="00F33D6C" w:rsidRPr="002541C7" w:rsidRDefault="00F33D6C" w:rsidP="00067BBC">
      <w:pPr>
        <w:pStyle w:val="BTEMEASMCA"/>
        <w:ind w:right="333"/>
      </w:pPr>
      <w:r w:rsidRPr="002541C7">
        <w:t>Vartoti per burną</w:t>
      </w:r>
    </w:p>
    <w:p w:rsidR="00F33D6C" w:rsidRPr="002541C7" w:rsidRDefault="00F33D6C" w:rsidP="00067BBC">
      <w:pPr>
        <w:pStyle w:val="BTEMEASMCA"/>
        <w:ind w:right="333"/>
      </w:pPr>
      <w:r w:rsidRPr="002541C7">
        <w:t>Prieš vartojimą perskaitykite pakuotės lapelį.</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6.</w:t>
      </w:r>
      <w:r w:rsidRPr="002541C7">
        <w:tab/>
        <w:t>SPECIALUS ĮSPĖJIMAS, KAD VAISTINĮ PREPARATĄ BŪTINA LAIKYTI VAIKAMS NEPASTEBIMOJE IR NEPASIEKIAMOJE VIETOJE</w:t>
      </w:r>
    </w:p>
    <w:p w:rsidR="00F33D6C" w:rsidRPr="002541C7" w:rsidRDefault="00F33D6C" w:rsidP="00067BBC">
      <w:pPr>
        <w:pStyle w:val="BTEMEASMCA"/>
        <w:ind w:right="333"/>
      </w:pPr>
    </w:p>
    <w:p w:rsidR="00F33D6C" w:rsidRPr="002541C7" w:rsidRDefault="00F33D6C" w:rsidP="00067BBC">
      <w:pPr>
        <w:pStyle w:val="BTEMEASMCA"/>
        <w:ind w:right="333"/>
      </w:pPr>
      <w:r w:rsidRPr="002541C7">
        <w:t>Laikyti vaikams nepastebimoje ir nepasiekiamoje vietoje.</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7.</w:t>
      </w:r>
      <w:r w:rsidRPr="002541C7">
        <w:tab/>
        <w:t>KITAS (-I) SPECIALUS (-ŪS) ĮSPĖJIMAS (-AI) (JEI REIKIA)</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8.</w:t>
      </w:r>
      <w:r w:rsidRPr="002541C7">
        <w:tab/>
        <w:t>TINKAMUMO LAIKAS</w:t>
      </w:r>
    </w:p>
    <w:p w:rsidR="00F33D6C" w:rsidRPr="002541C7" w:rsidRDefault="00F33D6C" w:rsidP="00067BBC">
      <w:pPr>
        <w:pStyle w:val="BTEMEASMCA"/>
        <w:ind w:right="333"/>
      </w:pPr>
    </w:p>
    <w:p w:rsidR="00F33D6C" w:rsidRPr="002541C7" w:rsidRDefault="00F33D6C" w:rsidP="00067BBC">
      <w:pPr>
        <w:pStyle w:val="BTEMEASMCA"/>
        <w:ind w:right="333"/>
      </w:pPr>
      <w:r w:rsidRPr="002541C7">
        <w:t>Tinka iki {MMMM/mm}</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9.</w:t>
      </w:r>
      <w:r w:rsidRPr="002541C7">
        <w:tab/>
        <w:t>SPECIALIOS LAIKYMO SĄLYGOS</w:t>
      </w:r>
    </w:p>
    <w:p w:rsidR="00F33D6C" w:rsidRPr="002541C7" w:rsidRDefault="00F33D6C" w:rsidP="00067BBC">
      <w:pPr>
        <w:pStyle w:val="BTEMEASMCA"/>
        <w:ind w:right="333"/>
      </w:pPr>
    </w:p>
    <w:p w:rsidR="00F33D6C" w:rsidRPr="002541C7" w:rsidRDefault="00F33D6C" w:rsidP="00067BBC">
      <w:pPr>
        <w:pStyle w:val="BTEMEASMCA"/>
        <w:ind w:right="333"/>
        <w:rPr>
          <w:lang w:val="lt-LT"/>
        </w:rPr>
      </w:pPr>
      <w:r w:rsidRPr="002541C7">
        <w:rPr>
          <w:lang w:val="lt-LT"/>
        </w:rPr>
        <w:t xml:space="preserve">Laikyti ne aukštesnėje kaip 25 </w:t>
      </w:r>
      <w:r w:rsidRPr="002541C7">
        <w:rPr>
          <w:lang w:val="lt-LT"/>
        </w:rPr>
        <w:sym w:font="Symbol" w:char="F0B0"/>
      </w:r>
      <w:r w:rsidRPr="002541C7">
        <w:rPr>
          <w:lang w:val="lt-LT"/>
        </w:rPr>
        <w:t>C temperatūroje.</w:t>
      </w:r>
    </w:p>
    <w:p w:rsidR="00F33D6C" w:rsidRPr="002541C7" w:rsidRDefault="00F33D6C" w:rsidP="00067BBC">
      <w:pPr>
        <w:pStyle w:val="BTEMEASMCA"/>
        <w:ind w:right="333"/>
        <w:rPr>
          <w:lang w:val="lt-LT"/>
        </w:rPr>
      </w:pPr>
      <w:r w:rsidRPr="002541C7">
        <w:rPr>
          <w:lang w:val="lt-LT"/>
        </w:rPr>
        <w:t>Laikyti gamintojo pakuotėje, kad preparatas būtų apsaugotas nuo šviesos ir drėgmės.</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10.</w:t>
      </w:r>
      <w:r w:rsidRPr="002541C7">
        <w:tab/>
        <w:t>SPECIALIOS ATSARGUMO PRIEMONĖS DĖL NESUVARTOTO VAISTINIO PREPARATO AR JO ATLIEKŲ TVARKYMO (JEI REIKIA)</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11.</w:t>
      </w:r>
      <w:r w:rsidRPr="002541C7">
        <w:tab/>
        <w:t>RINKODAROS TEISĖS TURĖTOJO PAVADINIMAS IR ADRESAS</w:t>
      </w:r>
    </w:p>
    <w:p w:rsidR="00F33D6C" w:rsidRPr="002541C7" w:rsidRDefault="00F33D6C" w:rsidP="00067BBC">
      <w:pPr>
        <w:pStyle w:val="BTEMEASMCA"/>
        <w:ind w:right="333"/>
      </w:pPr>
    </w:p>
    <w:p w:rsidR="00F33D6C" w:rsidRPr="002541C7" w:rsidRDefault="00F33D6C" w:rsidP="00067BBC">
      <w:pPr>
        <w:ind w:right="333"/>
        <w:rPr>
          <w:sz w:val="22"/>
          <w:szCs w:val="22"/>
        </w:rPr>
      </w:pPr>
      <w:r w:rsidRPr="002541C7">
        <w:rPr>
          <w:sz w:val="22"/>
          <w:szCs w:val="22"/>
        </w:rPr>
        <w:t>Ranbaxy UK Ltd.</w:t>
      </w:r>
    </w:p>
    <w:p w:rsidR="00E21CDE" w:rsidRPr="009E04E0" w:rsidRDefault="00E21CDE" w:rsidP="00E21CDE">
      <w:pPr>
        <w:ind w:right="333"/>
        <w:rPr>
          <w:sz w:val="22"/>
          <w:szCs w:val="22"/>
        </w:rPr>
      </w:pPr>
      <w:r w:rsidRPr="009E04E0">
        <w:rPr>
          <w:sz w:val="22"/>
          <w:szCs w:val="22"/>
        </w:rPr>
        <w:t>5th floor, Hyde Park, Hayes 3</w:t>
      </w:r>
    </w:p>
    <w:p w:rsidR="00E21CDE" w:rsidRPr="009E04E0" w:rsidRDefault="00E21CDE" w:rsidP="00E21CDE">
      <w:pPr>
        <w:ind w:right="333"/>
        <w:rPr>
          <w:sz w:val="22"/>
          <w:szCs w:val="22"/>
        </w:rPr>
      </w:pPr>
      <w:r w:rsidRPr="009E04E0">
        <w:rPr>
          <w:sz w:val="22"/>
          <w:szCs w:val="22"/>
        </w:rPr>
        <w:t>11 Millington Road</w:t>
      </w:r>
    </w:p>
    <w:p w:rsidR="00E21CDE" w:rsidRDefault="00E21CDE" w:rsidP="00E21CDE">
      <w:pPr>
        <w:pStyle w:val="BTEMEASMCA"/>
        <w:ind w:right="333"/>
      </w:pPr>
      <w:r w:rsidRPr="009E04E0">
        <w:t>Hayes</w:t>
      </w:r>
      <w:r>
        <w:t>,</w:t>
      </w:r>
      <w:r w:rsidRPr="009E04E0">
        <w:t xml:space="preserve"> UB3 4AZ</w:t>
      </w:r>
      <w:r w:rsidRPr="009E04E0" w:rsidDel="009E04E0">
        <w:t xml:space="preserve"> </w:t>
      </w:r>
    </w:p>
    <w:p w:rsidR="00F33D6C" w:rsidRPr="002541C7" w:rsidRDefault="00F33D6C" w:rsidP="00067BBC">
      <w:pPr>
        <w:pStyle w:val="BTEMEASMCA"/>
        <w:ind w:right="333"/>
      </w:pPr>
      <w:r w:rsidRPr="002541C7">
        <w:t>Jungtinė Karalystė</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12.</w:t>
      </w:r>
      <w:r w:rsidRPr="002541C7">
        <w:tab/>
        <w:t xml:space="preserve">RINKODAROS PAŽYMĖJIMO NUMERIS (-IAI) </w:t>
      </w:r>
    </w:p>
    <w:p w:rsidR="00F33D6C" w:rsidRPr="002541C7" w:rsidRDefault="00F33D6C" w:rsidP="00067BBC">
      <w:pPr>
        <w:pStyle w:val="BTEMEASMCA"/>
        <w:ind w:right="333"/>
      </w:pPr>
    </w:p>
    <w:p w:rsidR="00F33D6C" w:rsidRPr="002541C7" w:rsidRDefault="00F33D6C" w:rsidP="00067BBC">
      <w:pPr>
        <w:pStyle w:val="BTEMEASMCA"/>
        <w:ind w:right="333"/>
      </w:pPr>
      <w:r w:rsidRPr="002541C7">
        <w:t>N20 - LT/1/96/2907/003</w:t>
      </w:r>
    </w:p>
    <w:p w:rsidR="00F33D6C" w:rsidRPr="002541C7" w:rsidRDefault="00F33D6C" w:rsidP="00067BBC">
      <w:pPr>
        <w:pStyle w:val="BTEMEASMCA"/>
        <w:ind w:right="333"/>
      </w:pPr>
      <w:r w:rsidRPr="002541C7">
        <w:t xml:space="preserve">N10 - LT/1/96/2907/004 </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13.</w:t>
      </w:r>
      <w:r w:rsidRPr="002541C7">
        <w:tab/>
        <w:t>SERIJOS NUMERIS</w:t>
      </w:r>
    </w:p>
    <w:p w:rsidR="00F33D6C" w:rsidRPr="002541C7" w:rsidRDefault="00F33D6C" w:rsidP="00067BBC">
      <w:pPr>
        <w:pStyle w:val="BTEMEASMCA"/>
        <w:ind w:right="333"/>
      </w:pPr>
    </w:p>
    <w:p w:rsidR="00F33D6C" w:rsidRPr="002541C7" w:rsidRDefault="00F33D6C" w:rsidP="00067BBC">
      <w:pPr>
        <w:pStyle w:val="BTEMEASMCA"/>
        <w:ind w:right="333"/>
      </w:pPr>
      <w:r w:rsidRPr="002541C7">
        <w:t>Serija {numeris}</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14.</w:t>
      </w:r>
      <w:r w:rsidRPr="002541C7">
        <w:tab/>
        <w:t>PARDAVIMO (IŠDAVIMO) TVARKA</w:t>
      </w:r>
    </w:p>
    <w:p w:rsidR="00F33D6C" w:rsidRPr="002541C7" w:rsidRDefault="00F33D6C" w:rsidP="00067BBC">
      <w:pPr>
        <w:pStyle w:val="BTEMEASMCA"/>
        <w:ind w:right="333"/>
      </w:pPr>
    </w:p>
    <w:p w:rsidR="00F33D6C" w:rsidRPr="002541C7" w:rsidRDefault="00F33D6C" w:rsidP="00067BBC">
      <w:pPr>
        <w:pStyle w:val="BTEMEASMCA"/>
        <w:ind w:right="333"/>
      </w:pPr>
      <w:r w:rsidRPr="002541C7">
        <w:t>Receptinis vaistinis preparatas</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15.</w:t>
      </w:r>
      <w:r w:rsidRPr="002541C7">
        <w:tab/>
        <w:t>VARTOJIMO INSTRUKCIJA</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16.</w:t>
      </w:r>
      <w:r w:rsidRPr="002541C7">
        <w:tab/>
        <w:t>INFORMACIJA BRAILIO RAŠTU</w:t>
      </w:r>
    </w:p>
    <w:p w:rsidR="00F33D6C" w:rsidRPr="002541C7" w:rsidRDefault="00F33D6C" w:rsidP="00067BBC">
      <w:pPr>
        <w:pStyle w:val="BTEMEASMCA"/>
        <w:ind w:right="333"/>
      </w:pPr>
    </w:p>
    <w:p w:rsidR="00F33D6C" w:rsidRPr="002541C7" w:rsidRDefault="00F33D6C" w:rsidP="00067BBC">
      <w:pPr>
        <w:pStyle w:val="BTEMEASMCA"/>
        <w:ind w:right="333"/>
      </w:pPr>
      <w:r w:rsidRPr="002541C7">
        <w:t>Ketanov 10 mg burnoje disperguojamosios tabletės</w:t>
      </w:r>
    </w:p>
    <w:p w:rsidR="00F33D6C" w:rsidRPr="002541C7" w:rsidRDefault="00F33D6C" w:rsidP="00067BBC">
      <w:pPr>
        <w:pStyle w:val="BTEMEASMCA"/>
        <w:ind w:right="333"/>
        <w:rPr>
          <w:shd w:val="clear" w:color="auto" w:fill="C0C0C0"/>
        </w:rPr>
      </w:pPr>
    </w:p>
    <w:p w:rsidR="00F33D6C" w:rsidRPr="002541C7" w:rsidRDefault="00F33D6C" w:rsidP="00067BBC">
      <w:pPr>
        <w:pStyle w:val="BTEMEASMCA"/>
        <w:ind w:right="333"/>
      </w:pPr>
    </w:p>
    <w:p w:rsidR="00F33D6C" w:rsidRPr="002541C7" w:rsidRDefault="00F33D6C" w:rsidP="00067BBC">
      <w:pPr>
        <w:pStyle w:val="PI-1labEMEASMCA"/>
        <w:ind w:right="333"/>
      </w:pPr>
      <w:r w:rsidRPr="002541C7">
        <w:br w:type="page"/>
      </w:r>
      <w:r w:rsidRPr="002541C7">
        <w:lastRenderedPageBreak/>
        <w:t xml:space="preserve">MINIMALI </w:t>
      </w:r>
      <w:r w:rsidRPr="002541C7">
        <w:rPr>
          <w:caps/>
        </w:rPr>
        <w:t xml:space="preserve">informacija ant </w:t>
      </w:r>
      <w:r w:rsidRPr="002541C7">
        <w:t>LIZDINIŲ PLOKŠTELIŲ ARBA DVISLUOKSNIŲ JUOSTELIŲ</w:t>
      </w:r>
    </w:p>
    <w:p w:rsidR="00F33D6C" w:rsidRPr="002541C7" w:rsidRDefault="00F33D6C" w:rsidP="00067BBC">
      <w:pPr>
        <w:pStyle w:val="PI-1labEMEASMCA"/>
        <w:ind w:right="333"/>
      </w:pPr>
    </w:p>
    <w:p w:rsidR="00F33D6C" w:rsidRPr="002541C7" w:rsidRDefault="00F33D6C" w:rsidP="00067BBC">
      <w:pPr>
        <w:pStyle w:val="PI-1labEMEASMCA"/>
        <w:ind w:right="333"/>
      </w:pPr>
      <w:r w:rsidRPr="002541C7">
        <w:t>LIZDINĖ PLOKŠTELĖ</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1.</w:t>
      </w:r>
      <w:r w:rsidRPr="002541C7">
        <w:tab/>
        <w:t>VAISTINIO PREPARATO PAVADINIMAS</w:t>
      </w:r>
    </w:p>
    <w:p w:rsidR="00F33D6C" w:rsidRPr="002541C7" w:rsidRDefault="00F33D6C" w:rsidP="00067BBC">
      <w:pPr>
        <w:pStyle w:val="BTEMEASMCA"/>
        <w:ind w:right="333"/>
      </w:pPr>
    </w:p>
    <w:p w:rsidR="00F33D6C" w:rsidRPr="002541C7" w:rsidRDefault="00F33D6C" w:rsidP="00067BBC">
      <w:pPr>
        <w:pStyle w:val="BTEMEASMCA"/>
        <w:ind w:right="333"/>
      </w:pPr>
      <w:r w:rsidRPr="002541C7">
        <w:t>Ketanov 10 mg burnoje disperguojamosios tabletės</w:t>
      </w:r>
    </w:p>
    <w:p w:rsidR="00F33D6C" w:rsidRPr="002541C7" w:rsidRDefault="00F33D6C" w:rsidP="00067BBC">
      <w:pPr>
        <w:pStyle w:val="BTEMEASMCA"/>
        <w:ind w:right="333"/>
      </w:pPr>
      <w:r w:rsidRPr="002541C7">
        <w:t>Ketorolacum trometamolum</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2.</w:t>
      </w:r>
      <w:r w:rsidRPr="002541C7">
        <w:tab/>
        <w:t>RINKODAROS TEISĖS TURĖTOJO PAVADINIMAS</w:t>
      </w:r>
    </w:p>
    <w:p w:rsidR="00F33D6C" w:rsidRPr="002541C7" w:rsidRDefault="00F33D6C" w:rsidP="00067BBC">
      <w:pPr>
        <w:pStyle w:val="BTEMEASMCA"/>
        <w:ind w:right="333"/>
      </w:pPr>
    </w:p>
    <w:p w:rsidR="00F33D6C" w:rsidRPr="002541C7" w:rsidRDefault="00F33D6C" w:rsidP="00067BBC">
      <w:pPr>
        <w:pStyle w:val="BTEMEASMCA"/>
        <w:ind w:right="333"/>
      </w:pPr>
      <w:r w:rsidRPr="002541C7">
        <w:t>Ranbaxy UK Ltd.</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3.</w:t>
      </w:r>
      <w:r w:rsidRPr="002541C7">
        <w:tab/>
        <w:t>TINKAMUMO LAIKAS</w:t>
      </w:r>
    </w:p>
    <w:p w:rsidR="00F33D6C" w:rsidRPr="002541C7" w:rsidRDefault="00F33D6C" w:rsidP="00067BBC">
      <w:pPr>
        <w:pStyle w:val="BTEMEASMCA"/>
        <w:ind w:right="333"/>
      </w:pPr>
    </w:p>
    <w:p w:rsidR="00F33D6C" w:rsidRPr="002541C7" w:rsidRDefault="00F33D6C" w:rsidP="00067BBC">
      <w:pPr>
        <w:pStyle w:val="BTEMEASMCA"/>
        <w:ind w:right="333"/>
      </w:pPr>
      <w:r w:rsidRPr="002541C7">
        <w:t>Tinka iki {MMMM/mm}</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4.</w:t>
      </w:r>
      <w:r w:rsidRPr="002541C7">
        <w:tab/>
        <w:t>SERIJOS NUMERIS</w:t>
      </w:r>
    </w:p>
    <w:p w:rsidR="00F33D6C" w:rsidRPr="002541C7" w:rsidRDefault="00F33D6C" w:rsidP="00067BBC">
      <w:pPr>
        <w:pStyle w:val="BTEMEASMCA"/>
        <w:ind w:right="333"/>
      </w:pPr>
    </w:p>
    <w:p w:rsidR="00F33D6C" w:rsidRPr="002541C7" w:rsidRDefault="00F33D6C" w:rsidP="00067BBC">
      <w:pPr>
        <w:pStyle w:val="BTEMEASMCA"/>
        <w:ind w:right="333"/>
      </w:pPr>
      <w:r w:rsidRPr="002541C7">
        <w:t xml:space="preserve">Serija </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PI-1labEMEASMCA"/>
        <w:ind w:right="333"/>
      </w:pPr>
      <w:r w:rsidRPr="002541C7">
        <w:t>5.</w:t>
      </w:r>
      <w:r w:rsidRPr="002541C7">
        <w:tab/>
        <w:t>KITA</w:t>
      </w: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p>
    <w:p w:rsidR="00F33D6C" w:rsidRPr="002541C7" w:rsidRDefault="00F33D6C" w:rsidP="00067BBC">
      <w:pPr>
        <w:pStyle w:val="BTEMEASMCA"/>
        <w:ind w:right="333"/>
      </w:pPr>
      <w:r w:rsidRPr="002541C7">
        <w:br w:type="page"/>
      </w:r>
    </w:p>
    <w:p w:rsidR="00F33D6C" w:rsidRPr="002541C7" w:rsidRDefault="00F33D6C" w:rsidP="00067BBC">
      <w:pPr>
        <w:pStyle w:val="TTEMEASMCA"/>
        <w:ind w:right="333"/>
      </w:pPr>
      <w:bookmarkStart w:id="68" w:name="_Toc129243137"/>
      <w:bookmarkStart w:id="69" w:name="_Toc129243262"/>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p>
    <w:p w:rsidR="00F33D6C" w:rsidRPr="002541C7" w:rsidRDefault="00F33D6C" w:rsidP="00067BBC">
      <w:pPr>
        <w:pStyle w:val="TTEMEASMCA"/>
        <w:ind w:right="333"/>
      </w:pPr>
      <w:r w:rsidRPr="002541C7">
        <w:t>B. PAKUOTĖS LAPELIS</w:t>
      </w:r>
      <w:bookmarkEnd w:id="68"/>
      <w:bookmarkEnd w:id="69"/>
    </w:p>
    <w:p w:rsidR="00F33D6C" w:rsidRPr="002541C7" w:rsidRDefault="00F33D6C" w:rsidP="00067BBC">
      <w:pPr>
        <w:pStyle w:val="TTEMEASMCA"/>
        <w:ind w:right="333"/>
      </w:pPr>
      <w:r w:rsidRPr="002541C7">
        <w:br w:type="page"/>
      </w:r>
      <w:bookmarkStart w:id="70" w:name="_Toc129243138"/>
      <w:bookmarkStart w:id="71" w:name="_Toc129243263"/>
      <w:r w:rsidRPr="002541C7">
        <w:rPr>
          <w:caps w:val="0"/>
        </w:rPr>
        <w:lastRenderedPageBreak/>
        <w:t>Pakuotės lapelis: informacija vartotojui</w:t>
      </w:r>
      <w:bookmarkEnd w:id="70"/>
      <w:bookmarkEnd w:id="71"/>
    </w:p>
    <w:p w:rsidR="00F33D6C" w:rsidRPr="002541C7" w:rsidRDefault="00F33D6C" w:rsidP="00067BBC">
      <w:pPr>
        <w:pStyle w:val="BTEMEASMCA"/>
        <w:ind w:right="333"/>
      </w:pPr>
    </w:p>
    <w:p w:rsidR="00F33D6C" w:rsidRPr="002541C7" w:rsidRDefault="00F33D6C" w:rsidP="00067BBC">
      <w:pPr>
        <w:ind w:right="333"/>
        <w:jc w:val="center"/>
        <w:rPr>
          <w:b/>
          <w:sz w:val="22"/>
          <w:szCs w:val="22"/>
        </w:rPr>
      </w:pPr>
      <w:r w:rsidRPr="002541C7">
        <w:rPr>
          <w:b/>
          <w:bCs/>
          <w:sz w:val="22"/>
          <w:szCs w:val="22"/>
        </w:rPr>
        <w:t>Ketanov 10 mg burnoje disperguojamosios tabletės</w:t>
      </w:r>
    </w:p>
    <w:p w:rsidR="00F33D6C" w:rsidRPr="002541C7" w:rsidRDefault="00F33D6C" w:rsidP="00067BBC">
      <w:pPr>
        <w:ind w:right="333"/>
        <w:jc w:val="center"/>
        <w:rPr>
          <w:sz w:val="22"/>
          <w:szCs w:val="22"/>
        </w:rPr>
      </w:pPr>
      <w:r w:rsidRPr="002541C7">
        <w:rPr>
          <w:sz w:val="22"/>
          <w:szCs w:val="22"/>
        </w:rPr>
        <w:t>Ketorolakas trometamolis</w:t>
      </w:r>
    </w:p>
    <w:p w:rsidR="00F33D6C" w:rsidRPr="002541C7" w:rsidRDefault="00F33D6C" w:rsidP="00067BBC">
      <w:pPr>
        <w:pStyle w:val="BTEMEASMCA"/>
        <w:ind w:right="333"/>
      </w:pPr>
    </w:p>
    <w:p w:rsidR="00F33D6C" w:rsidRPr="002541C7" w:rsidRDefault="00F33D6C" w:rsidP="00067BBC">
      <w:pPr>
        <w:suppressAutoHyphens/>
        <w:ind w:left="142" w:right="333" w:hanging="142"/>
        <w:rPr>
          <w:sz w:val="22"/>
          <w:szCs w:val="22"/>
        </w:rPr>
      </w:pPr>
      <w:r w:rsidRPr="002541C7">
        <w:rPr>
          <w:b/>
          <w:bCs/>
          <w:sz w:val="22"/>
          <w:szCs w:val="22"/>
        </w:rPr>
        <w:t>Atidžiai perskaitykite visą šį lapelį, prieš pradėdami vartoti vaistą, nes jame pateikiama Jums svarbi informacija.</w:t>
      </w:r>
    </w:p>
    <w:p w:rsidR="00F33D6C" w:rsidRPr="002541C7" w:rsidRDefault="00F33D6C" w:rsidP="00C25BBD">
      <w:pPr>
        <w:pStyle w:val="BT-EMEASMCA"/>
        <w:numPr>
          <w:ilvl w:val="0"/>
          <w:numId w:val="2"/>
        </w:numPr>
        <w:tabs>
          <w:tab w:val="left" w:pos="567"/>
        </w:tabs>
        <w:ind w:left="0" w:right="333" w:firstLine="0"/>
      </w:pPr>
      <w:r w:rsidRPr="002541C7">
        <w:t>Neišmeskite šio lapelio, nes vėl gali prireikti jį perskaityti.</w:t>
      </w:r>
    </w:p>
    <w:p w:rsidR="00F33D6C" w:rsidRPr="002541C7" w:rsidRDefault="00F33D6C" w:rsidP="00C25BBD">
      <w:pPr>
        <w:pStyle w:val="BT-EMEASMCA"/>
        <w:numPr>
          <w:ilvl w:val="0"/>
          <w:numId w:val="2"/>
        </w:numPr>
        <w:tabs>
          <w:tab w:val="left" w:pos="567"/>
        </w:tabs>
        <w:ind w:left="0" w:right="333" w:firstLine="0"/>
      </w:pPr>
      <w:r w:rsidRPr="002541C7">
        <w:t>Jeigu kiltų daugiau klausimų, kreipkitės į gydytoją arba vaistininką.</w:t>
      </w:r>
    </w:p>
    <w:p w:rsidR="00F33D6C" w:rsidRPr="002541C7" w:rsidRDefault="00F33D6C" w:rsidP="00C25BBD">
      <w:pPr>
        <w:pStyle w:val="BT-EMEASMCA"/>
        <w:numPr>
          <w:ilvl w:val="0"/>
          <w:numId w:val="2"/>
        </w:numPr>
        <w:tabs>
          <w:tab w:val="left" w:pos="567"/>
        </w:tabs>
        <w:ind w:left="0" w:right="333" w:firstLine="0"/>
      </w:pPr>
      <w:r w:rsidRPr="002541C7">
        <w:t>Šis vaistas skirtas tik Jums, todėl kitiems žmonėms jo duoti negalima. Vaistas gali jiems pakenkti (net tiems, kurių ligos požymiai yra tokie patys kaip Jūsų).</w:t>
      </w:r>
    </w:p>
    <w:p w:rsidR="00F33D6C" w:rsidRPr="002541C7" w:rsidRDefault="00F33D6C" w:rsidP="00C25BBD">
      <w:pPr>
        <w:pStyle w:val="BT-EMEASMCA"/>
        <w:numPr>
          <w:ilvl w:val="0"/>
          <w:numId w:val="2"/>
        </w:numPr>
        <w:tabs>
          <w:tab w:val="left" w:pos="567"/>
        </w:tabs>
        <w:ind w:left="0" w:right="333" w:firstLine="0"/>
      </w:pPr>
      <w:r w:rsidRPr="002541C7">
        <w:t xml:space="preserve">Jeigu pasireiškė šalutinis poveikis (net jeigu jis šiame lapelyje nenurodytas), kreipkitės į gydytoją arba vaistininką. </w:t>
      </w:r>
      <w:r w:rsidRPr="002541C7">
        <w:rPr>
          <w:lang w:val="lt-LT"/>
        </w:rPr>
        <w:t>Žr. 4 skyrių.</w:t>
      </w:r>
    </w:p>
    <w:p w:rsidR="00F33D6C" w:rsidRPr="002541C7" w:rsidRDefault="00F33D6C" w:rsidP="00C25BBD">
      <w:pPr>
        <w:pStyle w:val="BTEMEASMCA"/>
        <w:ind w:right="333"/>
      </w:pPr>
    </w:p>
    <w:p w:rsidR="00F33D6C" w:rsidRPr="002541C7" w:rsidRDefault="00F33D6C" w:rsidP="00C25BBD">
      <w:pPr>
        <w:pStyle w:val="Antrat4"/>
        <w:spacing w:before="0" w:after="0"/>
        <w:ind w:right="333"/>
        <w:rPr>
          <w:sz w:val="22"/>
          <w:szCs w:val="22"/>
        </w:rPr>
      </w:pPr>
      <w:r w:rsidRPr="002541C7">
        <w:rPr>
          <w:sz w:val="22"/>
          <w:szCs w:val="22"/>
        </w:rPr>
        <w:t>Apie ką rašoma šiame lapelyje?</w:t>
      </w:r>
    </w:p>
    <w:p w:rsidR="00F33D6C" w:rsidRPr="002541C7" w:rsidRDefault="00F33D6C" w:rsidP="00C25BBD">
      <w:pPr>
        <w:pStyle w:val="BTEMEASMCA"/>
        <w:tabs>
          <w:tab w:val="left" w:pos="567"/>
        </w:tabs>
        <w:ind w:right="333"/>
      </w:pPr>
      <w:r w:rsidRPr="002541C7">
        <w:t>1.</w:t>
      </w:r>
      <w:r w:rsidRPr="002541C7">
        <w:tab/>
        <w:t>Kas yra Ketanov ir kam jis vartojamas</w:t>
      </w:r>
    </w:p>
    <w:p w:rsidR="00F33D6C" w:rsidRPr="002541C7" w:rsidRDefault="00F33D6C" w:rsidP="00C25BBD">
      <w:pPr>
        <w:pStyle w:val="BTEMEASMCA"/>
        <w:tabs>
          <w:tab w:val="left" w:pos="567"/>
        </w:tabs>
        <w:ind w:right="333"/>
      </w:pPr>
      <w:r w:rsidRPr="002541C7">
        <w:t>2.</w:t>
      </w:r>
      <w:r w:rsidRPr="002541C7">
        <w:tab/>
        <w:t xml:space="preserve">Kas žinotina prieš vartojant Ketanov </w:t>
      </w:r>
    </w:p>
    <w:p w:rsidR="00F33D6C" w:rsidRPr="002541C7" w:rsidRDefault="00F33D6C" w:rsidP="00C25BBD">
      <w:pPr>
        <w:pStyle w:val="BTEMEASMCA"/>
        <w:tabs>
          <w:tab w:val="left" w:pos="567"/>
        </w:tabs>
        <w:ind w:right="333"/>
      </w:pPr>
      <w:r w:rsidRPr="002541C7">
        <w:t>3.</w:t>
      </w:r>
      <w:r w:rsidRPr="002541C7">
        <w:tab/>
        <w:t xml:space="preserve">Kaip vartoti Ketanov </w:t>
      </w:r>
    </w:p>
    <w:p w:rsidR="00F33D6C" w:rsidRPr="002541C7" w:rsidRDefault="00F33D6C" w:rsidP="00C25BBD">
      <w:pPr>
        <w:pStyle w:val="BTEMEASMCA"/>
        <w:tabs>
          <w:tab w:val="left" w:pos="567"/>
        </w:tabs>
        <w:ind w:right="333"/>
      </w:pPr>
      <w:r w:rsidRPr="002541C7">
        <w:t>4.</w:t>
      </w:r>
      <w:r w:rsidRPr="002541C7">
        <w:tab/>
        <w:t>Galimas šalutinis poveikis</w:t>
      </w:r>
    </w:p>
    <w:p w:rsidR="00F33D6C" w:rsidRPr="002541C7" w:rsidRDefault="00F33D6C" w:rsidP="00C25BBD">
      <w:pPr>
        <w:pStyle w:val="BTEMEASMCA"/>
        <w:tabs>
          <w:tab w:val="left" w:pos="567"/>
        </w:tabs>
        <w:ind w:right="333"/>
      </w:pPr>
      <w:r w:rsidRPr="002541C7">
        <w:t>5.</w:t>
      </w:r>
      <w:r w:rsidRPr="002541C7">
        <w:tab/>
        <w:t xml:space="preserve">Kaip laikyti Ketanov </w:t>
      </w:r>
    </w:p>
    <w:p w:rsidR="00F33D6C" w:rsidRPr="002541C7" w:rsidRDefault="00F33D6C" w:rsidP="00C25BBD">
      <w:pPr>
        <w:pStyle w:val="BTEMEASMCA"/>
        <w:tabs>
          <w:tab w:val="left" w:pos="567"/>
        </w:tabs>
        <w:ind w:right="333"/>
        <w:rPr>
          <w:lang w:val="lt-LT"/>
        </w:rPr>
      </w:pPr>
      <w:r w:rsidRPr="002541C7">
        <w:t>6.</w:t>
      </w:r>
      <w:r w:rsidRPr="002541C7">
        <w:tab/>
      </w:r>
      <w:r w:rsidRPr="002541C7">
        <w:rPr>
          <w:lang w:val="lt-LT"/>
        </w:rPr>
        <w:t>Pakuotės turinys ir kita informacija</w:t>
      </w:r>
    </w:p>
    <w:p w:rsidR="00F33D6C" w:rsidRPr="002541C7" w:rsidRDefault="00F33D6C" w:rsidP="00C25BBD">
      <w:pPr>
        <w:pStyle w:val="BTEMEASMCA"/>
        <w:tabs>
          <w:tab w:val="left" w:pos="567"/>
        </w:tabs>
        <w:ind w:right="333"/>
      </w:pPr>
    </w:p>
    <w:p w:rsidR="00F33D6C" w:rsidRPr="002541C7" w:rsidRDefault="00F33D6C" w:rsidP="00C25BBD">
      <w:pPr>
        <w:pStyle w:val="BTEMEASMCA"/>
        <w:ind w:right="333"/>
      </w:pPr>
    </w:p>
    <w:p w:rsidR="00F33D6C" w:rsidRPr="002541C7" w:rsidRDefault="00F33D6C" w:rsidP="00C25BBD">
      <w:pPr>
        <w:pStyle w:val="PI-1EMEASMCA"/>
        <w:ind w:right="333"/>
      </w:pPr>
      <w:bookmarkStart w:id="72" w:name="_Toc129243139"/>
      <w:bookmarkStart w:id="73" w:name="_Toc129243264"/>
      <w:r w:rsidRPr="002541C7">
        <w:t>1.</w:t>
      </w:r>
      <w:r w:rsidRPr="002541C7">
        <w:tab/>
        <w:t>Kas yra Ketanov ir kam jis vartojamas</w:t>
      </w:r>
      <w:bookmarkEnd w:id="72"/>
      <w:bookmarkEnd w:id="73"/>
    </w:p>
    <w:p w:rsidR="00F33D6C" w:rsidRPr="002541C7" w:rsidRDefault="00F33D6C" w:rsidP="00C25BBD">
      <w:pPr>
        <w:pStyle w:val="BTEMEASMCA"/>
        <w:ind w:right="333"/>
      </w:pPr>
    </w:p>
    <w:p w:rsidR="00F33D6C" w:rsidRPr="002541C7" w:rsidRDefault="00F33D6C" w:rsidP="00C25BBD">
      <w:pPr>
        <w:pStyle w:val="BTEMEASMCA"/>
        <w:ind w:right="333"/>
      </w:pPr>
      <w:r w:rsidRPr="002541C7">
        <w:t>Ketanov priklauso nesteroidinių vaistų nuo uždegimo (NVNU) grupei. Ketanov paskiriamas ligoninėje vidutinio stiprumo skausmui po operacijos malšinti. Ilgiausia vartojimo trukmė – ne daugiau kaip 7 dienos.</w:t>
      </w: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PI-1EMEASMCA"/>
        <w:ind w:right="333"/>
      </w:pPr>
      <w:bookmarkStart w:id="74" w:name="_Toc129243140"/>
      <w:bookmarkStart w:id="75" w:name="_Toc129243265"/>
      <w:r w:rsidRPr="002541C7">
        <w:t>2.</w:t>
      </w:r>
      <w:r w:rsidRPr="002541C7">
        <w:tab/>
        <w:t>Kas žinotina prieš vartojant Ketanov</w:t>
      </w:r>
      <w:bookmarkEnd w:id="74"/>
      <w:bookmarkEnd w:id="75"/>
    </w:p>
    <w:p w:rsidR="00F33D6C" w:rsidRPr="002541C7" w:rsidRDefault="00F33D6C" w:rsidP="00C25BBD">
      <w:pPr>
        <w:pStyle w:val="BTEMEASMCA"/>
        <w:ind w:right="333"/>
      </w:pPr>
    </w:p>
    <w:p w:rsidR="00F33D6C" w:rsidRPr="002541C7" w:rsidRDefault="00F33D6C" w:rsidP="00C25BBD">
      <w:pPr>
        <w:pStyle w:val="PI-3EMEASMCA"/>
        <w:ind w:right="333"/>
      </w:pPr>
      <w:r w:rsidRPr="002541C7">
        <w:t>Ketanov vartoti negalima:</w:t>
      </w:r>
    </w:p>
    <w:p w:rsidR="00F33D6C" w:rsidRPr="002541C7" w:rsidRDefault="00F33D6C" w:rsidP="00C25BBD">
      <w:pPr>
        <w:pStyle w:val="PI-3EMEASMCA"/>
        <w:ind w:right="333"/>
      </w:pPr>
    </w:p>
    <w:p w:rsidR="00F33D6C" w:rsidRPr="002541C7" w:rsidRDefault="00F33D6C" w:rsidP="00C25BBD">
      <w:pPr>
        <w:numPr>
          <w:ilvl w:val="0"/>
          <w:numId w:val="6"/>
        </w:numPr>
        <w:ind w:right="333"/>
        <w:rPr>
          <w:sz w:val="22"/>
          <w:szCs w:val="22"/>
        </w:rPr>
      </w:pPr>
      <w:r w:rsidRPr="002541C7">
        <w:rPr>
          <w:sz w:val="22"/>
          <w:szCs w:val="22"/>
        </w:rPr>
        <w:t xml:space="preserve">jeigu yra alergija (padidėjęs jautrumas) ketorolakui arba bet kuriai pagalbinei Ketanov medžiagai </w:t>
      </w:r>
      <w:r w:rsidRPr="002541C7">
        <w:rPr>
          <w:noProof/>
          <w:sz w:val="22"/>
          <w:szCs w:val="22"/>
        </w:rPr>
        <w:t>(jos išvardytos 6 skyriuje)</w:t>
      </w:r>
      <w:r w:rsidRPr="002541C7">
        <w:rPr>
          <w:sz w:val="22"/>
          <w:szCs w:val="22"/>
        </w:rPr>
        <w:t>, arba kitiems NVNU;</w:t>
      </w:r>
    </w:p>
    <w:p w:rsidR="00F33D6C" w:rsidRPr="002541C7" w:rsidRDefault="00F33D6C" w:rsidP="00C25BBD">
      <w:pPr>
        <w:numPr>
          <w:ilvl w:val="0"/>
          <w:numId w:val="6"/>
        </w:numPr>
        <w:ind w:right="333"/>
        <w:rPr>
          <w:sz w:val="22"/>
          <w:szCs w:val="22"/>
        </w:rPr>
      </w:pPr>
      <w:r w:rsidRPr="002541C7">
        <w:rPr>
          <w:sz w:val="22"/>
          <w:szCs w:val="22"/>
        </w:rPr>
        <w:t>jeigu anksčiau, vartojant kitų vaistų nuo skausmo ir uždegimo (pvz., ibuprofeno, acetilsalicilo rūgšties darinių) pasireiškė padidėjusio jautrumo reakcijų (astma, rinitas, angioneurozinė edema (staigus lūpų, veido ir kaklo ar kitų kūno vietų tinimas), dilgėlinė arba sunkios anafilaksinės reakcijos);</w:t>
      </w:r>
    </w:p>
    <w:p w:rsidR="00F33D6C" w:rsidRPr="002541C7" w:rsidRDefault="00F33D6C" w:rsidP="00C25BBD">
      <w:pPr>
        <w:numPr>
          <w:ilvl w:val="0"/>
          <w:numId w:val="6"/>
        </w:numPr>
        <w:ind w:right="333"/>
        <w:rPr>
          <w:sz w:val="22"/>
          <w:szCs w:val="22"/>
        </w:rPr>
      </w:pPr>
      <w:r w:rsidRPr="002541C7">
        <w:rPr>
          <w:sz w:val="22"/>
          <w:szCs w:val="22"/>
        </w:rPr>
        <w:t>jeigu yra sunkus širdies nepakankamumas;</w:t>
      </w:r>
    </w:p>
    <w:p w:rsidR="00F33D6C" w:rsidRPr="002541C7" w:rsidRDefault="00F33D6C" w:rsidP="00C25BBD">
      <w:pPr>
        <w:numPr>
          <w:ilvl w:val="0"/>
          <w:numId w:val="6"/>
        </w:numPr>
        <w:ind w:right="333"/>
        <w:rPr>
          <w:sz w:val="22"/>
          <w:szCs w:val="22"/>
        </w:rPr>
      </w:pPr>
      <w:r w:rsidRPr="002541C7">
        <w:rPr>
          <w:sz w:val="22"/>
          <w:szCs w:val="22"/>
        </w:rPr>
        <w:t>jeigu yra sunkus kepenų nepakankamumas;</w:t>
      </w:r>
    </w:p>
    <w:p w:rsidR="00F33D6C" w:rsidRPr="002541C7" w:rsidRDefault="00F33D6C" w:rsidP="00C25BBD">
      <w:pPr>
        <w:numPr>
          <w:ilvl w:val="0"/>
          <w:numId w:val="6"/>
        </w:numPr>
        <w:ind w:right="333"/>
        <w:rPr>
          <w:sz w:val="22"/>
          <w:szCs w:val="22"/>
        </w:rPr>
      </w:pPr>
      <w:r w:rsidRPr="002541C7">
        <w:rPr>
          <w:sz w:val="22"/>
          <w:szCs w:val="22"/>
        </w:rPr>
        <w:t>jeigu įtariamas arba nustatytas kraujavimas į galvos smegenis;</w:t>
      </w:r>
    </w:p>
    <w:p w:rsidR="00F33D6C" w:rsidRPr="002541C7" w:rsidRDefault="00F33D6C" w:rsidP="00C25BBD">
      <w:pPr>
        <w:numPr>
          <w:ilvl w:val="0"/>
          <w:numId w:val="6"/>
        </w:numPr>
        <w:ind w:right="333"/>
        <w:rPr>
          <w:sz w:val="22"/>
          <w:szCs w:val="22"/>
        </w:rPr>
      </w:pPr>
      <w:r w:rsidRPr="002541C7">
        <w:rPr>
          <w:sz w:val="22"/>
          <w:szCs w:val="22"/>
        </w:rPr>
        <w:lastRenderedPageBreak/>
        <w:t>jeigu sergate kraujo liga;</w:t>
      </w:r>
    </w:p>
    <w:p w:rsidR="00F33D6C" w:rsidRPr="002541C7" w:rsidRDefault="00F33D6C" w:rsidP="00C25BBD">
      <w:pPr>
        <w:numPr>
          <w:ilvl w:val="0"/>
          <w:numId w:val="6"/>
        </w:numPr>
        <w:ind w:right="333"/>
        <w:rPr>
          <w:sz w:val="22"/>
          <w:szCs w:val="22"/>
        </w:rPr>
      </w:pPr>
      <w:r w:rsidRPr="002541C7">
        <w:rPr>
          <w:sz w:val="22"/>
          <w:szCs w:val="22"/>
        </w:rPr>
        <w:t xml:space="preserve">jeigu yra nosies landų polipų, angioneurozinė edema (alerginis patinimas aplink burną, akis, nosį ar genitalijų srityje) arba bronchų spazmas; </w:t>
      </w:r>
    </w:p>
    <w:p w:rsidR="00F33D6C" w:rsidRPr="002541C7" w:rsidRDefault="00F33D6C" w:rsidP="00C25BBD">
      <w:pPr>
        <w:numPr>
          <w:ilvl w:val="0"/>
          <w:numId w:val="6"/>
        </w:numPr>
        <w:ind w:right="333"/>
        <w:rPr>
          <w:sz w:val="22"/>
          <w:szCs w:val="22"/>
        </w:rPr>
      </w:pPr>
      <w:r w:rsidRPr="002541C7">
        <w:rPr>
          <w:sz w:val="22"/>
          <w:szCs w:val="22"/>
        </w:rPr>
        <w:t xml:space="preserve">jeigu organizme dėl bet kokios priežasties yra sumažėjęs kraujo arba skysčių kiekis; </w:t>
      </w:r>
    </w:p>
    <w:p w:rsidR="00F33D6C" w:rsidRPr="002541C7" w:rsidRDefault="00F33D6C" w:rsidP="00C25BBD">
      <w:pPr>
        <w:numPr>
          <w:ilvl w:val="0"/>
          <w:numId w:val="6"/>
        </w:numPr>
        <w:ind w:right="333"/>
        <w:rPr>
          <w:sz w:val="22"/>
          <w:szCs w:val="22"/>
        </w:rPr>
      </w:pPr>
      <w:r w:rsidRPr="002541C7">
        <w:rPr>
          <w:sz w:val="22"/>
          <w:szCs w:val="22"/>
        </w:rPr>
        <w:t xml:space="preserve">jeigu yra vidutinio sunkumo ar sunkų inkstų funkcijos sutrikimą sukelianti liga; </w:t>
      </w:r>
    </w:p>
    <w:p w:rsidR="00F33D6C" w:rsidRPr="002541C7" w:rsidRDefault="00F33D6C" w:rsidP="00C25BBD">
      <w:pPr>
        <w:numPr>
          <w:ilvl w:val="0"/>
          <w:numId w:val="6"/>
        </w:numPr>
        <w:ind w:right="333"/>
        <w:rPr>
          <w:sz w:val="22"/>
          <w:szCs w:val="22"/>
        </w:rPr>
      </w:pPr>
      <w:r w:rsidRPr="002541C7">
        <w:rPr>
          <w:sz w:val="22"/>
          <w:szCs w:val="22"/>
        </w:rPr>
        <w:t>jeigu sirgote ar sergate bronchų astma;</w:t>
      </w:r>
    </w:p>
    <w:p w:rsidR="00F33D6C" w:rsidRPr="002541C7" w:rsidRDefault="00F33D6C" w:rsidP="00C25BBD">
      <w:pPr>
        <w:numPr>
          <w:ilvl w:val="0"/>
          <w:numId w:val="6"/>
        </w:numPr>
        <w:ind w:right="333"/>
        <w:rPr>
          <w:sz w:val="22"/>
          <w:szCs w:val="22"/>
        </w:rPr>
      </w:pPr>
      <w:r w:rsidRPr="002541C7">
        <w:rPr>
          <w:sz w:val="22"/>
          <w:szCs w:val="22"/>
        </w:rPr>
        <w:t>jeigu sirgote arba sergate skrandžio arba dvylikapirštės žarnos opa;</w:t>
      </w:r>
    </w:p>
    <w:p w:rsidR="00F33D6C" w:rsidRPr="002541C7" w:rsidRDefault="00F33D6C" w:rsidP="00C25BBD">
      <w:pPr>
        <w:numPr>
          <w:ilvl w:val="0"/>
          <w:numId w:val="6"/>
        </w:numPr>
        <w:ind w:right="333"/>
        <w:rPr>
          <w:sz w:val="22"/>
          <w:szCs w:val="22"/>
        </w:rPr>
      </w:pPr>
      <w:r w:rsidRPr="002541C7">
        <w:rPr>
          <w:sz w:val="22"/>
          <w:szCs w:val="22"/>
        </w:rPr>
        <w:t>jeigu Jums atlikta operacija, po kurios yra didelis kraujavimo pavojus arba vis dar kraujuojate;</w:t>
      </w:r>
    </w:p>
    <w:p w:rsidR="00F33D6C" w:rsidRPr="002541C7" w:rsidRDefault="00F33D6C" w:rsidP="00C25BBD">
      <w:pPr>
        <w:numPr>
          <w:ilvl w:val="0"/>
          <w:numId w:val="6"/>
        </w:numPr>
        <w:ind w:right="333"/>
        <w:rPr>
          <w:sz w:val="22"/>
          <w:szCs w:val="22"/>
        </w:rPr>
      </w:pPr>
      <w:r w:rsidRPr="002541C7">
        <w:rPr>
          <w:sz w:val="22"/>
          <w:szCs w:val="22"/>
        </w:rPr>
        <w:t>jeigu kartu vartojama kitų NVNU (įskaitant vaistus, slopinančius fermentą, vadinamą ciklooksigenaze-2), pentoksifilino (vaisto, plečiančio kraujagysles), probenecido (vaisto podagrai gydyti) arba ličio preparatų;</w:t>
      </w:r>
    </w:p>
    <w:p w:rsidR="00F33D6C" w:rsidRPr="002541C7" w:rsidRDefault="00F33D6C" w:rsidP="00C25BBD">
      <w:pPr>
        <w:numPr>
          <w:ilvl w:val="0"/>
          <w:numId w:val="6"/>
        </w:numPr>
        <w:ind w:right="333"/>
        <w:rPr>
          <w:sz w:val="22"/>
          <w:szCs w:val="22"/>
        </w:rPr>
      </w:pPr>
      <w:r w:rsidRPr="002541C7">
        <w:rPr>
          <w:sz w:val="22"/>
          <w:szCs w:val="22"/>
        </w:rPr>
        <w:t>jeigu vartojate kraujo krešėjimą mažinančių vaistų (įskaitant mažas heparino dozes, varfariną);</w:t>
      </w:r>
    </w:p>
    <w:p w:rsidR="00F33D6C" w:rsidRPr="002541C7" w:rsidRDefault="00F33D6C" w:rsidP="00C25BBD">
      <w:pPr>
        <w:numPr>
          <w:ilvl w:val="0"/>
          <w:numId w:val="6"/>
        </w:numPr>
        <w:ind w:right="333"/>
        <w:rPr>
          <w:sz w:val="22"/>
          <w:szCs w:val="22"/>
        </w:rPr>
      </w:pPr>
      <w:r w:rsidRPr="002541C7">
        <w:rPr>
          <w:sz w:val="22"/>
          <w:szCs w:val="22"/>
        </w:rPr>
        <w:t>jeigu vartojate aspirino;</w:t>
      </w:r>
    </w:p>
    <w:p w:rsidR="00F33D6C" w:rsidRPr="002541C7" w:rsidRDefault="00F33D6C" w:rsidP="00C25BBD">
      <w:pPr>
        <w:numPr>
          <w:ilvl w:val="0"/>
          <w:numId w:val="6"/>
        </w:numPr>
        <w:ind w:right="333"/>
        <w:rPr>
          <w:sz w:val="22"/>
          <w:szCs w:val="22"/>
        </w:rPr>
      </w:pPr>
      <w:r w:rsidRPr="002541C7">
        <w:rPr>
          <w:sz w:val="22"/>
          <w:szCs w:val="22"/>
        </w:rPr>
        <w:t>nėštumo, gimdymo, pogimdyminiu ar žindymo laikotarpiu;</w:t>
      </w:r>
    </w:p>
    <w:p w:rsidR="00F33D6C" w:rsidRPr="002541C7" w:rsidRDefault="00F33D6C" w:rsidP="00C25BBD">
      <w:pPr>
        <w:numPr>
          <w:ilvl w:val="0"/>
          <w:numId w:val="6"/>
        </w:numPr>
        <w:ind w:right="333"/>
        <w:rPr>
          <w:sz w:val="22"/>
          <w:szCs w:val="22"/>
        </w:rPr>
      </w:pPr>
      <w:r w:rsidRPr="002541C7">
        <w:rPr>
          <w:sz w:val="22"/>
          <w:szCs w:val="22"/>
        </w:rPr>
        <w:t>jaunesniems kaip 16 metų vaikams.</w:t>
      </w:r>
    </w:p>
    <w:p w:rsidR="00F33D6C" w:rsidRPr="002541C7" w:rsidRDefault="00F33D6C" w:rsidP="00C25BBD">
      <w:pPr>
        <w:ind w:left="720" w:right="333"/>
        <w:rPr>
          <w:sz w:val="22"/>
          <w:szCs w:val="22"/>
        </w:rPr>
      </w:pPr>
    </w:p>
    <w:p w:rsidR="00F33D6C" w:rsidRPr="002541C7" w:rsidRDefault="00F33D6C" w:rsidP="00C25BBD">
      <w:pPr>
        <w:pStyle w:val="BTEMEASMCA"/>
        <w:ind w:right="333"/>
      </w:pPr>
      <w:r w:rsidRPr="002541C7">
        <w:t>Ketanov veikia kraujo krešėjimą, todėl juo negalima malšinti skausmo prieš operaciją. Jei vartosite vaistą operacijos metu,  gali padidėti kraujavimo pavojus.</w:t>
      </w:r>
    </w:p>
    <w:p w:rsidR="00F33D6C" w:rsidRPr="002541C7" w:rsidRDefault="00F33D6C" w:rsidP="00C25BBD">
      <w:pPr>
        <w:pStyle w:val="BTEMEASMCA"/>
        <w:ind w:right="333"/>
      </w:pPr>
    </w:p>
    <w:p w:rsidR="00F33D6C" w:rsidRPr="002541C7" w:rsidRDefault="00F33D6C" w:rsidP="00C25BBD">
      <w:pPr>
        <w:pStyle w:val="BTEMEASMCA"/>
        <w:ind w:right="333"/>
        <w:rPr>
          <w:b/>
          <w:bCs/>
        </w:rPr>
      </w:pPr>
      <w:r w:rsidRPr="002541C7">
        <w:rPr>
          <w:b/>
          <w:bCs/>
        </w:rPr>
        <w:t xml:space="preserve">Įspėjimai ir atsargumo priemonės </w:t>
      </w:r>
    </w:p>
    <w:p w:rsidR="00F33D6C" w:rsidRPr="002541C7" w:rsidRDefault="00F33D6C" w:rsidP="00C25BBD">
      <w:pPr>
        <w:ind w:left="567" w:right="333" w:hanging="567"/>
        <w:rPr>
          <w:b/>
          <w:bCs/>
          <w:sz w:val="22"/>
          <w:szCs w:val="22"/>
        </w:rPr>
      </w:pPr>
      <w:r w:rsidRPr="002541C7">
        <w:rPr>
          <w:sz w:val="22"/>
          <w:szCs w:val="22"/>
        </w:rPr>
        <w:t>Prieš pradėdami vartoti Ketanov, pasakykite gydytojui, jeigu:</w:t>
      </w:r>
    </w:p>
    <w:p w:rsidR="00F33D6C" w:rsidRPr="002541C7" w:rsidRDefault="00F33D6C" w:rsidP="00C25BBD">
      <w:pPr>
        <w:numPr>
          <w:ilvl w:val="0"/>
          <w:numId w:val="8"/>
        </w:numPr>
        <w:tabs>
          <w:tab w:val="left" w:pos="720"/>
        </w:tabs>
        <w:ind w:left="357" w:right="333" w:hanging="357"/>
        <w:rPr>
          <w:sz w:val="22"/>
          <w:szCs w:val="22"/>
        </w:rPr>
      </w:pPr>
      <w:r w:rsidRPr="002541C7">
        <w:rPr>
          <w:sz w:val="22"/>
          <w:szCs w:val="22"/>
        </w:rPr>
        <w:t xml:space="preserve">sergate skrandžio ar kita virškinimo trakto liga, tuštinatės juodomis išmatomis arba išmatose pastebite kraujo; </w:t>
      </w:r>
    </w:p>
    <w:p w:rsidR="00F33D6C" w:rsidRPr="002541C7" w:rsidRDefault="00F33D6C" w:rsidP="00C25BBD">
      <w:pPr>
        <w:numPr>
          <w:ilvl w:val="0"/>
          <w:numId w:val="8"/>
        </w:numPr>
        <w:tabs>
          <w:tab w:val="left" w:pos="720"/>
        </w:tabs>
        <w:ind w:left="357" w:right="333" w:hanging="357"/>
        <w:rPr>
          <w:sz w:val="22"/>
          <w:szCs w:val="22"/>
        </w:rPr>
      </w:pPr>
      <w:r w:rsidRPr="002541C7">
        <w:rPr>
          <w:sz w:val="22"/>
          <w:szCs w:val="22"/>
        </w:rPr>
        <w:t>sergate kvėpavimo takų ligomis;</w:t>
      </w:r>
    </w:p>
    <w:p w:rsidR="00F33D6C" w:rsidRPr="002541C7" w:rsidRDefault="00F33D6C" w:rsidP="00C25BBD">
      <w:pPr>
        <w:numPr>
          <w:ilvl w:val="0"/>
          <w:numId w:val="8"/>
        </w:numPr>
        <w:tabs>
          <w:tab w:val="left" w:pos="720"/>
        </w:tabs>
        <w:ind w:left="357" w:right="333" w:hanging="357"/>
        <w:rPr>
          <w:sz w:val="22"/>
          <w:szCs w:val="22"/>
        </w:rPr>
      </w:pPr>
      <w:r w:rsidRPr="002541C7">
        <w:rPr>
          <w:sz w:val="22"/>
          <w:szCs w:val="22"/>
        </w:rPr>
        <w:t>sergate inkstų arba kepenų liga;</w:t>
      </w:r>
    </w:p>
    <w:p w:rsidR="00F33D6C" w:rsidRPr="002541C7" w:rsidRDefault="00F33D6C" w:rsidP="00C25BBD">
      <w:pPr>
        <w:numPr>
          <w:ilvl w:val="0"/>
          <w:numId w:val="8"/>
        </w:numPr>
        <w:tabs>
          <w:tab w:val="left" w:pos="720"/>
        </w:tabs>
        <w:ind w:left="357" w:right="333" w:hanging="357"/>
        <w:rPr>
          <w:sz w:val="22"/>
          <w:szCs w:val="22"/>
        </w:rPr>
      </w:pPr>
      <w:r w:rsidRPr="002541C7">
        <w:rPr>
          <w:sz w:val="22"/>
          <w:szCs w:val="22"/>
        </w:rPr>
        <w:t>turite aukštą kraujospūdį, sergate širdies ar kraujagyslių liga;</w:t>
      </w:r>
    </w:p>
    <w:p w:rsidR="00F33D6C" w:rsidRPr="002541C7" w:rsidRDefault="00F33D6C" w:rsidP="00C25BBD">
      <w:pPr>
        <w:numPr>
          <w:ilvl w:val="0"/>
          <w:numId w:val="8"/>
        </w:numPr>
        <w:tabs>
          <w:tab w:val="left" w:pos="720"/>
        </w:tabs>
        <w:ind w:left="357" w:right="333" w:hanging="357"/>
        <w:rPr>
          <w:sz w:val="22"/>
          <w:szCs w:val="22"/>
        </w:rPr>
      </w:pPr>
      <w:r w:rsidRPr="002541C7">
        <w:rPr>
          <w:sz w:val="22"/>
          <w:szCs w:val="22"/>
        </w:rPr>
        <w:t>yra sumažėjęs išskiriamo šlapimo kiekis;</w:t>
      </w:r>
    </w:p>
    <w:p w:rsidR="00F33D6C" w:rsidRPr="002541C7" w:rsidRDefault="00F33D6C" w:rsidP="00C25BBD">
      <w:pPr>
        <w:numPr>
          <w:ilvl w:val="0"/>
          <w:numId w:val="8"/>
        </w:numPr>
        <w:tabs>
          <w:tab w:val="left" w:pos="720"/>
        </w:tabs>
        <w:ind w:left="357" w:right="333" w:hanging="357"/>
        <w:rPr>
          <w:sz w:val="22"/>
          <w:szCs w:val="22"/>
        </w:rPr>
      </w:pPr>
      <w:r w:rsidRPr="002541C7">
        <w:rPr>
          <w:sz w:val="22"/>
          <w:szCs w:val="22"/>
        </w:rPr>
        <w:t>patino rankos, kojos arba kitos kūno dalys;</w:t>
      </w:r>
    </w:p>
    <w:p w:rsidR="00F33D6C" w:rsidRPr="002541C7" w:rsidRDefault="00F33D6C" w:rsidP="00C25BBD">
      <w:pPr>
        <w:numPr>
          <w:ilvl w:val="0"/>
          <w:numId w:val="8"/>
        </w:numPr>
        <w:tabs>
          <w:tab w:val="left" w:pos="720"/>
        </w:tabs>
        <w:ind w:left="357" w:right="333" w:hanging="357"/>
        <w:rPr>
          <w:sz w:val="22"/>
          <w:szCs w:val="22"/>
        </w:rPr>
      </w:pPr>
      <w:r w:rsidRPr="002541C7">
        <w:rPr>
          <w:sz w:val="22"/>
          <w:szCs w:val="22"/>
        </w:rPr>
        <w:t>po operacijos iš pjūvio prasidėjo kraujavimas arba pjūvio srityje atsirado kraujosruvų;</w:t>
      </w:r>
    </w:p>
    <w:p w:rsidR="00F33D6C" w:rsidRPr="002541C7" w:rsidRDefault="00F33D6C" w:rsidP="00C25BBD">
      <w:pPr>
        <w:numPr>
          <w:ilvl w:val="0"/>
          <w:numId w:val="8"/>
        </w:numPr>
        <w:tabs>
          <w:tab w:val="left" w:pos="720"/>
        </w:tabs>
        <w:ind w:left="357" w:right="333" w:hanging="357"/>
        <w:rPr>
          <w:sz w:val="22"/>
          <w:szCs w:val="22"/>
        </w:rPr>
      </w:pPr>
      <w:r w:rsidRPr="002541C7">
        <w:rPr>
          <w:sz w:val="22"/>
          <w:szCs w:val="22"/>
        </w:rPr>
        <w:t>sergate sistemine raudonąja vilklige (lėtinė autoimuninė liga, kuri pažeidžia įvairius vidaus ir išorės organus) arba kita sistemine jungiamojo audinio liga;</w:t>
      </w:r>
    </w:p>
    <w:p w:rsidR="00F33D6C" w:rsidRPr="002541C7" w:rsidRDefault="00F33D6C" w:rsidP="00C25BBD">
      <w:pPr>
        <w:numPr>
          <w:ilvl w:val="0"/>
          <w:numId w:val="8"/>
        </w:numPr>
        <w:tabs>
          <w:tab w:val="left" w:pos="720"/>
        </w:tabs>
        <w:ind w:left="357" w:right="333" w:hanging="357"/>
        <w:rPr>
          <w:sz w:val="22"/>
          <w:szCs w:val="22"/>
        </w:rPr>
      </w:pPr>
      <w:r w:rsidRPr="002541C7">
        <w:rPr>
          <w:sz w:val="22"/>
          <w:szCs w:val="22"/>
        </w:rPr>
        <w:t>planuojate nėštumą;</w:t>
      </w:r>
    </w:p>
    <w:p w:rsidR="00F33D6C" w:rsidRPr="002541C7" w:rsidRDefault="00F33D6C" w:rsidP="00C25BBD">
      <w:pPr>
        <w:numPr>
          <w:ilvl w:val="0"/>
          <w:numId w:val="8"/>
        </w:numPr>
        <w:tabs>
          <w:tab w:val="left" w:pos="720"/>
        </w:tabs>
        <w:ind w:left="357" w:right="333" w:hanging="357"/>
        <w:rPr>
          <w:sz w:val="22"/>
          <w:szCs w:val="22"/>
        </w:rPr>
      </w:pPr>
      <w:r w:rsidRPr="002541C7">
        <w:rPr>
          <w:sz w:val="22"/>
          <w:szCs w:val="22"/>
        </w:rPr>
        <w:t>esate vyresnis (-ė) nei 65 metų amžiaus (senyviems pacientams gali padidėti šalutinio poveikio pavojus).</w:t>
      </w:r>
    </w:p>
    <w:p w:rsidR="00F33D6C" w:rsidRPr="002541C7" w:rsidRDefault="00F33D6C" w:rsidP="00C25BBD">
      <w:pPr>
        <w:ind w:right="333"/>
        <w:rPr>
          <w:sz w:val="22"/>
          <w:szCs w:val="22"/>
          <w:highlight w:val="yellow"/>
        </w:rPr>
      </w:pPr>
    </w:p>
    <w:p w:rsidR="00F33D6C" w:rsidRPr="002541C7" w:rsidRDefault="00F33D6C" w:rsidP="00C25BBD">
      <w:pPr>
        <w:ind w:right="333"/>
        <w:rPr>
          <w:sz w:val="22"/>
          <w:szCs w:val="22"/>
        </w:rPr>
      </w:pPr>
      <w:r w:rsidRPr="002541C7">
        <w:rPr>
          <w:sz w:val="22"/>
          <w:szCs w:val="22"/>
        </w:rPr>
        <w:t>Tokie vaistai, kaip Ketanov 10 mg burnoje disperguojamosios tabletės, gali būti susiję su nedideliu širdies prie</w:t>
      </w:r>
      <w:r w:rsidRPr="002541C7">
        <w:rPr>
          <w:sz w:val="22"/>
          <w:szCs w:val="22"/>
        </w:rPr>
        <w:lastRenderedPageBreak/>
        <w:t>puolio (miokardo infarkto) ar insulto pavojaus padidėjimu. Bet koks pavojus yra labiau tikėtinas ilgą laiką vartojant vaistą didelėmis dozėmis. Neviršykite rekomenduotos dozės ar gydymo laiko. 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rsidR="00F33D6C" w:rsidRPr="002541C7" w:rsidRDefault="00F33D6C" w:rsidP="00C25BBD">
      <w:pPr>
        <w:ind w:right="333"/>
        <w:rPr>
          <w:kern w:val="16"/>
          <w:sz w:val="22"/>
          <w:szCs w:val="22"/>
          <w:highlight w:val="yellow"/>
        </w:rPr>
      </w:pPr>
    </w:p>
    <w:p w:rsidR="00F33D6C" w:rsidRPr="002541C7" w:rsidRDefault="00F33D6C" w:rsidP="00C25BBD">
      <w:pPr>
        <w:ind w:right="333"/>
        <w:rPr>
          <w:b/>
          <w:bCs/>
          <w:sz w:val="22"/>
          <w:szCs w:val="22"/>
        </w:rPr>
      </w:pPr>
      <w:r w:rsidRPr="002541C7">
        <w:rPr>
          <w:b/>
          <w:bCs/>
          <w:sz w:val="22"/>
          <w:szCs w:val="22"/>
        </w:rPr>
        <w:t>Kiti vaistai ir Ketanov</w:t>
      </w:r>
    </w:p>
    <w:p w:rsidR="00F33D6C" w:rsidRPr="002541C7" w:rsidRDefault="00F33D6C" w:rsidP="00C25BBD">
      <w:pPr>
        <w:ind w:right="333"/>
        <w:rPr>
          <w:sz w:val="22"/>
          <w:szCs w:val="22"/>
        </w:rPr>
      </w:pPr>
      <w:r w:rsidRPr="002541C7">
        <w:rPr>
          <w:sz w:val="22"/>
          <w:szCs w:val="22"/>
        </w:rPr>
        <w:t>Jeigu vartojate arba neseniai vartojote kitų vaistų, įskaitant įsigytus be recepto, pasakykite gydytojui arba vaistininkui.</w:t>
      </w:r>
    </w:p>
    <w:p w:rsidR="00F33D6C" w:rsidRPr="002541C7" w:rsidRDefault="00F33D6C" w:rsidP="00C25BBD">
      <w:pPr>
        <w:ind w:right="333"/>
        <w:rPr>
          <w:color w:val="000000"/>
          <w:sz w:val="22"/>
          <w:szCs w:val="22"/>
          <w:highlight w:val="yellow"/>
        </w:rPr>
      </w:pPr>
    </w:p>
    <w:p w:rsidR="00F33D6C" w:rsidRPr="002541C7" w:rsidRDefault="00F33D6C" w:rsidP="00C25BBD">
      <w:pPr>
        <w:ind w:right="333"/>
        <w:rPr>
          <w:sz w:val="22"/>
          <w:szCs w:val="22"/>
        </w:rPr>
      </w:pPr>
      <w:r w:rsidRPr="002541C7">
        <w:rPr>
          <w:sz w:val="22"/>
          <w:szCs w:val="22"/>
        </w:rPr>
        <w:t xml:space="preserve">Ketanov gali keisti kitų kartu vartojamų vaistų poveikį. Ypač svarbu pasakyti gydytojui jeigu vartojate: </w:t>
      </w:r>
    </w:p>
    <w:p w:rsidR="00F33D6C" w:rsidRPr="002541C7" w:rsidRDefault="00F33D6C" w:rsidP="00C25BBD">
      <w:pPr>
        <w:numPr>
          <w:ilvl w:val="0"/>
          <w:numId w:val="10"/>
        </w:numPr>
        <w:ind w:left="714" w:right="333" w:hanging="357"/>
        <w:rPr>
          <w:sz w:val="22"/>
          <w:szCs w:val="22"/>
        </w:rPr>
      </w:pPr>
      <w:r w:rsidRPr="002541C7">
        <w:rPr>
          <w:sz w:val="22"/>
          <w:szCs w:val="22"/>
        </w:rPr>
        <w:t>vaistų, veikiančių kraujo krešėjimą (antikoaguliantų, pentoksifilino, antitrombocitinių vaistų);</w:t>
      </w:r>
    </w:p>
    <w:p w:rsidR="00F33D6C" w:rsidRPr="002541C7" w:rsidRDefault="00F33D6C" w:rsidP="00C25BBD">
      <w:pPr>
        <w:numPr>
          <w:ilvl w:val="0"/>
          <w:numId w:val="10"/>
        </w:numPr>
        <w:ind w:left="714" w:right="333" w:hanging="357"/>
        <w:rPr>
          <w:sz w:val="22"/>
          <w:szCs w:val="22"/>
        </w:rPr>
      </w:pPr>
      <w:r w:rsidRPr="002541C7">
        <w:rPr>
          <w:rStyle w:val="hps"/>
          <w:color w:val="000000"/>
          <w:sz w:val="22"/>
          <w:szCs w:val="22"/>
        </w:rPr>
        <w:t>vaistų, skirtų gydyti širdies ligoms (</w:t>
      </w:r>
      <w:r w:rsidRPr="002541C7">
        <w:rPr>
          <w:color w:val="000000"/>
          <w:sz w:val="22"/>
          <w:szCs w:val="22"/>
        </w:rPr>
        <w:t xml:space="preserve">furozemido, kitų </w:t>
      </w:r>
      <w:r w:rsidRPr="002541C7">
        <w:rPr>
          <w:rStyle w:val="hps"/>
          <w:color w:val="000000"/>
          <w:sz w:val="22"/>
          <w:szCs w:val="22"/>
        </w:rPr>
        <w:t>diuretikų ar širdį veikiančių</w:t>
      </w:r>
      <w:r w:rsidRPr="002541C7">
        <w:rPr>
          <w:color w:val="000000"/>
          <w:sz w:val="22"/>
          <w:szCs w:val="22"/>
        </w:rPr>
        <w:t xml:space="preserve"> </w:t>
      </w:r>
      <w:r w:rsidRPr="002541C7">
        <w:rPr>
          <w:rStyle w:val="hps"/>
          <w:color w:val="000000"/>
          <w:sz w:val="22"/>
          <w:szCs w:val="22"/>
        </w:rPr>
        <w:t>glikozidų (pvz., digoksino);</w:t>
      </w:r>
    </w:p>
    <w:p w:rsidR="00F33D6C" w:rsidRPr="002541C7" w:rsidRDefault="00F33D6C" w:rsidP="00C25BBD">
      <w:pPr>
        <w:numPr>
          <w:ilvl w:val="0"/>
          <w:numId w:val="10"/>
        </w:numPr>
        <w:ind w:left="714" w:right="333" w:hanging="357"/>
        <w:textAlignment w:val="top"/>
        <w:rPr>
          <w:sz w:val="22"/>
          <w:szCs w:val="22"/>
        </w:rPr>
      </w:pPr>
      <w:r w:rsidRPr="002541C7">
        <w:rPr>
          <w:sz w:val="22"/>
          <w:szCs w:val="22"/>
        </w:rPr>
        <w:t xml:space="preserve">vaistų nuo </w:t>
      </w:r>
      <w:r w:rsidRPr="002541C7">
        <w:rPr>
          <w:rStyle w:val="hps"/>
          <w:sz w:val="22"/>
          <w:szCs w:val="22"/>
        </w:rPr>
        <w:t>depresijos</w:t>
      </w:r>
      <w:r w:rsidRPr="002541C7">
        <w:rPr>
          <w:sz w:val="22"/>
          <w:szCs w:val="22"/>
        </w:rPr>
        <w:t xml:space="preserve"> </w:t>
      </w:r>
      <w:r w:rsidRPr="002541C7">
        <w:rPr>
          <w:rStyle w:val="hps"/>
          <w:sz w:val="22"/>
          <w:szCs w:val="22"/>
        </w:rPr>
        <w:t>(</w:t>
      </w:r>
      <w:r w:rsidRPr="002541C7">
        <w:rPr>
          <w:sz w:val="22"/>
          <w:szCs w:val="22"/>
        </w:rPr>
        <w:t xml:space="preserve">ličio ar vaistų, vadinamų </w:t>
      </w:r>
      <w:r w:rsidRPr="002541C7">
        <w:rPr>
          <w:rStyle w:val="hps"/>
          <w:sz w:val="22"/>
          <w:szCs w:val="22"/>
        </w:rPr>
        <w:t>selektyviais serotonino reabsorbcijos inhibitoriais</w:t>
      </w:r>
      <w:r w:rsidRPr="002541C7">
        <w:rPr>
          <w:sz w:val="22"/>
          <w:szCs w:val="22"/>
        </w:rPr>
        <w:t xml:space="preserve"> </w:t>
      </w:r>
      <w:r w:rsidRPr="002541C7">
        <w:rPr>
          <w:rStyle w:val="hps"/>
          <w:sz w:val="22"/>
          <w:szCs w:val="22"/>
        </w:rPr>
        <w:t>-</w:t>
      </w:r>
      <w:r w:rsidRPr="002541C7">
        <w:rPr>
          <w:sz w:val="22"/>
          <w:szCs w:val="22"/>
        </w:rPr>
        <w:t xml:space="preserve"> </w:t>
      </w:r>
      <w:r w:rsidRPr="002541C7">
        <w:rPr>
          <w:rStyle w:val="hps"/>
          <w:sz w:val="22"/>
          <w:szCs w:val="22"/>
        </w:rPr>
        <w:t>SSRI</w:t>
      </w:r>
      <w:r w:rsidRPr="002541C7">
        <w:rPr>
          <w:sz w:val="22"/>
          <w:szCs w:val="22"/>
        </w:rPr>
        <w:t>);</w:t>
      </w:r>
    </w:p>
    <w:p w:rsidR="00F33D6C" w:rsidRPr="002541C7" w:rsidRDefault="00F33D6C" w:rsidP="00C25BBD">
      <w:pPr>
        <w:numPr>
          <w:ilvl w:val="0"/>
          <w:numId w:val="10"/>
        </w:numPr>
        <w:ind w:right="333" w:hanging="360"/>
        <w:textAlignment w:val="top"/>
        <w:rPr>
          <w:sz w:val="22"/>
          <w:szCs w:val="22"/>
        </w:rPr>
      </w:pPr>
      <w:r w:rsidRPr="002541C7">
        <w:rPr>
          <w:sz w:val="22"/>
          <w:szCs w:val="22"/>
        </w:rPr>
        <w:t xml:space="preserve">vaistų nuo </w:t>
      </w:r>
      <w:r w:rsidRPr="002541C7">
        <w:rPr>
          <w:rStyle w:val="hps"/>
          <w:sz w:val="22"/>
          <w:szCs w:val="22"/>
        </w:rPr>
        <w:t>padidėjusio kraujospūdžio</w:t>
      </w:r>
      <w:r w:rsidRPr="002541C7">
        <w:rPr>
          <w:sz w:val="22"/>
          <w:szCs w:val="22"/>
        </w:rPr>
        <w:t xml:space="preserve"> </w:t>
      </w:r>
      <w:r w:rsidRPr="002541C7">
        <w:rPr>
          <w:rStyle w:val="hps"/>
          <w:sz w:val="22"/>
          <w:szCs w:val="22"/>
        </w:rPr>
        <w:t>(</w:t>
      </w:r>
      <w:r w:rsidRPr="002541C7">
        <w:rPr>
          <w:sz w:val="22"/>
          <w:szCs w:val="22"/>
        </w:rPr>
        <w:t xml:space="preserve">propranololio, </w:t>
      </w:r>
      <w:r w:rsidRPr="002541C7">
        <w:rPr>
          <w:rStyle w:val="hps"/>
          <w:sz w:val="22"/>
          <w:szCs w:val="22"/>
        </w:rPr>
        <w:t>kitų</w:t>
      </w:r>
      <w:r w:rsidRPr="002541C7">
        <w:rPr>
          <w:sz w:val="22"/>
          <w:szCs w:val="22"/>
        </w:rPr>
        <w:t xml:space="preserve"> </w:t>
      </w:r>
      <w:r w:rsidRPr="002541C7">
        <w:rPr>
          <w:rStyle w:val="hps"/>
          <w:sz w:val="22"/>
          <w:szCs w:val="22"/>
        </w:rPr>
        <w:t>beta adrenoblokatorių arba</w:t>
      </w:r>
      <w:r w:rsidRPr="002541C7">
        <w:rPr>
          <w:sz w:val="22"/>
          <w:szCs w:val="22"/>
        </w:rPr>
        <w:t xml:space="preserve"> AKF </w:t>
      </w:r>
      <w:r w:rsidRPr="002541C7">
        <w:rPr>
          <w:rStyle w:val="hps"/>
          <w:sz w:val="22"/>
          <w:szCs w:val="22"/>
        </w:rPr>
        <w:t>inhibitorių grupei priklausančių vaistų</w:t>
      </w:r>
      <w:r w:rsidRPr="002541C7">
        <w:rPr>
          <w:sz w:val="22"/>
          <w:szCs w:val="22"/>
        </w:rPr>
        <w:t>);</w:t>
      </w:r>
    </w:p>
    <w:p w:rsidR="00F33D6C" w:rsidRPr="002541C7" w:rsidRDefault="00F33D6C" w:rsidP="00C25BBD">
      <w:pPr>
        <w:numPr>
          <w:ilvl w:val="0"/>
          <w:numId w:val="10"/>
        </w:numPr>
        <w:ind w:right="333" w:hanging="360"/>
        <w:textAlignment w:val="top"/>
        <w:rPr>
          <w:sz w:val="22"/>
          <w:szCs w:val="22"/>
        </w:rPr>
      </w:pPr>
      <w:r w:rsidRPr="002541C7">
        <w:rPr>
          <w:sz w:val="22"/>
          <w:szCs w:val="22"/>
        </w:rPr>
        <w:t>probenecido</w:t>
      </w:r>
      <w:r w:rsidRPr="002541C7">
        <w:rPr>
          <w:rStyle w:val="hps"/>
          <w:sz w:val="22"/>
          <w:szCs w:val="22"/>
        </w:rPr>
        <w:t xml:space="preserve"> (vaisto nuo podagros</w:t>
      </w:r>
      <w:r w:rsidRPr="002541C7">
        <w:rPr>
          <w:sz w:val="22"/>
          <w:szCs w:val="22"/>
        </w:rPr>
        <w:t>);</w:t>
      </w:r>
    </w:p>
    <w:p w:rsidR="00F33D6C" w:rsidRPr="002541C7" w:rsidRDefault="00F33D6C" w:rsidP="00C25BBD">
      <w:pPr>
        <w:numPr>
          <w:ilvl w:val="0"/>
          <w:numId w:val="10"/>
        </w:numPr>
        <w:ind w:right="333" w:hanging="360"/>
        <w:textAlignment w:val="top"/>
        <w:rPr>
          <w:sz w:val="22"/>
          <w:szCs w:val="22"/>
        </w:rPr>
      </w:pPr>
      <w:r w:rsidRPr="002541C7">
        <w:rPr>
          <w:sz w:val="22"/>
          <w:szCs w:val="22"/>
        </w:rPr>
        <w:t xml:space="preserve">metotreksato </w:t>
      </w:r>
      <w:r w:rsidRPr="002541C7">
        <w:rPr>
          <w:rStyle w:val="hps"/>
          <w:sz w:val="22"/>
          <w:szCs w:val="22"/>
        </w:rPr>
        <w:t>(vaisto, kuriuo gydomas vėžys, artritas, sunki psoriazė</w:t>
      </w:r>
      <w:r w:rsidRPr="002541C7">
        <w:rPr>
          <w:sz w:val="22"/>
          <w:szCs w:val="22"/>
        </w:rPr>
        <w:t>);</w:t>
      </w:r>
    </w:p>
    <w:p w:rsidR="00F33D6C" w:rsidRPr="002541C7" w:rsidRDefault="00F33D6C" w:rsidP="00C25BBD">
      <w:pPr>
        <w:numPr>
          <w:ilvl w:val="0"/>
          <w:numId w:val="10"/>
        </w:numPr>
        <w:ind w:right="333" w:hanging="360"/>
        <w:textAlignment w:val="top"/>
        <w:rPr>
          <w:sz w:val="22"/>
          <w:szCs w:val="22"/>
        </w:rPr>
      </w:pPr>
      <w:r w:rsidRPr="002541C7">
        <w:rPr>
          <w:sz w:val="22"/>
          <w:szCs w:val="22"/>
        </w:rPr>
        <w:t>kortikosteroidų (hormoninių vaistų nuo uždegimo ir alergijos);</w:t>
      </w:r>
    </w:p>
    <w:p w:rsidR="00F33D6C" w:rsidRPr="002541C7" w:rsidRDefault="00F33D6C" w:rsidP="00C25BBD">
      <w:pPr>
        <w:numPr>
          <w:ilvl w:val="0"/>
          <w:numId w:val="10"/>
        </w:numPr>
        <w:ind w:left="714" w:right="333" w:hanging="357"/>
        <w:textAlignment w:val="top"/>
        <w:rPr>
          <w:rStyle w:val="hps"/>
          <w:sz w:val="22"/>
          <w:szCs w:val="22"/>
        </w:rPr>
      </w:pPr>
      <w:r w:rsidRPr="002541C7">
        <w:rPr>
          <w:rStyle w:val="hps"/>
          <w:sz w:val="22"/>
          <w:szCs w:val="22"/>
        </w:rPr>
        <w:t>kitų</w:t>
      </w:r>
      <w:r w:rsidRPr="002541C7">
        <w:rPr>
          <w:sz w:val="22"/>
          <w:szCs w:val="22"/>
        </w:rPr>
        <w:t xml:space="preserve"> </w:t>
      </w:r>
      <w:r w:rsidRPr="002541C7">
        <w:rPr>
          <w:rStyle w:val="hps"/>
          <w:sz w:val="22"/>
          <w:szCs w:val="22"/>
        </w:rPr>
        <w:t>nesteroidinių vaistų nuo uždegimo</w:t>
      </w:r>
      <w:r w:rsidRPr="002541C7">
        <w:rPr>
          <w:sz w:val="22"/>
          <w:szCs w:val="22"/>
        </w:rPr>
        <w:t xml:space="preserve"> </w:t>
      </w:r>
      <w:r w:rsidRPr="002541C7">
        <w:rPr>
          <w:rStyle w:val="hps"/>
          <w:sz w:val="22"/>
          <w:szCs w:val="22"/>
        </w:rPr>
        <w:t>(</w:t>
      </w:r>
      <w:r w:rsidRPr="002541C7">
        <w:rPr>
          <w:sz w:val="22"/>
          <w:szCs w:val="22"/>
        </w:rPr>
        <w:t xml:space="preserve">pvz., </w:t>
      </w:r>
      <w:r w:rsidRPr="002541C7">
        <w:rPr>
          <w:rStyle w:val="hps"/>
          <w:sz w:val="22"/>
          <w:szCs w:val="22"/>
        </w:rPr>
        <w:t>ibuprofeno</w:t>
      </w:r>
      <w:r w:rsidRPr="002541C7">
        <w:rPr>
          <w:sz w:val="22"/>
          <w:szCs w:val="22"/>
        </w:rPr>
        <w:t xml:space="preserve">) </w:t>
      </w:r>
      <w:r w:rsidRPr="002541C7">
        <w:rPr>
          <w:rStyle w:val="hps"/>
          <w:sz w:val="22"/>
          <w:szCs w:val="22"/>
        </w:rPr>
        <w:t>arba</w:t>
      </w:r>
      <w:r w:rsidRPr="002541C7">
        <w:rPr>
          <w:sz w:val="22"/>
          <w:szCs w:val="22"/>
        </w:rPr>
        <w:t xml:space="preserve"> </w:t>
      </w:r>
      <w:r w:rsidRPr="002541C7">
        <w:rPr>
          <w:rStyle w:val="hps"/>
          <w:sz w:val="22"/>
          <w:szCs w:val="22"/>
        </w:rPr>
        <w:t>aspirino;</w:t>
      </w:r>
    </w:p>
    <w:p w:rsidR="00F33D6C" w:rsidRPr="002541C7" w:rsidRDefault="00F33D6C" w:rsidP="00C25BBD">
      <w:pPr>
        <w:numPr>
          <w:ilvl w:val="0"/>
          <w:numId w:val="10"/>
        </w:numPr>
        <w:ind w:right="333" w:hanging="360"/>
        <w:textAlignment w:val="top"/>
        <w:rPr>
          <w:sz w:val="22"/>
          <w:szCs w:val="22"/>
        </w:rPr>
      </w:pPr>
      <w:r w:rsidRPr="002541C7">
        <w:rPr>
          <w:sz w:val="22"/>
          <w:szCs w:val="22"/>
        </w:rPr>
        <w:t xml:space="preserve">vaistų, kurie mažina </w:t>
      </w:r>
      <w:r w:rsidRPr="002541C7">
        <w:rPr>
          <w:rStyle w:val="hps"/>
          <w:sz w:val="22"/>
          <w:szCs w:val="22"/>
        </w:rPr>
        <w:t>persodintų organų</w:t>
      </w:r>
      <w:r w:rsidRPr="002541C7">
        <w:rPr>
          <w:sz w:val="22"/>
          <w:szCs w:val="22"/>
        </w:rPr>
        <w:t xml:space="preserve"> </w:t>
      </w:r>
      <w:r w:rsidRPr="002541C7">
        <w:rPr>
          <w:rStyle w:val="hps"/>
          <w:sz w:val="22"/>
          <w:szCs w:val="22"/>
        </w:rPr>
        <w:t>atmetimo</w:t>
      </w:r>
      <w:r w:rsidRPr="002541C7">
        <w:rPr>
          <w:sz w:val="22"/>
          <w:szCs w:val="22"/>
        </w:rPr>
        <w:t xml:space="preserve"> pavojų </w:t>
      </w:r>
      <w:r w:rsidRPr="002541C7">
        <w:rPr>
          <w:rStyle w:val="hps"/>
          <w:sz w:val="22"/>
          <w:szCs w:val="22"/>
        </w:rPr>
        <w:t>(</w:t>
      </w:r>
      <w:r w:rsidRPr="002541C7">
        <w:rPr>
          <w:sz w:val="22"/>
          <w:szCs w:val="22"/>
        </w:rPr>
        <w:t xml:space="preserve">ciklosporino, </w:t>
      </w:r>
      <w:r w:rsidRPr="002541C7">
        <w:rPr>
          <w:rStyle w:val="hps"/>
          <w:sz w:val="22"/>
          <w:szCs w:val="22"/>
        </w:rPr>
        <w:t>takrolimuzo</w:t>
      </w:r>
      <w:r w:rsidRPr="002541C7">
        <w:rPr>
          <w:sz w:val="22"/>
          <w:szCs w:val="22"/>
        </w:rPr>
        <w:t>);</w:t>
      </w:r>
    </w:p>
    <w:p w:rsidR="00F33D6C" w:rsidRPr="002541C7" w:rsidRDefault="00F33D6C" w:rsidP="00C25BBD">
      <w:pPr>
        <w:numPr>
          <w:ilvl w:val="0"/>
          <w:numId w:val="10"/>
        </w:numPr>
        <w:ind w:left="714" w:right="333" w:hanging="357"/>
        <w:textAlignment w:val="top"/>
        <w:rPr>
          <w:sz w:val="22"/>
          <w:szCs w:val="22"/>
        </w:rPr>
      </w:pPr>
      <w:r w:rsidRPr="002541C7">
        <w:rPr>
          <w:sz w:val="22"/>
          <w:szCs w:val="22"/>
        </w:rPr>
        <w:t xml:space="preserve">vaistų nuo </w:t>
      </w:r>
      <w:r w:rsidRPr="002541C7">
        <w:rPr>
          <w:rStyle w:val="hps"/>
          <w:sz w:val="22"/>
          <w:szCs w:val="22"/>
        </w:rPr>
        <w:t>infekcijos</w:t>
      </w:r>
      <w:r w:rsidRPr="002541C7">
        <w:rPr>
          <w:sz w:val="22"/>
          <w:szCs w:val="22"/>
        </w:rPr>
        <w:t xml:space="preserve"> </w:t>
      </w:r>
      <w:r w:rsidRPr="002541C7">
        <w:rPr>
          <w:rStyle w:val="hps"/>
          <w:sz w:val="22"/>
          <w:szCs w:val="22"/>
        </w:rPr>
        <w:t>(</w:t>
      </w:r>
      <w:r w:rsidRPr="002541C7">
        <w:rPr>
          <w:sz w:val="22"/>
          <w:szCs w:val="22"/>
        </w:rPr>
        <w:t>chinolonų grupei priklausančių antibiotikų);</w:t>
      </w:r>
    </w:p>
    <w:p w:rsidR="00F33D6C" w:rsidRPr="002541C7" w:rsidRDefault="00F33D6C" w:rsidP="00C25BBD">
      <w:pPr>
        <w:numPr>
          <w:ilvl w:val="0"/>
          <w:numId w:val="10"/>
        </w:numPr>
        <w:ind w:left="714" w:right="333" w:hanging="357"/>
        <w:textAlignment w:val="top"/>
        <w:rPr>
          <w:color w:val="888888"/>
          <w:sz w:val="22"/>
          <w:szCs w:val="22"/>
        </w:rPr>
      </w:pPr>
      <w:r w:rsidRPr="002541C7">
        <w:rPr>
          <w:sz w:val="22"/>
          <w:szCs w:val="22"/>
        </w:rPr>
        <w:t xml:space="preserve">vaistų nuo </w:t>
      </w:r>
      <w:r w:rsidRPr="002541C7">
        <w:rPr>
          <w:rStyle w:val="hps"/>
          <w:sz w:val="22"/>
          <w:szCs w:val="22"/>
        </w:rPr>
        <w:t>ŽIV</w:t>
      </w:r>
      <w:r w:rsidRPr="002541C7">
        <w:rPr>
          <w:sz w:val="22"/>
          <w:szCs w:val="22"/>
        </w:rPr>
        <w:t xml:space="preserve"> </w:t>
      </w:r>
      <w:r w:rsidRPr="002541C7">
        <w:rPr>
          <w:rStyle w:val="hps"/>
          <w:sz w:val="22"/>
          <w:szCs w:val="22"/>
        </w:rPr>
        <w:t>ir</w:t>
      </w:r>
      <w:r w:rsidRPr="002541C7">
        <w:rPr>
          <w:sz w:val="22"/>
          <w:szCs w:val="22"/>
        </w:rPr>
        <w:t xml:space="preserve"> </w:t>
      </w:r>
      <w:r w:rsidRPr="002541C7">
        <w:rPr>
          <w:rStyle w:val="hps"/>
          <w:sz w:val="22"/>
          <w:szCs w:val="22"/>
        </w:rPr>
        <w:t>AIDS</w:t>
      </w:r>
      <w:r w:rsidRPr="002541C7">
        <w:rPr>
          <w:sz w:val="22"/>
          <w:szCs w:val="22"/>
        </w:rPr>
        <w:t xml:space="preserve"> </w:t>
      </w:r>
      <w:r w:rsidRPr="002541C7">
        <w:rPr>
          <w:rStyle w:val="hps"/>
          <w:sz w:val="22"/>
          <w:szCs w:val="22"/>
        </w:rPr>
        <w:t>(</w:t>
      </w:r>
      <w:r w:rsidRPr="002541C7">
        <w:rPr>
          <w:sz w:val="22"/>
          <w:szCs w:val="22"/>
        </w:rPr>
        <w:t>zidovudino).</w:t>
      </w:r>
    </w:p>
    <w:p w:rsidR="00F33D6C" w:rsidRPr="002541C7" w:rsidRDefault="00F33D6C" w:rsidP="00C25BBD">
      <w:pPr>
        <w:ind w:right="333"/>
        <w:rPr>
          <w:i/>
          <w:iCs/>
          <w:sz w:val="22"/>
          <w:szCs w:val="22"/>
          <w:highlight w:val="yellow"/>
        </w:rPr>
      </w:pPr>
    </w:p>
    <w:p w:rsidR="00F33D6C" w:rsidRPr="002541C7" w:rsidRDefault="00F33D6C" w:rsidP="00C25BBD">
      <w:pPr>
        <w:ind w:right="333"/>
        <w:rPr>
          <w:sz w:val="22"/>
          <w:szCs w:val="22"/>
        </w:rPr>
      </w:pPr>
      <w:r w:rsidRPr="002541C7">
        <w:rPr>
          <w:sz w:val="22"/>
          <w:szCs w:val="22"/>
        </w:rPr>
        <w:t xml:space="preserve">Jeigu vartojote vaisto mifepristono (vartojamas dažniausiai ligoninėje, skirtas abortui sukelti), Ketanov galima vartoti ne anksčiau kaip po 8 – 12 dienų. </w:t>
      </w:r>
    </w:p>
    <w:p w:rsidR="00F33D6C" w:rsidRPr="002541C7" w:rsidRDefault="00F33D6C" w:rsidP="00C25BBD">
      <w:pPr>
        <w:pStyle w:val="BT-EMEASMCA"/>
        <w:numPr>
          <w:ilvl w:val="0"/>
          <w:numId w:val="0"/>
        </w:numPr>
        <w:tabs>
          <w:tab w:val="left" w:pos="720"/>
        </w:tabs>
        <w:ind w:right="333"/>
        <w:rPr>
          <w:highlight w:val="yellow"/>
        </w:rPr>
      </w:pPr>
    </w:p>
    <w:p w:rsidR="00F33D6C" w:rsidRPr="002541C7" w:rsidRDefault="00F33D6C" w:rsidP="00C25BBD">
      <w:pPr>
        <w:pStyle w:val="PI-3EMEASMCA"/>
        <w:ind w:right="333"/>
      </w:pPr>
      <w:r w:rsidRPr="002541C7">
        <w:t>Nėštumas, žindymo laikotarpis ir vaisingumas</w:t>
      </w:r>
    </w:p>
    <w:p w:rsidR="00F33D6C" w:rsidRPr="002541C7" w:rsidRDefault="00F33D6C" w:rsidP="00C25BBD">
      <w:pPr>
        <w:ind w:right="333"/>
        <w:textAlignment w:val="top"/>
        <w:rPr>
          <w:rStyle w:val="hps"/>
          <w:b/>
          <w:bCs/>
          <w:caps/>
          <w:noProof/>
          <w:color w:val="000000"/>
          <w:sz w:val="22"/>
          <w:szCs w:val="22"/>
          <w:lang w:val="pt-PT"/>
        </w:rPr>
      </w:pPr>
      <w:r w:rsidRPr="002541C7">
        <w:rPr>
          <w:sz w:val="22"/>
          <w:szCs w:val="22"/>
        </w:rPr>
        <w:t>Prieš vartojant bet kokį vaistą, būtina pasitarti su gydytoju.</w:t>
      </w:r>
    </w:p>
    <w:p w:rsidR="00F33D6C" w:rsidRPr="002541C7" w:rsidRDefault="00F33D6C" w:rsidP="00C25BBD">
      <w:pPr>
        <w:ind w:right="333"/>
        <w:textAlignment w:val="top"/>
        <w:rPr>
          <w:rStyle w:val="hps"/>
          <w:b/>
          <w:bCs/>
          <w:caps/>
          <w:noProof/>
          <w:color w:val="000000"/>
          <w:sz w:val="22"/>
          <w:szCs w:val="22"/>
          <w:lang w:val="pt-PT"/>
        </w:rPr>
      </w:pPr>
    </w:p>
    <w:p w:rsidR="00F33D6C" w:rsidRPr="002541C7" w:rsidRDefault="00F33D6C" w:rsidP="00C25BBD">
      <w:pPr>
        <w:ind w:right="333"/>
        <w:textAlignment w:val="top"/>
        <w:rPr>
          <w:color w:val="888888"/>
          <w:sz w:val="22"/>
          <w:szCs w:val="22"/>
        </w:rPr>
      </w:pPr>
      <w:r w:rsidRPr="002541C7">
        <w:rPr>
          <w:rStyle w:val="hps"/>
          <w:color w:val="000000"/>
          <w:sz w:val="22"/>
          <w:szCs w:val="22"/>
        </w:rPr>
        <w:t>Ketanov negalima vartoti, jei</w:t>
      </w:r>
      <w:r w:rsidRPr="002541C7">
        <w:rPr>
          <w:color w:val="000000"/>
          <w:sz w:val="22"/>
          <w:szCs w:val="22"/>
        </w:rPr>
        <w:t xml:space="preserve"> </w:t>
      </w:r>
      <w:r w:rsidRPr="002541C7">
        <w:rPr>
          <w:rStyle w:val="hps"/>
          <w:color w:val="000000"/>
          <w:sz w:val="22"/>
          <w:szCs w:val="22"/>
        </w:rPr>
        <w:t>esate nėščia</w:t>
      </w:r>
      <w:r w:rsidRPr="002541C7">
        <w:rPr>
          <w:color w:val="000000"/>
          <w:sz w:val="22"/>
          <w:szCs w:val="22"/>
        </w:rPr>
        <w:t xml:space="preserve">, </w:t>
      </w:r>
      <w:r w:rsidRPr="002541C7">
        <w:rPr>
          <w:rStyle w:val="hps"/>
          <w:color w:val="000000"/>
          <w:sz w:val="22"/>
          <w:szCs w:val="22"/>
        </w:rPr>
        <w:t>gimdote</w:t>
      </w:r>
      <w:r w:rsidRPr="002541C7">
        <w:rPr>
          <w:color w:val="000000"/>
          <w:sz w:val="22"/>
          <w:szCs w:val="22"/>
        </w:rPr>
        <w:t xml:space="preserve"> </w:t>
      </w:r>
      <w:r w:rsidRPr="002541C7">
        <w:rPr>
          <w:rStyle w:val="hps"/>
          <w:color w:val="000000"/>
          <w:sz w:val="22"/>
          <w:szCs w:val="22"/>
        </w:rPr>
        <w:t>arba</w:t>
      </w:r>
      <w:r w:rsidRPr="002541C7">
        <w:rPr>
          <w:color w:val="000000"/>
          <w:sz w:val="22"/>
          <w:szCs w:val="22"/>
        </w:rPr>
        <w:t xml:space="preserve"> jei </w:t>
      </w:r>
      <w:r w:rsidRPr="002541C7">
        <w:rPr>
          <w:rStyle w:val="hps"/>
          <w:color w:val="000000"/>
          <w:sz w:val="22"/>
          <w:szCs w:val="22"/>
        </w:rPr>
        <w:t>žindote</w:t>
      </w:r>
      <w:r w:rsidRPr="002541C7">
        <w:rPr>
          <w:color w:val="000000"/>
          <w:sz w:val="22"/>
          <w:szCs w:val="22"/>
        </w:rPr>
        <w:t xml:space="preserve"> </w:t>
      </w:r>
      <w:r w:rsidRPr="002541C7">
        <w:rPr>
          <w:rStyle w:val="hps"/>
          <w:color w:val="000000"/>
          <w:sz w:val="22"/>
          <w:szCs w:val="22"/>
        </w:rPr>
        <w:t>kūdikį</w:t>
      </w:r>
      <w:r w:rsidRPr="002541C7">
        <w:rPr>
          <w:color w:val="000000"/>
          <w:sz w:val="22"/>
          <w:szCs w:val="22"/>
        </w:rPr>
        <w:t xml:space="preserve">. </w:t>
      </w:r>
      <w:r w:rsidRPr="002541C7">
        <w:rPr>
          <w:rStyle w:val="hps"/>
          <w:color w:val="000000"/>
          <w:sz w:val="22"/>
          <w:szCs w:val="22"/>
        </w:rPr>
        <w:t>Vartojant Ketanov gali</w:t>
      </w:r>
      <w:r w:rsidRPr="002541C7">
        <w:rPr>
          <w:color w:val="000000"/>
          <w:sz w:val="22"/>
          <w:szCs w:val="22"/>
        </w:rPr>
        <w:t xml:space="preserve"> </w:t>
      </w:r>
      <w:r w:rsidRPr="002541C7">
        <w:rPr>
          <w:rStyle w:val="hps"/>
          <w:color w:val="000000"/>
          <w:sz w:val="22"/>
          <w:szCs w:val="22"/>
        </w:rPr>
        <w:t>tapti sunkiau</w:t>
      </w:r>
      <w:r w:rsidRPr="002541C7">
        <w:rPr>
          <w:color w:val="000000"/>
          <w:sz w:val="22"/>
          <w:szCs w:val="22"/>
        </w:rPr>
        <w:t xml:space="preserve"> </w:t>
      </w:r>
      <w:r w:rsidRPr="002541C7">
        <w:rPr>
          <w:rStyle w:val="hps"/>
          <w:color w:val="000000"/>
          <w:sz w:val="22"/>
          <w:szCs w:val="22"/>
        </w:rPr>
        <w:t>pastoti</w:t>
      </w:r>
      <w:r w:rsidRPr="002541C7">
        <w:rPr>
          <w:color w:val="000000"/>
          <w:sz w:val="22"/>
          <w:szCs w:val="22"/>
        </w:rPr>
        <w:t xml:space="preserve">. </w:t>
      </w:r>
      <w:r w:rsidRPr="002541C7">
        <w:rPr>
          <w:rStyle w:val="hps"/>
          <w:color w:val="000000"/>
          <w:sz w:val="22"/>
          <w:szCs w:val="22"/>
        </w:rPr>
        <w:t>Pasakykite</w:t>
      </w:r>
      <w:r w:rsidRPr="002541C7">
        <w:rPr>
          <w:color w:val="000000"/>
          <w:sz w:val="22"/>
          <w:szCs w:val="22"/>
        </w:rPr>
        <w:t xml:space="preserve"> </w:t>
      </w:r>
      <w:r w:rsidRPr="002541C7">
        <w:rPr>
          <w:rStyle w:val="hps"/>
          <w:color w:val="000000"/>
          <w:sz w:val="22"/>
          <w:szCs w:val="22"/>
        </w:rPr>
        <w:t>savo gydytojui</w:t>
      </w:r>
      <w:r w:rsidRPr="002541C7">
        <w:rPr>
          <w:color w:val="000000"/>
          <w:sz w:val="22"/>
          <w:szCs w:val="22"/>
        </w:rPr>
        <w:t xml:space="preserve">, jei </w:t>
      </w:r>
      <w:r w:rsidRPr="002541C7">
        <w:rPr>
          <w:rStyle w:val="hps"/>
          <w:color w:val="000000"/>
          <w:sz w:val="22"/>
          <w:szCs w:val="22"/>
        </w:rPr>
        <w:t>planuojate</w:t>
      </w:r>
      <w:r w:rsidRPr="002541C7">
        <w:rPr>
          <w:color w:val="000000"/>
          <w:sz w:val="22"/>
          <w:szCs w:val="22"/>
        </w:rPr>
        <w:t xml:space="preserve"> </w:t>
      </w:r>
      <w:r w:rsidRPr="002541C7">
        <w:rPr>
          <w:rStyle w:val="hps"/>
          <w:color w:val="000000"/>
          <w:sz w:val="22"/>
          <w:szCs w:val="22"/>
        </w:rPr>
        <w:t>pastoti arba</w:t>
      </w:r>
      <w:r w:rsidRPr="002541C7">
        <w:rPr>
          <w:color w:val="000000"/>
          <w:sz w:val="22"/>
          <w:szCs w:val="22"/>
        </w:rPr>
        <w:t xml:space="preserve"> </w:t>
      </w:r>
      <w:r w:rsidRPr="002541C7">
        <w:rPr>
          <w:rStyle w:val="hps"/>
          <w:color w:val="000000"/>
          <w:sz w:val="22"/>
          <w:szCs w:val="22"/>
        </w:rPr>
        <w:t>jeigu Jums sunku</w:t>
      </w:r>
      <w:r w:rsidRPr="002541C7">
        <w:rPr>
          <w:color w:val="000000"/>
          <w:sz w:val="22"/>
          <w:szCs w:val="22"/>
        </w:rPr>
        <w:t xml:space="preserve"> </w:t>
      </w:r>
      <w:r w:rsidRPr="002541C7">
        <w:rPr>
          <w:rStyle w:val="hps"/>
          <w:color w:val="000000"/>
          <w:sz w:val="22"/>
          <w:szCs w:val="22"/>
        </w:rPr>
        <w:t>pastoti</w:t>
      </w:r>
      <w:r w:rsidRPr="002541C7">
        <w:rPr>
          <w:color w:val="000000"/>
          <w:sz w:val="22"/>
          <w:szCs w:val="22"/>
        </w:rPr>
        <w:t>.</w:t>
      </w:r>
    </w:p>
    <w:p w:rsidR="00F33D6C" w:rsidRPr="002541C7" w:rsidRDefault="00F33D6C" w:rsidP="00C25BBD">
      <w:pPr>
        <w:pStyle w:val="BTEMEASMCA"/>
        <w:ind w:right="333"/>
      </w:pPr>
    </w:p>
    <w:p w:rsidR="00F33D6C" w:rsidRPr="002541C7" w:rsidRDefault="00F33D6C" w:rsidP="00C25BBD">
      <w:pPr>
        <w:pStyle w:val="PI-3EMEASMCA"/>
        <w:ind w:right="333"/>
      </w:pPr>
      <w:r w:rsidRPr="002541C7">
        <w:t>Vairavimas ir mechanizmų valdymas</w:t>
      </w:r>
    </w:p>
    <w:p w:rsidR="00F33D6C" w:rsidRPr="002541C7" w:rsidRDefault="00F33D6C" w:rsidP="00C25BBD">
      <w:pPr>
        <w:autoSpaceDE w:val="0"/>
        <w:autoSpaceDN w:val="0"/>
        <w:adjustRightInd w:val="0"/>
        <w:ind w:right="333"/>
        <w:rPr>
          <w:sz w:val="22"/>
          <w:szCs w:val="22"/>
        </w:rPr>
      </w:pPr>
      <w:r w:rsidRPr="002541C7">
        <w:rPr>
          <w:sz w:val="22"/>
          <w:szCs w:val="22"/>
        </w:rPr>
        <w:lastRenderedPageBreak/>
        <w:t>Kai kuriems pacientams, gali pasireikšti svaigulys ir skausmas, mieguistumas, regos sutrikimas, galvos sukimasis, nemiga. Jeigu atsirastų išvardytų arba kitų panašių vaisto poveikio požymių, vairuoti ir valdyti mechanizmus draudžiama.</w:t>
      </w:r>
    </w:p>
    <w:p w:rsidR="00F33D6C" w:rsidRPr="002541C7" w:rsidRDefault="00F33D6C" w:rsidP="00C25BBD">
      <w:pPr>
        <w:pStyle w:val="BTEMEASMCA"/>
        <w:ind w:right="333"/>
        <w:rPr>
          <w:highlight w:val="yellow"/>
        </w:rPr>
      </w:pPr>
    </w:p>
    <w:p w:rsidR="00F33D6C" w:rsidRPr="002541C7" w:rsidRDefault="00F33D6C" w:rsidP="00C25BBD">
      <w:pPr>
        <w:tabs>
          <w:tab w:val="left" w:pos="567"/>
        </w:tabs>
        <w:ind w:right="333"/>
        <w:rPr>
          <w:sz w:val="22"/>
          <w:szCs w:val="22"/>
          <w:highlight w:val="yellow"/>
        </w:rPr>
      </w:pPr>
      <w:r w:rsidRPr="002541C7">
        <w:rPr>
          <w:b/>
          <w:bCs/>
          <w:sz w:val="22"/>
          <w:szCs w:val="22"/>
        </w:rPr>
        <w:t xml:space="preserve">Ketanov </w:t>
      </w:r>
      <w:r w:rsidRPr="002541C7">
        <w:rPr>
          <w:b/>
          <w:sz w:val="22"/>
          <w:szCs w:val="22"/>
        </w:rPr>
        <w:t>sudėtyje yra medžiagos, iš kurios susidaro fenilalaninas</w:t>
      </w:r>
      <w:r w:rsidRPr="002541C7">
        <w:rPr>
          <w:sz w:val="22"/>
          <w:szCs w:val="22"/>
        </w:rPr>
        <w:t>. Gali būti kenksmingas sergantiems fenilketonurija.</w:t>
      </w: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PI-1EMEASMCA"/>
        <w:ind w:right="333"/>
      </w:pPr>
      <w:bookmarkStart w:id="76" w:name="_Toc129243141"/>
      <w:bookmarkStart w:id="77" w:name="_Toc129243266"/>
      <w:r w:rsidRPr="002541C7">
        <w:t>3.</w:t>
      </w:r>
      <w:r w:rsidRPr="002541C7">
        <w:tab/>
        <w:t>Kaip vartoti Ketanov</w:t>
      </w:r>
      <w:bookmarkEnd w:id="76"/>
      <w:bookmarkEnd w:id="77"/>
    </w:p>
    <w:p w:rsidR="00F33D6C" w:rsidRPr="002541C7" w:rsidRDefault="00F33D6C" w:rsidP="00C25BBD">
      <w:pPr>
        <w:pStyle w:val="BTEMEASMCA"/>
        <w:ind w:right="333"/>
      </w:pPr>
    </w:p>
    <w:p w:rsidR="00F33D6C" w:rsidRPr="002541C7" w:rsidRDefault="00F33D6C" w:rsidP="00C25BBD">
      <w:pPr>
        <w:pStyle w:val="BTEMEASMCA"/>
        <w:ind w:right="333"/>
      </w:pPr>
      <w:r w:rsidRPr="002541C7">
        <w:t>Ketanov visada vartokite tiksliai, kaip nurodė gydytojas. Jeigu abejojate, kreipkitės į gydytoją.</w:t>
      </w:r>
    </w:p>
    <w:p w:rsidR="00F33D6C" w:rsidRPr="002541C7" w:rsidRDefault="00F33D6C" w:rsidP="00C25BBD">
      <w:pPr>
        <w:pStyle w:val="BTEMEASMCA"/>
        <w:ind w:right="333"/>
      </w:pPr>
    </w:p>
    <w:p w:rsidR="00F33D6C" w:rsidRPr="002541C7" w:rsidRDefault="00F33D6C" w:rsidP="00C25BBD">
      <w:pPr>
        <w:pStyle w:val="BTEMEASMCA"/>
        <w:ind w:right="333"/>
      </w:pPr>
      <w:r w:rsidRPr="002541C7">
        <w:t xml:space="preserve">Ketanov tabletes vartokite valgydami arba po valgio. </w:t>
      </w:r>
    </w:p>
    <w:p w:rsidR="00F33D6C" w:rsidRPr="002541C7" w:rsidRDefault="00F33D6C" w:rsidP="00C25BBD">
      <w:pPr>
        <w:pStyle w:val="BTEMEASMCA"/>
        <w:ind w:right="333"/>
      </w:pPr>
    </w:p>
    <w:p w:rsidR="00F33D6C" w:rsidRPr="002541C7" w:rsidRDefault="00F33D6C" w:rsidP="00C25BBD">
      <w:pPr>
        <w:tabs>
          <w:tab w:val="left" w:pos="567"/>
        </w:tabs>
        <w:ind w:right="333"/>
        <w:rPr>
          <w:sz w:val="22"/>
          <w:szCs w:val="22"/>
        </w:rPr>
      </w:pPr>
      <w:r w:rsidRPr="002541C7">
        <w:rPr>
          <w:sz w:val="22"/>
          <w:szCs w:val="22"/>
        </w:rPr>
        <w:t xml:space="preserve">Ketonov tabletės yra trapios, todėl elkitės atsargiai. Prieš imdami tabletę įsitikinkite, kad rankos yra sausos, kadangi tabletė gali suirti. Laikydami lizdinę plokštelę už kraštų, nuplėškite apatinę plėvelę ir atsargiai išimkite tabletę. Įsidėkite tabletę į burną. Tabletė burnoje greitai ištirps, todėl nuryti bus lengva. Jei reikia, galite užsigerti vandeniu. </w:t>
      </w:r>
    </w:p>
    <w:p w:rsidR="00F33D6C" w:rsidRPr="002541C7" w:rsidRDefault="00F33D6C" w:rsidP="00C25BBD">
      <w:pPr>
        <w:pStyle w:val="BTEMEASMCA"/>
        <w:ind w:right="333"/>
      </w:pPr>
    </w:p>
    <w:p w:rsidR="00F33D6C" w:rsidRPr="002541C7" w:rsidRDefault="00F33D6C" w:rsidP="00C25BBD">
      <w:pPr>
        <w:pStyle w:val="BTEMEASMCA"/>
        <w:ind w:right="333"/>
      </w:pPr>
      <w:r w:rsidRPr="002541C7">
        <w:t xml:space="preserve">Įprasta dozė suaugusiems žmonėms yra 1 tabletė (10 mg). Jeigu reikia, tokia dozė vartojama kas 4 – 6 valandas. Pacientams, vyresniems negu 65 metai, rekomenduojama paskirtą dozę vartoti kas 6 – 8 valandas. </w:t>
      </w:r>
    </w:p>
    <w:p w:rsidR="00F33D6C" w:rsidRPr="002541C7" w:rsidRDefault="00F33D6C" w:rsidP="00C25BBD">
      <w:pPr>
        <w:pStyle w:val="BTEMEASMCA"/>
        <w:ind w:right="333"/>
      </w:pPr>
    </w:p>
    <w:p w:rsidR="00F33D6C" w:rsidRPr="002541C7" w:rsidRDefault="00F33D6C" w:rsidP="00C25BBD">
      <w:pPr>
        <w:pStyle w:val="BTEMEASMCA"/>
        <w:ind w:right="333"/>
      </w:pPr>
      <w:r w:rsidRPr="002541C7">
        <w:t xml:space="preserve">Didžiausia paros dozė yra 4 tabletės (40 mg). Nevartokite Ketanov  ilgiau nei 7 dienas. </w:t>
      </w:r>
    </w:p>
    <w:p w:rsidR="00F33D6C" w:rsidRPr="002541C7" w:rsidRDefault="00F33D6C" w:rsidP="00C25BBD">
      <w:pPr>
        <w:pStyle w:val="BTEMEASMCA"/>
        <w:ind w:right="333"/>
      </w:pPr>
    </w:p>
    <w:p w:rsidR="00F33D6C" w:rsidRPr="002541C7" w:rsidRDefault="00F33D6C" w:rsidP="00C25BBD">
      <w:pPr>
        <w:pStyle w:val="PI-3EMEASMCA"/>
        <w:ind w:right="333"/>
      </w:pPr>
      <w:r w:rsidRPr="002541C7">
        <w:t>Pavartojus per didelę Ketanov dozę</w:t>
      </w:r>
    </w:p>
    <w:p w:rsidR="00F33D6C" w:rsidRPr="002541C7" w:rsidRDefault="00F33D6C" w:rsidP="00C25BBD">
      <w:pPr>
        <w:pStyle w:val="BTEMEASMCA"/>
        <w:ind w:right="333"/>
      </w:pPr>
      <w:r w:rsidRPr="002541C7">
        <w:t>Vartoti didesnės vaisto dozės už tą, kurią paskyrė gydytojas, negalima. Vaisto perdozavus,</w:t>
      </w:r>
    </w:p>
    <w:p w:rsidR="00F33D6C" w:rsidRPr="002541C7" w:rsidRDefault="00F33D6C" w:rsidP="00C25BBD">
      <w:pPr>
        <w:pStyle w:val="BTEMEASMCA"/>
        <w:ind w:right="333"/>
      </w:pPr>
      <w:r w:rsidRPr="002541C7">
        <w:t>nedelsdami kreipkitės į gydytoją ar artimiausią gydymo įstaigą. Patariama pasiimti vaisto</w:t>
      </w:r>
    </w:p>
    <w:p w:rsidR="00F33D6C" w:rsidRPr="002541C7" w:rsidRDefault="00F33D6C" w:rsidP="00C25BBD">
      <w:pPr>
        <w:pStyle w:val="BTEMEASMCA"/>
        <w:ind w:right="333"/>
      </w:pPr>
      <w:r w:rsidRPr="002541C7">
        <w:t>pakuotę parodyti gydytojui.</w:t>
      </w:r>
    </w:p>
    <w:p w:rsidR="00F33D6C" w:rsidRPr="002541C7" w:rsidRDefault="00F33D6C" w:rsidP="00C25BBD">
      <w:pPr>
        <w:pStyle w:val="PI-3EMEASMCA"/>
        <w:ind w:right="333"/>
      </w:pPr>
    </w:p>
    <w:p w:rsidR="00F33D6C" w:rsidRPr="002541C7" w:rsidRDefault="00F33D6C" w:rsidP="00C25BBD">
      <w:pPr>
        <w:pStyle w:val="BTEMEASMCA"/>
        <w:ind w:right="333"/>
        <w:rPr>
          <w:b/>
          <w:bCs/>
          <w:noProof w:val="0"/>
        </w:rPr>
      </w:pPr>
    </w:p>
    <w:p w:rsidR="00F33D6C" w:rsidRPr="002541C7" w:rsidRDefault="00F33D6C" w:rsidP="00C25BBD">
      <w:pPr>
        <w:pStyle w:val="PI-3EMEASMCA"/>
        <w:ind w:right="333"/>
      </w:pPr>
      <w:r w:rsidRPr="002541C7">
        <w:t>Pamiršus pavartoti Ketanov</w:t>
      </w:r>
    </w:p>
    <w:p w:rsidR="00F33D6C" w:rsidRPr="002541C7" w:rsidRDefault="00F33D6C" w:rsidP="00C25BBD">
      <w:pPr>
        <w:pStyle w:val="BTEMEASMCA"/>
        <w:ind w:right="333"/>
        <w:rPr>
          <w:noProof w:val="0"/>
        </w:rPr>
      </w:pPr>
      <w:r w:rsidRPr="002541C7">
        <w:rPr>
          <w:noProof w:val="0"/>
        </w:rPr>
        <w:t>Negalima vartoti dvigubos dozės norint kompensuoti praleistą Ketanov dozę.</w:t>
      </w:r>
    </w:p>
    <w:p w:rsidR="00F33D6C" w:rsidRPr="002541C7" w:rsidRDefault="00F33D6C" w:rsidP="00C25BBD">
      <w:pPr>
        <w:pStyle w:val="BTEMEASMCA"/>
        <w:ind w:right="333"/>
        <w:rPr>
          <w:noProof w:val="0"/>
        </w:rPr>
      </w:pPr>
    </w:p>
    <w:p w:rsidR="00F33D6C" w:rsidRPr="002541C7" w:rsidRDefault="00F33D6C" w:rsidP="00C25BBD">
      <w:pPr>
        <w:pStyle w:val="BTEMEASMCA"/>
        <w:ind w:right="333"/>
      </w:pPr>
      <w:r w:rsidRPr="002541C7">
        <w:rPr>
          <w:noProof w:val="0"/>
        </w:rPr>
        <w:t>Jeigu kiltų daugiau klausimų dėl šio vaisto vartojimo, kreipkitės į gydytoją arba vaistininką.</w:t>
      </w:r>
    </w:p>
    <w:p w:rsidR="00F33D6C" w:rsidRPr="002541C7" w:rsidRDefault="00F33D6C" w:rsidP="00C25BBD">
      <w:pPr>
        <w:pStyle w:val="BTEMEASMCA"/>
        <w:ind w:right="333"/>
      </w:pPr>
    </w:p>
    <w:p w:rsidR="00F33D6C" w:rsidRPr="002541C7" w:rsidRDefault="00F33D6C" w:rsidP="00C25BBD">
      <w:pPr>
        <w:pStyle w:val="BTEMEASMCA"/>
        <w:ind w:right="333"/>
      </w:pPr>
    </w:p>
    <w:p w:rsidR="00F33D6C" w:rsidRPr="002541C7" w:rsidRDefault="00F33D6C" w:rsidP="00C25BBD">
      <w:pPr>
        <w:pStyle w:val="PI-1EMEASMCA"/>
        <w:ind w:right="333"/>
      </w:pPr>
      <w:bookmarkStart w:id="78" w:name="_Toc129243142"/>
      <w:bookmarkStart w:id="79" w:name="_Toc129243267"/>
      <w:r w:rsidRPr="002541C7">
        <w:t>4.</w:t>
      </w:r>
      <w:r w:rsidRPr="002541C7">
        <w:tab/>
        <w:t>Galimas šalutinis poveikis</w:t>
      </w:r>
      <w:bookmarkEnd w:id="78"/>
      <w:bookmarkEnd w:id="79"/>
    </w:p>
    <w:p w:rsidR="00F33D6C" w:rsidRPr="002541C7" w:rsidRDefault="00F33D6C" w:rsidP="00C25BBD">
      <w:pPr>
        <w:ind w:right="333"/>
        <w:rPr>
          <w:sz w:val="22"/>
          <w:szCs w:val="22"/>
        </w:rPr>
      </w:pPr>
    </w:p>
    <w:p w:rsidR="00F33D6C" w:rsidRPr="002541C7" w:rsidRDefault="00F33D6C" w:rsidP="00C25BBD">
      <w:pPr>
        <w:pStyle w:val="BTEMEASMCA"/>
        <w:ind w:right="333"/>
      </w:pPr>
      <w:r w:rsidRPr="002541C7">
        <w:rPr>
          <w:lang w:val="lt-LT"/>
        </w:rPr>
        <w:t>Šis vaistas, kaip ir visi kiti</w:t>
      </w:r>
      <w:r w:rsidRPr="002541C7">
        <w:t>, gali sukelti šalutinį poveikį, nors jis pasireiškia ne visiems žmonėms.</w:t>
      </w:r>
    </w:p>
    <w:p w:rsidR="00F33D6C" w:rsidRPr="002541C7" w:rsidRDefault="00F33D6C" w:rsidP="00C25BBD">
      <w:pPr>
        <w:pStyle w:val="BTEMEASMCA"/>
        <w:ind w:right="333"/>
      </w:pPr>
    </w:p>
    <w:p w:rsidR="00F33D6C" w:rsidRPr="002541C7" w:rsidRDefault="00F33D6C" w:rsidP="00C25BBD">
      <w:pPr>
        <w:pStyle w:val="BTEMEASMCA"/>
        <w:ind w:right="333"/>
      </w:pPr>
      <w:r w:rsidRPr="002541C7">
        <w:t xml:space="preserve">Nepageidaujamas poveikis gali pasireikšti net tokiu atveju, kada vaisto vartojama taip, kaip nurodė gydytojas. </w:t>
      </w:r>
    </w:p>
    <w:p w:rsidR="00F33D6C" w:rsidRPr="002541C7" w:rsidRDefault="00F33D6C" w:rsidP="00C25BBD">
      <w:pPr>
        <w:ind w:right="333"/>
        <w:rPr>
          <w:sz w:val="22"/>
          <w:szCs w:val="22"/>
          <w:lang w:val="pt-BR"/>
        </w:rPr>
      </w:pPr>
    </w:p>
    <w:p w:rsidR="00F33D6C" w:rsidRPr="002541C7" w:rsidRDefault="00F33D6C" w:rsidP="00C25BBD">
      <w:pPr>
        <w:ind w:right="333"/>
        <w:rPr>
          <w:sz w:val="22"/>
          <w:szCs w:val="22"/>
          <w:lang w:val="pt-BR"/>
        </w:rPr>
      </w:pPr>
      <w:r w:rsidRPr="002541C7">
        <w:rPr>
          <w:sz w:val="22"/>
          <w:szCs w:val="22"/>
          <w:lang w:val="pt-BR"/>
        </w:rPr>
        <w:t>Toliau išvardytas šalutinis poveikis, kuris gali pasireikšti vartojant Ketanov.</w:t>
      </w:r>
    </w:p>
    <w:p w:rsidR="00F33D6C" w:rsidRPr="002541C7" w:rsidRDefault="00F33D6C" w:rsidP="00C25BBD">
      <w:pPr>
        <w:pStyle w:val="BTEMEASMCA"/>
        <w:ind w:right="333"/>
      </w:pPr>
    </w:p>
    <w:p w:rsidR="00F33D6C" w:rsidRPr="002541C7" w:rsidRDefault="00F33D6C" w:rsidP="00C25BBD">
      <w:pPr>
        <w:ind w:right="333"/>
        <w:rPr>
          <w:i/>
          <w:iCs/>
          <w:sz w:val="22"/>
          <w:szCs w:val="22"/>
          <w:lang w:val="pt-BR"/>
        </w:rPr>
      </w:pPr>
      <w:r w:rsidRPr="002541C7">
        <w:rPr>
          <w:i/>
          <w:iCs/>
          <w:sz w:val="22"/>
          <w:szCs w:val="22"/>
          <w:lang w:val="pt-BR"/>
        </w:rPr>
        <w:t xml:space="preserve">Virškinimo trakto sutrikimai </w:t>
      </w:r>
    </w:p>
    <w:p w:rsidR="00F33D6C" w:rsidRPr="002541C7" w:rsidRDefault="00F33D6C" w:rsidP="00C25BBD">
      <w:pPr>
        <w:ind w:right="333"/>
        <w:rPr>
          <w:sz w:val="22"/>
          <w:szCs w:val="22"/>
          <w:lang w:val="pt-BR"/>
        </w:rPr>
      </w:pPr>
      <w:r w:rsidRPr="002541C7">
        <w:rPr>
          <w:sz w:val="22"/>
          <w:szCs w:val="22"/>
          <w:lang w:val="pt-BR"/>
        </w:rPr>
        <w:t xml:space="preserve">Dažniausiai pasireiškia virškinimo trakto sutrikimai. Gali atsirasti skrandžio ar dvylikapirštės žarnos opų, virškinimo trakto prakiurimas ar kraujavimas iš virškinimo trakto, kuris, ypač senyviems ligoniams, kartais gali būti mirtinas. Pavartojus vaisto, gali pasireikšti pykinimas, vėmimas, viduriavimas, pilvo pūtimas (dujų susikaupimas), vidurių užkietėjimas, dispepsija (virškinimo sutrikimas), pilvo skausmas, nemalonus pojūtis pilve, melena (dėl esančio kraujo juodos išmatos), vėmimas krauju, opinis stomatitas (burnos gleivinės uždegimas), ezofagitas (stemplės uždegimas), atsirūgimas, </w:t>
      </w:r>
      <w:r w:rsidRPr="002541C7">
        <w:rPr>
          <w:kern w:val="28"/>
          <w:sz w:val="22"/>
          <w:szCs w:val="22"/>
        </w:rPr>
        <w:t>viršinimo trakto opos, kraujavimas iš tiesiosios žarnos, burnos džiūvimas, pilnumo jausmas,</w:t>
      </w:r>
      <w:r w:rsidRPr="002541C7">
        <w:rPr>
          <w:sz w:val="22"/>
          <w:szCs w:val="22"/>
          <w:lang w:val="pt-BR"/>
        </w:rPr>
        <w:t xml:space="preserve"> pankreatitas (kasos uždegimas), uždegiminės žarnų ligos (opinio kolito ar Krono ligos) paūmėjimas. Rečiau pasireiškia gastritas (skrandžio uždegimas).</w:t>
      </w:r>
    </w:p>
    <w:p w:rsidR="00F33D6C" w:rsidRPr="002541C7" w:rsidRDefault="00F33D6C" w:rsidP="00C25BBD">
      <w:pPr>
        <w:ind w:right="333"/>
        <w:rPr>
          <w:sz w:val="22"/>
          <w:szCs w:val="22"/>
          <w:lang w:val="pt-BR"/>
        </w:rPr>
      </w:pPr>
    </w:p>
    <w:p w:rsidR="00F33D6C" w:rsidRPr="002541C7" w:rsidRDefault="00F33D6C" w:rsidP="001C60A3">
      <w:pPr>
        <w:ind w:right="333"/>
        <w:rPr>
          <w:i/>
          <w:iCs/>
          <w:sz w:val="22"/>
          <w:szCs w:val="22"/>
          <w:lang w:val="pt-BR"/>
        </w:rPr>
      </w:pPr>
      <w:r w:rsidRPr="002541C7">
        <w:rPr>
          <w:i/>
          <w:iCs/>
          <w:sz w:val="22"/>
          <w:szCs w:val="22"/>
          <w:lang w:val="pt-BR"/>
        </w:rPr>
        <w:t>Infekcijos ir infestacijos</w:t>
      </w:r>
    </w:p>
    <w:p w:rsidR="00F33D6C" w:rsidRPr="002541C7" w:rsidRDefault="00F33D6C" w:rsidP="001C60A3">
      <w:pPr>
        <w:pStyle w:val="BTEMEASMCA"/>
        <w:ind w:right="333"/>
      </w:pPr>
      <w:r w:rsidRPr="002541C7">
        <w:t>Aseptinis meningitas (galvos smegenų dangalų uždegimas, pasireiškiantis sprando raumenų sustingimu, galvos skausmu, pykinimu, vėmimu, karščiavimu, sutrikusia orientacija), ypa</w:t>
      </w:r>
      <w:r w:rsidRPr="002541C7">
        <w:rPr>
          <w:lang w:val="lt-LT"/>
        </w:rPr>
        <w:t>č pacientams su autoimuniniais sutrikimais, tokiais kaip sisteminė raudonoji vilkligė ir kitos jungiamojo audinio ligos</w:t>
      </w:r>
      <w:r w:rsidRPr="002541C7">
        <w:t>.</w:t>
      </w:r>
    </w:p>
    <w:p w:rsidR="00F33D6C" w:rsidRPr="002541C7" w:rsidRDefault="00F33D6C" w:rsidP="001C60A3">
      <w:pPr>
        <w:pStyle w:val="BTEMEASMCA"/>
        <w:ind w:right="333"/>
      </w:pPr>
    </w:p>
    <w:p w:rsidR="00F33D6C" w:rsidRPr="002541C7" w:rsidRDefault="00F33D6C" w:rsidP="001C60A3">
      <w:pPr>
        <w:ind w:right="333"/>
        <w:rPr>
          <w:i/>
          <w:iCs/>
          <w:sz w:val="22"/>
          <w:szCs w:val="22"/>
          <w:lang w:val="pt-BR"/>
        </w:rPr>
      </w:pPr>
      <w:r w:rsidRPr="002541C7">
        <w:rPr>
          <w:i/>
          <w:iCs/>
          <w:sz w:val="22"/>
          <w:szCs w:val="22"/>
          <w:lang w:val="pt-BR"/>
        </w:rPr>
        <w:t>Kraujo ir limfinės sistemos sutrikimai</w:t>
      </w:r>
    </w:p>
    <w:p w:rsidR="00F33D6C" w:rsidRPr="002541C7" w:rsidRDefault="00F33D6C" w:rsidP="001C60A3">
      <w:pPr>
        <w:pStyle w:val="BTEMEASMCA"/>
        <w:ind w:right="333"/>
      </w:pPr>
      <w:r w:rsidRPr="002541C7">
        <w:t>Trombocitopenija (kraujo plokštelių kiekio sumažėjimas kraujyje).</w:t>
      </w:r>
    </w:p>
    <w:p w:rsidR="00F33D6C" w:rsidRPr="002541C7" w:rsidRDefault="00F33D6C" w:rsidP="001C60A3">
      <w:pPr>
        <w:pStyle w:val="BTEMEASMCA"/>
        <w:ind w:right="333"/>
      </w:pPr>
    </w:p>
    <w:p w:rsidR="00F33D6C" w:rsidRPr="002541C7" w:rsidRDefault="00F33D6C" w:rsidP="001C60A3">
      <w:pPr>
        <w:pStyle w:val="BTEMEASMCA"/>
        <w:ind w:right="333"/>
        <w:rPr>
          <w:i/>
          <w:lang w:eastAsia="lt-LT"/>
        </w:rPr>
      </w:pPr>
      <w:r w:rsidRPr="002541C7">
        <w:rPr>
          <w:i/>
          <w:lang w:eastAsia="lt-LT"/>
        </w:rPr>
        <w:t>Imuninės sistemos sutrikimai</w:t>
      </w:r>
    </w:p>
    <w:p w:rsidR="00F33D6C" w:rsidRPr="002541C7" w:rsidRDefault="00F33D6C" w:rsidP="001C60A3">
      <w:pPr>
        <w:pStyle w:val="BTEMEASMCA"/>
        <w:ind w:right="333"/>
      </w:pPr>
      <w:r w:rsidRPr="002541C7">
        <w:rPr>
          <w:lang w:eastAsia="lt-LT"/>
        </w:rPr>
        <w:t xml:space="preserve">Anafilaksija ir </w:t>
      </w:r>
      <w:r w:rsidRPr="002541C7">
        <w:t>anafilaktoidinės reakcijos</w:t>
      </w:r>
      <w:r w:rsidRPr="002541C7">
        <w:rPr>
          <w:lang w:eastAsia="lt-LT"/>
        </w:rPr>
        <w:t xml:space="preserve">. </w:t>
      </w:r>
      <w:r w:rsidRPr="002541C7">
        <w:t xml:space="preserve">Anafilaksinės reakcijos, pavyzdžiui, anafilaksija, gali </w:t>
      </w:r>
      <w:r w:rsidRPr="002541C7">
        <w:rPr>
          <w:lang w:eastAsia="lt-LT"/>
        </w:rPr>
        <w:t>lemti padidėjusio jautrumo reakcijas, tokias kaip bronchospazmas, paraudimas, bėrimas, hipotenzija, gerklų edema.</w:t>
      </w:r>
    </w:p>
    <w:p w:rsidR="00F33D6C" w:rsidRPr="002541C7" w:rsidRDefault="00F33D6C" w:rsidP="001C60A3">
      <w:pPr>
        <w:pStyle w:val="BTEMEASMCA"/>
        <w:ind w:right="333"/>
      </w:pPr>
    </w:p>
    <w:p w:rsidR="00F33D6C" w:rsidRPr="002541C7" w:rsidRDefault="00F33D6C" w:rsidP="001C60A3">
      <w:pPr>
        <w:pStyle w:val="BTEMEASMCA"/>
        <w:ind w:right="333"/>
        <w:rPr>
          <w:i/>
          <w:iCs/>
        </w:rPr>
      </w:pPr>
      <w:r w:rsidRPr="002541C7">
        <w:rPr>
          <w:i/>
          <w:iCs/>
        </w:rPr>
        <w:t xml:space="preserve">Metabolizmo ir mitybos sutrikimai </w:t>
      </w:r>
    </w:p>
    <w:p w:rsidR="00F33D6C" w:rsidRPr="002541C7" w:rsidRDefault="00F33D6C" w:rsidP="001C60A3">
      <w:pPr>
        <w:pStyle w:val="BTEMEASMCA"/>
        <w:ind w:right="333"/>
      </w:pPr>
      <w:r w:rsidRPr="002541C7">
        <w:rPr>
          <w:lang w:eastAsia="lt-LT"/>
        </w:rPr>
        <w:t>Anoreksija, hiperkalemija (padidėjęs kalio kiekis kraujyje), hiponatremija (sumažėjęs natrio kiekis kraujyje).</w:t>
      </w:r>
    </w:p>
    <w:p w:rsidR="00F33D6C" w:rsidRPr="002541C7" w:rsidRDefault="00F33D6C" w:rsidP="001C60A3">
      <w:pPr>
        <w:pStyle w:val="BTEMEASMCA"/>
        <w:ind w:right="333"/>
      </w:pPr>
    </w:p>
    <w:p w:rsidR="00F33D6C" w:rsidRPr="002541C7" w:rsidRDefault="00F33D6C" w:rsidP="001C60A3">
      <w:pPr>
        <w:ind w:right="333"/>
        <w:rPr>
          <w:i/>
          <w:iCs/>
          <w:sz w:val="22"/>
          <w:szCs w:val="22"/>
          <w:lang w:val="pt-BR"/>
        </w:rPr>
      </w:pPr>
      <w:r w:rsidRPr="002541C7">
        <w:rPr>
          <w:i/>
          <w:iCs/>
          <w:sz w:val="22"/>
          <w:szCs w:val="22"/>
          <w:lang w:val="pt-BR"/>
        </w:rPr>
        <w:t xml:space="preserve">Psichikos sutrikimai </w:t>
      </w:r>
    </w:p>
    <w:p w:rsidR="00F33D6C" w:rsidRPr="002541C7" w:rsidRDefault="00F33D6C" w:rsidP="001C60A3">
      <w:pPr>
        <w:pStyle w:val="BTEMEASMCA"/>
        <w:ind w:right="333"/>
      </w:pPr>
      <w:r w:rsidRPr="002541C7">
        <w:t>Mąstymo sutrikimas, depresija, nemiga, nerimas, nervingumas, psichozinės reakcijos, neįprasti sapnai,  haliucinacijos, euforija (perdėtas gerovės jausmas), dėmesio sutelkimo sutrikimas, mieguistumas.</w:t>
      </w:r>
    </w:p>
    <w:p w:rsidR="00F33D6C" w:rsidRPr="002541C7" w:rsidRDefault="00F33D6C" w:rsidP="001C60A3">
      <w:pPr>
        <w:pStyle w:val="BTEMEASMCA"/>
        <w:ind w:right="333"/>
      </w:pPr>
    </w:p>
    <w:p w:rsidR="00F33D6C" w:rsidRPr="002541C7" w:rsidRDefault="00F33D6C" w:rsidP="001C60A3">
      <w:pPr>
        <w:ind w:right="333"/>
        <w:rPr>
          <w:i/>
          <w:iCs/>
          <w:sz w:val="22"/>
          <w:szCs w:val="22"/>
          <w:lang w:val="pt-BR"/>
        </w:rPr>
      </w:pPr>
      <w:r w:rsidRPr="002541C7">
        <w:rPr>
          <w:i/>
          <w:iCs/>
          <w:sz w:val="22"/>
          <w:szCs w:val="22"/>
          <w:lang w:val="pt-BR"/>
        </w:rPr>
        <w:t xml:space="preserve">Nervų sistemos sutrikimai </w:t>
      </w:r>
    </w:p>
    <w:p w:rsidR="00F33D6C" w:rsidRPr="002541C7" w:rsidRDefault="00F33D6C" w:rsidP="001C60A3">
      <w:pPr>
        <w:ind w:right="333"/>
        <w:rPr>
          <w:sz w:val="22"/>
          <w:szCs w:val="22"/>
          <w:lang w:val="pt-BR"/>
        </w:rPr>
      </w:pPr>
      <w:r w:rsidRPr="002541C7">
        <w:rPr>
          <w:sz w:val="22"/>
          <w:szCs w:val="22"/>
          <w:lang w:val="pt-BR"/>
        </w:rPr>
        <w:t>Galvos skausmas, svaigulys, traukuliai, parestezija (tirpimo, niežėjimo jutimas), hiperkinezija (nevalingi betiksliai įvairių kūno dalių judesiai), skonio pokyčiai.</w:t>
      </w:r>
    </w:p>
    <w:p w:rsidR="00F33D6C" w:rsidRPr="002541C7" w:rsidRDefault="00F33D6C" w:rsidP="001C60A3">
      <w:pPr>
        <w:pStyle w:val="BTEMEASMCA"/>
        <w:ind w:right="333"/>
      </w:pPr>
    </w:p>
    <w:p w:rsidR="00F33D6C" w:rsidRPr="002541C7" w:rsidRDefault="00F33D6C" w:rsidP="001C60A3">
      <w:pPr>
        <w:ind w:right="333"/>
        <w:rPr>
          <w:i/>
          <w:sz w:val="22"/>
          <w:szCs w:val="22"/>
          <w:lang w:val="pt-BR"/>
        </w:rPr>
      </w:pPr>
      <w:r w:rsidRPr="002541C7">
        <w:rPr>
          <w:i/>
          <w:iCs/>
          <w:sz w:val="22"/>
          <w:szCs w:val="22"/>
          <w:lang w:val="pt-BR"/>
        </w:rPr>
        <w:t>Akių</w:t>
      </w:r>
      <w:r w:rsidRPr="002541C7">
        <w:rPr>
          <w:i/>
          <w:sz w:val="22"/>
          <w:szCs w:val="22"/>
          <w:lang w:val="pt-BR"/>
        </w:rPr>
        <w:t xml:space="preserve"> sutrikimai</w:t>
      </w:r>
    </w:p>
    <w:p w:rsidR="00F33D6C" w:rsidRPr="002541C7" w:rsidRDefault="00F33D6C" w:rsidP="001C60A3">
      <w:pPr>
        <w:ind w:right="333"/>
        <w:rPr>
          <w:sz w:val="22"/>
          <w:szCs w:val="22"/>
          <w:lang w:val="pt-BR"/>
        </w:rPr>
      </w:pPr>
      <w:r w:rsidRPr="002541C7">
        <w:rPr>
          <w:sz w:val="22"/>
          <w:szCs w:val="22"/>
          <w:lang w:val="pt-BR"/>
        </w:rPr>
        <w:t>Regėjimo sutrikimai</w:t>
      </w:r>
      <w:r w:rsidRPr="002541C7">
        <w:rPr>
          <w:sz w:val="22"/>
          <w:szCs w:val="22"/>
        </w:rPr>
        <w:t>.</w:t>
      </w:r>
    </w:p>
    <w:p w:rsidR="00F33D6C" w:rsidRPr="002541C7" w:rsidRDefault="00F33D6C" w:rsidP="001C60A3">
      <w:pPr>
        <w:ind w:right="333"/>
        <w:rPr>
          <w:sz w:val="22"/>
          <w:szCs w:val="22"/>
          <w:lang w:val="pt-BR"/>
        </w:rPr>
      </w:pPr>
    </w:p>
    <w:p w:rsidR="00F33D6C" w:rsidRPr="002541C7" w:rsidRDefault="00F33D6C" w:rsidP="001C60A3">
      <w:pPr>
        <w:ind w:right="333"/>
        <w:rPr>
          <w:i/>
          <w:iCs/>
          <w:sz w:val="22"/>
          <w:szCs w:val="22"/>
          <w:lang w:val="pt-BR"/>
        </w:rPr>
      </w:pPr>
      <w:r w:rsidRPr="002541C7">
        <w:rPr>
          <w:i/>
          <w:iCs/>
          <w:sz w:val="22"/>
          <w:szCs w:val="22"/>
          <w:lang w:val="pt-BR"/>
        </w:rPr>
        <w:t>Ausų ir labirintų sutrikimai</w:t>
      </w:r>
    </w:p>
    <w:p w:rsidR="00F33D6C" w:rsidRPr="002541C7" w:rsidRDefault="00F33D6C" w:rsidP="001C60A3">
      <w:pPr>
        <w:ind w:right="333"/>
        <w:rPr>
          <w:i/>
          <w:iCs/>
          <w:sz w:val="22"/>
          <w:szCs w:val="22"/>
          <w:lang w:val="pt-BR"/>
        </w:rPr>
      </w:pPr>
      <w:r w:rsidRPr="002541C7">
        <w:rPr>
          <w:sz w:val="22"/>
          <w:szCs w:val="22"/>
        </w:rPr>
        <w:t>Ūžesys (spengimas ausyse), klausos sutrikimai,  svaigimas (galvos sukimasis (</w:t>
      </w:r>
      <w:r w:rsidRPr="002541C7">
        <w:rPr>
          <w:i/>
          <w:sz w:val="22"/>
          <w:szCs w:val="22"/>
        </w:rPr>
        <w:t>vertigo</w:t>
      </w:r>
      <w:r w:rsidRPr="002541C7">
        <w:rPr>
          <w:sz w:val="22"/>
          <w:szCs w:val="22"/>
        </w:rPr>
        <w:t>)).</w:t>
      </w:r>
    </w:p>
    <w:p w:rsidR="00F33D6C" w:rsidRPr="002541C7" w:rsidRDefault="00F33D6C" w:rsidP="001C60A3">
      <w:pPr>
        <w:ind w:right="333"/>
        <w:rPr>
          <w:sz w:val="22"/>
          <w:szCs w:val="22"/>
          <w:lang w:val="pt-BR"/>
        </w:rPr>
      </w:pPr>
    </w:p>
    <w:p w:rsidR="00F33D6C" w:rsidRPr="002541C7" w:rsidRDefault="00F33D6C" w:rsidP="001C60A3">
      <w:pPr>
        <w:ind w:right="333"/>
        <w:rPr>
          <w:sz w:val="22"/>
          <w:szCs w:val="22"/>
          <w:lang w:val="pt-BR"/>
        </w:rPr>
      </w:pPr>
      <w:r w:rsidRPr="002541C7">
        <w:rPr>
          <w:i/>
          <w:iCs/>
          <w:sz w:val="22"/>
          <w:szCs w:val="22"/>
          <w:lang w:val="pt-BR"/>
        </w:rPr>
        <w:t>Inkstų ir šlapimo takų sutrikimai</w:t>
      </w:r>
      <w:r w:rsidRPr="002541C7">
        <w:rPr>
          <w:sz w:val="22"/>
          <w:szCs w:val="22"/>
          <w:lang w:val="pt-BR"/>
        </w:rPr>
        <w:t xml:space="preserve"> </w:t>
      </w:r>
    </w:p>
    <w:p w:rsidR="00F33D6C" w:rsidRPr="002541C7" w:rsidRDefault="00F33D6C" w:rsidP="001C60A3">
      <w:pPr>
        <w:pStyle w:val="BTEMEASMCA"/>
        <w:ind w:right="333"/>
      </w:pPr>
      <w:r w:rsidRPr="002541C7">
        <w:t>Inkstų veiklos sutrikimas, šlapimo kiekio arba šlapinimosi dažnio pokyčiai, šlapimo susilaikymas, strėnų skausmai (esant arba neesant kraujui šlapime), skysčių susilaikymas, pokyčiai kraujo tyrime (padidėjęs šlapalo ir kreatinino kiekis), intersticinis nefritas (inkstų uždegimas), nefrozinis sindromas (inkstų veiklos sutrikimas), hemolizinis ureminis sindromas (liga, pasireiškianti ūminiu inkstų nepakankamumu, raudonųjų kraujo ląstelių kiekio sumažėjimu [mikroangiopatine hemolizine anemija] ir mažu kraujo plokšteliu kiekiu).</w:t>
      </w:r>
    </w:p>
    <w:p w:rsidR="00F33D6C" w:rsidRPr="002541C7" w:rsidRDefault="00F33D6C" w:rsidP="001C60A3">
      <w:pPr>
        <w:pStyle w:val="BTEMEASMCA"/>
        <w:ind w:right="333"/>
      </w:pPr>
    </w:p>
    <w:p w:rsidR="00F33D6C" w:rsidRPr="002541C7" w:rsidRDefault="00F33D6C" w:rsidP="001C60A3">
      <w:pPr>
        <w:ind w:right="333"/>
        <w:rPr>
          <w:i/>
          <w:iCs/>
          <w:sz w:val="22"/>
          <w:szCs w:val="22"/>
          <w:lang w:val="pt-BR"/>
        </w:rPr>
      </w:pPr>
      <w:r w:rsidRPr="002541C7">
        <w:rPr>
          <w:i/>
          <w:iCs/>
          <w:sz w:val="22"/>
          <w:szCs w:val="22"/>
          <w:lang w:val="pt-BR"/>
        </w:rPr>
        <w:t xml:space="preserve">Širdies sutrikimai </w:t>
      </w:r>
    </w:p>
    <w:p w:rsidR="00F33D6C" w:rsidRPr="002541C7" w:rsidRDefault="00F33D6C" w:rsidP="001C60A3">
      <w:pPr>
        <w:pStyle w:val="BTEMEASMCA"/>
        <w:ind w:right="333"/>
      </w:pPr>
      <w:r w:rsidRPr="002541C7">
        <w:t>Palpitacijos (smarkaus širdies plakimo pojūtis), bradikardija (lėtas širdies ritmas), širdies nepakankamumas.</w:t>
      </w:r>
    </w:p>
    <w:p w:rsidR="00F33D6C" w:rsidRPr="002541C7" w:rsidRDefault="00F33D6C" w:rsidP="001C60A3">
      <w:pPr>
        <w:ind w:right="333"/>
        <w:rPr>
          <w:i/>
          <w:iCs/>
          <w:sz w:val="22"/>
          <w:szCs w:val="22"/>
          <w:lang w:val="pt-BR"/>
        </w:rPr>
      </w:pPr>
    </w:p>
    <w:p w:rsidR="00F33D6C" w:rsidRPr="002541C7" w:rsidRDefault="00F33D6C" w:rsidP="001C60A3">
      <w:pPr>
        <w:ind w:right="333"/>
        <w:rPr>
          <w:i/>
          <w:iCs/>
          <w:sz w:val="22"/>
          <w:szCs w:val="22"/>
          <w:lang w:val="pt-BR"/>
        </w:rPr>
      </w:pPr>
      <w:r w:rsidRPr="002541C7">
        <w:rPr>
          <w:i/>
          <w:iCs/>
          <w:sz w:val="22"/>
          <w:szCs w:val="22"/>
          <w:lang w:val="pt-BR"/>
        </w:rPr>
        <w:t>Kraujagyslių sutrikimai</w:t>
      </w:r>
    </w:p>
    <w:p w:rsidR="00F33D6C" w:rsidRPr="002541C7" w:rsidRDefault="00F33D6C" w:rsidP="001C60A3">
      <w:pPr>
        <w:pStyle w:val="BTEMEASMCA"/>
        <w:ind w:right="333"/>
      </w:pPr>
      <w:r w:rsidRPr="002541C7">
        <w:t>Hipertenzija (didelis kraujospūdis), hipotenzija (mažas kraujospūdis), hematoma (kraujosruva), blyškumas, veido ir kaklo paraudimas, kraujavimas iš pooperacinių žaizdų.</w:t>
      </w:r>
    </w:p>
    <w:p w:rsidR="00F33D6C" w:rsidRPr="002541C7" w:rsidRDefault="00F33D6C" w:rsidP="001C60A3">
      <w:pPr>
        <w:pStyle w:val="BTEMEASMCA"/>
        <w:ind w:right="333"/>
      </w:pPr>
    </w:p>
    <w:p w:rsidR="00F33D6C" w:rsidRPr="002541C7" w:rsidRDefault="00F33D6C" w:rsidP="001C60A3">
      <w:pPr>
        <w:ind w:right="333"/>
        <w:rPr>
          <w:sz w:val="22"/>
          <w:szCs w:val="22"/>
          <w:lang w:val="pt-BR"/>
        </w:rPr>
      </w:pPr>
      <w:r w:rsidRPr="002541C7">
        <w:rPr>
          <w:i/>
          <w:iCs/>
          <w:sz w:val="22"/>
          <w:szCs w:val="22"/>
          <w:lang w:val="pt-BR"/>
        </w:rPr>
        <w:t xml:space="preserve">Lytinės sistemos ir krūties sutrikimai </w:t>
      </w:r>
    </w:p>
    <w:p w:rsidR="00F33D6C" w:rsidRPr="002541C7" w:rsidRDefault="00F33D6C" w:rsidP="001C60A3">
      <w:pPr>
        <w:pStyle w:val="BTEMEASMCA"/>
        <w:ind w:right="333"/>
      </w:pPr>
      <w:r w:rsidRPr="002541C7">
        <w:t>Galimas moterų vaisingumo sutrikimas.</w:t>
      </w:r>
    </w:p>
    <w:p w:rsidR="00F33D6C" w:rsidRPr="002541C7" w:rsidRDefault="00F33D6C" w:rsidP="001C60A3">
      <w:pPr>
        <w:pStyle w:val="BTEMEASMCA"/>
        <w:ind w:right="333"/>
      </w:pPr>
    </w:p>
    <w:p w:rsidR="00F33D6C" w:rsidRPr="002541C7" w:rsidRDefault="00F33D6C" w:rsidP="001C60A3">
      <w:pPr>
        <w:ind w:right="333"/>
        <w:rPr>
          <w:i/>
          <w:iCs/>
          <w:sz w:val="22"/>
          <w:szCs w:val="22"/>
          <w:lang w:val="pt-BR"/>
        </w:rPr>
      </w:pPr>
      <w:r w:rsidRPr="002541C7">
        <w:rPr>
          <w:i/>
          <w:iCs/>
          <w:sz w:val="22"/>
          <w:szCs w:val="22"/>
          <w:lang w:val="pt-BR"/>
        </w:rPr>
        <w:t>Kvėpavimo sistemos, krūtinės ląstos ir tarpuplaučio sutrikimai</w:t>
      </w:r>
    </w:p>
    <w:p w:rsidR="00F33D6C" w:rsidRPr="002541C7" w:rsidRDefault="00F33D6C" w:rsidP="001C60A3">
      <w:pPr>
        <w:pStyle w:val="BTEMEASMCA"/>
        <w:ind w:right="333"/>
      </w:pPr>
      <w:r w:rsidRPr="002541C7">
        <w:t>Astma, dusulys, plaučių edema (būklė, kai plaučiuose pradeda kauptis skystis).</w:t>
      </w:r>
    </w:p>
    <w:p w:rsidR="00F33D6C" w:rsidRPr="002541C7" w:rsidRDefault="00F33D6C" w:rsidP="001C60A3">
      <w:pPr>
        <w:pStyle w:val="BTEMEASMCA"/>
        <w:ind w:right="333"/>
      </w:pPr>
    </w:p>
    <w:p w:rsidR="00F33D6C" w:rsidRPr="002541C7" w:rsidRDefault="00F33D6C" w:rsidP="001C60A3">
      <w:pPr>
        <w:ind w:right="333"/>
        <w:rPr>
          <w:i/>
          <w:iCs/>
          <w:sz w:val="22"/>
          <w:szCs w:val="22"/>
          <w:lang w:val="pt-BR"/>
        </w:rPr>
      </w:pPr>
      <w:r w:rsidRPr="002541C7">
        <w:rPr>
          <w:i/>
          <w:iCs/>
          <w:sz w:val="22"/>
          <w:szCs w:val="22"/>
          <w:lang w:val="pt-BR"/>
        </w:rPr>
        <w:t>Kepenų, tužies pūslės ir latakų sutrikimai</w:t>
      </w:r>
    </w:p>
    <w:p w:rsidR="00F33D6C" w:rsidRPr="002541C7" w:rsidRDefault="00F33D6C" w:rsidP="001C60A3">
      <w:pPr>
        <w:pStyle w:val="BTEMEASMCA"/>
        <w:ind w:right="333"/>
      </w:pPr>
      <w:r w:rsidRPr="002541C7">
        <w:t>Gelta (pageltusi oda ir akių baltymai), kepenų uždegimas, kepenų nepakankamumas.</w:t>
      </w:r>
    </w:p>
    <w:p w:rsidR="00F33D6C" w:rsidRPr="002541C7" w:rsidRDefault="00F33D6C" w:rsidP="001C60A3">
      <w:pPr>
        <w:pStyle w:val="BTEMEASMCA"/>
        <w:ind w:right="333"/>
      </w:pPr>
    </w:p>
    <w:p w:rsidR="00F33D6C" w:rsidRPr="002541C7" w:rsidRDefault="00F33D6C" w:rsidP="001C60A3">
      <w:pPr>
        <w:pStyle w:val="BTEMEASMCA"/>
        <w:ind w:right="333"/>
      </w:pPr>
    </w:p>
    <w:p w:rsidR="00F33D6C" w:rsidRPr="002541C7" w:rsidRDefault="00F33D6C" w:rsidP="001C60A3">
      <w:pPr>
        <w:pStyle w:val="BTEMEASMCA"/>
        <w:ind w:right="333"/>
      </w:pPr>
    </w:p>
    <w:p w:rsidR="00F33D6C" w:rsidRPr="002541C7" w:rsidRDefault="00F33D6C" w:rsidP="001C60A3">
      <w:pPr>
        <w:pStyle w:val="BTEMEASMCA"/>
        <w:ind w:right="333"/>
        <w:rPr>
          <w:i/>
          <w:iCs/>
          <w:lang w:val="pt-BR"/>
        </w:rPr>
      </w:pPr>
      <w:r w:rsidRPr="002541C7">
        <w:rPr>
          <w:i/>
          <w:iCs/>
          <w:lang w:val="pt-BR"/>
        </w:rPr>
        <w:t xml:space="preserve">Odos ir poodinio audinio sutrikimai </w:t>
      </w:r>
    </w:p>
    <w:p w:rsidR="00F33D6C" w:rsidRPr="002541C7" w:rsidRDefault="00F33D6C" w:rsidP="001C60A3">
      <w:pPr>
        <w:pStyle w:val="BTEMEASMCA"/>
        <w:ind w:right="333"/>
      </w:pPr>
      <w:r w:rsidRPr="002541C7">
        <w:t xml:space="preserve">Dermatitas (odos uždegimas), išbėrimas, niežulys, dilgėlinė, purpura (nedidelės kraujosrūvos odoje ar gleivinėje), angioneurozinė edema, prakaitavimas, </w:t>
      </w:r>
      <w:r w:rsidRPr="002541C7">
        <w:rPr>
          <w:kern w:val="28"/>
        </w:rPr>
        <w:lastRenderedPageBreak/>
        <w:t>pūslinės odos reakcijos, įskaitant ir Stivenso-Džonsono sindromą, labai retai toksinė epidermio nekrolizė.</w:t>
      </w:r>
    </w:p>
    <w:p w:rsidR="00F33D6C" w:rsidRPr="002541C7" w:rsidRDefault="00F33D6C" w:rsidP="001C60A3">
      <w:pPr>
        <w:pStyle w:val="BTEMEASMCA"/>
        <w:ind w:right="333"/>
      </w:pPr>
    </w:p>
    <w:p w:rsidR="00F33D6C" w:rsidRPr="002541C7" w:rsidRDefault="00F33D6C" w:rsidP="001C60A3">
      <w:pPr>
        <w:ind w:right="333"/>
        <w:rPr>
          <w:i/>
          <w:iCs/>
          <w:sz w:val="22"/>
          <w:szCs w:val="22"/>
          <w:lang w:val="pt-BR"/>
        </w:rPr>
      </w:pPr>
      <w:r w:rsidRPr="002541C7">
        <w:rPr>
          <w:i/>
          <w:iCs/>
          <w:sz w:val="22"/>
          <w:szCs w:val="22"/>
          <w:lang w:val="pt-BR"/>
        </w:rPr>
        <w:t>Skeleto,raumenų ir jungiamojo audinio sutrikimai</w:t>
      </w:r>
    </w:p>
    <w:p w:rsidR="00F33D6C" w:rsidRPr="002541C7" w:rsidRDefault="00F33D6C" w:rsidP="001C60A3">
      <w:pPr>
        <w:pStyle w:val="BTEMEASMCA"/>
        <w:ind w:right="333"/>
      </w:pPr>
      <w:r w:rsidRPr="002541C7">
        <w:t>Raumenų skausmas.</w:t>
      </w:r>
    </w:p>
    <w:p w:rsidR="00F33D6C" w:rsidRPr="002541C7" w:rsidRDefault="00F33D6C" w:rsidP="001C60A3">
      <w:pPr>
        <w:pStyle w:val="BTEMEASMCA"/>
        <w:ind w:right="333"/>
      </w:pPr>
    </w:p>
    <w:p w:rsidR="00F33D6C" w:rsidRPr="002541C7" w:rsidRDefault="00F33D6C" w:rsidP="001C60A3">
      <w:pPr>
        <w:pStyle w:val="BTEMEASMCA"/>
        <w:ind w:right="333"/>
        <w:rPr>
          <w:i/>
          <w:iCs/>
          <w:noProof w:val="0"/>
          <w:lang w:val="pt-BR"/>
        </w:rPr>
      </w:pPr>
      <w:r w:rsidRPr="002541C7">
        <w:rPr>
          <w:i/>
          <w:lang w:val="pt-BR"/>
        </w:rPr>
        <w:t>Bendrieji sutrikimai ir vartojimo vietos pažeidimai</w:t>
      </w:r>
    </w:p>
    <w:p w:rsidR="00F33D6C" w:rsidRPr="002541C7" w:rsidRDefault="00F33D6C" w:rsidP="001C60A3">
      <w:pPr>
        <w:pStyle w:val="BTEMEASMCA"/>
        <w:ind w:right="333"/>
        <w:rPr>
          <w:iCs/>
          <w:noProof w:val="0"/>
          <w:lang w:val="pt-BR"/>
        </w:rPr>
      </w:pPr>
      <w:r w:rsidRPr="002541C7">
        <w:rPr>
          <w:iCs/>
          <w:noProof w:val="0"/>
          <w:lang w:val="pt-BR"/>
        </w:rPr>
        <w:t>Troškulys, astenija (silpnumas), edema (patinimas), injekcijos vietos reakcijos, karščiavimas, krūtinės skausmas.</w:t>
      </w:r>
    </w:p>
    <w:p w:rsidR="00F33D6C" w:rsidRPr="002541C7" w:rsidRDefault="00F33D6C" w:rsidP="001C60A3">
      <w:pPr>
        <w:pStyle w:val="BTEMEASMCA"/>
        <w:ind w:right="333"/>
        <w:rPr>
          <w:i/>
          <w:iCs/>
          <w:noProof w:val="0"/>
          <w:lang w:val="pt-BR"/>
        </w:rPr>
      </w:pPr>
    </w:p>
    <w:p w:rsidR="00F33D6C" w:rsidRPr="002541C7" w:rsidRDefault="00F33D6C" w:rsidP="001C60A3">
      <w:pPr>
        <w:pStyle w:val="BTEMEASMCA"/>
        <w:ind w:right="333"/>
        <w:rPr>
          <w:i/>
          <w:iCs/>
          <w:noProof w:val="0"/>
          <w:lang w:val="pt-BR"/>
        </w:rPr>
      </w:pPr>
      <w:r w:rsidRPr="002541C7">
        <w:rPr>
          <w:i/>
          <w:lang w:val="pt-BR"/>
        </w:rPr>
        <w:t>Tyrimai</w:t>
      </w:r>
    </w:p>
    <w:p w:rsidR="00F33D6C" w:rsidRPr="002541C7" w:rsidRDefault="00F33D6C" w:rsidP="001C60A3">
      <w:pPr>
        <w:ind w:right="333"/>
        <w:rPr>
          <w:i/>
          <w:iCs/>
          <w:sz w:val="22"/>
          <w:szCs w:val="22"/>
          <w:lang w:val="pt-BR"/>
        </w:rPr>
      </w:pPr>
      <w:r w:rsidRPr="002541C7">
        <w:rPr>
          <w:iCs/>
          <w:sz w:val="22"/>
          <w:szCs w:val="22"/>
          <w:lang w:val="pt-BR"/>
        </w:rPr>
        <w:t>Kraujavimo laiko pailgėjimas, šlapalo koncentracijos serume padidėjimas, kreatinino kiekio padidėjimas, kepenų funkcijos tyrimų rodmenų pokyčiai.</w:t>
      </w:r>
    </w:p>
    <w:p w:rsidR="00F33D6C" w:rsidRPr="002541C7" w:rsidRDefault="00F33D6C" w:rsidP="001C60A3">
      <w:pPr>
        <w:pStyle w:val="BTEMEASMCA"/>
        <w:ind w:right="333"/>
      </w:pPr>
    </w:p>
    <w:p w:rsidR="00F33D6C" w:rsidRPr="002541C7" w:rsidRDefault="00F33D6C" w:rsidP="001C60A3">
      <w:pPr>
        <w:pStyle w:val="BTEMEASMCA"/>
        <w:ind w:right="333"/>
      </w:pPr>
      <w:r w:rsidRPr="002541C7">
        <w:t>Jeigu pasireiškė sunkus šalutinis poveikis arba pastebėjote šiame lapelyje nenurodytą šalutinį poveikį, pasakykite gydytojui arba vaistininkui.</w:t>
      </w:r>
    </w:p>
    <w:p w:rsidR="00F33D6C" w:rsidRPr="002541C7" w:rsidRDefault="00F33D6C" w:rsidP="001C60A3">
      <w:pPr>
        <w:pStyle w:val="BTEMEASMCA"/>
        <w:ind w:right="333"/>
      </w:pPr>
    </w:p>
    <w:p w:rsidR="00F33D6C" w:rsidRPr="002541C7" w:rsidRDefault="00F33D6C" w:rsidP="001C60A3">
      <w:pPr>
        <w:ind w:right="333"/>
        <w:rPr>
          <w:b/>
          <w:sz w:val="22"/>
          <w:szCs w:val="22"/>
        </w:rPr>
      </w:pPr>
      <w:r w:rsidRPr="002541C7">
        <w:rPr>
          <w:b/>
          <w:sz w:val="22"/>
          <w:szCs w:val="22"/>
        </w:rPr>
        <w:t>Pranešimas apie šalutinį poveikį</w:t>
      </w:r>
    </w:p>
    <w:p w:rsidR="00F33D6C" w:rsidRPr="002541C7" w:rsidRDefault="00F33D6C" w:rsidP="001C60A3">
      <w:pPr>
        <w:ind w:right="333"/>
        <w:rPr>
          <w:sz w:val="22"/>
          <w:szCs w:val="22"/>
        </w:rPr>
      </w:pPr>
      <w:r w:rsidRPr="002541C7">
        <w:rPr>
          <w:sz w:val="22"/>
          <w:szCs w:val="22"/>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2541C7">
          <w:rPr>
            <w:rStyle w:val="Hipersaitas"/>
            <w:sz w:val="22"/>
            <w:szCs w:val="22"/>
          </w:rPr>
          <w:t>www.vvkt.lt</w:t>
        </w:r>
      </w:hyperlink>
      <w:r w:rsidRPr="002541C7">
        <w:rPr>
          <w:sz w:val="22"/>
          <w:szCs w:val="22"/>
        </w:rPr>
        <w:t xml:space="preserve"> esančią formą, paštu Valstybinei vaistų kontrolės tarnybai prie Lietuvos Respublikos sveikatos apsaugos ministerijos, Žirmūnų g. 139A, LT 09120 Vilnius, tel: 8 800 73568, faksu 8 800 20131 arba el. paštu </w:t>
      </w:r>
      <w:hyperlink r:id="rId11" w:history="1">
        <w:r w:rsidRPr="002541C7">
          <w:rPr>
            <w:rStyle w:val="Hipersaitas"/>
            <w:sz w:val="22"/>
            <w:szCs w:val="22"/>
          </w:rPr>
          <w:t>NepageidaujamaR@vvkt.lt</w:t>
        </w:r>
      </w:hyperlink>
      <w:r w:rsidRPr="002541C7">
        <w:rPr>
          <w:sz w:val="22"/>
          <w:szCs w:val="22"/>
        </w:rPr>
        <w:t>. Pranešdami apie šalutinį poveikį galite mums padėti gauti daugiau informacijos apie šio vaisto saugumą.</w:t>
      </w:r>
    </w:p>
    <w:p w:rsidR="00F33D6C" w:rsidRPr="002541C7" w:rsidRDefault="00F33D6C" w:rsidP="001C60A3">
      <w:pPr>
        <w:pStyle w:val="BTEMEASMCA"/>
        <w:ind w:right="333"/>
      </w:pPr>
    </w:p>
    <w:p w:rsidR="00F33D6C" w:rsidRPr="002541C7" w:rsidRDefault="00F33D6C" w:rsidP="001C60A3">
      <w:pPr>
        <w:pStyle w:val="BTEMEASMCA"/>
        <w:ind w:right="333"/>
      </w:pPr>
    </w:p>
    <w:p w:rsidR="00F33D6C" w:rsidRPr="002541C7" w:rsidRDefault="00F33D6C" w:rsidP="001C60A3">
      <w:pPr>
        <w:pStyle w:val="PI-1EMEASMCA"/>
        <w:ind w:right="333"/>
      </w:pPr>
      <w:bookmarkStart w:id="80" w:name="_Toc129243143"/>
      <w:bookmarkStart w:id="81" w:name="_Toc129243268"/>
      <w:r w:rsidRPr="002541C7">
        <w:t>5.</w:t>
      </w:r>
      <w:r w:rsidRPr="002541C7">
        <w:tab/>
        <w:t xml:space="preserve">Kaip laikyti Ketanov </w:t>
      </w:r>
      <w:bookmarkEnd w:id="80"/>
      <w:bookmarkEnd w:id="81"/>
    </w:p>
    <w:p w:rsidR="00F33D6C" w:rsidRPr="002541C7" w:rsidRDefault="00F33D6C" w:rsidP="001C60A3">
      <w:pPr>
        <w:ind w:right="333"/>
        <w:rPr>
          <w:sz w:val="22"/>
          <w:szCs w:val="22"/>
        </w:rPr>
      </w:pPr>
    </w:p>
    <w:p w:rsidR="00F33D6C" w:rsidRPr="002541C7" w:rsidRDefault="00F33D6C" w:rsidP="001C60A3">
      <w:pPr>
        <w:numPr>
          <w:ilvl w:val="12"/>
          <w:numId w:val="0"/>
        </w:numPr>
        <w:ind w:right="333"/>
        <w:rPr>
          <w:sz w:val="22"/>
          <w:szCs w:val="22"/>
        </w:rPr>
      </w:pPr>
      <w:r w:rsidRPr="002541C7">
        <w:rPr>
          <w:sz w:val="22"/>
          <w:szCs w:val="22"/>
        </w:rPr>
        <w:t>Šį vaistą laikykite vaikams nepastebimoje ir nepasiekiamoje vietoje.</w:t>
      </w:r>
    </w:p>
    <w:p w:rsidR="00F33D6C" w:rsidRPr="002541C7" w:rsidRDefault="00F33D6C" w:rsidP="001C60A3">
      <w:pPr>
        <w:pStyle w:val="BTEMEASMCA"/>
        <w:ind w:right="333"/>
      </w:pPr>
    </w:p>
    <w:p w:rsidR="00F33D6C" w:rsidRPr="002541C7" w:rsidRDefault="00F33D6C" w:rsidP="001C60A3">
      <w:pPr>
        <w:pStyle w:val="BTEMEASMCA"/>
        <w:ind w:right="333"/>
        <w:rPr>
          <w:lang w:val="lt-LT"/>
        </w:rPr>
      </w:pPr>
      <w:r w:rsidRPr="002541C7">
        <w:rPr>
          <w:lang w:val="lt-LT"/>
        </w:rPr>
        <w:t xml:space="preserve">Laikyti ne aukštesnėje kaip 25 </w:t>
      </w:r>
      <w:r w:rsidRPr="002541C7">
        <w:rPr>
          <w:lang w:val="lt-LT"/>
        </w:rPr>
        <w:sym w:font="Symbol" w:char="F0B0"/>
      </w:r>
      <w:r w:rsidRPr="002541C7">
        <w:rPr>
          <w:lang w:val="lt-LT"/>
        </w:rPr>
        <w:t>C temperatūroje.</w:t>
      </w:r>
    </w:p>
    <w:p w:rsidR="00F33D6C" w:rsidRPr="002541C7" w:rsidRDefault="00F33D6C" w:rsidP="001C60A3">
      <w:pPr>
        <w:pStyle w:val="BTEMEASMCA"/>
        <w:ind w:right="333"/>
        <w:rPr>
          <w:lang w:val="lt-LT"/>
        </w:rPr>
      </w:pPr>
      <w:r w:rsidRPr="002541C7">
        <w:rPr>
          <w:lang w:val="lt-LT"/>
        </w:rPr>
        <w:t>Laikyti gamintojo pakuotėje, kad preparatas būtų apsaugotas nuo šviesos ir drėgmės.</w:t>
      </w:r>
    </w:p>
    <w:p w:rsidR="00F33D6C" w:rsidRPr="002541C7" w:rsidRDefault="00F33D6C" w:rsidP="001C60A3">
      <w:pPr>
        <w:pStyle w:val="BTEMEASMCA"/>
        <w:ind w:right="333"/>
      </w:pPr>
    </w:p>
    <w:p w:rsidR="00F33D6C" w:rsidRPr="002541C7" w:rsidRDefault="00F33D6C" w:rsidP="001C60A3">
      <w:pPr>
        <w:pStyle w:val="BTEMEASMCA"/>
        <w:ind w:right="333"/>
      </w:pPr>
      <w:r w:rsidRPr="002541C7">
        <w:t>Ant dėžutės ir lizdinės plokštelės po “Tinka iki”</w:t>
      </w:r>
      <w:r w:rsidRPr="002541C7">
        <w:rPr>
          <w:lang w:val="lt-LT"/>
        </w:rPr>
        <w:t xml:space="preserve"> </w:t>
      </w:r>
      <w:r w:rsidRPr="002541C7">
        <w:t>nurodytam tinkamumo laikui pasibaigus, šio vaisto vartoti negalima. Vaistas tinkamas vartoti iki paskutinės nurodyto mėnesio dienos.</w:t>
      </w:r>
    </w:p>
    <w:p w:rsidR="00F33D6C" w:rsidRPr="002541C7" w:rsidRDefault="00F33D6C" w:rsidP="001C60A3">
      <w:pPr>
        <w:pStyle w:val="BTEMEASMCA"/>
        <w:ind w:right="333"/>
      </w:pPr>
    </w:p>
    <w:p w:rsidR="00F33D6C" w:rsidRPr="002541C7" w:rsidRDefault="00F33D6C" w:rsidP="001C60A3">
      <w:pPr>
        <w:pStyle w:val="BTEMEASMCA"/>
        <w:ind w:right="333"/>
      </w:pPr>
      <w:r w:rsidRPr="002541C7">
        <w:t>Vaistų negalima išmesti į kanalizaciją arba su buitinėmis atliekomis. Kaip išmesti nereikalingus vaistus, klauskite vaistininko. Šios priemonės padės apsaugoti aplinką.</w:t>
      </w:r>
    </w:p>
    <w:p w:rsidR="00F33D6C" w:rsidRPr="002541C7" w:rsidRDefault="00F33D6C" w:rsidP="001C60A3">
      <w:pPr>
        <w:pStyle w:val="BTEMEASMCA"/>
        <w:ind w:right="333"/>
      </w:pPr>
    </w:p>
    <w:p w:rsidR="00F33D6C" w:rsidRPr="002541C7" w:rsidRDefault="00F33D6C" w:rsidP="001C60A3">
      <w:pPr>
        <w:pStyle w:val="BTEMEASMCA"/>
        <w:ind w:right="333"/>
      </w:pPr>
    </w:p>
    <w:p w:rsidR="00F33D6C" w:rsidRPr="002541C7" w:rsidRDefault="00F33D6C" w:rsidP="001C60A3">
      <w:pPr>
        <w:pStyle w:val="PI-1EMEASMCA"/>
        <w:ind w:right="333"/>
      </w:pPr>
      <w:bookmarkStart w:id="82" w:name="_Toc129243144"/>
      <w:bookmarkStart w:id="83" w:name="_Toc129243269"/>
      <w:r w:rsidRPr="002541C7">
        <w:lastRenderedPageBreak/>
        <w:t>6.</w:t>
      </w:r>
      <w:r w:rsidRPr="002541C7">
        <w:tab/>
        <w:t>Pakuotės turinys ir kita informacija</w:t>
      </w:r>
      <w:bookmarkEnd w:id="82"/>
      <w:bookmarkEnd w:id="83"/>
    </w:p>
    <w:p w:rsidR="00F33D6C" w:rsidRPr="002541C7" w:rsidRDefault="00F33D6C" w:rsidP="001C60A3">
      <w:pPr>
        <w:pStyle w:val="BTEMEASMCA"/>
        <w:ind w:right="333"/>
      </w:pPr>
    </w:p>
    <w:p w:rsidR="00F33D6C" w:rsidRPr="002541C7" w:rsidRDefault="00F33D6C" w:rsidP="001C60A3">
      <w:pPr>
        <w:pStyle w:val="PI-3EMEASMCA"/>
        <w:ind w:right="333"/>
      </w:pPr>
      <w:r w:rsidRPr="002541C7">
        <w:t>Ketanov sudėtis</w:t>
      </w:r>
    </w:p>
    <w:p w:rsidR="00F33D6C" w:rsidRPr="002541C7" w:rsidRDefault="00F33D6C" w:rsidP="001C60A3">
      <w:pPr>
        <w:pStyle w:val="BTEMEASMCA"/>
        <w:numPr>
          <w:ilvl w:val="0"/>
          <w:numId w:val="12"/>
        </w:numPr>
        <w:ind w:right="333"/>
      </w:pPr>
      <w:r w:rsidRPr="002541C7">
        <w:t>Veiklioji medžiaga yra ketorolakas trometamolis. Kiekvienoje burnoje disperguojamojoje tabletėje yra 10 mg ketorolako trometamolio.</w:t>
      </w:r>
    </w:p>
    <w:p w:rsidR="00F33D6C" w:rsidRPr="002541C7" w:rsidRDefault="00F33D6C" w:rsidP="001C60A3">
      <w:pPr>
        <w:pStyle w:val="BTEMEASMCA"/>
        <w:numPr>
          <w:ilvl w:val="0"/>
          <w:numId w:val="12"/>
        </w:numPr>
        <w:ind w:right="333"/>
      </w:pPr>
      <w:r w:rsidRPr="002541C7">
        <w:t>Pagalbinės medžiagos yra manitolis (E 421), mikrokristalinė celiuliozė, kukurūzų krakmolas, aspartamas (E 951), krospovidonas B, propilo galatas, indigokarminas (E 132), pipirmėčių aromatinė medžiaga (sudėtyje yra natūralių aromatinių medžiagų, natūralioms identiškų aromatinių medžiagų, kukurūzų maltodekstrino, modifikuoto kukurūzų krakmolo (E1450), glicerolio triacetato (E1518), pulgeono) ir magnio stearatas.</w:t>
      </w:r>
    </w:p>
    <w:p w:rsidR="00F33D6C" w:rsidRPr="002541C7" w:rsidRDefault="00F33D6C" w:rsidP="001C60A3">
      <w:pPr>
        <w:pStyle w:val="BTEMEASMCA"/>
        <w:ind w:right="333"/>
      </w:pPr>
    </w:p>
    <w:p w:rsidR="00F33D6C" w:rsidRPr="002541C7" w:rsidRDefault="00F33D6C" w:rsidP="001C60A3">
      <w:pPr>
        <w:pStyle w:val="PI-3EMEASMCA"/>
        <w:ind w:right="333"/>
      </w:pPr>
      <w:r w:rsidRPr="002541C7">
        <w:t>Ketanov išvaizda ir kiekis pakuotėje</w:t>
      </w:r>
    </w:p>
    <w:p w:rsidR="00F33D6C" w:rsidRPr="002541C7" w:rsidRDefault="00F33D6C" w:rsidP="001C60A3">
      <w:pPr>
        <w:pStyle w:val="BTEMEASMCA"/>
        <w:ind w:right="333"/>
        <w:rPr>
          <w:lang w:val="lt-LT"/>
        </w:rPr>
      </w:pPr>
      <w:r w:rsidRPr="002541C7">
        <w:rPr>
          <w:lang w:val="lt-LT"/>
        </w:rPr>
        <w:t>Mėlynos spalvos, taškuota, apvali, plokščia, nuožulniais kraštais, plėvele nedengta tabletė, kurios vienoje pusėje įspaustas užrašas „K17“, o kita tabletės pusė lygi.</w:t>
      </w:r>
    </w:p>
    <w:p w:rsidR="00F33D6C" w:rsidRPr="002541C7" w:rsidRDefault="00F33D6C" w:rsidP="001C60A3">
      <w:pPr>
        <w:ind w:right="333"/>
        <w:rPr>
          <w:sz w:val="22"/>
          <w:szCs w:val="22"/>
        </w:rPr>
      </w:pPr>
    </w:p>
    <w:p w:rsidR="00F33D6C" w:rsidRPr="002541C7" w:rsidRDefault="00F33D6C" w:rsidP="001C60A3">
      <w:pPr>
        <w:ind w:right="333"/>
        <w:rPr>
          <w:sz w:val="22"/>
          <w:szCs w:val="22"/>
        </w:rPr>
      </w:pPr>
      <w:r w:rsidRPr="002541C7">
        <w:rPr>
          <w:sz w:val="22"/>
          <w:szCs w:val="22"/>
        </w:rPr>
        <w:t>Ketanov tiekiamas lizdinėmis plokštelėmis, kurių kiekvienoje yra 10 burnoje disperguojamųjų tablečių. Kartono dėžutėje yra viena arba dvi lizdinės plokštelės.</w:t>
      </w:r>
    </w:p>
    <w:p w:rsidR="00F33D6C" w:rsidRPr="002541C7" w:rsidRDefault="00F33D6C" w:rsidP="00B92FB0">
      <w:pPr>
        <w:pStyle w:val="Pagrindinistekstas"/>
        <w:ind w:right="333"/>
        <w:rPr>
          <w:b w:val="0"/>
          <w:sz w:val="22"/>
          <w:szCs w:val="22"/>
        </w:rPr>
      </w:pPr>
      <w:r w:rsidRPr="002541C7">
        <w:rPr>
          <w:b w:val="0"/>
          <w:sz w:val="22"/>
          <w:szCs w:val="22"/>
        </w:rPr>
        <w:t>Gali būti tiekiamos ne visų dydžių pakuotės.</w:t>
      </w:r>
    </w:p>
    <w:p w:rsidR="00F33D6C" w:rsidRPr="002541C7" w:rsidRDefault="00F33D6C" w:rsidP="001C60A3">
      <w:pPr>
        <w:ind w:right="333"/>
        <w:rPr>
          <w:sz w:val="22"/>
          <w:szCs w:val="22"/>
        </w:rPr>
      </w:pPr>
    </w:p>
    <w:p w:rsidR="00F33D6C" w:rsidRPr="002541C7" w:rsidRDefault="00F33D6C" w:rsidP="001C60A3">
      <w:pPr>
        <w:ind w:right="333"/>
        <w:rPr>
          <w:b/>
          <w:bCs/>
          <w:sz w:val="22"/>
          <w:szCs w:val="22"/>
        </w:rPr>
      </w:pPr>
      <w:r w:rsidRPr="002541C7">
        <w:rPr>
          <w:b/>
          <w:bCs/>
          <w:sz w:val="22"/>
          <w:szCs w:val="22"/>
        </w:rPr>
        <w:t>Rinkodaros teisės turėtojas ir gamintojas</w:t>
      </w:r>
    </w:p>
    <w:p w:rsidR="00F33D6C" w:rsidRPr="002541C7" w:rsidRDefault="00F33D6C" w:rsidP="001C60A3">
      <w:pPr>
        <w:ind w:right="333"/>
        <w:rPr>
          <w:sz w:val="22"/>
          <w:szCs w:val="22"/>
        </w:rPr>
      </w:pPr>
    </w:p>
    <w:p w:rsidR="00F33D6C" w:rsidRPr="002541C7" w:rsidRDefault="00F33D6C" w:rsidP="001C60A3">
      <w:pPr>
        <w:ind w:right="333"/>
        <w:rPr>
          <w:i/>
          <w:iCs/>
          <w:sz w:val="22"/>
          <w:szCs w:val="22"/>
        </w:rPr>
      </w:pPr>
      <w:r w:rsidRPr="002541C7">
        <w:rPr>
          <w:i/>
          <w:iCs/>
          <w:sz w:val="22"/>
          <w:szCs w:val="22"/>
        </w:rPr>
        <w:t>Rinkodaros teisės turėtojas</w:t>
      </w:r>
    </w:p>
    <w:p w:rsidR="00F33D6C" w:rsidRPr="002541C7" w:rsidRDefault="00F33D6C" w:rsidP="001C60A3">
      <w:pPr>
        <w:ind w:right="333"/>
        <w:rPr>
          <w:sz w:val="22"/>
          <w:szCs w:val="22"/>
        </w:rPr>
      </w:pPr>
      <w:r w:rsidRPr="002541C7">
        <w:rPr>
          <w:sz w:val="22"/>
          <w:szCs w:val="22"/>
        </w:rPr>
        <w:t>Ranbaxy UK Ltd.</w:t>
      </w:r>
    </w:p>
    <w:p w:rsidR="00E21CDE" w:rsidRPr="009E04E0" w:rsidRDefault="00E21CDE" w:rsidP="00E21CDE">
      <w:pPr>
        <w:ind w:right="333"/>
        <w:rPr>
          <w:sz w:val="22"/>
          <w:szCs w:val="22"/>
        </w:rPr>
      </w:pPr>
      <w:r w:rsidRPr="009E04E0">
        <w:rPr>
          <w:sz w:val="22"/>
          <w:szCs w:val="22"/>
        </w:rPr>
        <w:t>5th floor, Hyde Park, Hayes 3</w:t>
      </w:r>
    </w:p>
    <w:p w:rsidR="00E21CDE" w:rsidRPr="009E04E0" w:rsidRDefault="00E21CDE" w:rsidP="00E21CDE">
      <w:pPr>
        <w:ind w:right="333"/>
        <w:rPr>
          <w:sz w:val="22"/>
          <w:szCs w:val="22"/>
        </w:rPr>
      </w:pPr>
      <w:r w:rsidRPr="009E04E0">
        <w:rPr>
          <w:sz w:val="22"/>
          <w:szCs w:val="22"/>
        </w:rPr>
        <w:t>11 Millington Road</w:t>
      </w:r>
    </w:p>
    <w:p w:rsidR="00E21CDE" w:rsidRDefault="00E21CDE" w:rsidP="00E21CDE">
      <w:pPr>
        <w:pStyle w:val="BTEMEASMCA"/>
        <w:ind w:right="333"/>
      </w:pPr>
      <w:r w:rsidRPr="009E04E0">
        <w:t>Hayes</w:t>
      </w:r>
      <w:r>
        <w:t>,</w:t>
      </w:r>
      <w:r w:rsidRPr="009E04E0">
        <w:t xml:space="preserve"> UB3 4AZ</w:t>
      </w:r>
      <w:r w:rsidRPr="009E04E0" w:rsidDel="009E04E0">
        <w:t xml:space="preserve"> </w:t>
      </w:r>
    </w:p>
    <w:p w:rsidR="00F33D6C" w:rsidRPr="002541C7" w:rsidRDefault="00F33D6C" w:rsidP="001C60A3">
      <w:pPr>
        <w:pStyle w:val="BTEMEASMCA"/>
        <w:ind w:right="333"/>
      </w:pPr>
      <w:r w:rsidRPr="002541C7">
        <w:t>Jungtinė Karalystė</w:t>
      </w:r>
    </w:p>
    <w:p w:rsidR="00F33D6C" w:rsidRPr="002541C7" w:rsidRDefault="00F33D6C" w:rsidP="001C60A3">
      <w:pPr>
        <w:ind w:right="333"/>
        <w:rPr>
          <w:sz w:val="22"/>
          <w:szCs w:val="22"/>
        </w:rPr>
      </w:pPr>
    </w:p>
    <w:p w:rsidR="00F33D6C" w:rsidRPr="002541C7" w:rsidRDefault="00F33D6C" w:rsidP="001C60A3">
      <w:pPr>
        <w:ind w:right="333"/>
        <w:rPr>
          <w:i/>
          <w:iCs/>
          <w:sz w:val="22"/>
          <w:szCs w:val="22"/>
        </w:rPr>
      </w:pPr>
      <w:r w:rsidRPr="002541C7">
        <w:rPr>
          <w:i/>
          <w:iCs/>
          <w:sz w:val="22"/>
          <w:szCs w:val="22"/>
        </w:rPr>
        <w:t>Gamintojas</w:t>
      </w:r>
    </w:p>
    <w:p w:rsidR="00F33D6C" w:rsidRPr="002541C7" w:rsidRDefault="00F33D6C" w:rsidP="001C60A3">
      <w:pPr>
        <w:widowControl w:val="0"/>
        <w:autoSpaceDE w:val="0"/>
        <w:autoSpaceDN w:val="0"/>
        <w:adjustRightInd w:val="0"/>
        <w:ind w:right="333"/>
        <w:rPr>
          <w:color w:val="000000"/>
          <w:sz w:val="22"/>
          <w:szCs w:val="22"/>
        </w:rPr>
      </w:pPr>
      <w:r w:rsidRPr="002541C7">
        <w:rPr>
          <w:color w:val="000000"/>
          <w:spacing w:val="2"/>
          <w:sz w:val="22"/>
          <w:szCs w:val="22"/>
        </w:rPr>
        <w:t>S.C. T</w:t>
      </w:r>
      <w:r w:rsidRPr="002541C7">
        <w:rPr>
          <w:color w:val="000000"/>
          <w:sz w:val="22"/>
          <w:szCs w:val="22"/>
        </w:rPr>
        <w:t>e</w:t>
      </w:r>
      <w:r w:rsidRPr="002541C7">
        <w:rPr>
          <w:color w:val="000000"/>
          <w:spacing w:val="-1"/>
          <w:sz w:val="22"/>
          <w:szCs w:val="22"/>
        </w:rPr>
        <w:t>ra</w:t>
      </w:r>
      <w:r w:rsidRPr="002541C7">
        <w:rPr>
          <w:color w:val="000000"/>
          <w:sz w:val="22"/>
          <w:szCs w:val="22"/>
        </w:rPr>
        <w:t>p</w:t>
      </w:r>
      <w:r w:rsidRPr="002541C7">
        <w:rPr>
          <w:color w:val="000000"/>
          <w:spacing w:val="-4"/>
          <w:sz w:val="22"/>
          <w:szCs w:val="22"/>
        </w:rPr>
        <w:t>i</w:t>
      </w:r>
      <w:r w:rsidRPr="002541C7">
        <w:rPr>
          <w:color w:val="000000"/>
          <w:sz w:val="22"/>
          <w:szCs w:val="22"/>
        </w:rPr>
        <w:t>a</w:t>
      </w:r>
      <w:r w:rsidRPr="002541C7">
        <w:rPr>
          <w:color w:val="000000"/>
          <w:spacing w:val="-1"/>
          <w:sz w:val="22"/>
          <w:szCs w:val="22"/>
        </w:rPr>
        <w:t xml:space="preserve"> </w:t>
      </w:r>
      <w:r w:rsidRPr="002541C7">
        <w:rPr>
          <w:color w:val="000000"/>
          <w:sz w:val="22"/>
          <w:szCs w:val="22"/>
        </w:rPr>
        <w:t>S.A.</w:t>
      </w:r>
    </w:p>
    <w:p w:rsidR="00F33D6C" w:rsidRPr="002541C7" w:rsidRDefault="00F33D6C" w:rsidP="001C60A3">
      <w:pPr>
        <w:widowControl w:val="0"/>
        <w:autoSpaceDE w:val="0"/>
        <w:autoSpaceDN w:val="0"/>
        <w:adjustRightInd w:val="0"/>
        <w:ind w:right="333"/>
        <w:rPr>
          <w:color w:val="000000"/>
          <w:sz w:val="22"/>
          <w:szCs w:val="22"/>
        </w:rPr>
      </w:pPr>
      <w:r w:rsidRPr="002541C7">
        <w:rPr>
          <w:color w:val="000000"/>
          <w:sz w:val="22"/>
          <w:szCs w:val="22"/>
        </w:rPr>
        <w:t xml:space="preserve">124 </w:t>
      </w:r>
      <w:r w:rsidRPr="002541C7">
        <w:rPr>
          <w:color w:val="000000"/>
          <w:spacing w:val="-3"/>
          <w:sz w:val="22"/>
          <w:szCs w:val="22"/>
        </w:rPr>
        <w:t>F</w:t>
      </w:r>
      <w:r w:rsidRPr="002541C7">
        <w:rPr>
          <w:color w:val="000000"/>
          <w:sz w:val="22"/>
          <w:szCs w:val="22"/>
        </w:rPr>
        <w:t>ab</w:t>
      </w:r>
      <w:r w:rsidRPr="002541C7">
        <w:rPr>
          <w:color w:val="000000"/>
          <w:spacing w:val="-1"/>
          <w:sz w:val="22"/>
          <w:szCs w:val="22"/>
        </w:rPr>
        <w:t>r</w:t>
      </w:r>
      <w:r w:rsidRPr="002541C7">
        <w:rPr>
          <w:color w:val="000000"/>
          <w:spacing w:val="1"/>
          <w:sz w:val="22"/>
          <w:szCs w:val="22"/>
        </w:rPr>
        <w:t>i</w:t>
      </w:r>
      <w:r w:rsidRPr="002541C7">
        <w:rPr>
          <w:color w:val="000000"/>
          <w:spacing w:val="-2"/>
          <w:sz w:val="22"/>
          <w:szCs w:val="22"/>
        </w:rPr>
        <w:t>c</w:t>
      </w:r>
      <w:r w:rsidRPr="002541C7">
        <w:rPr>
          <w:color w:val="000000"/>
          <w:spacing w:val="1"/>
          <w:sz w:val="22"/>
          <w:szCs w:val="22"/>
        </w:rPr>
        <w:t>i</w:t>
      </w:r>
      <w:r w:rsidRPr="002541C7">
        <w:rPr>
          <w:color w:val="000000"/>
          <w:sz w:val="22"/>
          <w:szCs w:val="22"/>
        </w:rPr>
        <w:t>i</w:t>
      </w:r>
      <w:r w:rsidRPr="002541C7">
        <w:rPr>
          <w:color w:val="000000"/>
          <w:spacing w:val="1"/>
          <w:sz w:val="22"/>
          <w:szCs w:val="22"/>
        </w:rPr>
        <w:t xml:space="preserve"> </w:t>
      </w:r>
      <w:r w:rsidRPr="002541C7">
        <w:rPr>
          <w:color w:val="000000"/>
          <w:spacing w:val="-2"/>
          <w:sz w:val="22"/>
          <w:szCs w:val="22"/>
        </w:rPr>
        <w:t>Street</w:t>
      </w:r>
    </w:p>
    <w:p w:rsidR="00F33D6C" w:rsidRPr="002541C7" w:rsidRDefault="00F33D6C" w:rsidP="001C60A3">
      <w:pPr>
        <w:widowControl w:val="0"/>
        <w:autoSpaceDE w:val="0"/>
        <w:autoSpaceDN w:val="0"/>
        <w:adjustRightInd w:val="0"/>
        <w:ind w:right="333"/>
        <w:rPr>
          <w:color w:val="000000"/>
          <w:sz w:val="22"/>
          <w:szCs w:val="22"/>
        </w:rPr>
      </w:pPr>
      <w:r w:rsidRPr="002541C7">
        <w:rPr>
          <w:color w:val="000000"/>
          <w:sz w:val="22"/>
          <w:szCs w:val="22"/>
        </w:rPr>
        <w:t xml:space="preserve">400 632 </w:t>
      </w:r>
      <w:r w:rsidRPr="002541C7">
        <w:rPr>
          <w:color w:val="000000"/>
          <w:spacing w:val="-1"/>
          <w:sz w:val="22"/>
          <w:szCs w:val="22"/>
        </w:rPr>
        <w:t>Cl</w:t>
      </w:r>
      <w:r w:rsidRPr="002541C7">
        <w:rPr>
          <w:color w:val="000000"/>
          <w:spacing w:val="-2"/>
          <w:sz w:val="22"/>
          <w:szCs w:val="22"/>
        </w:rPr>
        <w:t>u</w:t>
      </w:r>
      <w:r w:rsidRPr="002541C7">
        <w:rPr>
          <w:color w:val="000000"/>
          <w:spacing w:val="3"/>
          <w:sz w:val="22"/>
          <w:szCs w:val="22"/>
        </w:rPr>
        <w:t>j</w:t>
      </w:r>
      <w:r w:rsidRPr="002541C7">
        <w:rPr>
          <w:color w:val="000000"/>
          <w:spacing w:val="-4"/>
          <w:sz w:val="22"/>
          <w:szCs w:val="22"/>
        </w:rPr>
        <w:t xml:space="preserve"> </w:t>
      </w:r>
      <w:r w:rsidRPr="002541C7">
        <w:rPr>
          <w:color w:val="000000"/>
          <w:spacing w:val="-1"/>
          <w:sz w:val="22"/>
          <w:szCs w:val="22"/>
        </w:rPr>
        <w:t>N</w:t>
      </w:r>
      <w:r w:rsidRPr="002541C7">
        <w:rPr>
          <w:color w:val="000000"/>
          <w:sz w:val="22"/>
          <w:szCs w:val="22"/>
        </w:rPr>
        <w:t>apoca</w:t>
      </w:r>
    </w:p>
    <w:p w:rsidR="00F33D6C" w:rsidRPr="002541C7" w:rsidRDefault="00F33D6C" w:rsidP="001C60A3">
      <w:pPr>
        <w:widowControl w:val="0"/>
        <w:autoSpaceDE w:val="0"/>
        <w:autoSpaceDN w:val="0"/>
        <w:adjustRightInd w:val="0"/>
        <w:ind w:right="333"/>
        <w:rPr>
          <w:color w:val="000000"/>
          <w:sz w:val="22"/>
          <w:szCs w:val="22"/>
        </w:rPr>
      </w:pPr>
      <w:r w:rsidRPr="002541C7">
        <w:rPr>
          <w:color w:val="000000"/>
          <w:spacing w:val="-1"/>
          <w:sz w:val="22"/>
          <w:szCs w:val="22"/>
        </w:rPr>
        <w:t>R</w:t>
      </w:r>
      <w:r w:rsidRPr="002541C7">
        <w:rPr>
          <w:color w:val="000000"/>
          <w:sz w:val="22"/>
          <w:szCs w:val="22"/>
        </w:rPr>
        <w:t>u</w:t>
      </w:r>
      <w:r w:rsidRPr="002541C7">
        <w:rPr>
          <w:color w:val="000000"/>
          <w:spacing w:val="-4"/>
          <w:sz w:val="22"/>
          <w:szCs w:val="22"/>
        </w:rPr>
        <w:t>m</w:t>
      </w:r>
      <w:r w:rsidRPr="002541C7">
        <w:rPr>
          <w:color w:val="000000"/>
          <w:sz w:val="22"/>
          <w:szCs w:val="22"/>
        </w:rPr>
        <w:t>un</w:t>
      </w:r>
      <w:r w:rsidRPr="002541C7">
        <w:rPr>
          <w:color w:val="000000"/>
          <w:spacing w:val="1"/>
          <w:sz w:val="22"/>
          <w:szCs w:val="22"/>
        </w:rPr>
        <w:t>i</w:t>
      </w:r>
      <w:r w:rsidRPr="002541C7">
        <w:rPr>
          <w:color w:val="000000"/>
          <w:spacing w:val="3"/>
          <w:sz w:val="22"/>
          <w:szCs w:val="22"/>
        </w:rPr>
        <w:t>j</w:t>
      </w:r>
      <w:r w:rsidRPr="002541C7">
        <w:rPr>
          <w:color w:val="000000"/>
          <w:sz w:val="22"/>
          <w:szCs w:val="22"/>
        </w:rPr>
        <w:t>a</w:t>
      </w:r>
    </w:p>
    <w:p w:rsidR="00F33D6C" w:rsidRPr="002541C7" w:rsidRDefault="00F33D6C" w:rsidP="001C60A3">
      <w:pPr>
        <w:widowControl w:val="0"/>
        <w:autoSpaceDE w:val="0"/>
        <w:autoSpaceDN w:val="0"/>
        <w:adjustRightInd w:val="0"/>
        <w:ind w:right="333"/>
        <w:rPr>
          <w:color w:val="000000"/>
          <w:sz w:val="22"/>
          <w:szCs w:val="22"/>
        </w:rPr>
      </w:pPr>
    </w:p>
    <w:p w:rsidR="00F33D6C" w:rsidRPr="002541C7" w:rsidRDefault="00F33D6C" w:rsidP="001C60A3">
      <w:pPr>
        <w:widowControl w:val="0"/>
        <w:autoSpaceDE w:val="0"/>
        <w:autoSpaceDN w:val="0"/>
        <w:adjustRightInd w:val="0"/>
        <w:ind w:right="333"/>
        <w:rPr>
          <w:color w:val="000000"/>
          <w:sz w:val="22"/>
          <w:szCs w:val="22"/>
        </w:rPr>
      </w:pPr>
      <w:r w:rsidRPr="002541C7">
        <w:rPr>
          <w:color w:val="000000"/>
          <w:sz w:val="22"/>
          <w:szCs w:val="22"/>
        </w:rPr>
        <w:t>arba</w:t>
      </w:r>
    </w:p>
    <w:p w:rsidR="00F33D6C" w:rsidRPr="002541C7" w:rsidRDefault="00F33D6C" w:rsidP="001C60A3">
      <w:pPr>
        <w:widowControl w:val="0"/>
        <w:autoSpaceDE w:val="0"/>
        <w:autoSpaceDN w:val="0"/>
        <w:adjustRightInd w:val="0"/>
        <w:ind w:right="333"/>
        <w:rPr>
          <w:color w:val="000000"/>
          <w:sz w:val="22"/>
          <w:szCs w:val="22"/>
        </w:rPr>
      </w:pPr>
    </w:p>
    <w:p w:rsidR="00F33D6C" w:rsidRPr="002541C7" w:rsidRDefault="00F33D6C" w:rsidP="001C60A3">
      <w:pPr>
        <w:widowControl w:val="0"/>
        <w:autoSpaceDE w:val="0"/>
        <w:autoSpaceDN w:val="0"/>
        <w:adjustRightInd w:val="0"/>
        <w:ind w:right="333"/>
        <w:rPr>
          <w:color w:val="000000"/>
          <w:sz w:val="22"/>
          <w:szCs w:val="22"/>
        </w:rPr>
      </w:pPr>
      <w:r w:rsidRPr="002541C7">
        <w:rPr>
          <w:color w:val="000000"/>
          <w:spacing w:val="-1"/>
          <w:sz w:val="22"/>
          <w:szCs w:val="22"/>
        </w:rPr>
        <w:t>R</w:t>
      </w:r>
      <w:r w:rsidRPr="002541C7">
        <w:rPr>
          <w:color w:val="000000"/>
          <w:sz w:val="22"/>
          <w:szCs w:val="22"/>
        </w:rPr>
        <w:t>anbaxy</w:t>
      </w:r>
      <w:r w:rsidRPr="002541C7">
        <w:rPr>
          <w:color w:val="000000"/>
          <w:spacing w:val="-2"/>
          <w:sz w:val="22"/>
          <w:szCs w:val="22"/>
        </w:rPr>
        <w:t xml:space="preserve"> </w:t>
      </w:r>
      <w:r w:rsidRPr="002541C7">
        <w:rPr>
          <w:color w:val="000000"/>
          <w:spacing w:val="-4"/>
          <w:sz w:val="22"/>
          <w:szCs w:val="22"/>
        </w:rPr>
        <w:t>I</w:t>
      </w:r>
      <w:r w:rsidRPr="002541C7">
        <w:rPr>
          <w:color w:val="000000"/>
          <w:spacing w:val="1"/>
          <w:sz w:val="22"/>
          <w:szCs w:val="22"/>
        </w:rPr>
        <w:t>r</w:t>
      </w:r>
      <w:r w:rsidRPr="002541C7">
        <w:rPr>
          <w:color w:val="000000"/>
          <w:sz w:val="22"/>
          <w:szCs w:val="22"/>
        </w:rPr>
        <w:t>e</w:t>
      </w:r>
      <w:r w:rsidRPr="002541C7">
        <w:rPr>
          <w:color w:val="000000"/>
          <w:spacing w:val="1"/>
          <w:sz w:val="22"/>
          <w:szCs w:val="22"/>
        </w:rPr>
        <w:t>l</w:t>
      </w:r>
      <w:r w:rsidRPr="002541C7">
        <w:rPr>
          <w:color w:val="000000"/>
          <w:sz w:val="22"/>
          <w:szCs w:val="22"/>
        </w:rPr>
        <w:t>and L</w:t>
      </w:r>
      <w:r w:rsidRPr="002541C7">
        <w:rPr>
          <w:color w:val="000000"/>
          <w:spacing w:val="1"/>
          <w:sz w:val="22"/>
          <w:szCs w:val="22"/>
        </w:rPr>
        <w:t>td.</w:t>
      </w:r>
    </w:p>
    <w:p w:rsidR="00F33D6C" w:rsidRPr="002541C7" w:rsidRDefault="00F33D6C" w:rsidP="001C60A3">
      <w:pPr>
        <w:widowControl w:val="0"/>
        <w:autoSpaceDE w:val="0"/>
        <w:autoSpaceDN w:val="0"/>
        <w:adjustRightInd w:val="0"/>
        <w:ind w:right="333"/>
        <w:rPr>
          <w:color w:val="000000"/>
          <w:sz w:val="22"/>
          <w:szCs w:val="22"/>
        </w:rPr>
      </w:pPr>
      <w:r w:rsidRPr="002541C7">
        <w:rPr>
          <w:color w:val="000000"/>
          <w:sz w:val="22"/>
          <w:szCs w:val="22"/>
        </w:rPr>
        <w:t>Spa</w:t>
      </w:r>
      <w:r w:rsidRPr="002541C7">
        <w:rPr>
          <w:color w:val="000000"/>
          <w:spacing w:val="1"/>
          <w:sz w:val="22"/>
          <w:szCs w:val="22"/>
        </w:rPr>
        <w:t>f</w:t>
      </w:r>
      <w:r w:rsidRPr="002541C7">
        <w:rPr>
          <w:color w:val="000000"/>
          <w:spacing w:val="-1"/>
          <w:sz w:val="22"/>
          <w:szCs w:val="22"/>
        </w:rPr>
        <w:t>i</w:t>
      </w:r>
      <w:r w:rsidRPr="002541C7">
        <w:rPr>
          <w:color w:val="000000"/>
          <w:sz w:val="22"/>
          <w:szCs w:val="22"/>
        </w:rPr>
        <w:t>e</w:t>
      </w:r>
      <w:r w:rsidRPr="002541C7">
        <w:rPr>
          <w:color w:val="000000"/>
          <w:spacing w:val="1"/>
          <w:sz w:val="22"/>
          <w:szCs w:val="22"/>
        </w:rPr>
        <w:t>l</w:t>
      </w:r>
      <w:r w:rsidRPr="002541C7">
        <w:rPr>
          <w:color w:val="000000"/>
          <w:spacing w:val="-2"/>
          <w:sz w:val="22"/>
          <w:szCs w:val="22"/>
        </w:rPr>
        <w:t>d</w:t>
      </w:r>
      <w:r w:rsidRPr="002541C7">
        <w:rPr>
          <w:color w:val="000000"/>
          <w:sz w:val="22"/>
          <w:szCs w:val="22"/>
        </w:rPr>
        <w:t xml:space="preserve">, </w:t>
      </w:r>
      <w:r w:rsidRPr="002541C7">
        <w:rPr>
          <w:color w:val="000000"/>
          <w:spacing w:val="-1"/>
          <w:sz w:val="22"/>
          <w:szCs w:val="22"/>
        </w:rPr>
        <w:t>C</w:t>
      </w:r>
      <w:r w:rsidRPr="002541C7">
        <w:rPr>
          <w:color w:val="000000"/>
          <w:sz w:val="22"/>
          <w:szCs w:val="22"/>
        </w:rPr>
        <w:t>o</w:t>
      </w:r>
      <w:r w:rsidRPr="002541C7">
        <w:rPr>
          <w:color w:val="000000"/>
          <w:spacing w:val="1"/>
          <w:sz w:val="22"/>
          <w:szCs w:val="22"/>
        </w:rPr>
        <w:t>r</w:t>
      </w:r>
      <w:r w:rsidRPr="002541C7">
        <w:rPr>
          <w:color w:val="000000"/>
          <w:sz w:val="22"/>
          <w:szCs w:val="22"/>
        </w:rPr>
        <w:t>k</w:t>
      </w:r>
      <w:r w:rsidRPr="002541C7">
        <w:rPr>
          <w:color w:val="000000"/>
          <w:spacing w:val="-2"/>
          <w:sz w:val="22"/>
          <w:szCs w:val="22"/>
        </w:rPr>
        <w:t xml:space="preserve"> </w:t>
      </w:r>
      <w:r w:rsidRPr="002541C7">
        <w:rPr>
          <w:color w:val="000000"/>
          <w:spacing w:val="-1"/>
          <w:sz w:val="22"/>
          <w:szCs w:val="22"/>
        </w:rPr>
        <w:t>R</w:t>
      </w:r>
      <w:r w:rsidRPr="002541C7">
        <w:rPr>
          <w:color w:val="000000"/>
          <w:sz w:val="22"/>
          <w:szCs w:val="22"/>
        </w:rPr>
        <w:t>oad</w:t>
      </w:r>
    </w:p>
    <w:p w:rsidR="00F33D6C" w:rsidRPr="002541C7" w:rsidRDefault="00F33D6C" w:rsidP="001C60A3">
      <w:pPr>
        <w:widowControl w:val="0"/>
        <w:autoSpaceDE w:val="0"/>
        <w:autoSpaceDN w:val="0"/>
        <w:adjustRightInd w:val="0"/>
        <w:ind w:right="333"/>
        <w:rPr>
          <w:color w:val="000000"/>
          <w:sz w:val="22"/>
          <w:szCs w:val="22"/>
        </w:rPr>
      </w:pPr>
      <w:r w:rsidRPr="002541C7">
        <w:rPr>
          <w:color w:val="000000"/>
          <w:spacing w:val="-1"/>
          <w:sz w:val="22"/>
          <w:szCs w:val="22"/>
        </w:rPr>
        <w:t>C</w:t>
      </w:r>
      <w:r w:rsidRPr="002541C7">
        <w:rPr>
          <w:color w:val="000000"/>
          <w:spacing w:val="-2"/>
          <w:sz w:val="22"/>
          <w:szCs w:val="22"/>
        </w:rPr>
        <w:t>a</w:t>
      </w:r>
      <w:r w:rsidRPr="002541C7">
        <w:rPr>
          <w:color w:val="000000"/>
          <w:spacing w:val="1"/>
          <w:sz w:val="22"/>
          <w:szCs w:val="22"/>
        </w:rPr>
        <w:t>s</w:t>
      </w:r>
      <w:r w:rsidRPr="002541C7">
        <w:rPr>
          <w:color w:val="000000"/>
          <w:sz w:val="22"/>
          <w:szCs w:val="22"/>
        </w:rPr>
        <w:t>h</w:t>
      </w:r>
      <w:r w:rsidRPr="002541C7">
        <w:rPr>
          <w:color w:val="000000"/>
          <w:spacing w:val="-2"/>
          <w:sz w:val="22"/>
          <w:szCs w:val="22"/>
        </w:rPr>
        <w:t>e</w:t>
      </w:r>
      <w:r w:rsidRPr="002541C7">
        <w:rPr>
          <w:color w:val="000000"/>
          <w:spacing w:val="1"/>
          <w:sz w:val="22"/>
          <w:szCs w:val="22"/>
        </w:rPr>
        <w:t>l</w:t>
      </w:r>
      <w:r w:rsidRPr="002541C7">
        <w:rPr>
          <w:color w:val="000000"/>
          <w:sz w:val="22"/>
          <w:szCs w:val="22"/>
        </w:rPr>
        <w:t xml:space="preserve">, </w:t>
      </w:r>
      <w:r w:rsidRPr="002541C7">
        <w:rPr>
          <w:color w:val="000000"/>
          <w:spacing w:val="-1"/>
          <w:sz w:val="22"/>
          <w:szCs w:val="22"/>
        </w:rPr>
        <w:t>C</w:t>
      </w:r>
      <w:r w:rsidRPr="002541C7">
        <w:rPr>
          <w:color w:val="000000"/>
          <w:sz w:val="22"/>
          <w:szCs w:val="22"/>
        </w:rPr>
        <w:t>o.</w:t>
      </w:r>
      <w:r w:rsidRPr="002541C7">
        <w:rPr>
          <w:color w:val="000000"/>
          <w:spacing w:val="-2"/>
          <w:sz w:val="22"/>
          <w:szCs w:val="22"/>
        </w:rPr>
        <w:t xml:space="preserve"> </w:t>
      </w:r>
      <w:r w:rsidRPr="002541C7">
        <w:rPr>
          <w:color w:val="000000"/>
          <w:spacing w:val="2"/>
          <w:sz w:val="22"/>
          <w:szCs w:val="22"/>
        </w:rPr>
        <w:t>T</w:t>
      </w:r>
      <w:r w:rsidRPr="002541C7">
        <w:rPr>
          <w:color w:val="000000"/>
          <w:spacing w:val="1"/>
          <w:sz w:val="22"/>
          <w:szCs w:val="22"/>
        </w:rPr>
        <w:t>i</w:t>
      </w:r>
      <w:r w:rsidRPr="002541C7">
        <w:rPr>
          <w:color w:val="000000"/>
          <w:spacing w:val="-2"/>
          <w:sz w:val="22"/>
          <w:szCs w:val="22"/>
        </w:rPr>
        <w:t>p</w:t>
      </w:r>
      <w:r w:rsidRPr="002541C7">
        <w:rPr>
          <w:color w:val="000000"/>
          <w:sz w:val="22"/>
          <w:szCs w:val="22"/>
        </w:rPr>
        <w:t>pe</w:t>
      </w:r>
      <w:r w:rsidRPr="002541C7">
        <w:rPr>
          <w:color w:val="000000"/>
          <w:spacing w:val="-1"/>
          <w:sz w:val="22"/>
          <w:szCs w:val="22"/>
        </w:rPr>
        <w:t>r</w:t>
      </w:r>
      <w:r w:rsidRPr="002541C7">
        <w:rPr>
          <w:color w:val="000000"/>
          <w:sz w:val="22"/>
          <w:szCs w:val="22"/>
        </w:rPr>
        <w:t>a</w:t>
      </w:r>
      <w:r w:rsidRPr="002541C7">
        <w:rPr>
          <w:color w:val="000000"/>
          <w:spacing w:val="1"/>
          <w:sz w:val="22"/>
          <w:szCs w:val="22"/>
        </w:rPr>
        <w:t>r</w:t>
      </w:r>
      <w:r w:rsidRPr="002541C7">
        <w:rPr>
          <w:color w:val="000000"/>
          <w:spacing w:val="-2"/>
          <w:sz w:val="22"/>
          <w:szCs w:val="22"/>
        </w:rPr>
        <w:t>y</w:t>
      </w:r>
    </w:p>
    <w:p w:rsidR="00F33D6C" w:rsidRPr="002541C7" w:rsidRDefault="00F33D6C" w:rsidP="001C60A3">
      <w:pPr>
        <w:widowControl w:val="0"/>
        <w:autoSpaceDE w:val="0"/>
        <w:autoSpaceDN w:val="0"/>
        <w:adjustRightInd w:val="0"/>
        <w:ind w:right="333"/>
        <w:rPr>
          <w:color w:val="000000"/>
          <w:sz w:val="22"/>
          <w:szCs w:val="22"/>
        </w:rPr>
      </w:pPr>
      <w:r w:rsidRPr="002541C7">
        <w:rPr>
          <w:color w:val="000000"/>
          <w:spacing w:val="-1"/>
          <w:sz w:val="22"/>
          <w:szCs w:val="22"/>
        </w:rPr>
        <w:t>A</w:t>
      </w:r>
      <w:r w:rsidRPr="002541C7">
        <w:rPr>
          <w:color w:val="000000"/>
          <w:spacing w:val="1"/>
          <w:sz w:val="22"/>
          <w:szCs w:val="22"/>
        </w:rPr>
        <w:t>ir</w:t>
      </w:r>
      <w:r w:rsidRPr="002541C7">
        <w:rPr>
          <w:color w:val="000000"/>
          <w:spacing w:val="-1"/>
          <w:sz w:val="22"/>
          <w:szCs w:val="22"/>
        </w:rPr>
        <w:t>i</w:t>
      </w:r>
      <w:r w:rsidRPr="002541C7">
        <w:rPr>
          <w:color w:val="000000"/>
          <w:spacing w:val="1"/>
          <w:sz w:val="22"/>
          <w:szCs w:val="22"/>
        </w:rPr>
        <w:t>j</w:t>
      </w:r>
      <w:r w:rsidRPr="002541C7">
        <w:rPr>
          <w:color w:val="000000"/>
          <w:sz w:val="22"/>
          <w:szCs w:val="22"/>
        </w:rPr>
        <w:t>a</w:t>
      </w:r>
    </w:p>
    <w:p w:rsidR="00F33D6C" w:rsidRPr="002541C7" w:rsidRDefault="00F33D6C" w:rsidP="001C60A3">
      <w:pPr>
        <w:widowControl w:val="0"/>
        <w:autoSpaceDE w:val="0"/>
        <w:autoSpaceDN w:val="0"/>
        <w:adjustRightInd w:val="0"/>
        <w:ind w:right="333"/>
        <w:rPr>
          <w:color w:val="000000"/>
          <w:sz w:val="22"/>
          <w:szCs w:val="22"/>
        </w:rPr>
      </w:pPr>
    </w:p>
    <w:p w:rsidR="00F33D6C" w:rsidRPr="002541C7" w:rsidRDefault="00F33D6C" w:rsidP="001C60A3">
      <w:pPr>
        <w:widowControl w:val="0"/>
        <w:autoSpaceDE w:val="0"/>
        <w:autoSpaceDN w:val="0"/>
        <w:adjustRightInd w:val="0"/>
        <w:ind w:right="333"/>
        <w:rPr>
          <w:color w:val="000000"/>
          <w:sz w:val="22"/>
          <w:szCs w:val="22"/>
        </w:rPr>
      </w:pPr>
      <w:r w:rsidRPr="002541C7">
        <w:rPr>
          <w:color w:val="000000"/>
          <w:sz w:val="22"/>
          <w:szCs w:val="22"/>
        </w:rPr>
        <w:t>arba</w:t>
      </w:r>
    </w:p>
    <w:p w:rsidR="00F33D6C" w:rsidRPr="002541C7" w:rsidRDefault="00F33D6C" w:rsidP="001C60A3">
      <w:pPr>
        <w:widowControl w:val="0"/>
        <w:autoSpaceDE w:val="0"/>
        <w:autoSpaceDN w:val="0"/>
        <w:adjustRightInd w:val="0"/>
        <w:ind w:right="333"/>
        <w:rPr>
          <w:color w:val="000000"/>
          <w:sz w:val="22"/>
          <w:szCs w:val="22"/>
        </w:rPr>
      </w:pPr>
    </w:p>
    <w:p w:rsidR="00F33D6C" w:rsidRPr="002541C7" w:rsidRDefault="00F33D6C" w:rsidP="001C60A3">
      <w:pPr>
        <w:widowControl w:val="0"/>
        <w:autoSpaceDE w:val="0"/>
        <w:autoSpaceDN w:val="0"/>
        <w:adjustRightInd w:val="0"/>
        <w:ind w:right="333"/>
        <w:rPr>
          <w:color w:val="000000"/>
          <w:sz w:val="22"/>
          <w:szCs w:val="22"/>
        </w:rPr>
      </w:pPr>
      <w:r w:rsidRPr="002541C7">
        <w:rPr>
          <w:color w:val="000000"/>
          <w:spacing w:val="-1"/>
          <w:sz w:val="22"/>
          <w:szCs w:val="22"/>
        </w:rPr>
        <w:t>B</w:t>
      </w:r>
      <w:r w:rsidRPr="002541C7">
        <w:rPr>
          <w:color w:val="000000"/>
          <w:sz w:val="22"/>
          <w:szCs w:val="22"/>
        </w:rPr>
        <w:t>a</w:t>
      </w:r>
      <w:r w:rsidRPr="002541C7">
        <w:rPr>
          <w:color w:val="000000"/>
          <w:spacing w:val="1"/>
          <w:sz w:val="22"/>
          <w:szCs w:val="22"/>
        </w:rPr>
        <w:t>si</w:t>
      </w:r>
      <w:r w:rsidRPr="002541C7">
        <w:rPr>
          <w:color w:val="000000"/>
          <w:spacing w:val="-2"/>
          <w:sz w:val="22"/>
          <w:szCs w:val="22"/>
        </w:rPr>
        <w:t>c</w:t>
      </w:r>
      <w:r w:rsidRPr="002541C7">
        <w:rPr>
          <w:color w:val="000000"/>
          <w:sz w:val="22"/>
          <w:szCs w:val="22"/>
        </w:rPr>
        <w:t>s</w:t>
      </w:r>
      <w:r w:rsidRPr="002541C7">
        <w:rPr>
          <w:color w:val="000000"/>
          <w:spacing w:val="1"/>
          <w:sz w:val="22"/>
          <w:szCs w:val="22"/>
        </w:rPr>
        <w:t xml:space="preserve"> </w:t>
      </w:r>
      <w:r w:rsidRPr="002541C7">
        <w:rPr>
          <w:color w:val="000000"/>
          <w:spacing w:val="-1"/>
          <w:sz w:val="22"/>
          <w:szCs w:val="22"/>
        </w:rPr>
        <w:t>G</w:t>
      </w:r>
      <w:r w:rsidRPr="002541C7">
        <w:rPr>
          <w:color w:val="000000"/>
          <w:spacing w:val="1"/>
          <w:sz w:val="22"/>
          <w:szCs w:val="22"/>
        </w:rPr>
        <w:t>mb</w:t>
      </w:r>
      <w:r w:rsidRPr="002541C7">
        <w:rPr>
          <w:color w:val="000000"/>
          <w:spacing w:val="-1"/>
          <w:sz w:val="22"/>
          <w:szCs w:val="22"/>
        </w:rPr>
        <w:t>H</w:t>
      </w:r>
    </w:p>
    <w:p w:rsidR="00F33D6C" w:rsidRPr="002541C7" w:rsidRDefault="00F33D6C" w:rsidP="001C60A3">
      <w:pPr>
        <w:widowControl w:val="0"/>
        <w:autoSpaceDE w:val="0"/>
        <w:autoSpaceDN w:val="0"/>
        <w:adjustRightInd w:val="0"/>
        <w:ind w:right="333"/>
        <w:rPr>
          <w:color w:val="000000"/>
          <w:spacing w:val="-2"/>
          <w:sz w:val="22"/>
          <w:szCs w:val="22"/>
        </w:rPr>
      </w:pPr>
      <w:r w:rsidRPr="002541C7">
        <w:rPr>
          <w:color w:val="000000"/>
          <w:spacing w:val="-1"/>
          <w:sz w:val="22"/>
          <w:szCs w:val="22"/>
        </w:rPr>
        <w:lastRenderedPageBreak/>
        <w:t>H</w:t>
      </w:r>
      <w:r w:rsidRPr="002541C7">
        <w:rPr>
          <w:color w:val="000000"/>
          <w:sz w:val="22"/>
          <w:szCs w:val="22"/>
        </w:rPr>
        <w:t>e</w:t>
      </w:r>
      <w:r w:rsidRPr="002541C7">
        <w:rPr>
          <w:color w:val="000000"/>
          <w:spacing w:val="-1"/>
          <w:sz w:val="22"/>
          <w:szCs w:val="22"/>
        </w:rPr>
        <w:t>m</w:t>
      </w:r>
      <w:r w:rsidRPr="002541C7">
        <w:rPr>
          <w:color w:val="000000"/>
          <w:spacing w:val="-4"/>
          <w:sz w:val="22"/>
          <w:szCs w:val="22"/>
        </w:rPr>
        <w:t>m</w:t>
      </w:r>
      <w:r w:rsidRPr="002541C7">
        <w:rPr>
          <w:color w:val="000000"/>
          <w:sz w:val="22"/>
          <w:szCs w:val="22"/>
        </w:rPr>
        <w:t>e</w:t>
      </w:r>
      <w:r w:rsidRPr="002541C7">
        <w:rPr>
          <w:color w:val="000000"/>
          <w:spacing w:val="1"/>
          <w:sz w:val="22"/>
          <w:szCs w:val="22"/>
        </w:rPr>
        <w:t>lr</w:t>
      </w:r>
      <w:r w:rsidRPr="002541C7">
        <w:rPr>
          <w:color w:val="000000"/>
          <w:sz w:val="22"/>
          <w:szCs w:val="22"/>
        </w:rPr>
        <w:t>a</w:t>
      </w:r>
      <w:r w:rsidRPr="002541C7">
        <w:rPr>
          <w:color w:val="000000"/>
          <w:spacing w:val="1"/>
          <w:sz w:val="22"/>
          <w:szCs w:val="22"/>
        </w:rPr>
        <w:t>t</w:t>
      </w:r>
      <w:r w:rsidRPr="002541C7">
        <w:rPr>
          <w:color w:val="000000"/>
          <w:spacing w:val="-2"/>
          <w:sz w:val="22"/>
          <w:szCs w:val="22"/>
        </w:rPr>
        <w:t>h</w:t>
      </w:r>
      <w:r w:rsidRPr="002541C7">
        <w:rPr>
          <w:color w:val="000000"/>
          <w:sz w:val="22"/>
          <w:szCs w:val="22"/>
        </w:rPr>
        <w:t>er</w:t>
      </w:r>
      <w:r w:rsidRPr="002541C7">
        <w:rPr>
          <w:color w:val="000000"/>
          <w:spacing w:val="-1"/>
          <w:sz w:val="22"/>
          <w:szCs w:val="22"/>
        </w:rPr>
        <w:t xml:space="preserve"> </w:t>
      </w:r>
      <w:r w:rsidRPr="002541C7">
        <w:rPr>
          <w:color w:val="000000"/>
          <w:sz w:val="22"/>
          <w:szCs w:val="22"/>
        </w:rPr>
        <w:t>We</w:t>
      </w:r>
      <w:r w:rsidRPr="002541C7">
        <w:rPr>
          <w:color w:val="000000"/>
          <w:spacing w:val="-2"/>
          <w:sz w:val="22"/>
          <w:szCs w:val="22"/>
        </w:rPr>
        <w:t>g 201</w:t>
      </w:r>
    </w:p>
    <w:p w:rsidR="00F33D6C" w:rsidRPr="002541C7" w:rsidRDefault="00F33D6C" w:rsidP="001C60A3">
      <w:pPr>
        <w:widowControl w:val="0"/>
        <w:autoSpaceDE w:val="0"/>
        <w:autoSpaceDN w:val="0"/>
        <w:adjustRightInd w:val="0"/>
        <w:ind w:right="333"/>
        <w:rPr>
          <w:color w:val="000000"/>
          <w:sz w:val="22"/>
          <w:szCs w:val="22"/>
        </w:rPr>
      </w:pPr>
      <w:r w:rsidRPr="002541C7">
        <w:rPr>
          <w:color w:val="000000"/>
          <w:sz w:val="22"/>
          <w:szCs w:val="22"/>
        </w:rPr>
        <w:t>D-51377 Le</w:t>
      </w:r>
      <w:r w:rsidRPr="002541C7">
        <w:rPr>
          <w:color w:val="000000"/>
          <w:spacing w:val="-2"/>
          <w:sz w:val="22"/>
          <w:szCs w:val="22"/>
        </w:rPr>
        <w:t>v</w:t>
      </w:r>
      <w:r w:rsidRPr="002541C7">
        <w:rPr>
          <w:color w:val="000000"/>
          <w:sz w:val="22"/>
          <w:szCs w:val="22"/>
        </w:rPr>
        <w:t>e</w:t>
      </w:r>
      <w:r w:rsidRPr="002541C7">
        <w:rPr>
          <w:color w:val="000000"/>
          <w:spacing w:val="1"/>
          <w:sz w:val="22"/>
          <w:szCs w:val="22"/>
        </w:rPr>
        <w:t>r</w:t>
      </w:r>
      <w:r w:rsidRPr="002541C7">
        <w:rPr>
          <w:color w:val="000000"/>
          <w:spacing w:val="-2"/>
          <w:sz w:val="22"/>
          <w:szCs w:val="22"/>
        </w:rPr>
        <w:t>k</w:t>
      </w:r>
      <w:r w:rsidRPr="002541C7">
        <w:rPr>
          <w:color w:val="000000"/>
          <w:sz w:val="22"/>
          <w:szCs w:val="22"/>
        </w:rPr>
        <w:t>u</w:t>
      </w:r>
      <w:r w:rsidRPr="002541C7">
        <w:rPr>
          <w:color w:val="000000"/>
          <w:spacing w:val="1"/>
          <w:sz w:val="22"/>
          <w:szCs w:val="22"/>
        </w:rPr>
        <w:t>s</w:t>
      </w:r>
      <w:r w:rsidRPr="002541C7">
        <w:rPr>
          <w:color w:val="000000"/>
          <w:sz w:val="22"/>
          <w:szCs w:val="22"/>
        </w:rPr>
        <w:t xml:space="preserve">en </w:t>
      </w:r>
    </w:p>
    <w:p w:rsidR="00F33D6C" w:rsidRPr="002541C7" w:rsidRDefault="00F33D6C" w:rsidP="001C60A3">
      <w:pPr>
        <w:widowControl w:val="0"/>
        <w:autoSpaceDE w:val="0"/>
        <w:autoSpaceDN w:val="0"/>
        <w:adjustRightInd w:val="0"/>
        <w:ind w:right="333"/>
        <w:rPr>
          <w:color w:val="000000"/>
          <w:sz w:val="22"/>
          <w:szCs w:val="22"/>
        </w:rPr>
      </w:pPr>
      <w:r w:rsidRPr="002541C7">
        <w:rPr>
          <w:color w:val="000000"/>
          <w:spacing w:val="1"/>
          <w:sz w:val="22"/>
          <w:szCs w:val="22"/>
        </w:rPr>
        <w:t>V</w:t>
      </w:r>
      <w:r w:rsidRPr="002541C7">
        <w:rPr>
          <w:color w:val="000000"/>
          <w:sz w:val="22"/>
          <w:szCs w:val="22"/>
        </w:rPr>
        <w:t>o</w:t>
      </w:r>
      <w:r w:rsidRPr="002541C7">
        <w:rPr>
          <w:color w:val="000000"/>
          <w:spacing w:val="-2"/>
          <w:sz w:val="22"/>
          <w:szCs w:val="22"/>
        </w:rPr>
        <w:t>k</w:t>
      </w:r>
      <w:r w:rsidRPr="002541C7">
        <w:rPr>
          <w:color w:val="000000"/>
          <w:spacing w:val="1"/>
          <w:sz w:val="22"/>
          <w:szCs w:val="22"/>
        </w:rPr>
        <w:t>i</w:t>
      </w:r>
      <w:r w:rsidRPr="002541C7">
        <w:rPr>
          <w:color w:val="000000"/>
          <w:sz w:val="22"/>
          <w:szCs w:val="22"/>
        </w:rPr>
        <w:t>e</w:t>
      </w:r>
      <w:r w:rsidRPr="002541C7">
        <w:rPr>
          <w:color w:val="000000"/>
          <w:spacing w:val="-1"/>
          <w:sz w:val="22"/>
          <w:szCs w:val="22"/>
        </w:rPr>
        <w:t>ti</w:t>
      </w:r>
      <w:r w:rsidRPr="002541C7">
        <w:rPr>
          <w:color w:val="000000"/>
          <w:spacing w:val="1"/>
          <w:sz w:val="22"/>
          <w:szCs w:val="22"/>
        </w:rPr>
        <w:t>j</w:t>
      </w:r>
      <w:r w:rsidRPr="002541C7">
        <w:rPr>
          <w:color w:val="000000"/>
          <w:sz w:val="22"/>
          <w:szCs w:val="22"/>
        </w:rPr>
        <w:t>a</w:t>
      </w:r>
    </w:p>
    <w:p w:rsidR="00F33D6C" w:rsidRPr="002541C7" w:rsidRDefault="00F33D6C" w:rsidP="001C60A3">
      <w:pPr>
        <w:ind w:right="333"/>
        <w:rPr>
          <w:sz w:val="22"/>
          <w:szCs w:val="22"/>
        </w:rPr>
      </w:pPr>
    </w:p>
    <w:p w:rsidR="00F33D6C" w:rsidRPr="002541C7" w:rsidRDefault="00F33D6C" w:rsidP="001C60A3">
      <w:pPr>
        <w:pStyle w:val="BTEMEASMCA"/>
        <w:ind w:right="333"/>
      </w:pPr>
      <w:r w:rsidRPr="002541C7">
        <w:t>Jeigu apie šį vaistą norite sužinoti daugiau, kreipkitės į vietinį rinkodaros teisės turėtojo atstovą.</w:t>
      </w:r>
    </w:p>
    <w:p w:rsidR="00F33D6C" w:rsidRPr="002541C7" w:rsidRDefault="00F33D6C" w:rsidP="001C60A3">
      <w:pPr>
        <w:ind w:right="333"/>
        <w:rPr>
          <w:sz w:val="22"/>
          <w:szCs w:val="22"/>
        </w:rPr>
      </w:pPr>
    </w:p>
    <w:tbl>
      <w:tblPr>
        <w:tblW w:w="4680" w:type="dxa"/>
        <w:tblInd w:w="2" w:type="dxa"/>
        <w:tblLayout w:type="fixed"/>
        <w:tblLook w:val="00A0" w:firstRow="1" w:lastRow="0" w:firstColumn="1" w:lastColumn="0" w:noHBand="0" w:noVBand="0"/>
      </w:tblPr>
      <w:tblGrid>
        <w:gridCol w:w="4680"/>
      </w:tblGrid>
      <w:tr w:rsidR="00F33D6C" w:rsidRPr="002541C7" w:rsidTr="005B2290">
        <w:tc>
          <w:tcPr>
            <w:tcW w:w="4678" w:type="dxa"/>
          </w:tcPr>
          <w:p w:rsidR="00F33D6C" w:rsidRPr="002541C7" w:rsidRDefault="00F33D6C" w:rsidP="001C60A3">
            <w:pPr>
              <w:ind w:right="333"/>
              <w:rPr>
                <w:sz w:val="22"/>
                <w:szCs w:val="22"/>
              </w:rPr>
            </w:pPr>
            <w:r w:rsidRPr="002541C7">
              <w:rPr>
                <w:sz w:val="22"/>
                <w:szCs w:val="22"/>
              </w:rPr>
              <w:t>Ranbaxy Laboratories Limited atstovybė</w:t>
            </w:r>
          </w:p>
          <w:p w:rsidR="00F33D6C" w:rsidRPr="002541C7" w:rsidRDefault="00E21CDE" w:rsidP="001C60A3">
            <w:pPr>
              <w:ind w:right="333"/>
              <w:rPr>
                <w:sz w:val="22"/>
                <w:szCs w:val="22"/>
              </w:rPr>
            </w:pPr>
            <w:r w:rsidRPr="00FF4715">
              <w:rPr>
                <w:sz w:val="22"/>
                <w:szCs w:val="22"/>
              </w:rPr>
              <w:t>Karaliaus Mindaugo pr. 68-3</w:t>
            </w:r>
            <w:r w:rsidR="00F33D6C" w:rsidRPr="002541C7">
              <w:rPr>
                <w:sz w:val="22"/>
                <w:szCs w:val="22"/>
              </w:rPr>
              <w:br/>
              <w:t>LT 51182 Kaunas, Lietuva</w:t>
            </w:r>
          </w:p>
          <w:p w:rsidR="00F33D6C" w:rsidRPr="002541C7" w:rsidRDefault="00F33D6C" w:rsidP="001C60A3">
            <w:pPr>
              <w:ind w:right="333"/>
              <w:jc w:val="both"/>
              <w:rPr>
                <w:sz w:val="22"/>
                <w:szCs w:val="22"/>
              </w:rPr>
            </w:pPr>
            <w:r w:rsidRPr="002541C7">
              <w:rPr>
                <w:sz w:val="22"/>
                <w:szCs w:val="22"/>
              </w:rPr>
              <w:t>Tel. +370-37-311843</w:t>
            </w:r>
          </w:p>
          <w:p w:rsidR="00F33D6C" w:rsidRPr="002541C7" w:rsidRDefault="00F33D6C" w:rsidP="001C60A3">
            <w:pPr>
              <w:tabs>
                <w:tab w:val="left" w:pos="-720"/>
              </w:tabs>
              <w:suppressAutoHyphens/>
              <w:ind w:right="333"/>
              <w:rPr>
                <w:sz w:val="22"/>
                <w:szCs w:val="22"/>
              </w:rPr>
            </w:pPr>
            <w:r w:rsidRPr="002541C7">
              <w:rPr>
                <w:sz w:val="22"/>
                <w:szCs w:val="22"/>
              </w:rPr>
              <w:t xml:space="preserve">El. paštas: </w:t>
            </w:r>
            <w:hyperlink r:id="rId12" w:history="1">
              <w:r w:rsidRPr="002541C7">
                <w:rPr>
                  <w:rStyle w:val="Hipersaitas"/>
                  <w:sz w:val="22"/>
                  <w:szCs w:val="22"/>
                </w:rPr>
                <w:t>info.baltics@ranbaxy.com</w:t>
              </w:r>
            </w:hyperlink>
          </w:p>
        </w:tc>
      </w:tr>
    </w:tbl>
    <w:p w:rsidR="00F33D6C" w:rsidRPr="002541C7" w:rsidRDefault="00F33D6C" w:rsidP="00C25BBD">
      <w:pPr>
        <w:pStyle w:val="BTEMEASMCA"/>
        <w:ind w:right="333"/>
      </w:pPr>
    </w:p>
    <w:p w:rsidR="00F33D6C" w:rsidRPr="002541C7" w:rsidRDefault="00F33D6C">
      <w:pPr>
        <w:pStyle w:val="BTEMEASMCA"/>
        <w:ind w:right="333"/>
      </w:pPr>
    </w:p>
    <w:p w:rsidR="00F33D6C" w:rsidRPr="002541C7" w:rsidRDefault="00F33D6C">
      <w:pPr>
        <w:pStyle w:val="BTbEMEASMCA"/>
        <w:ind w:right="333"/>
      </w:pPr>
      <w:r w:rsidRPr="002541C7">
        <w:t xml:space="preserve">Šis pakuotės lapelis paskutinį kartą peržiūrėtas  </w:t>
      </w:r>
      <w:r w:rsidR="00586C17">
        <w:t>201</w:t>
      </w:r>
      <w:r w:rsidR="00E21CDE">
        <w:t>6</w:t>
      </w:r>
      <w:r w:rsidR="00586C17">
        <w:t>-0</w:t>
      </w:r>
      <w:r w:rsidR="00E21CDE">
        <w:t>6</w:t>
      </w:r>
      <w:r w:rsidR="00586C17">
        <w:t>-0</w:t>
      </w:r>
      <w:r w:rsidR="00E21CDE">
        <w:t>6</w:t>
      </w:r>
    </w:p>
    <w:p w:rsidR="00F33D6C" w:rsidRPr="002541C7" w:rsidRDefault="00F33D6C">
      <w:pPr>
        <w:ind w:right="333"/>
        <w:rPr>
          <w:sz w:val="22"/>
          <w:szCs w:val="22"/>
        </w:rPr>
      </w:pPr>
    </w:p>
    <w:p w:rsidR="00F33D6C" w:rsidRPr="002541C7" w:rsidRDefault="00F33D6C">
      <w:pPr>
        <w:ind w:right="333"/>
        <w:rPr>
          <w:sz w:val="22"/>
          <w:szCs w:val="22"/>
        </w:rPr>
      </w:pPr>
    </w:p>
    <w:p w:rsidR="00F33D6C" w:rsidRPr="002541C7" w:rsidRDefault="00F33D6C" w:rsidP="00B92FB0">
      <w:pPr>
        <w:pStyle w:val="Paprastasistekstas"/>
        <w:tabs>
          <w:tab w:val="left" w:pos="5954"/>
          <w:tab w:val="left" w:pos="6237"/>
          <w:tab w:val="left" w:pos="6663"/>
          <w:tab w:val="left" w:pos="6946"/>
        </w:tabs>
        <w:rPr>
          <w:rFonts w:ascii="Times New Roman" w:hAnsi="Times New Roman"/>
          <w:sz w:val="22"/>
          <w:szCs w:val="22"/>
          <w:lang w:val="lt-LT"/>
        </w:rPr>
      </w:pPr>
      <w:r w:rsidRPr="002541C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541C7">
        <w:rPr>
          <w:rFonts w:ascii="Times New Roman" w:hAnsi="Times New Roman"/>
          <w:i/>
          <w:noProof/>
          <w:sz w:val="22"/>
          <w:szCs w:val="22"/>
          <w:lang w:val="lt-LT"/>
        </w:rPr>
        <w:t xml:space="preserve"> </w:t>
      </w:r>
      <w:hyperlink r:id="rId13" w:history="1">
        <w:r w:rsidRPr="002541C7">
          <w:rPr>
            <w:rStyle w:val="Hipersaitas"/>
            <w:noProof/>
            <w:sz w:val="22"/>
            <w:szCs w:val="22"/>
            <w:lang w:val="lt-LT"/>
          </w:rPr>
          <w:t>http://www.</w:t>
        </w:r>
        <w:r w:rsidRPr="002541C7">
          <w:rPr>
            <w:rStyle w:val="Hipersaitas"/>
            <w:sz w:val="22"/>
            <w:szCs w:val="22"/>
            <w:lang w:val="lt-LT"/>
          </w:rPr>
          <w:t>vvkt.lt</w:t>
        </w:r>
      </w:hyperlink>
    </w:p>
    <w:p w:rsidR="00F33D6C" w:rsidRPr="002541C7" w:rsidRDefault="00F33D6C" w:rsidP="00B92FB0">
      <w:pPr>
        <w:pStyle w:val="Paprastasistekstas"/>
        <w:tabs>
          <w:tab w:val="left" w:pos="5954"/>
          <w:tab w:val="left" w:pos="6237"/>
          <w:tab w:val="left" w:pos="6663"/>
          <w:tab w:val="left" w:pos="6946"/>
        </w:tabs>
        <w:jc w:val="center"/>
        <w:rPr>
          <w:rFonts w:ascii="Times New Roman" w:hAnsi="Times New Roman"/>
          <w:sz w:val="22"/>
          <w:szCs w:val="22"/>
          <w:lang w:val="lt-LT"/>
        </w:rPr>
      </w:pPr>
    </w:p>
    <w:p w:rsidR="00F33D6C" w:rsidRPr="002541C7" w:rsidRDefault="00F33D6C">
      <w:pPr>
        <w:pStyle w:val="BTEMEASMCA"/>
        <w:ind w:right="333"/>
      </w:pPr>
      <w:bookmarkStart w:id="84" w:name="_GoBack"/>
      <w:bookmarkEnd w:id="84"/>
      <w:permStart w:id="425205989" w:edGrp="everyone"/>
      <w:permEnd w:id="425205989"/>
    </w:p>
    <w:p w:rsidR="00F33D6C" w:rsidRPr="002541C7" w:rsidRDefault="00F33D6C">
      <w:pPr>
        <w:pStyle w:val="BTEMEASMCA"/>
        <w:ind w:right="333"/>
      </w:pPr>
    </w:p>
    <w:p w:rsidR="00F33D6C" w:rsidRPr="002541C7" w:rsidRDefault="00F33D6C">
      <w:pPr>
        <w:ind w:right="333"/>
        <w:rPr>
          <w:sz w:val="22"/>
          <w:szCs w:val="22"/>
        </w:rPr>
      </w:pPr>
    </w:p>
    <w:p w:rsidR="00F33D6C" w:rsidRPr="002541C7" w:rsidRDefault="00F33D6C">
      <w:pPr>
        <w:ind w:right="333"/>
        <w:rPr>
          <w:sz w:val="22"/>
          <w:szCs w:val="22"/>
        </w:rPr>
      </w:pPr>
    </w:p>
    <w:p w:rsidR="00F33D6C" w:rsidRPr="002541C7" w:rsidRDefault="00F33D6C">
      <w:pPr>
        <w:ind w:right="333"/>
        <w:rPr>
          <w:sz w:val="22"/>
          <w:szCs w:val="22"/>
        </w:rPr>
      </w:pPr>
    </w:p>
    <w:sectPr w:rsidR="00F33D6C" w:rsidRPr="002541C7" w:rsidSect="002541C7">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6E2" w:rsidRDefault="009D66E2" w:rsidP="004F3E11">
      <w:r>
        <w:separator/>
      </w:r>
    </w:p>
  </w:endnote>
  <w:endnote w:type="continuationSeparator" w:id="0">
    <w:p w:rsidR="009D66E2" w:rsidRDefault="009D66E2" w:rsidP="004F3E11">
      <w:r>
        <w:continuationSeparator/>
      </w:r>
    </w:p>
  </w:endnote>
  <w:endnote w:type="continuationNotice" w:id="1">
    <w:p w:rsidR="009D66E2" w:rsidRDefault="009D6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6E2" w:rsidRDefault="009D66E2" w:rsidP="004F3E11">
      <w:r>
        <w:separator/>
      </w:r>
    </w:p>
  </w:footnote>
  <w:footnote w:type="continuationSeparator" w:id="0">
    <w:p w:rsidR="009D66E2" w:rsidRDefault="009D66E2" w:rsidP="004F3E11">
      <w:r>
        <w:continuationSeparator/>
      </w:r>
    </w:p>
  </w:footnote>
  <w:footnote w:type="continuationNotice" w:id="1">
    <w:p w:rsidR="009D66E2" w:rsidRDefault="009D66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87DB9"/>
    <w:multiLevelType w:val="hybridMultilevel"/>
    <w:tmpl w:val="7A625D28"/>
    <w:lvl w:ilvl="0" w:tplc="3B7C8AB0">
      <w:start w:val="1"/>
      <w:numFmt w:val="bullet"/>
      <w:lvlText w:val=""/>
      <w:lvlJc w:val="left"/>
      <w:pPr>
        <w:tabs>
          <w:tab w:val="num" w:pos="720"/>
        </w:tabs>
        <w:ind w:left="720" w:hanging="72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46C7B"/>
    <w:multiLevelType w:val="hybridMultilevel"/>
    <w:tmpl w:val="0FD82C34"/>
    <w:lvl w:ilvl="0" w:tplc="19D69E5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7F200F"/>
    <w:multiLevelType w:val="hybridMultilevel"/>
    <w:tmpl w:val="C9C422A0"/>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44C99"/>
    <w:multiLevelType w:val="hybridMultilevel"/>
    <w:tmpl w:val="77FC7D64"/>
    <w:lvl w:ilvl="0" w:tplc="53ECEA7E">
      <w:numFmt w:val="bullet"/>
      <w:lvlText w:val="-"/>
      <w:lvlJc w:val="left"/>
      <w:pPr>
        <w:tabs>
          <w:tab w:val="num" w:pos="1080"/>
        </w:tabs>
        <w:ind w:left="1080" w:hanging="723"/>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2"/>
  </w:num>
  <w:num w:numId="2">
    <w:abstractNumId w:val="2"/>
  </w:num>
  <w:num w:numId="3">
    <w:abstractNumId w:val="4"/>
  </w:num>
  <w:num w:numId="4">
    <w:abstractNumId w:val="4"/>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5"/>
  </w:num>
  <w:num w:numId="10">
    <w:abstractNumId w:val="5"/>
  </w:num>
  <w:num w:numId="11">
    <w:abstractNumId w:val="1"/>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0NiIfnmg7b5vwzvRKBzEVFuedjU5IO6gD4/PYR35zC35m3UOGfOWNELthniFEhoZi0t50y80SNztryXVAicBPw==" w:salt="JyqZ3WMHFBwb2iXI4gYaz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93"/>
    <w:rsid w:val="00003ACB"/>
    <w:rsid w:val="00004809"/>
    <w:rsid w:val="000172BD"/>
    <w:rsid w:val="00041346"/>
    <w:rsid w:val="00057DF3"/>
    <w:rsid w:val="00067BBC"/>
    <w:rsid w:val="000C5EBC"/>
    <w:rsid w:val="000F30D1"/>
    <w:rsid w:val="000F5649"/>
    <w:rsid w:val="0011105B"/>
    <w:rsid w:val="001378F7"/>
    <w:rsid w:val="00174A79"/>
    <w:rsid w:val="001C60A3"/>
    <w:rsid w:val="001C667C"/>
    <w:rsid w:val="001E44BD"/>
    <w:rsid w:val="002203F6"/>
    <w:rsid w:val="00223579"/>
    <w:rsid w:val="002541C7"/>
    <w:rsid w:val="00290487"/>
    <w:rsid w:val="00296FC0"/>
    <w:rsid w:val="002A4ADD"/>
    <w:rsid w:val="002F361B"/>
    <w:rsid w:val="002F5A88"/>
    <w:rsid w:val="002F63F0"/>
    <w:rsid w:val="00311FEF"/>
    <w:rsid w:val="0035060A"/>
    <w:rsid w:val="00365B58"/>
    <w:rsid w:val="003D6B5A"/>
    <w:rsid w:val="003F454F"/>
    <w:rsid w:val="00407294"/>
    <w:rsid w:val="00432743"/>
    <w:rsid w:val="00440563"/>
    <w:rsid w:val="0048248D"/>
    <w:rsid w:val="004F0872"/>
    <w:rsid w:val="004F35E3"/>
    <w:rsid w:val="004F3E11"/>
    <w:rsid w:val="00557DCB"/>
    <w:rsid w:val="00586063"/>
    <w:rsid w:val="00586C17"/>
    <w:rsid w:val="0059388C"/>
    <w:rsid w:val="005B2290"/>
    <w:rsid w:val="0060065C"/>
    <w:rsid w:val="00601D0D"/>
    <w:rsid w:val="00651787"/>
    <w:rsid w:val="00652438"/>
    <w:rsid w:val="006C27D4"/>
    <w:rsid w:val="006E3F92"/>
    <w:rsid w:val="00715CDE"/>
    <w:rsid w:val="007224FD"/>
    <w:rsid w:val="00722BC7"/>
    <w:rsid w:val="007304A2"/>
    <w:rsid w:val="007A3EB1"/>
    <w:rsid w:val="007B37F0"/>
    <w:rsid w:val="007B4270"/>
    <w:rsid w:val="007B4B18"/>
    <w:rsid w:val="007D4820"/>
    <w:rsid w:val="007F3B90"/>
    <w:rsid w:val="00815FA5"/>
    <w:rsid w:val="00824B80"/>
    <w:rsid w:val="00836E08"/>
    <w:rsid w:val="00840DB5"/>
    <w:rsid w:val="00852261"/>
    <w:rsid w:val="00884493"/>
    <w:rsid w:val="0095183C"/>
    <w:rsid w:val="00975DE2"/>
    <w:rsid w:val="009B52F8"/>
    <w:rsid w:val="009D66E2"/>
    <w:rsid w:val="009E5D28"/>
    <w:rsid w:val="00A12E51"/>
    <w:rsid w:val="00A166C4"/>
    <w:rsid w:val="00A27B98"/>
    <w:rsid w:val="00A41727"/>
    <w:rsid w:val="00A60B0A"/>
    <w:rsid w:val="00A61555"/>
    <w:rsid w:val="00AC28E4"/>
    <w:rsid w:val="00AC468D"/>
    <w:rsid w:val="00B34FA1"/>
    <w:rsid w:val="00B3655B"/>
    <w:rsid w:val="00B51C50"/>
    <w:rsid w:val="00B77973"/>
    <w:rsid w:val="00B92FB0"/>
    <w:rsid w:val="00C25BBD"/>
    <w:rsid w:val="00C27993"/>
    <w:rsid w:val="00C5184A"/>
    <w:rsid w:val="00C71C9E"/>
    <w:rsid w:val="00D8442F"/>
    <w:rsid w:val="00DB12E9"/>
    <w:rsid w:val="00DB1B0A"/>
    <w:rsid w:val="00DD0CE2"/>
    <w:rsid w:val="00DF7987"/>
    <w:rsid w:val="00E078A0"/>
    <w:rsid w:val="00E21CDE"/>
    <w:rsid w:val="00E34D44"/>
    <w:rsid w:val="00E35FA1"/>
    <w:rsid w:val="00E46B32"/>
    <w:rsid w:val="00E6168A"/>
    <w:rsid w:val="00E65002"/>
    <w:rsid w:val="00E73473"/>
    <w:rsid w:val="00EA33EB"/>
    <w:rsid w:val="00F33D6C"/>
    <w:rsid w:val="00F84547"/>
    <w:rsid w:val="00F907B3"/>
    <w:rsid w:val="00FD5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AE0C83C-7528-4094-A103-1419C274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2290"/>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5B2290"/>
    <w:pPr>
      <w:keepNext/>
      <w:keepLines/>
      <w:spacing w:before="480"/>
      <w:outlineLvl w:val="0"/>
    </w:pPr>
    <w:rPr>
      <w:rFonts w:ascii="Cambria" w:eastAsia="Calibri" w:hAnsi="Cambria"/>
      <w:b/>
      <w:bCs/>
      <w:color w:val="365F91"/>
      <w:sz w:val="28"/>
      <w:szCs w:val="28"/>
    </w:rPr>
  </w:style>
  <w:style w:type="paragraph" w:styleId="Antrat2">
    <w:name w:val="heading 2"/>
    <w:basedOn w:val="prastasis"/>
    <w:next w:val="prastasis"/>
    <w:link w:val="Antrat2Diagrama"/>
    <w:qFormat/>
    <w:rsid w:val="005B2290"/>
    <w:pPr>
      <w:keepNext/>
      <w:keepLines/>
      <w:spacing w:before="200"/>
      <w:outlineLvl w:val="1"/>
    </w:pPr>
    <w:rPr>
      <w:rFonts w:ascii="Cambria" w:eastAsia="Calibri" w:hAnsi="Cambria"/>
      <w:b/>
      <w:bCs/>
      <w:color w:val="4F81BD"/>
      <w:sz w:val="26"/>
      <w:szCs w:val="26"/>
    </w:rPr>
  </w:style>
  <w:style w:type="paragraph" w:styleId="Antrat3">
    <w:name w:val="heading 3"/>
    <w:basedOn w:val="prastasis"/>
    <w:next w:val="prastasis"/>
    <w:link w:val="Antrat3Diagrama"/>
    <w:qFormat/>
    <w:rsid w:val="005B2290"/>
    <w:pPr>
      <w:keepNext/>
      <w:keepLines/>
      <w:spacing w:before="200"/>
      <w:outlineLvl w:val="2"/>
    </w:pPr>
    <w:rPr>
      <w:rFonts w:ascii="Cambria" w:eastAsia="Calibri" w:hAnsi="Cambria"/>
      <w:b/>
      <w:bCs/>
      <w:color w:val="4F81BD"/>
    </w:rPr>
  </w:style>
  <w:style w:type="paragraph" w:styleId="Antrat4">
    <w:name w:val="heading 4"/>
    <w:basedOn w:val="prastasis"/>
    <w:next w:val="prastasis"/>
    <w:link w:val="Antrat4Diagrama"/>
    <w:qFormat/>
    <w:rsid w:val="004F3E11"/>
    <w:pPr>
      <w:keepNext/>
      <w:spacing w:before="240" w:after="60"/>
      <w:outlineLvl w:val="3"/>
    </w:pPr>
    <w:rPr>
      <w:rFonts w:eastAsia="Calibri"/>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locked/>
    <w:rsid w:val="005B2290"/>
    <w:rPr>
      <w:rFonts w:ascii="Cambria" w:hAnsi="Cambria" w:cs="Times New Roman"/>
      <w:b/>
      <w:bCs/>
      <w:color w:val="365F91"/>
      <w:sz w:val="28"/>
      <w:szCs w:val="28"/>
      <w:lang w:val="lt-LT" w:eastAsia="x-none"/>
    </w:rPr>
  </w:style>
  <w:style w:type="character" w:customStyle="1" w:styleId="Antrat2Diagrama">
    <w:name w:val="Antraštė 2 Diagrama"/>
    <w:link w:val="Antrat2"/>
    <w:semiHidden/>
    <w:locked/>
    <w:rsid w:val="005B2290"/>
    <w:rPr>
      <w:rFonts w:ascii="Cambria" w:hAnsi="Cambria" w:cs="Times New Roman"/>
      <w:b/>
      <w:bCs/>
      <w:color w:val="4F81BD"/>
      <w:sz w:val="26"/>
      <w:szCs w:val="26"/>
      <w:lang w:val="lt-LT" w:eastAsia="x-none"/>
    </w:rPr>
  </w:style>
  <w:style w:type="character" w:customStyle="1" w:styleId="Antrat3Diagrama">
    <w:name w:val="Antraštė 3 Diagrama"/>
    <w:link w:val="Antrat3"/>
    <w:semiHidden/>
    <w:locked/>
    <w:rsid w:val="005B2290"/>
    <w:rPr>
      <w:rFonts w:ascii="Cambria" w:hAnsi="Cambria" w:cs="Times New Roman"/>
      <w:b/>
      <w:bCs/>
      <w:color w:val="4F81BD"/>
      <w:sz w:val="24"/>
      <w:szCs w:val="24"/>
      <w:lang w:val="lt-LT" w:eastAsia="x-none"/>
    </w:rPr>
  </w:style>
  <w:style w:type="character" w:customStyle="1" w:styleId="Antrat4Diagrama">
    <w:name w:val="Antraštė 4 Diagrama"/>
    <w:link w:val="Antrat4"/>
    <w:locked/>
    <w:rsid w:val="005B2290"/>
    <w:rPr>
      <w:rFonts w:ascii="Times New Roman" w:hAnsi="Times New Roman" w:cs="Times New Roman"/>
      <w:b/>
      <w:bCs/>
      <w:sz w:val="28"/>
      <w:szCs w:val="28"/>
      <w:lang w:val="lt-LT" w:eastAsia="x-none"/>
    </w:rPr>
  </w:style>
  <w:style w:type="character" w:styleId="Hipersaitas">
    <w:name w:val="Hyperlink"/>
    <w:rsid w:val="004F3E11"/>
    <w:rPr>
      <w:rFonts w:ascii="Times New Roman" w:hAnsi="Times New Roman" w:cs="Times New Roman"/>
      <w:color w:val="0000FF"/>
      <w:u w:val="single"/>
    </w:rPr>
  </w:style>
  <w:style w:type="paragraph" w:styleId="Antrats">
    <w:name w:val="header"/>
    <w:basedOn w:val="prastasis"/>
    <w:link w:val="AntratsDiagrama"/>
    <w:rsid w:val="004F3E11"/>
    <w:pPr>
      <w:tabs>
        <w:tab w:val="center" w:pos="4819"/>
        <w:tab w:val="right" w:pos="9638"/>
      </w:tabs>
    </w:pPr>
  </w:style>
  <w:style w:type="character" w:customStyle="1" w:styleId="AntratsDiagrama">
    <w:name w:val="Antraštės Diagrama"/>
    <w:link w:val="Antrats"/>
    <w:locked/>
    <w:rsid w:val="005B2290"/>
    <w:rPr>
      <w:rFonts w:ascii="Times New Roman" w:eastAsia="Times New Roman" w:hAnsi="Times New Roman" w:cs="Times New Roman"/>
      <w:sz w:val="24"/>
      <w:szCs w:val="24"/>
      <w:lang w:val="lt-LT" w:eastAsia="x-none"/>
    </w:rPr>
  </w:style>
  <w:style w:type="character" w:customStyle="1" w:styleId="PoratDiagrama">
    <w:name w:val="Poraštė Diagrama"/>
    <w:link w:val="Porat"/>
    <w:locked/>
    <w:rsid w:val="005B2290"/>
    <w:rPr>
      <w:rFonts w:ascii="Times New Roman" w:eastAsia="Times New Roman" w:hAnsi="Times New Roman" w:cs="Times New Roman"/>
      <w:sz w:val="24"/>
      <w:szCs w:val="24"/>
      <w:lang w:val="lt-LT" w:eastAsia="x-none"/>
    </w:rPr>
  </w:style>
  <w:style w:type="paragraph" w:styleId="Porat">
    <w:name w:val="footer"/>
    <w:basedOn w:val="prastasis"/>
    <w:link w:val="PoratDiagrama"/>
    <w:rsid w:val="004F3E11"/>
    <w:pPr>
      <w:tabs>
        <w:tab w:val="center" w:pos="4819"/>
        <w:tab w:val="right" w:pos="9638"/>
      </w:tabs>
    </w:pPr>
  </w:style>
  <w:style w:type="paragraph" w:styleId="Pavadinimas">
    <w:name w:val="Title"/>
    <w:basedOn w:val="prastasis"/>
    <w:link w:val="PavadinimasDiagrama"/>
    <w:autoRedefine/>
    <w:qFormat/>
    <w:rsid w:val="005B2290"/>
    <w:pPr>
      <w:jc w:val="center"/>
      <w:outlineLvl w:val="0"/>
    </w:pPr>
    <w:rPr>
      <w:b/>
      <w:bCs/>
      <w:kern w:val="28"/>
      <w:sz w:val="22"/>
      <w:szCs w:val="22"/>
      <w:lang w:eastAsia="lt-LT"/>
    </w:rPr>
  </w:style>
  <w:style w:type="character" w:customStyle="1" w:styleId="PavadinimasDiagrama">
    <w:name w:val="Pavadinimas Diagrama"/>
    <w:link w:val="Pavadinimas"/>
    <w:locked/>
    <w:rsid w:val="005B2290"/>
    <w:rPr>
      <w:rFonts w:ascii="Times New Roman" w:eastAsia="Times New Roman" w:hAnsi="Times New Roman" w:cs="Times New Roman"/>
      <w:b/>
      <w:bCs/>
      <w:kern w:val="28"/>
      <w:lang w:val="lt-LT" w:eastAsia="lt-LT"/>
    </w:rPr>
  </w:style>
  <w:style w:type="paragraph" w:styleId="Pagrindinistekstas">
    <w:name w:val="Body Text"/>
    <w:basedOn w:val="prastasis"/>
    <w:link w:val="PagrindinistekstasDiagrama"/>
    <w:rsid w:val="004F3E11"/>
    <w:pPr>
      <w:spacing w:line="360" w:lineRule="auto"/>
    </w:pPr>
    <w:rPr>
      <w:b/>
      <w:bCs/>
    </w:rPr>
  </w:style>
  <w:style w:type="character" w:customStyle="1" w:styleId="PagrindinistekstasDiagrama">
    <w:name w:val="Pagrindinis tekstas Diagrama"/>
    <w:link w:val="Pagrindinistekstas"/>
    <w:locked/>
    <w:rsid w:val="005B2290"/>
    <w:rPr>
      <w:rFonts w:ascii="Times New Roman" w:eastAsia="Times New Roman" w:hAnsi="Times New Roman" w:cs="Times New Roman"/>
      <w:b/>
      <w:bCs/>
      <w:sz w:val="24"/>
      <w:szCs w:val="24"/>
      <w:lang w:val="lt-LT" w:eastAsia="x-none"/>
    </w:rPr>
  </w:style>
  <w:style w:type="paragraph" w:styleId="Debesliotekstas">
    <w:name w:val="Balloon Text"/>
    <w:basedOn w:val="prastasis"/>
    <w:link w:val="DebesliotekstasDiagrama"/>
    <w:semiHidden/>
    <w:rsid w:val="005B2290"/>
    <w:rPr>
      <w:rFonts w:ascii="Tahoma" w:hAnsi="Tahoma" w:cs="Tahoma"/>
      <w:sz w:val="16"/>
      <w:szCs w:val="16"/>
    </w:rPr>
  </w:style>
  <w:style w:type="character" w:customStyle="1" w:styleId="DebesliotekstasDiagrama">
    <w:name w:val="Debesėlio tekstas Diagrama"/>
    <w:link w:val="Debesliotekstas"/>
    <w:semiHidden/>
    <w:locked/>
    <w:rsid w:val="005B2290"/>
    <w:rPr>
      <w:rFonts w:ascii="Tahoma" w:eastAsia="Times New Roman" w:hAnsi="Tahoma" w:cs="Tahoma"/>
      <w:sz w:val="16"/>
      <w:szCs w:val="16"/>
      <w:lang w:val="lt-LT" w:eastAsia="x-none"/>
    </w:rPr>
  </w:style>
  <w:style w:type="paragraph" w:customStyle="1" w:styleId="PI-1EMEASMCA">
    <w:name w:val="PI-1 EMEA_SMCA"/>
    <w:basedOn w:val="Antrat2"/>
    <w:autoRedefine/>
    <w:rsid w:val="005B2290"/>
    <w:pPr>
      <w:keepLines w:val="0"/>
      <w:tabs>
        <w:tab w:val="left" w:pos="567"/>
      </w:tabs>
      <w:spacing w:before="0"/>
      <w:ind w:left="567" w:hanging="567"/>
    </w:pPr>
    <w:rPr>
      <w:rFonts w:ascii="Times New Roman" w:eastAsia="Times New Roman" w:hAnsi="Times New Roman"/>
      <w:color w:val="auto"/>
      <w:sz w:val="22"/>
      <w:szCs w:val="22"/>
    </w:rPr>
  </w:style>
  <w:style w:type="character" w:customStyle="1" w:styleId="PI-1labEMEASMCAChar">
    <w:name w:val="PI-1_lab EMEA_SMCA Char"/>
    <w:link w:val="PI-1labEMEASMCA"/>
    <w:locked/>
    <w:rsid w:val="005B2290"/>
    <w:rPr>
      <w:rFonts w:ascii="Times New Roman" w:hAnsi="Times New Roman" w:cs="Times New Roman"/>
      <w:b/>
      <w:bCs/>
      <w:noProof/>
      <w:lang w:val="lt-LT"/>
    </w:rPr>
  </w:style>
  <w:style w:type="paragraph" w:customStyle="1" w:styleId="PI-1labEMEASMCA">
    <w:name w:val="PI-1_lab EMEA_SMCA"/>
    <w:basedOn w:val="prastasis"/>
    <w:link w:val="PI-1labEMEASMCAChar"/>
    <w:autoRedefine/>
    <w:rsid w:val="005B2290"/>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paragraph" w:customStyle="1" w:styleId="PI-2EMEASMCA">
    <w:name w:val="PI-2 EMEA_SMCA"/>
    <w:basedOn w:val="Antrat3"/>
    <w:autoRedefine/>
    <w:rsid w:val="005B2290"/>
    <w:pPr>
      <w:tabs>
        <w:tab w:val="left" w:pos="567"/>
      </w:tabs>
      <w:spacing w:before="0"/>
      <w:ind w:left="567" w:hanging="567"/>
    </w:pPr>
    <w:rPr>
      <w:rFonts w:ascii="Times New Roman" w:eastAsia="Times New Roman" w:hAnsi="Times New Roman"/>
      <w:color w:val="auto"/>
      <w:kern w:val="28"/>
      <w:sz w:val="22"/>
      <w:szCs w:val="22"/>
    </w:rPr>
  </w:style>
  <w:style w:type="character" w:customStyle="1" w:styleId="BTEMEASMCAChar">
    <w:name w:val="BT EMEA_SMCA Char"/>
    <w:link w:val="BTEMEASMCA"/>
    <w:locked/>
    <w:rsid w:val="005B2290"/>
    <w:rPr>
      <w:rFonts w:ascii="Times New Roman" w:hAnsi="Times New Roman" w:cs="Times New Roman"/>
      <w:noProof/>
      <w:lang w:val="pt-PT"/>
    </w:rPr>
  </w:style>
  <w:style w:type="paragraph" w:customStyle="1" w:styleId="BTEMEASMCA">
    <w:name w:val="BT EMEA_SMCA"/>
    <w:basedOn w:val="prastasis"/>
    <w:link w:val="BTEMEASMCAChar"/>
    <w:autoRedefine/>
    <w:rsid w:val="005B2290"/>
    <w:rPr>
      <w:noProof/>
      <w:sz w:val="22"/>
      <w:szCs w:val="22"/>
      <w:lang w:val="pt-PT"/>
    </w:rPr>
  </w:style>
  <w:style w:type="character" w:customStyle="1" w:styleId="TTEMEASMCAChar">
    <w:name w:val="TT EMEA_SMCA Char"/>
    <w:link w:val="TTEMEASMCA"/>
    <w:locked/>
    <w:rsid w:val="005B2290"/>
    <w:rPr>
      <w:rFonts w:ascii="Times New Roman" w:hAnsi="Times New Roman" w:cs="Times New Roman"/>
      <w:b/>
      <w:bCs/>
      <w:caps/>
      <w:lang w:val="lt-LT" w:eastAsia="x-none"/>
    </w:rPr>
  </w:style>
  <w:style w:type="paragraph" w:customStyle="1" w:styleId="TTEMEASMCA">
    <w:name w:val="TT EMEA_SMCA"/>
    <w:basedOn w:val="Antrat1"/>
    <w:link w:val="TTEMEASMCAChar"/>
    <w:autoRedefine/>
    <w:rsid w:val="005B2290"/>
    <w:pPr>
      <w:keepNext w:val="0"/>
      <w:keepLines w:val="0"/>
      <w:tabs>
        <w:tab w:val="left" w:pos="567"/>
      </w:tabs>
      <w:spacing w:before="0"/>
      <w:ind w:left="567" w:hanging="567"/>
      <w:jc w:val="center"/>
    </w:pPr>
    <w:rPr>
      <w:rFonts w:ascii="Times New Roman" w:eastAsia="Times New Roman" w:hAnsi="Times New Roman"/>
      <w:caps/>
      <w:color w:val="auto"/>
      <w:sz w:val="22"/>
      <w:szCs w:val="22"/>
    </w:rPr>
  </w:style>
  <w:style w:type="paragraph" w:customStyle="1" w:styleId="BT-EMEASMCA">
    <w:name w:val="BT- EMEA_SMCA"/>
    <w:basedOn w:val="BTEMEASMCA"/>
    <w:autoRedefine/>
    <w:rsid w:val="004F3E11"/>
    <w:pPr>
      <w:numPr>
        <w:numId w:val="1"/>
      </w:numPr>
    </w:pPr>
  </w:style>
  <w:style w:type="paragraph" w:customStyle="1" w:styleId="PI-3EMEASMCA">
    <w:name w:val="PI-3 EMEA_SMCA"/>
    <w:basedOn w:val="prastasis"/>
    <w:autoRedefine/>
    <w:rsid w:val="005B2290"/>
    <w:pPr>
      <w:spacing w:line="220" w:lineRule="exact"/>
    </w:pPr>
    <w:rPr>
      <w:b/>
      <w:bCs/>
      <w:sz w:val="22"/>
      <w:szCs w:val="22"/>
    </w:rPr>
  </w:style>
  <w:style w:type="paragraph" w:customStyle="1" w:styleId="BTbEMEASMCA">
    <w:name w:val="BT(b) EMEA_SMCA"/>
    <w:basedOn w:val="BTEMEASMCA"/>
    <w:autoRedefine/>
    <w:rsid w:val="005B2290"/>
    <w:rPr>
      <w:b/>
      <w:bCs/>
    </w:rPr>
  </w:style>
  <w:style w:type="paragraph" w:customStyle="1" w:styleId="BTAnIIEMEASMCA">
    <w:name w:val="BT(AnII) EMEA_SMCA"/>
    <w:basedOn w:val="Debesliotekstas"/>
    <w:autoRedefine/>
    <w:rsid w:val="005B2290"/>
    <w:pPr>
      <w:tabs>
        <w:tab w:val="left" w:pos="1701"/>
      </w:tabs>
      <w:ind w:left="1701" w:hanging="567"/>
    </w:pPr>
    <w:rPr>
      <w:rFonts w:ascii="Times New Roman" w:eastAsia="Calibri" w:hAnsi="Times New Roman" w:cs="Times New Roman"/>
      <w:b/>
      <w:bCs/>
      <w:sz w:val="22"/>
      <w:szCs w:val="22"/>
      <w:lang w:val="en-GB"/>
    </w:rPr>
  </w:style>
  <w:style w:type="paragraph" w:customStyle="1" w:styleId="BTuEMEASMCA">
    <w:name w:val="BT(u) EMEA_SMCA"/>
    <w:basedOn w:val="BTEMEASMCA"/>
    <w:autoRedefine/>
    <w:rsid w:val="005B2290"/>
    <w:rPr>
      <w:rFonts w:eastAsia="Calibri"/>
      <w:u w:val="single"/>
      <w:lang w:val="lt-LT"/>
    </w:rPr>
  </w:style>
  <w:style w:type="character" w:customStyle="1" w:styleId="hps">
    <w:name w:val="hps"/>
    <w:rsid w:val="005B2290"/>
    <w:rPr>
      <w:rFonts w:ascii="Times New Roman" w:hAnsi="Times New Roman" w:cs="Times New Roman"/>
    </w:rPr>
  </w:style>
  <w:style w:type="paragraph" w:customStyle="1" w:styleId="ListParagraph">
    <w:name w:val="List Paragraph"/>
    <w:basedOn w:val="prastasis"/>
    <w:rsid w:val="001378F7"/>
    <w:pPr>
      <w:ind w:left="720"/>
      <w:contextualSpacing/>
    </w:pPr>
    <w:rPr>
      <w:rFonts w:eastAsia="Calibri"/>
    </w:rPr>
  </w:style>
  <w:style w:type="character" w:styleId="Puslapionumeris">
    <w:name w:val="page number"/>
    <w:rsid w:val="004F3E11"/>
    <w:rPr>
      <w:rFonts w:cs="Times New Roman"/>
    </w:rPr>
  </w:style>
  <w:style w:type="character" w:styleId="Komentaronuoroda">
    <w:name w:val="annotation reference"/>
    <w:semiHidden/>
    <w:rsid w:val="00A60B0A"/>
    <w:rPr>
      <w:rFonts w:cs="Times New Roman"/>
      <w:sz w:val="16"/>
      <w:szCs w:val="16"/>
    </w:rPr>
  </w:style>
  <w:style w:type="paragraph" w:styleId="Komentarotekstas">
    <w:name w:val="annotation text"/>
    <w:basedOn w:val="prastasis"/>
    <w:link w:val="KomentarotekstasDiagrama"/>
    <w:semiHidden/>
    <w:rsid w:val="00A60B0A"/>
    <w:rPr>
      <w:sz w:val="20"/>
      <w:szCs w:val="20"/>
    </w:rPr>
  </w:style>
  <w:style w:type="character" w:customStyle="1" w:styleId="KomentarotekstasDiagrama">
    <w:name w:val="Komentaro tekstas Diagrama"/>
    <w:link w:val="Komentarotekstas"/>
    <w:semiHidden/>
    <w:locked/>
    <w:rsid w:val="00A60B0A"/>
    <w:rPr>
      <w:rFonts w:ascii="Times New Roman" w:eastAsia="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semiHidden/>
    <w:rsid w:val="00A60B0A"/>
    <w:rPr>
      <w:b/>
      <w:bCs/>
    </w:rPr>
  </w:style>
  <w:style w:type="character" w:customStyle="1" w:styleId="KomentarotemaDiagrama">
    <w:name w:val="Komentaro tema Diagrama"/>
    <w:link w:val="Komentarotema"/>
    <w:semiHidden/>
    <w:locked/>
    <w:rsid w:val="00A60B0A"/>
    <w:rPr>
      <w:rFonts w:ascii="Times New Roman" w:eastAsia="Times New Roman" w:hAnsi="Times New Roman" w:cs="Times New Roman"/>
      <w:b/>
      <w:bCs/>
      <w:sz w:val="20"/>
      <w:szCs w:val="20"/>
      <w:lang w:val="lt-LT" w:eastAsia="x-none"/>
    </w:rPr>
  </w:style>
  <w:style w:type="paragraph" w:customStyle="1" w:styleId="Revision">
    <w:name w:val="Revision"/>
    <w:hidden/>
    <w:semiHidden/>
    <w:rsid w:val="00DD0CE2"/>
    <w:rPr>
      <w:rFonts w:ascii="Times New Roman" w:eastAsia="Times New Roman" w:hAnsi="Times New Roman"/>
      <w:sz w:val="24"/>
      <w:szCs w:val="24"/>
      <w:lang w:eastAsia="en-US"/>
    </w:rPr>
  </w:style>
  <w:style w:type="paragraph" w:styleId="Paprastasistekstas">
    <w:name w:val="Plain Text"/>
    <w:basedOn w:val="prastasis"/>
    <w:link w:val="PaprastasistekstasDiagrama"/>
    <w:rsid w:val="00B92FB0"/>
    <w:rPr>
      <w:rFonts w:ascii="Courier New" w:eastAsia="SimSun" w:hAnsi="Courier New"/>
      <w:sz w:val="20"/>
      <w:szCs w:val="20"/>
      <w:lang w:val="en-US"/>
    </w:rPr>
  </w:style>
  <w:style w:type="character" w:customStyle="1" w:styleId="PaprastasistekstasDiagrama">
    <w:name w:val="Paprastasis tekstas Diagrama"/>
    <w:link w:val="Paprastasistekstas"/>
    <w:locked/>
    <w:rsid w:val="00B92FB0"/>
    <w:rPr>
      <w:rFonts w:ascii="Courier New" w:eastAsia="SimSu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info.baltics@ranbax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6016</Words>
  <Characters>44029</Characters>
  <Application>Microsoft Office Word</Application>
  <DocSecurity>8</DocSecurity>
  <Lines>366</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49946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5177400</vt:i4>
      </vt:variant>
      <vt:variant>
        <vt:i4>15</vt:i4>
      </vt:variant>
      <vt:variant>
        <vt:i4>0</vt:i4>
      </vt:variant>
      <vt:variant>
        <vt:i4>5</vt:i4>
      </vt:variant>
      <vt:variant>
        <vt:lpwstr>mailto:info.baltics@ranbaxy.com</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Rita.B</dc:creator>
  <cp:keywords/>
  <dc:description/>
  <cp:lastModifiedBy>Albina Burkauskaitė</cp:lastModifiedBy>
  <cp:revision>3</cp:revision>
  <dcterms:created xsi:type="dcterms:W3CDTF">2016-06-08T05:44:00Z</dcterms:created>
  <dcterms:modified xsi:type="dcterms:W3CDTF">2016-06-08T05:44:00Z</dcterms:modified>
</cp:coreProperties>
</file>