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9E" w:rsidRPr="00807CC4" w:rsidRDefault="0048779E" w:rsidP="0048779E">
      <w:pPr>
        <w:keepNext/>
        <w:tabs>
          <w:tab w:val="left" w:pos="567"/>
        </w:tabs>
        <w:jc w:val="center"/>
        <w:outlineLvl w:val="1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Pakuotės lapelis:</w:t>
      </w:r>
      <w:r w:rsidRPr="00807CC4">
        <w:rPr>
          <w:b/>
          <w:bCs/>
          <w:iCs/>
          <w:szCs w:val="22"/>
          <w:lang w:val="lt-LT"/>
        </w:rPr>
        <w:t xml:space="preserve"> </w:t>
      </w:r>
      <w:r w:rsidRPr="00807CC4">
        <w:rPr>
          <w:b/>
          <w:szCs w:val="22"/>
          <w:lang w:val="lt-LT"/>
        </w:rPr>
        <w:t>informacija vartotojui</w:t>
      </w:r>
    </w:p>
    <w:p w:rsidR="0048779E" w:rsidRPr="00807CC4" w:rsidRDefault="0048779E" w:rsidP="0048779E">
      <w:pPr>
        <w:numPr>
          <w:ilvl w:val="12"/>
          <w:numId w:val="0"/>
        </w:numPr>
        <w:shd w:val="clear" w:color="auto" w:fill="FFFFFF"/>
        <w:tabs>
          <w:tab w:val="left" w:pos="708"/>
        </w:tabs>
        <w:jc w:val="center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jc w:val="center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Linoseptic 1 mg/10 mg/g</w:t>
      </w:r>
      <w:r w:rsidRPr="00807CC4">
        <w:rPr>
          <w:szCs w:val="22"/>
          <w:lang w:val="lt-LT"/>
        </w:rPr>
        <w:t xml:space="preserve"> </w:t>
      </w:r>
      <w:r w:rsidRPr="00807CC4">
        <w:rPr>
          <w:b/>
          <w:szCs w:val="22"/>
          <w:lang w:val="lt-LT"/>
        </w:rPr>
        <w:t>gelis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jc w:val="center"/>
        <w:rPr>
          <w:szCs w:val="22"/>
          <w:lang w:val="lt-LT"/>
        </w:rPr>
      </w:pPr>
      <w:r w:rsidRPr="00807CC4">
        <w:rPr>
          <w:szCs w:val="22"/>
          <w:lang w:val="lt-LT"/>
        </w:rPr>
        <w:t>Oktenidino hidrochloridas / Fenoksietanolis</w:t>
      </w:r>
    </w:p>
    <w:p w:rsidR="0048779E" w:rsidRPr="00250EE2" w:rsidRDefault="0048779E" w:rsidP="0048779E">
      <w:p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tabs>
          <w:tab w:val="left" w:pos="708"/>
        </w:tabs>
        <w:suppressAutoHyphens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48779E" w:rsidRPr="00807CC4" w:rsidRDefault="0048779E" w:rsidP="0048779E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szCs w:val="22"/>
          <w:lang w:val="lt-LT"/>
        </w:rPr>
      </w:pPr>
      <w:r w:rsidRPr="00807CC4">
        <w:rPr>
          <w:noProof/>
          <w:szCs w:val="22"/>
          <w:lang w:val="lt-LT"/>
        </w:rPr>
        <w:t>Neišmeskite šio lapelio, nes vėl gali prireikti jį perskaityti.</w:t>
      </w:r>
      <w:r w:rsidRPr="00807CC4">
        <w:rPr>
          <w:szCs w:val="22"/>
          <w:lang w:val="lt-LT"/>
        </w:rPr>
        <w:t xml:space="preserve"> </w:t>
      </w:r>
    </w:p>
    <w:p w:rsidR="0048779E" w:rsidRPr="00807CC4" w:rsidRDefault="0048779E" w:rsidP="0048779E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Jeigu norite sužinoti daugiau arba pasitarti, kreipkitės į vaistininką.</w:t>
      </w:r>
    </w:p>
    <w:p w:rsidR="0048779E" w:rsidRPr="00807CC4" w:rsidRDefault="0048779E" w:rsidP="0048779E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48779E" w:rsidRPr="00807CC4" w:rsidRDefault="0048779E" w:rsidP="0048779E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Jeigu per 2 savaites Jūsų savijauta nepagerėjo arba net pablogėjo, kreipkitės į gydytoją.</w:t>
      </w:r>
    </w:p>
    <w:p w:rsidR="0048779E" w:rsidRPr="00807CC4" w:rsidRDefault="0048779E" w:rsidP="0048779E">
      <w:p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Apie ką rašoma šiame lapelyje?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1.</w:t>
      </w:r>
      <w:r w:rsidRPr="00807CC4">
        <w:rPr>
          <w:szCs w:val="22"/>
          <w:lang w:val="lt-LT"/>
        </w:rPr>
        <w:tab/>
        <w:t>Kas yra Linoseptic ir kam jis vartojamas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noProof/>
          <w:szCs w:val="22"/>
          <w:lang w:val="lt-LT"/>
        </w:rPr>
      </w:pPr>
      <w:r w:rsidRPr="00807CC4">
        <w:rPr>
          <w:szCs w:val="22"/>
          <w:lang w:val="lt-LT"/>
        </w:rPr>
        <w:t>2.</w:t>
      </w:r>
      <w:r w:rsidRPr="00807CC4">
        <w:rPr>
          <w:szCs w:val="22"/>
          <w:lang w:val="lt-LT"/>
        </w:rPr>
        <w:tab/>
      </w:r>
      <w:r w:rsidRPr="00807CC4">
        <w:rPr>
          <w:noProof/>
          <w:szCs w:val="22"/>
          <w:lang w:val="lt-LT"/>
        </w:rPr>
        <w:t>Kas žinotina prieš vartojant Linoseptic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3.</w:t>
      </w:r>
      <w:r w:rsidRPr="00807CC4">
        <w:rPr>
          <w:szCs w:val="22"/>
          <w:lang w:val="lt-LT"/>
        </w:rPr>
        <w:tab/>
      </w:r>
      <w:r w:rsidRPr="00807CC4">
        <w:rPr>
          <w:noProof/>
          <w:szCs w:val="22"/>
          <w:lang w:val="lt-LT"/>
        </w:rPr>
        <w:t xml:space="preserve">Kaip vartoti </w:t>
      </w:r>
      <w:r w:rsidRPr="00807CC4">
        <w:rPr>
          <w:szCs w:val="22"/>
          <w:lang w:val="lt-LT"/>
        </w:rPr>
        <w:t>Linoseptic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4.</w:t>
      </w:r>
      <w:r w:rsidRPr="00807CC4">
        <w:rPr>
          <w:szCs w:val="22"/>
          <w:lang w:val="lt-LT"/>
        </w:rPr>
        <w:tab/>
        <w:t xml:space="preserve">Galimas šalutinis poveikis 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5.</w:t>
      </w:r>
      <w:r w:rsidRPr="00807CC4">
        <w:rPr>
          <w:szCs w:val="22"/>
          <w:lang w:val="lt-LT"/>
        </w:rPr>
        <w:tab/>
        <w:t>Kaip laikyti Linoseptic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6.</w:t>
      </w:r>
      <w:r w:rsidRPr="00807CC4">
        <w:rPr>
          <w:szCs w:val="22"/>
          <w:lang w:val="lt-LT"/>
        </w:rPr>
        <w:tab/>
      </w:r>
      <w:r w:rsidRPr="00807CC4">
        <w:rPr>
          <w:noProof/>
          <w:szCs w:val="22"/>
          <w:lang w:val="lt-LT"/>
        </w:rPr>
        <w:t>Pakuotės turinys ir kita informacija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1.</w:t>
      </w:r>
      <w:r w:rsidRPr="00807CC4">
        <w:rPr>
          <w:b/>
          <w:noProof/>
          <w:szCs w:val="22"/>
          <w:lang w:val="lt-LT"/>
        </w:rPr>
        <w:tab/>
        <w:t>Kas yra Linoseptic ir kam jis vartojamas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Linoseptic sudėtyje yra veikliųjų medžiagų oktenidino hidrochlorido (antiseptiko bei dezinfekanto) ir fenoksietanolio (baktericido).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Jis naudojamas ant odos visų amžiaus grupių pacientų kartotiniam, trumpalaikiam</w:t>
      </w:r>
      <w:r>
        <w:rPr>
          <w:szCs w:val="22"/>
          <w:lang w:val="lt-LT"/>
        </w:rPr>
        <w:t>, pagalbiniam</w:t>
      </w:r>
      <w:r w:rsidRPr="00807CC4">
        <w:rPr>
          <w:szCs w:val="22"/>
          <w:lang w:val="lt-LT"/>
        </w:rPr>
        <w:t xml:space="preserve"> mažų, paviršinių žaizdų antiseptiniam gydymui.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2.</w:t>
      </w:r>
      <w:r w:rsidRPr="00807CC4">
        <w:rPr>
          <w:b/>
          <w:noProof/>
          <w:szCs w:val="22"/>
          <w:lang w:val="lt-LT"/>
        </w:rPr>
        <w:tab/>
        <w:t xml:space="preserve">Kas žinotina prieš vartojant Linoseptic </w:t>
      </w:r>
      <w:r w:rsidRPr="00807CC4">
        <w:rPr>
          <w:b/>
          <w:bCs/>
          <w:noProof/>
          <w:szCs w:val="22"/>
          <w:lang w:val="lt-LT"/>
        </w:rPr>
        <w:t xml:space="preserve"> 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Linoseptic vartoti negalima:</w:t>
      </w:r>
    </w:p>
    <w:p w:rsidR="0048779E" w:rsidRPr="00807CC4" w:rsidRDefault="0048779E" w:rsidP="0048779E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lt-LT"/>
        </w:rPr>
      </w:pPr>
      <w:r w:rsidRPr="00807CC4">
        <w:rPr>
          <w:szCs w:val="22"/>
          <w:lang w:val="lt-LT"/>
        </w:rPr>
        <w:t>jeigu yra alergija oktenidino hidrochloridui, fenoksietanoliui arba bet kuriai pagalbinei šio vaisto medžiagai (jos išvardytos 6 skyriuje);</w:t>
      </w:r>
    </w:p>
    <w:p w:rsidR="0048779E" w:rsidRPr="00807CC4" w:rsidRDefault="0048779E" w:rsidP="0048779E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lt-LT"/>
        </w:rPr>
      </w:pPr>
      <w:r w:rsidRPr="00807CC4">
        <w:rPr>
          <w:szCs w:val="22"/>
          <w:lang w:val="lt-LT"/>
        </w:rPr>
        <w:t>šio vaisto negalima naudoti  pilve (t.y. operacijos metu), į šlapimo pūslę ar ant ausies būgnelio.</w:t>
      </w:r>
    </w:p>
    <w:p w:rsidR="0048779E" w:rsidRPr="00807CC4" w:rsidRDefault="0048779E" w:rsidP="0048779E">
      <w:pPr>
        <w:widowControl w:val="0"/>
        <w:tabs>
          <w:tab w:val="left" w:pos="708"/>
        </w:tabs>
        <w:autoSpaceDE w:val="0"/>
        <w:autoSpaceDN w:val="0"/>
        <w:adjustRightInd w:val="0"/>
        <w:ind w:left="426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Įspėjimai ir atsargumo priemonės </w:t>
      </w:r>
    </w:p>
    <w:p w:rsidR="0048779E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0237F6">
        <w:rPr>
          <w:szCs w:val="22"/>
          <w:lang w:val="lt-LT"/>
        </w:rPr>
        <w:t>Pasitarkite su gydytoju arba vaistininku, prieš pradėdami vartoti Linoseptic.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Neleiskite Linoseptic liestis su anijoniniais tenzidais (muilu, valikliais).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Vaist</w:t>
      </w:r>
      <w:r>
        <w:rPr>
          <w:szCs w:val="22"/>
          <w:lang w:val="lt-LT"/>
        </w:rPr>
        <w:t>o</w:t>
      </w:r>
      <w:r w:rsidRPr="00807CC4">
        <w:rPr>
          <w:szCs w:val="22"/>
          <w:lang w:val="lt-LT"/>
        </w:rPr>
        <w:t xml:space="preserve"> nenurykite ar neleiskite, kad patektų į kraujotaką, t.y. netyčia nesuleiskite.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Siekiant išvengti audinių pažeidimo, reikia būti atsargiems naudojant šį vaistą ir užtikrinti, kad </w:t>
      </w:r>
      <w:r>
        <w:rPr>
          <w:szCs w:val="22"/>
          <w:lang w:val="lt-LT"/>
        </w:rPr>
        <w:t xml:space="preserve"> vaistas </w:t>
      </w:r>
      <w:r w:rsidRPr="00807CC4">
        <w:rPr>
          <w:szCs w:val="22"/>
          <w:lang w:val="lt-LT"/>
        </w:rPr>
        <w:t xml:space="preserve">nebūtų naudojamas spaudžiant ar suleidžiamas į audinius. 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Esant žaizdai su ertmėmis (didesnės, gilesnės žaizdos, kai trūksta dalies odos), turite užtikrinti, kad šis vaist</w:t>
      </w:r>
      <w:r>
        <w:rPr>
          <w:szCs w:val="22"/>
          <w:lang w:val="lt-LT"/>
        </w:rPr>
        <w:t>as</w:t>
      </w:r>
      <w:r w:rsidRPr="00807CC4">
        <w:rPr>
          <w:szCs w:val="22"/>
          <w:lang w:val="lt-LT"/>
        </w:rPr>
        <w:t xml:space="preserve"> būtų pašalintas iš žaizdos (t.y. drenu ar atvartu).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  <w:r w:rsidRPr="003A15C2">
        <w:rPr>
          <w:lang w:val="lt-LT"/>
        </w:rPr>
        <w:t>Reikia vengti Linoseptic vartoti į ak</w:t>
      </w:r>
      <w:r>
        <w:rPr>
          <w:lang w:val="lt-LT"/>
        </w:rPr>
        <w:t>is</w:t>
      </w:r>
      <w:r w:rsidRPr="003A15C2">
        <w:rPr>
          <w:lang w:val="lt-LT"/>
        </w:rPr>
        <w:t>. Patekus į akis, nedelsdami gerai praskalaukite vandeniu.</w:t>
      </w:r>
    </w:p>
    <w:p w:rsidR="0048779E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Vaikams </w:t>
      </w:r>
    </w:p>
    <w:p w:rsidR="0048779E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3A15C2">
        <w:rPr>
          <w:lang w:val="lt-LT"/>
        </w:rPr>
        <w:t>Naujagimiams, ypač neišnešiotiems, vartokite atsargiai. Linoseptic gali sukelti sunkių odos pažeidimų. Pašalinkite vaist</w:t>
      </w:r>
      <w:r>
        <w:rPr>
          <w:lang w:val="lt-LT"/>
        </w:rPr>
        <w:t>o</w:t>
      </w:r>
      <w:r w:rsidRPr="003A15C2">
        <w:rPr>
          <w:lang w:val="lt-LT"/>
        </w:rPr>
        <w:t xml:space="preserve"> perteklių ir užtikrinkite, </w:t>
      </w:r>
      <w:r>
        <w:rPr>
          <w:lang w:val="lt-LT"/>
        </w:rPr>
        <w:t>kad gelio</w:t>
      </w:r>
      <w:r w:rsidRPr="003A15C2">
        <w:rPr>
          <w:lang w:val="lt-LT"/>
        </w:rPr>
        <w:t xml:space="preserve"> neliktų ant odos ilgiau nei reikia (įskaitant medžiagas, tiesiogiai besiliečiančias su p</w:t>
      </w:r>
      <w:r>
        <w:rPr>
          <w:lang w:val="lt-LT"/>
        </w:rPr>
        <w:t>acientu, ant kurių gali būti gelio</w:t>
      </w:r>
      <w:r w:rsidRPr="003A15C2">
        <w:rPr>
          <w:lang w:val="lt-LT"/>
        </w:rPr>
        <w:t>).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lastRenderedPageBreak/>
        <w:t>Linoseptic vaikams galima vartoti tik kelias dienas.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b/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Kiti vaistai ir Linoseptic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Jeigu vartojate ar neseniai vartojote kitų vaistų, įskaitant įsigytus be recepto, pasakykite gydytojui arba vaistininkui.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Nenaudokite šio vaisto ant odos sričių kartu su </w:t>
      </w:r>
      <w:r w:rsidRPr="00807CC4">
        <w:rPr>
          <w:b/>
          <w:szCs w:val="22"/>
          <w:lang w:val="lt-LT"/>
        </w:rPr>
        <w:t>dezinfekantais (antiseptikais) PVP jodo pagrindu</w:t>
      </w:r>
      <w:r w:rsidRPr="00807CC4">
        <w:rPr>
          <w:szCs w:val="22"/>
          <w:lang w:val="lt-LT"/>
        </w:rPr>
        <w:t>, nes tai gali nudažyti jūsų odą ryškiai ruda ar violetine spalva.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Nėštumas ir žindymo laikotarpis 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07CC4">
        <w:rPr>
          <w:szCs w:val="22"/>
          <w:u w:val="single"/>
          <w:lang w:val="lt-LT"/>
        </w:rPr>
        <w:t>Nėštumas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Linoseptic negalima vartoti nėštumo metu.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07CC4">
        <w:rPr>
          <w:szCs w:val="22"/>
          <w:u w:val="single"/>
          <w:lang w:val="lt-LT"/>
        </w:rPr>
        <w:t>Žindymas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Mažai tikėtina, kad šis vaistas išsiskirs į motinos pieną.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Linoseptic negalima naudoti žindančios moters krūtų srityje.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Vairavimas ir mechanizmų valdymas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Linoseptic gebėjimo vairuoti ir valdyti mechanizmus neveikia arba veikia nereikšmingai.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Linoseptic sudėtyje yra butilhidroksitolueno</w:t>
      </w:r>
      <w:r>
        <w:rPr>
          <w:b/>
          <w:noProof/>
          <w:szCs w:val="22"/>
          <w:lang w:val="lt-LT"/>
        </w:rPr>
        <w:t xml:space="preserve"> </w:t>
      </w:r>
      <w:r w:rsidRPr="0001412F">
        <w:rPr>
          <w:b/>
          <w:noProof/>
          <w:szCs w:val="22"/>
          <w:lang w:val="lt-LT"/>
        </w:rPr>
        <w:t>ir alkoholio (etanolio)</w:t>
      </w:r>
    </w:p>
    <w:p w:rsidR="0048779E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Butilhidroksitoluen</w:t>
      </w:r>
      <w:r>
        <w:rPr>
          <w:szCs w:val="22"/>
          <w:lang w:val="lt-LT"/>
        </w:rPr>
        <w:t>as</w:t>
      </w:r>
      <w:r w:rsidRPr="00807CC4">
        <w:rPr>
          <w:szCs w:val="22"/>
          <w:lang w:val="lt-LT"/>
        </w:rPr>
        <w:t xml:space="preserve"> gali sukelti vietin</w:t>
      </w:r>
      <w:r>
        <w:rPr>
          <w:szCs w:val="22"/>
          <w:lang w:val="lt-LT"/>
        </w:rPr>
        <w:t>ių</w:t>
      </w:r>
      <w:r w:rsidRPr="00807CC4">
        <w:rPr>
          <w:szCs w:val="22"/>
          <w:lang w:val="lt-LT"/>
        </w:rPr>
        <w:t xml:space="preserve"> odos reakcij</w:t>
      </w:r>
      <w:r>
        <w:rPr>
          <w:szCs w:val="22"/>
          <w:lang w:val="lt-LT"/>
        </w:rPr>
        <w:t>ų</w:t>
      </w:r>
      <w:r w:rsidRPr="00807CC4">
        <w:rPr>
          <w:szCs w:val="22"/>
          <w:lang w:val="lt-LT"/>
        </w:rPr>
        <w:t xml:space="preserve"> (pvz., kontaktinį dermatitą) ar </w:t>
      </w:r>
      <w:r>
        <w:rPr>
          <w:szCs w:val="22"/>
          <w:lang w:val="lt-LT"/>
        </w:rPr>
        <w:t>su</w:t>
      </w:r>
      <w:r w:rsidRPr="00807CC4">
        <w:rPr>
          <w:szCs w:val="22"/>
          <w:lang w:val="lt-LT"/>
        </w:rPr>
        <w:t>dirginti akis ir gleivin</w:t>
      </w:r>
      <w:r>
        <w:rPr>
          <w:szCs w:val="22"/>
          <w:lang w:val="lt-LT"/>
        </w:rPr>
        <w:t>ę</w:t>
      </w:r>
      <w:r w:rsidRPr="00807CC4">
        <w:rPr>
          <w:szCs w:val="22"/>
          <w:lang w:val="lt-LT"/>
        </w:rPr>
        <w:t>.</w:t>
      </w:r>
    </w:p>
    <w:p w:rsidR="0048779E" w:rsidRPr="00807CC4" w:rsidRDefault="0048779E" w:rsidP="0048779E">
      <w:pPr>
        <w:rPr>
          <w:szCs w:val="22"/>
          <w:lang w:val="lt-LT"/>
        </w:rPr>
      </w:pPr>
      <w:r>
        <w:rPr>
          <w:szCs w:val="22"/>
          <w:lang w:val="lt-LT"/>
        </w:rPr>
        <w:t>1 g šio vaisto yra 93,8 mg alkoholio (etanolio). Ant pažeistos odos plotų etanolis gali sukelti deginimo pojūtį.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3.</w:t>
      </w:r>
      <w:r w:rsidRPr="00807CC4">
        <w:rPr>
          <w:b/>
          <w:szCs w:val="22"/>
          <w:lang w:val="lt-LT"/>
        </w:rPr>
        <w:tab/>
        <w:t>Kaip vartoti Linoseptic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Visada vartokite Linoseptic tiksliai kaip aprašyta šiame lapelyje arba kaip nurodė gydytojas arba vaistininkas. Jeigu abejojate, kreipkitės į gydytoją arba vaistininką.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Šis vaist</w:t>
      </w:r>
      <w:r>
        <w:rPr>
          <w:szCs w:val="22"/>
          <w:lang w:val="lt-LT"/>
        </w:rPr>
        <w:t>as</w:t>
      </w:r>
      <w:r w:rsidRPr="00807CC4">
        <w:rPr>
          <w:szCs w:val="22"/>
          <w:lang w:val="lt-LT"/>
        </w:rPr>
        <w:t xml:space="preserve"> skirtas naudoti tik ant odos. Vaistą kruopščiai naudokite ant gydomos srities, kol žaizda bus visiškai uždengta.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Prieš imdamiesi tolesnių priemonių, pvz., prieš uždėdami žaizdos tvarstį, palaukite mažiausiai 1–2 minutes.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Kad šis vaistas būtų veiksmingas, turite kruopščiai laikytis šių nurodymų.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Nepasitarę su gydytoju, nenaudokite šio vaisto ilgiau nei 2 savaites. 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Vartojimas vaikams 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Kadangi vartojamas vietiškai, Linoseptic vartojamas taip pat suaugusiems ir vaikams. Iki 6 metų amžiaus vaikams vartojimą reikia riboti iki kelių dienų.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Ką daryti pavartojus per didelę Linoseptic dozę?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Šio vietiškai vartojamo vaisto perdozavimas yra labai mažai tikėtinas. Tačiau jeigu jums kelia nerimą, pasitarkite su gydytoju ar vaistininku.</w:t>
      </w:r>
    </w:p>
    <w:p w:rsidR="0048779E" w:rsidRPr="00807CC4" w:rsidRDefault="0048779E" w:rsidP="0048779E">
      <w:pPr>
        <w:shd w:val="clear" w:color="auto" w:fill="FFFFFF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Jeigu netyčia prarysite Linoseptic, turite nedelsiant susisiekti su gydytoju patarimo. 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Pamiršus pavartoti Linoseptic 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Negalima vartoti dvigubos dozės norint kompensuoti praleistą dozę.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Jeigu kiltų daugiau klausimų dėl šio vaisto vartojimo, kreipkitės į gydytoją arba vaistininką.</w:t>
      </w:r>
    </w:p>
    <w:p w:rsidR="0048779E" w:rsidRDefault="0048779E" w:rsidP="0048779E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4.</w:t>
      </w:r>
      <w:r w:rsidRPr="00807CC4">
        <w:rPr>
          <w:b/>
          <w:szCs w:val="22"/>
          <w:lang w:val="lt-LT"/>
        </w:rPr>
        <w:tab/>
        <w:t>Galimas šalutinis poveikis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Šis vaistas, kaip ir visi kiti, gali sukelti šalutinį poveikį, nors jis pasireiškia ne visiems žmonėms.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i/>
          <w:szCs w:val="22"/>
          <w:lang w:val="lt-LT"/>
        </w:rPr>
      </w:pPr>
      <w:r w:rsidRPr="00807CC4">
        <w:rPr>
          <w:i/>
          <w:szCs w:val="22"/>
          <w:lang w:val="lt-LT"/>
        </w:rPr>
        <w:t>Ret</w:t>
      </w:r>
      <w:r>
        <w:rPr>
          <w:i/>
          <w:szCs w:val="22"/>
          <w:lang w:val="lt-LT"/>
        </w:rPr>
        <w:t>as</w:t>
      </w:r>
      <w:r w:rsidRPr="00807CC4">
        <w:rPr>
          <w:i/>
          <w:szCs w:val="22"/>
          <w:lang w:val="lt-LT"/>
        </w:rPr>
        <w:t xml:space="preserve"> (gali pasireikšti </w:t>
      </w:r>
      <w:r>
        <w:rPr>
          <w:i/>
          <w:szCs w:val="22"/>
          <w:lang w:val="lt-LT"/>
        </w:rPr>
        <w:t xml:space="preserve">rečiau kaip </w:t>
      </w:r>
      <w:r w:rsidRPr="00807CC4">
        <w:rPr>
          <w:i/>
          <w:szCs w:val="22"/>
          <w:lang w:val="lt-LT"/>
        </w:rPr>
        <w:t>1 iš 1 000 žmonių):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retais atvejais vartojimo vietoje gali pasireikšti</w:t>
      </w:r>
      <w:r w:rsidRPr="00BF44E2">
        <w:rPr>
          <w:szCs w:val="22"/>
          <w:lang w:val="lt-LT"/>
        </w:rPr>
        <w:t xml:space="preserve"> </w:t>
      </w:r>
      <w:r w:rsidRPr="00807CC4">
        <w:rPr>
          <w:szCs w:val="22"/>
          <w:lang w:val="lt-LT"/>
        </w:rPr>
        <w:t>šilumos jausmas, deginimas, paraudimas ir niežėjimas.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C94998" w:rsidRDefault="0048779E" w:rsidP="0048779E">
      <w:pPr>
        <w:widowControl w:val="0"/>
        <w:autoSpaceDE w:val="0"/>
        <w:autoSpaceDN w:val="0"/>
        <w:adjustRightInd w:val="0"/>
        <w:rPr>
          <w:i/>
          <w:szCs w:val="22"/>
          <w:lang w:val="lt-LT"/>
        </w:rPr>
      </w:pPr>
      <w:r w:rsidRPr="00C94998">
        <w:rPr>
          <w:i/>
          <w:szCs w:val="22"/>
          <w:lang w:val="lt-LT"/>
        </w:rPr>
        <w:t>Labai retas (gali pasireikšti rečiau kaip 1 iš 10 000 žmonių):</w:t>
      </w:r>
    </w:p>
    <w:p w:rsidR="0048779E" w:rsidRPr="00C94998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C94998">
        <w:rPr>
          <w:szCs w:val="22"/>
          <w:lang w:val="lt-LT"/>
        </w:rPr>
        <w:t>galimos kontaktinės alerginės reakcijos, pvz., gydomos odos laikinas paraudimas.</w:t>
      </w:r>
    </w:p>
    <w:p w:rsidR="0048779E" w:rsidRPr="00C94998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C94998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C94998">
        <w:rPr>
          <w:szCs w:val="22"/>
          <w:lang w:val="lt-LT"/>
        </w:rPr>
        <w:t>Kai naudojamas burnai skalauti, Linoseptic sukelia laikiną kartumo skonį.</w:t>
      </w:r>
    </w:p>
    <w:p w:rsidR="0048779E" w:rsidRPr="00C94998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2624E8" w:rsidRDefault="0048779E" w:rsidP="0048779E">
      <w:pPr>
        <w:widowControl w:val="0"/>
        <w:autoSpaceDE w:val="0"/>
        <w:autoSpaceDN w:val="0"/>
        <w:adjustRightInd w:val="0"/>
        <w:rPr>
          <w:b/>
          <w:szCs w:val="22"/>
          <w:lang w:val="lt-LT"/>
        </w:rPr>
      </w:pPr>
      <w:r w:rsidRPr="002624E8">
        <w:rPr>
          <w:b/>
          <w:szCs w:val="22"/>
          <w:lang w:val="lt-LT"/>
        </w:rPr>
        <w:t>Pranešimas apie šalutinį poveikį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>
        <w:rPr>
          <w:snapToGrid w:val="0"/>
          <w:lang w:val="lt-LT"/>
        </w:rPr>
        <w:t xml:space="preserve">Jeigu pasireiškė šalutinis poveikis, įskaitant šiame lapelyje nenurodytą, pasakykite gydytojui arba vaistininkui. </w:t>
      </w:r>
      <w:r w:rsidRPr="00B5597E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5597E">
          <w:rPr>
            <w:color w:val="0000FF"/>
            <w:u w:val="single"/>
            <w:lang w:val="lt-LT"/>
          </w:rPr>
          <w:t>https://vapris.vvkt.lt/vvkt-web/public/nrv</w:t>
        </w:r>
      </w:hyperlink>
      <w:r w:rsidRPr="00B5597E">
        <w:rPr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B5597E">
          <w:rPr>
            <w:color w:val="0000FF"/>
            <w:u w:val="single"/>
            <w:lang w:val="lt-LT"/>
          </w:rPr>
          <w:t>https://www.vvkt.lt/index.php?4004286486</w:t>
        </w:r>
      </w:hyperlink>
      <w:r w:rsidRPr="00B5597E">
        <w:rPr>
          <w:lang w:val="lt-LT"/>
        </w:rPr>
        <w:t xml:space="preserve">, ir atsiunčiant elektroniniu paštu (adresu </w:t>
      </w:r>
      <w:hyperlink r:id="rId7" w:history="1">
        <w:r w:rsidRPr="00B5597E">
          <w:rPr>
            <w:color w:val="0000FF"/>
            <w:u w:val="single"/>
            <w:lang w:val="lt-LT"/>
          </w:rPr>
          <w:t>NepageidaujamaR@vvkt.lt</w:t>
        </w:r>
      </w:hyperlink>
      <w:r w:rsidRPr="00B5597E">
        <w:rPr>
          <w:lang w:val="lt-LT"/>
        </w:rPr>
        <w:t>) arba nemokamu telefonu 8 800 73 568</w:t>
      </w:r>
      <w:r>
        <w:rPr>
          <w:lang w:val="lt-LT"/>
        </w:rPr>
        <w:t xml:space="preserve">. </w:t>
      </w:r>
      <w:r>
        <w:rPr>
          <w:snapToGrid w:val="0"/>
          <w:lang w:val="lt-LT"/>
        </w:rPr>
        <w:t>Pranešdami apie šalutinį poveikį galite mums padėti gauti daugiau informacijos apie šio vaisto saugumą.</w:t>
      </w:r>
    </w:p>
    <w:p w:rsidR="0048779E" w:rsidRDefault="0048779E" w:rsidP="0048779E">
      <w:pPr>
        <w:ind w:right="-449"/>
        <w:rPr>
          <w:szCs w:val="22"/>
          <w:lang w:val="lt-LT"/>
        </w:rPr>
      </w:pPr>
    </w:p>
    <w:p w:rsidR="0048779E" w:rsidRPr="00807CC4" w:rsidRDefault="0048779E" w:rsidP="0048779E">
      <w:pPr>
        <w:ind w:right="-449"/>
        <w:rPr>
          <w:szCs w:val="22"/>
          <w:lang w:val="lt-LT"/>
        </w:rPr>
      </w:pPr>
    </w:p>
    <w:p w:rsidR="0048779E" w:rsidRPr="00807CC4" w:rsidRDefault="0048779E" w:rsidP="0048779E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5.</w:t>
      </w:r>
      <w:r w:rsidRPr="00807CC4">
        <w:rPr>
          <w:b/>
          <w:szCs w:val="22"/>
          <w:lang w:val="lt-LT"/>
        </w:rPr>
        <w:tab/>
        <w:t>Kaip laikyti Linoseptic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Šį vaistą laikykite vaikams nepastebimoje ir nepasiekiamoje vietoje.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Ant tūbelės ir dėžutės po „Tinka iki“ nurodytam tinkamumo laikui pasibaigus, šio vaisto vartoti negalima. Vaistas tinkamas vartoti iki paskutinės nurodyto mėnesio dienos.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b/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Šiam vaist</w:t>
      </w:r>
      <w:r>
        <w:rPr>
          <w:szCs w:val="22"/>
          <w:lang w:val="lt-LT"/>
        </w:rPr>
        <w:t>ui</w:t>
      </w:r>
      <w:r w:rsidRPr="00807CC4">
        <w:rPr>
          <w:szCs w:val="22"/>
          <w:lang w:val="lt-LT"/>
        </w:rPr>
        <w:t xml:space="preserve"> specialių laikymo sąlygų nereikia.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b/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b/>
          <w:szCs w:val="22"/>
          <w:lang w:val="lt-LT"/>
        </w:rPr>
        <w:t xml:space="preserve">Po pirmojo atidarymo: </w:t>
      </w:r>
      <w:r w:rsidRPr="00807CC4">
        <w:rPr>
          <w:szCs w:val="22"/>
          <w:lang w:val="lt-LT"/>
        </w:rPr>
        <w:t xml:space="preserve">laikyti ne aukštesnėje kaip </w:t>
      </w:r>
      <w:smartTag w:uri="urn:schemas-microsoft-com:office:smarttags" w:element="metricconverter">
        <w:smartTagPr>
          <w:attr w:name="ProductID" w:val="25 ﾰC"/>
        </w:smartTagPr>
        <w:r w:rsidRPr="00807CC4">
          <w:rPr>
            <w:szCs w:val="22"/>
            <w:lang w:val="lt-LT"/>
          </w:rPr>
          <w:t>25 °C</w:t>
        </w:r>
      </w:smartTag>
      <w:r w:rsidRPr="00807CC4">
        <w:rPr>
          <w:szCs w:val="22"/>
          <w:lang w:val="lt-LT"/>
        </w:rPr>
        <w:t xml:space="preserve"> temperatūroje.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Tinkamumo laikas po pirmojo atidarymo: </w:t>
      </w:r>
      <w:r>
        <w:rPr>
          <w:szCs w:val="22"/>
          <w:lang w:val="lt-LT"/>
        </w:rPr>
        <w:t>1</w:t>
      </w:r>
      <w:r w:rsidRPr="00807CC4">
        <w:rPr>
          <w:szCs w:val="22"/>
          <w:lang w:val="lt-LT"/>
        </w:rPr>
        <w:t xml:space="preserve"> m</w:t>
      </w:r>
      <w:r>
        <w:rPr>
          <w:szCs w:val="22"/>
          <w:lang w:val="lt-LT"/>
        </w:rPr>
        <w:t>et</w:t>
      </w:r>
      <w:r w:rsidRPr="00807CC4">
        <w:rPr>
          <w:szCs w:val="22"/>
          <w:lang w:val="lt-LT"/>
        </w:rPr>
        <w:t>ai.</w:t>
      </w: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noProof/>
          <w:szCs w:val="22"/>
          <w:lang w:val="lt-LT"/>
        </w:rPr>
      </w:pPr>
    </w:p>
    <w:p w:rsidR="0048779E" w:rsidRPr="00807CC4" w:rsidRDefault="0048779E" w:rsidP="0048779E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lt-LT"/>
        </w:rPr>
      </w:pPr>
    </w:p>
    <w:p w:rsidR="0048779E" w:rsidRPr="00807CC4" w:rsidRDefault="0048779E" w:rsidP="0048779E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6.</w:t>
      </w:r>
      <w:r w:rsidRPr="00807CC4">
        <w:rPr>
          <w:b/>
          <w:szCs w:val="22"/>
          <w:lang w:val="lt-LT"/>
        </w:rPr>
        <w:tab/>
        <w:t>Pakuotės turinys ir kita informacija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rPr>
          <w:b/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Linoseptic sudėtis </w:t>
      </w:r>
    </w:p>
    <w:p w:rsidR="0048779E" w:rsidRPr="00807CC4" w:rsidRDefault="0048779E" w:rsidP="0048779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en-GB"/>
        </w:rPr>
      </w:pPr>
      <w:r w:rsidRPr="00807CC4">
        <w:rPr>
          <w:szCs w:val="22"/>
          <w:lang w:val="lt-LT"/>
        </w:rPr>
        <w:t xml:space="preserve">Veikliosios medžiagos yra oktenidino hidrochloridas ir fenoksietanolis. </w:t>
      </w:r>
      <w:smartTag w:uri="urn:schemas-microsoft-com:office:smarttags" w:element="metricconverter">
        <w:smartTagPr>
          <w:attr w:name="ProductID" w:val="30ﾠg"/>
        </w:smartTagPr>
        <w:r w:rsidRPr="00807CC4">
          <w:rPr>
            <w:szCs w:val="22"/>
          </w:rPr>
          <w:t>1 g</w:t>
        </w:r>
      </w:smartTag>
      <w:r w:rsidRPr="00807CC4">
        <w:rPr>
          <w:szCs w:val="22"/>
        </w:rPr>
        <w:t xml:space="preserve"> gelio yra 1 mg oktenidino hidrochlorido ir 10 mg fenoksietanolio.</w:t>
      </w:r>
    </w:p>
    <w:p w:rsidR="0048779E" w:rsidRPr="00807CC4" w:rsidRDefault="0048779E" w:rsidP="0048779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en-GB"/>
        </w:rPr>
      </w:pPr>
      <w:r w:rsidRPr="00807CC4">
        <w:rPr>
          <w:szCs w:val="22"/>
          <w:lang w:val="en-GB"/>
        </w:rPr>
        <w:t>Pagalbinės medžiagos yra etanolis (96 %), glicerolis (85 %), poloksameras 407 (sudėtyje yra butilhidroksitolueno (E321)), išgrynintas vanduo.</w:t>
      </w:r>
    </w:p>
    <w:p w:rsidR="0048779E" w:rsidRPr="00807CC4" w:rsidRDefault="0048779E" w:rsidP="0048779E">
      <w:pPr>
        <w:tabs>
          <w:tab w:val="left" w:pos="708"/>
        </w:tabs>
        <w:ind w:right="-2"/>
        <w:rPr>
          <w:szCs w:val="22"/>
          <w:lang w:val="en-GB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Linoseptic išvaizda ir kiekis pakuotėje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Linoseptic yra skaidrus, permatomas ir homogeniškas gelis, kuris suskystėja žemesnėje temperatūroje (žemiau 15 °C) ir tampa klampesnis aukštesnėje temperatūroje. Jis tiekiamas permatomose tūbelėse, pagamintose iš didelio tankio ir mažo tankio polietileno, su permatomais užsukamaisiais dangteliais, pagamintais iš polipropileno. </w:t>
      </w:r>
    </w:p>
    <w:p w:rsidR="0048779E" w:rsidRPr="00807CC4" w:rsidRDefault="0048779E" w:rsidP="0048779E">
      <w:pPr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Pakuotės dydis yra </w:t>
      </w:r>
      <w:smartTag w:uri="urn:schemas-microsoft-com:office:smarttags" w:element="metricconverter">
        <w:smartTagPr>
          <w:attr w:name="ProductID" w:val="30ﾠg"/>
        </w:smartTagPr>
        <w:r w:rsidRPr="00807CC4">
          <w:rPr>
            <w:szCs w:val="22"/>
            <w:lang w:val="lt-LT"/>
          </w:rPr>
          <w:t>30 g</w:t>
        </w:r>
      </w:smartTag>
      <w:r w:rsidRPr="00807CC4">
        <w:rPr>
          <w:szCs w:val="22"/>
          <w:lang w:val="lt-LT"/>
        </w:rPr>
        <w:t>.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lastRenderedPageBreak/>
        <w:t>Registruotojas</w:t>
      </w:r>
      <w:r w:rsidRPr="00807CC4">
        <w:rPr>
          <w:b/>
          <w:noProof/>
          <w:szCs w:val="22"/>
          <w:lang w:val="lt-LT"/>
        </w:rPr>
        <w:t xml:space="preserve"> ir gamintojas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:rsidR="0048779E" w:rsidRPr="00807CC4" w:rsidRDefault="0048779E" w:rsidP="0048779E">
      <w:pPr>
        <w:rPr>
          <w:szCs w:val="22"/>
          <w:lang w:val="en-GB"/>
        </w:rPr>
      </w:pPr>
      <w:r w:rsidRPr="00807CC4">
        <w:rPr>
          <w:szCs w:val="22"/>
          <w:lang w:val="en-US"/>
        </w:rPr>
        <w:t>Dr. August Wolff GmbH &amp; Co. KG Arzneimittel</w:t>
      </w:r>
    </w:p>
    <w:p w:rsidR="0048779E" w:rsidRPr="00807CC4" w:rsidRDefault="0048779E" w:rsidP="0048779E">
      <w:pPr>
        <w:rPr>
          <w:szCs w:val="22"/>
          <w:lang w:val="en-US"/>
        </w:rPr>
      </w:pPr>
      <w:r w:rsidRPr="00807CC4">
        <w:rPr>
          <w:szCs w:val="22"/>
          <w:lang w:val="en-US"/>
        </w:rPr>
        <w:t>Sudbrackstr. 56</w:t>
      </w:r>
    </w:p>
    <w:p w:rsidR="0048779E" w:rsidRPr="00807CC4" w:rsidRDefault="0048779E" w:rsidP="0048779E">
      <w:pPr>
        <w:rPr>
          <w:szCs w:val="22"/>
          <w:lang w:val="en-US"/>
        </w:rPr>
      </w:pPr>
      <w:r w:rsidRPr="00807CC4">
        <w:rPr>
          <w:szCs w:val="22"/>
          <w:lang w:val="en-US"/>
        </w:rPr>
        <w:t>33611 Bielefeld</w:t>
      </w:r>
    </w:p>
    <w:p w:rsidR="0048779E" w:rsidRPr="00807CC4" w:rsidRDefault="0048779E" w:rsidP="0048779E">
      <w:pPr>
        <w:rPr>
          <w:szCs w:val="22"/>
          <w:lang w:val="en-US"/>
        </w:rPr>
      </w:pPr>
      <w:r w:rsidRPr="00807CC4">
        <w:rPr>
          <w:szCs w:val="22"/>
          <w:lang w:val="en-US"/>
        </w:rPr>
        <w:t>Vokietija</w:t>
      </w:r>
    </w:p>
    <w:p w:rsidR="0048779E" w:rsidRPr="00807CC4" w:rsidRDefault="0048779E" w:rsidP="0048779E">
      <w:pPr>
        <w:tabs>
          <w:tab w:val="left" w:pos="851"/>
        </w:tabs>
        <w:rPr>
          <w:szCs w:val="22"/>
          <w:lang w:val="en-US"/>
        </w:rPr>
      </w:pPr>
      <w:r w:rsidRPr="00807CC4">
        <w:rPr>
          <w:szCs w:val="22"/>
          <w:lang w:val="en-US"/>
        </w:rPr>
        <w:t>Tel.: +49 (0)521 8808-05</w:t>
      </w:r>
    </w:p>
    <w:p w:rsidR="0048779E" w:rsidRPr="00807CC4" w:rsidRDefault="0048779E" w:rsidP="0048779E">
      <w:pPr>
        <w:tabs>
          <w:tab w:val="left" w:pos="851"/>
        </w:tabs>
        <w:rPr>
          <w:szCs w:val="22"/>
          <w:lang w:val="es-ES"/>
        </w:rPr>
      </w:pPr>
      <w:r w:rsidRPr="00807CC4">
        <w:rPr>
          <w:szCs w:val="22"/>
          <w:lang w:val="es-ES"/>
        </w:rPr>
        <w:t>Faksas: +49 (0)521 8808-334</w:t>
      </w:r>
    </w:p>
    <w:p w:rsidR="0048779E" w:rsidRPr="00807CC4" w:rsidRDefault="0048779E" w:rsidP="0048779E">
      <w:pPr>
        <w:widowControl w:val="0"/>
        <w:tabs>
          <w:tab w:val="left" w:pos="851"/>
        </w:tabs>
        <w:autoSpaceDE w:val="0"/>
        <w:autoSpaceDN w:val="0"/>
        <w:adjustRightInd w:val="0"/>
        <w:rPr>
          <w:szCs w:val="22"/>
          <w:lang w:val="es-ES"/>
        </w:rPr>
      </w:pPr>
      <w:r w:rsidRPr="00807CC4">
        <w:rPr>
          <w:szCs w:val="22"/>
          <w:lang w:val="es-ES"/>
        </w:rPr>
        <w:t xml:space="preserve">El. paštas: </w:t>
      </w:r>
      <w:r>
        <w:rPr>
          <w:szCs w:val="22"/>
          <w:lang w:val="es-ES"/>
        </w:rPr>
        <w:t>aw-</w:t>
      </w:r>
      <w:r w:rsidRPr="00807CC4">
        <w:rPr>
          <w:szCs w:val="22"/>
          <w:lang w:val="es-ES"/>
        </w:rPr>
        <w:t>info@</w:t>
      </w:r>
      <w:r>
        <w:rPr>
          <w:szCs w:val="22"/>
          <w:lang w:val="es-ES"/>
        </w:rPr>
        <w:t>dr</w:t>
      </w:r>
      <w:r w:rsidRPr="00807CC4">
        <w:rPr>
          <w:szCs w:val="22"/>
          <w:lang w:val="es-ES"/>
        </w:rPr>
        <w:t>wolff</w:t>
      </w:r>
      <w:r>
        <w:rPr>
          <w:szCs w:val="22"/>
          <w:lang w:val="es-ES"/>
        </w:rPr>
        <w:t>group</w:t>
      </w:r>
      <w:r w:rsidRPr="00807CC4">
        <w:rPr>
          <w:szCs w:val="22"/>
          <w:lang w:val="es-ES"/>
        </w:rPr>
        <w:t>.</w:t>
      </w:r>
      <w:r>
        <w:rPr>
          <w:szCs w:val="22"/>
          <w:lang w:val="es-ES"/>
        </w:rPr>
        <w:t>com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 xml:space="preserve">Jeigu apie šį vaistą norite sužinoti daugiau, kreipkitės į vietinį </w:t>
      </w:r>
      <w:r>
        <w:rPr>
          <w:noProof/>
          <w:szCs w:val="22"/>
          <w:lang w:val="lt-LT"/>
        </w:rPr>
        <w:t xml:space="preserve">registruotojo </w:t>
      </w:r>
      <w:r w:rsidRPr="00807CC4">
        <w:rPr>
          <w:noProof/>
          <w:szCs w:val="22"/>
          <w:lang w:val="lt-LT"/>
        </w:rPr>
        <w:t xml:space="preserve"> atstovą: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UAB Sirowa Vilnius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Švitrigailos g. 11 B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Vilnius, LT-03228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Tel.: + 370 5 2394150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b/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BB669C">
        <w:rPr>
          <w:b/>
          <w:lang w:val="lt-LT"/>
        </w:rPr>
        <w:t>Šis vaistas EEE valstybėse narėse registruotas tokiais pavadinimais:</w:t>
      </w: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b/>
          <w:szCs w:val="22"/>
          <w:lang w:val="lt-L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7"/>
        <w:gridCol w:w="7393"/>
      </w:tblGrid>
      <w:tr w:rsidR="0048779E" w:rsidRPr="00C94998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Austrija</w:t>
            </w:r>
            <w:r w:rsidRPr="00807CC4">
              <w:rPr>
                <w:szCs w:val="22"/>
              </w:rPr>
              <w:t>:</w:t>
            </w:r>
          </w:p>
        </w:tc>
        <w:tc>
          <w:tcPr>
            <w:tcW w:w="7393" w:type="dxa"/>
            <w:hideMark/>
          </w:tcPr>
          <w:p w:rsidR="0048779E" w:rsidRPr="002624E8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</w:rPr>
            </w:pPr>
            <w:r w:rsidRPr="002624E8">
              <w:rPr>
                <w:szCs w:val="22"/>
              </w:rPr>
              <w:t>Linola sept 1 mg/g + 10 mg/g Wund-Gel</w:t>
            </w:r>
          </w:p>
        </w:tc>
      </w:tr>
      <w:tr w:rsidR="0048779E" w:rsidRPr="00ED7176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Čekija:</w:t>
            </w:r>
          </w:p>
        </w:tc>
        <w:tc>
          <w:tcPr>
            <w:tcW w:w="7393" w:type="dxa"/>
            <w:hideMark/>
          </w:tcPr>
          <w:p w:rsidR="0048779E" w:rsidRPr="00C94998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C94998">
              <w:rPr>
                <w:szCs w:val="22"/>
              </w:rPr>
              <w:t xml:space="preserve">Linoseptic </w:t>
            </w:r>
          </w:p>
        </w:tc>
      </w:tr>
      <w:tr w:rsidR="0048779E" w:rsidRPr="00807CC4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Estija:</w:t>
            </w:r>
          </w:p>
        </w:tc>
        <w:tc>
          <w:tcPr>
            <w:tcW w:w="7393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szCs w:val="22"/>
              </w:rPr>
              <w:t>Linoseptic</w:t>
            </w:r>
          </w:p>
        </w:tc>
      </w:tr>
      <w:tr w:rsidR="0048779E" w:rsidRPr="0031437C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Vokietija</w:t>
            </w:r>
            <w:r w:rsidRPr="00807CC4">
              <w:rPr>
                <w:szCs w:val="22"/>
              </w:rPr>
              <w:t>:</w:t>
            </w:r>
          </w:p>
        </w:tc>
        <w:tc>
          <w:tcPr>
            <w:tcW w:w="7393" w:type="dxa"/>
            <w:hideMark/>
          </w:tcPr>
          <w:p w:rsidR="0048779E" w:rsidRPr="000C6D91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290491">
              <w:rPr>
                <w:szCs w:val="22"/>
                <w:lang w:val="en-GB"/>
              </w:rPr>
              <w:t xml:space="preserve">Linola sept Wundgel </w:t>
            </w:r>
            <w:r w:rsidRPr="00290491">
              <w:rPr>
                <w:noProof/>
                <w:lang w:val="en-GB"/>
              </w:rPr>
              <w:t xml:space="preserve">mit Octenidin und Phenoxyethanol </w:t>
            </w:r>
            <w:r w:rsidRPr="00290491">
              <w:rPr>
                <w:szCs w:val="22"/>
                <w:lang w:val="en-GB"/>
              </w:rPr>
              <w:t>1 mg/g + 10 mg/g Gel</w:t>
            </w:r>
          </w:p>
        </w:tc>
      </w:tr>
      <w:tr w:rsidR="0048779E" w:rsidRPr="0031437C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Vengrija</w:t>
            </w:r>
            <w:r w:rsidRPr="00807CC4">
              <w:rPr>
                <w:szCs w:val="22"/>
              </w:rPr>
              <w:t>:</w:t>
            </w:r>
          </w:p>
        </w:tc>
        <w:tc>
          <w:tcPr>
            <w:tcW w:w="7393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szCs w:val="22"/>
                <w:lang w:val="en-US"/>
              </w:rPr>
              <w:t>Linoseptic 1 mg/g + 10 mg/g Gél</w:t>
            </w:r>
          </w:p>
        </w:tc>
      </w:tr>
      <w:tr w:rsidR="0048779E" w:rsidRPr="00C94998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Latvija</w:t>
            </w:r>
            <w:r w:rsidRPr="00807CC4">
              <w:rPr>
                <w:szCs w:val="22"/>
              </w:rPr>
              <w:t>:</w:t>
            </w:r>
          </w:p>
        </w:tc>
        <w:tc>
          <w:tcPr>
            <w:tcW w:w="7393" w:type="dxa"/>
            <w:hideMark/>
          </w:tcPr>
          <w:p w:rsidR="0048779E" w:rsidRPr="00C94998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C94998">
              <w:rPr>
                <w:szCs w:val="22"/>
                <w:lang w:val="en-US"/>
              </w:rPr>
              <w:t>Linoseptic 1 mg/10 mg/g Gels</w:t>
            </w:r>
          </w:p>
        </w:tc>
      </w:tr>
      <w:tr w:rsidR="0048779E" w:rsidRPr="00C94998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Lietuva:</w:t>
            </w:r>
          </w:p>
        </w:tc>
        <w:tc>
          <w:tcPr>
            <w:tcW w:w="7393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C94998">
              <w:rPr>
                <w:szCs w:val="22"/>
              </w:rPr>
              <w:t xml:space="preserve">Linoseptic </w:t>
            </w:r>
            <w:r w:rsidRPr="00807CC4">
              <w:rPr>
                <w:szCs w:val="22"/>
                <w:lang w:val="lt-LT"/>
              </w:rPr>
              <w:t xml:space="preserve">1 mg/10 mg/g </w:t>
            </w:r>
            <w:r w:rsidRPr="00C94998">
              <w:rPr>
                <w:szCs w:val="22"/>
              </w:rPr>
              <w:t>gelis</w:t>
            </w:r>
          </w:p>
        </w:tc>
      </w:tr>
      <w:tr w:rsidR="0048779E" w:rsidRPr="00C94998" w:rsidTr="00F841EF">
        <w:trPr>
          <w:cantSplit/>
        </w:trPr>
        <w:tc>
          <w:tcPr>
            <w:tcW w:w="1787" w:type="dxa"/>
            <w:hideMark/>
          </w:tcPr>
          <w:p w:rsidR="0048779E" w:rsidRPr="00807CC4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en-GB"/>
              </w:rPr>
            </w:pPr>
            <w:r w:rsidRPr="00807CC4">
              <w:rPr>
                <w:rFonts w:eastAsia="SimSun"/>
                <w:szCs w:val="22"/>
              </w:rPr>
              <w:t>Lenkija</w:t>
            </w:r>
            <w:r w:rsidRPr="00807CC4">
              <w:rPr>
                <w:szCs w:val="22"/>
              </w:rPr>
              <w:t>:</w:t>
            </w:r>
          </w:p>
        </w:tc>
        <w:tc>
          <w:tcPr>
            <w:tcW w:w="7393" w:type="dxa"/>
            <w:hideMark/>
          </w:tcPr>
          <w:p w:rsidR="0048779E" w:rsidRPr="002624E8" w:rsidRDefault="0048779E" w:rsidP="00F84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szCs w:val="22"/>
                <w:lang w:val="pl-PL"/>
              </w:rPr>
            </w:pPr>
            <w:r w:rsidRPr="00C94998">
              <w:rPr>
                <w:szCs w:val="22"/>
              </w:rPr>
              <w:t>Linoseptic</w:t>
            </w:r>
          </w:p>
        </w:tc>
      </w:tr>
    </w:tbl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b/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tabs>
          <w:tab w:val="left" w:pos="708"/>
        </w:tabs>
        <w:ind w:right="-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 xml:space="preserve">Šis pakuotės lapelis paskutinį kartą peržiūrėtas </w:t>
      </w:r>
      <w:r>
        <w:rPr>
          <w:b/>
          <w:szCs w:val="22"/>
          <w:lang w:val="lt-LT"/>
        </w:rPr>
        <w:t>2022-06-22.</w:t>
      </w: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i/>
          <w:szCs w:val="22"/>
          <w:lang w:val="lt-LT"/>
        </w:rPr>
      </w:pPr>
    </w:p>
    <w:p w:rsidR="0048779E" w:rsidRPr="00807CC4" w:rsidRDefault="0048779E" w:rsidP="0048779E">
      <w:pPr>
        <w:numPr>
          <w:ilvl w:val="12"/>
          <w:numId w:val="0"/>
        </w:numPr>
        <w:ind w:right="-2"/>
        <w:rPr>
          <w:i/>
          <w:szCs w:val="22"/>
          <w:lang w:val="lt-LT"/>
        </w:rPr>
      </w:pPr>
    </w:p>
    <w:p w:rsidR="0048779E" w:rsidRPr="00476724" w:rsidRDefault="0048779E" w:rsidP="0048779E">
      <w:pPr>
        <w:numPr>
          <w:ilvl w:val="12"/>
          <w:numId w:val="0"/>
        </w:numPr>
        <w:ind w:right="-2"/>
        <w:rPr>
          <w:noProof/>
          <w:lang w:val="lt-LT"/>
        </w:rPr>
      </w:pPr>
      <w:r w:rsidRPr="00807CC4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807CC4">
        <w:rPr>
          <w:i/>
          <w:szCs w:val="22"/>
          <w:lang w:val="lt-LT"/>
        </w:rPr>
        <w:t xml:space="preserve"> </w:t>
      </w:r>
      <w:hyperlink r:id="rId8" w:history="1">
        <w:r w:rsidRPr="00807CC4">
          <w:rPr>
            <w:rFonts w:eastAsia="SimSun"/>
            <w:color w:val="0000FF"/>
            <w:szCs w:val="22"/>
            <w:u w:val="single"/>
            <w:lang w:val="lt-LT"/>
          </w:rPr>
          <w:t>http://www.vvkt.lt/</w:t>
        </w:r>
      </w:hyperlink>
      <w:r w:rsidRPr="00807CC4">
        <w:rPr>
          <w:szCs w:val="22"/>
          <w:lang w:val="lt-LT"/>
        </w:rPr>
        <w:t>.</w:t>
      </w:r>
    </w:p>
    <w:p w:rsidR="009041DB" w:rsidRDefault="009041DB">
      <w:bookmarkStart w:id="0" w:name="_GoBack"/>
      <w:bookmarkEnd w:id="0"/>
    </w:p>
    <w:sectPr w:rsidR="009041DB" w:rsidSect="003C2FF3">
      <w:footerReference w:type="default" r:id="rId9"/>
      <w:headerReference w:type="first" r:id="rId10"/>
      <w:footerReference w:type="first" r:id="rId11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6" w:rsidRDefault="0048779E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uslapionumeris"/>
        <w:rFonts w:ascii="Arial" w:hAnsi="Arial" w:cs="Arial"/>
      </w:rPr>
      <w:fldChar w:fldCharType="begin"/>
    </w:r>
    <w:r w:rsidRPr="0089197E">
      <w:rPr>
        <w:rStyle w:val="Puslapionumeris"/>
        <w:rFonts w:ascii="Arial" w:hAnsi="Arial" w:cs="Arial"/>
      </w:rPr>
      <w:instrText xml:space="preserve">PAGE  </w:instrText>
    </w:r>
    <w:r w:rsidRPr="0089197E"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4</w:t>
    </w:r>
    <w:r w:rsidRPr="0089197E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6" w:rsidRDefault="0048779E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hAnsi="Times New Roman"/>
      </w:rPr>
      <w:fldChar w:fldCharType="begin"/>
    </w:r>
    <w:r w:rsidRPr="00CF70DB">
      <w:rPr>
        <w:rStyle w:val="Puslapionumeris"/>
        <w:rFonts w:ascii="Times New Roman" w:hAnsi="Times New Roman"/>
      </w:rPr>
      <w:instrText xml:space="preserve">PAGE  </w:instrText>
    </w:r>
    <w:r w:rsidRPr="00CF70DB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1</w:t>
    </w:r>
    <w:r w:rsidRPr="00CF70DB">
      <w:rPr>
        <w:rStyle w:val="Puslapionumeris"/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ED7176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ED7176" w:rsidRPr="008E676C" w:rsidRDefault="0048779E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9264" behindDoc="0" locked="0" layoutInCell="1" allowOverlap="1" wp14:anchorId="132D7FEE" wp14:editId="53917BD7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ED7176" w:rsidRPr="00476724" w:rsidRDefault="0048779E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  <w:r w:rsidRPr="00476724">
            <w:rPr>
              <w:rFonts w:eastAsia="Calibri"/>
              <w:b/>
              <w:kern w:val="22"/>
              <w:szCs w:val="22"/>
              <w:lang w:val="en-GB"/>
            </w:rPr>
            <w:t>“Produktname”</w:t>
          </w:r>
        </w:p>
        <w:p w:rsidR="00ED7176" w:rsidRPr="00476724" w:rsidRDefault="0048779E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</w:p>
        <w:p w:rsidR="00ED7176" w:rsidRPr="00476724" w:rsidRDefault="0048779E" w:rsidP="00020C41">
          <w:pPr>
            <w:jc w:val="center"/>
            <w:rPr>
              <w:rFonts w:eastAsia="Calibri"/>
              <w:kern w:val="22"/>
              <w:szCs w:val="22"/>
              <w:lang w:val="en-GB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/>
            </w:sdtPr>
            <w:sdtEndPr/>
            <w:sdtContent>
              <w:r w:rsidRPr="00476724">
                <w:rPr>
                  <w:rFonts w:eastAsia="Calibri"/>
                  <w:kern w:val="22"/>
                  <w:szCs w:val="22"/>
                  <w:lang w:val="en-GB"/>
                </w:rPr>
                <w:t>1.3.1 Summary of Product Characteristics, Labelling and Package Leaflet</w:t>
              </w:r>
            </w:sdtContent>
          </w:sdt>
          <w:r w:rsidRPr="00476724">
            <w:rPr>
              <w:rFonts w:eastAsia="Calibri"/>
              <w:kern w:val="22"/>
              <w:szCs w:val="22"/>
              <w:lang w:val="en-GB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/>
          </w:sdtPr>
          <w:sdtEndPr/>
          <w:sdtContent>
            <w:p w:rsidR="00ED7176" w:rsidRPr="00110332" w:rsidRDefault="0048779E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</w:p>
          </w:sdtContent>
        </w:sdt>
      </w:tc>
      <w:tc>
        <w:tcPr>
          <w:tcW w:w="1928" w:type="dxa"/>
          <w:shd w:val="clear" w:color="auto" w:fill="auto"/>
        </w:tcPr>
        <w:p w:rsidR="00ED7176" w:rsidRPr="008E676C" w:rsidRDefault="0048779E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:rsidR="00ED7176" w:rsidRPr="008E676C" w:rsidRDefault="0048779E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:rsidR="00ED7176" w:rsidRPr="008E676C" w:rsidRDefault="0048779E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ED7176" w:rsidRDefault="004877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F6B03"/>
    <w:multiLevelType w:val="hybridMultilevel"/>
    <w:tmpl w:val="62D2867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4052"/>
    <w:multiLevelType w:val="hybridMultilevel"/>
    <w:tmpl w:val="B7083C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9E"/>
    <w:rsid w:val="00234094"/>
    <w:rsid w:val="002A211A"/>
    <w:rsid w:val="0048779E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19BA-9568-4C5E-AB35-30051111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79E"/>
    <w:pPr>
      <w:spacing w:after="0" w:line="240" w:lineRule="auto"/>
    </w:pPr>
    <w:rPr>
      <w:rFonts w:ascii="Times New Roman" w:hAnsi="Times New Roman" w:cs="Times New Roman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48779E"/>
  </w:style>
  <w:style w:type="paragraph" w:styleId="Antrats">
    <w:name w:val="header"/>
    <w:basedOn w:val="prastasis"/>
    <w:link w:val="AntratsDiagrama"/>
    <w:uiPriority w:val="99"/>
    <w:rsid w:val="0048779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779E"/>
    <w:rPr>
      <w:rFonts w:ascii="Times New Roman" w:hAnsi="Times New Roman" w:cs="Times New Roman"/>
      <w:szCs w:val="20"/>
      <w:lang w:val="de-DE"/>
    </w:rPr>
  </w:style>
  <w:style w:type="paragraph" w:styleId="Porat">
    <w:name w:val="footer"/>
    <w:basedOn w:val="prastasis"/>
    <w:link w:val="PoratDiagrama"/>
    <w:rsid w:val="0048779E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character" w:customStyle="1" w:styleId="PoratDiagrama">
    <w:name w:val="Poraštė Diagrama"/>
    <w:basedOn w:val="Numatytasispastraiposriftas"/>
    <w:link w:val="Porat"/>
    <w:rsid w:val="0048779E"/>
    <w:rPr>
      <w:rFonts w:ascii="Helvetica" w:hAnsi="Helvetica" w:cs="Times New Roman"/>
      <w:sz w:val="16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5646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2022-08-26T10:08:00Z</dcterms:created>
  <dcterms:modified xsi:type="dcterms:W3CDTF">2022-08-26T10:08:00Z</dcterms:modified>
</cp:coreProperties>
</file>