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Default="00044AAF" w:rsidP="00044AAF">
      <w:pPr>
        <w:pStyle w:val="clearformattingSM"/>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clearformattingSM"/>
        <w:rPr>
          <w:rFonts w:cs="Times New Roman"/>
        </w:rPr>
      </w:pPr>
    </w:p>
    <w:p w:rsidR="00044AAF" w:rsidRPr="00C21079" w:rsidRDefault="00044AAF" w:rsidP="00044AAF">
      <w:pPr>
        <w:pStyle w:val="TTEMEASMCA"/>
        <w:rPr>
          <w:rFonts w:ascii="Times New Roman" w:hAnsi="Times New Roman" w:cs="Times New Roman"/>
        </w:rPr>
      </w:pPr>
      <w:bookmarkStart w:id="0" w:name="_Toc129243136"/>
      <w:bookmarkStart w:id="1" w:name="_Toc129243261"/>
      <w:r w:rsidRPr="00C21079">
        <w:rPr>
          <w:rFonts w:ascii="Times New Roman" w:hAnsi="Times New Roman" w:cs="Times New Roman"/>
        </w:rPr>
        <w:t>A. ŽENKLINIMAS</w:t>
      </w:r>
      <w:bookmarkEnd w:id="0"/>
      <w:bookmarkEnd w:id="1"/>
    </w:p>
    <w:p w:rsidR="00044AAF" w:rsidRPr="00C21079" w:rsidRDefault="00044AAF" w:rsidP="00044AAF">
      <w:pPr>
        <w:pStyle w:val="BTEMEASMCA"/>
        <w:rPr>
          <w:rFonts w:ascii="Times New Roman" w:hAnsi="Times New Roman" w:cs="Times New Roman"/>
        </w:rPr>
      </w:pPr>
      <w:r w:rsidRPr="00C21079">
        <w:rPr>
          <w:rFonts w:ascii="Times New Roman" w:hAnsi="Times New Roman" w:cs="Times New Roman"/>
          <w:b w:val="0"/>
        </w:rPr>
        <w:br w:type="page"/>
      </w: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lastRenderedPageBreak/>
        <w:t>INFORMACIJA ANT IŠORINĖS PAKUOTĖS</w:t>
      </w:r>
    </w:p>
    <w:p w:rsidR="00044AAF" w:rsidRPr="00C21079" w:rsidRDefault="00044AAF" w:rsidP="00044AAF">
      <w:pPr>
        <w:pStyle w:val="PI-1labEMEASMCA"/>
        <w:rPr>
          <w:rFonts w:ascii="Times New Roman" w:hAnsi="Times New Roman" w:cs="Times New Roman"/>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KARTONINĖ DĖŽUTĖ</w:t>
      </w: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1.</w:t>
      </w:r>
      <w:r w:rsidRPr="00C21079">
        <w:rPr>
          <w:rFonts w:ascii="Times New Roman" w:hAnsi="Times New Roman" w:cs="Times New Roman"/>
        </w:rPr>
        <w:tab/>
        <w:t>VAISTINIO PREPARATO PAVADINIMAS</w:t>
      </w:r>
    </w:p>
    <w:p w:rsidR="00044AAF" w:rsidRPr="00C21079" w:rsidRDefault="00044AAF" w:rsidP="00044AAF">
      <w:pPr>
        <w:pStyle w:val="BTEMEASMCA"/>
        <w:rPr>
          <w:rFonts w:ascii="Times New Roman" w:hAnsi="Times New Roman" w:cs="Times New Roman"/>
        </w:rPr>
      </w:pPr>
    </w:p>
    <w:p w:rsidR="00891500" w:rsidRPr="00891500" w:rsidRDefault="00891500" w:rsidP="00891500">
      <w:pPr>
        <w:autoSpaceDE w:val="0"/>
        <w:autoSpaceDN w:val="0"/>
        <w:spacing w:after="0"/>
        <w:jc w:val="both"/>
        <w:rPr>
          <w:b/>
          <w:noProof/>
          <w:lang w:val="lt-LT"/>
        </w:rPr>
      </w:pPr>
      <w:r w:rsidRPr="00891500">
        <w:rPr>
          <w:lang w:val="lt-LT"/>
        </w:rPr>
        <w:t>Encepur</w:t>
      </w:r>
      <w:r w:rsidRPr="00891500">
        <w:rPr>
          <w:vertAlign w:val="superscript"/>
          <w:lang w:val="lt-LT"/>
        </w:rPr>
        <w:t xml:space="preserve"> </w:t>
      </w:r>
      <w:r w:rsidRPr="00891500">
        <w:rPr>
          <w:lang w:val="lt-LT"/>
        </w:rPr>
        <w:t xml:space="preserve"> adults 1,5 mikrogramo/0,5 ml injekcinė suspensija</w:t>
      </w:r>
    </w:p>
    <w:p w:rsidR="00044AAF" w:rsidRPr="00891500" w:rsidRDefault="00891500" w:rsidP="00891500">
      <w:pPr>
        <w:autoSpaceDE w:val="0"/>
        <w:autoSpaceDN w:val="0"/>
        <w:spacing w:after="0"/>
        <w:ind w:left="567" w:hanging="567"/>
        <w:jc w:val="both"/>
        <w:rPr>
          <w:lang w:val="lt-LT"/>
        </w:rPr>
      </w:pPr>
      <w:r w:rsidRPr="00891500">
        <w:rPr>
          <w:lang w:val="lt-LT"/>
        </w:rPr>
        <w:t>Vakcina nuo erkinio encefalito (inaktyvinta)</w:t>
      </w:r>
      <w:r w:rsidRPr="00891500" w:rsidDel="00BE3901">
        <w:rPr>
          <w:lang w:val="lt-LT"/>
        </w:rPr>
        <w:t xml:space="preserve"> </w:t>
      </w: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BTEMEASMCA"/>
        <w:rPr>
          <w:rFonts w:ascii="Times New Roman" w:hAnsi="Times New Roman" w:cs="Times New Roman"/>
        </w:rPr>
      </w:pPr>
    </w:p>
    <w:p w:rsidR="003150BF" w:rsidRPr="003150BF" w:rsidRDefault="003150BF" w:rsidP="003150BF">
      <w:pPr>
        <w:pBdr>
          <w:top w:val="single" w:sz="4" w:space="1" w:color="auto"/>
          <w:left w:val="single" w:sz="4" w:space="4" w:color="auto"/>
          <w:bottom w:val="single" w:sz="4" w:space="1" w:color="auto"/>
          <w:right w:val="single" w:sz="4" w:space="4" w:color="auto"/>
        </w:pBdr>
        <w:tabs>
          <w:tab w:val="left" w:pos="540"/>
        </w:tabs>
        <w:spacing w:after="0"/>
        <w:rPr>
          <w:rFonts w:eastAsia="MS Mincho"/>
          <w:b/>
          <w:lang w:val="lt-LT"/>
        </w:rPr>
      </w:pPr>
      <w:r w:rsidRPr="003150BF">
        <w:rPr>
          <w:rFonts w:eastAsia="MS Mincho"/>
          <w:b/>
          <w:lang w:val="lt-LT"/>
        </w:rPr>
        <w:t>2.</w:t>
      </w:r>
      <w:r w:rsidRPr="003150BF">
        <w:rPr>
          <w:rFonts w:eastAsia="MS Mincho"/>
          <w:b/>
          <w:lang w:val="lt-LT"/>
        </w:rPr>
        <w:tab/>
        <w:t>VEIKLIOJI (-IOS) MEDŽIAGA (-OS) IR JOS (-Ų) KIEKIS (-IAI)</w:t>
      </w:r>
    </w:p>
    <w:p w:rsidR="00044AAF" w:rsidRPr="00C21079" w:rsidRDefault="00044AAF" w:rsidP="00044AAF">
      <w:pPr>
        <w:ind w:left="567" w:hanging="567"/>
        <w:rPr>
          <w:lang w:val="lt-LT"/>
        </w:rPr>
      </w:pPr>
    </w:p>
    <w:p w:rsidR="00634AB1" w:rsidRPr="00634AB1" w:rsidRDefault="00634AB1" w:rsidP="00634AB1">
      <w:pPr>
        <w:autoSpaceDE w:val="0"/>
        <w:autoSpaceDN w:val="0"/>
        <w:spacing w:after="0"/>
        <w:rPr>
          <w:lang w:val="lt-LT"/>
        </w:rPr>
      </w:pPr>
      <w:r w:rsidRPr="00634AB1">
        <w:rPr>
          <w:lang w:val="lt-LT"/>
        </w:rPr>
        <w:t>Vienoje dozėje (0,5 ml suspensijos) yra:</w:t>
      </w:r>
    </w:p>
    <w:p w:rsidR="00634AB1" w:rsidRPr="00634AB1" w:rsidRDefault="00634AB1" w:rsidP="00634AB1">
      <w:pPr>
        <w:autoSpaceDE w:val="0"/>
        <w:autoSpaceDN w:val="0"/>
        <w:spacing w:after="0"/>
        <w:rPr>
          <w:lang w:val="lt-LT"/>
        </w:rPr>
      </w:pPr>
      <w:r w:rsidRPr="00634AB1">
        <w:rPr>
          <w:lang w:val="lt-LT"/>
        </w:rPr>
        <w:t>1,5 mikrogramo inaktyvinto erkinio encefalito viruso (K23 padermės)</w:t>
      </w:r>
      <w:r w:rsidRPr="00634AB1">
        <w:rPr>
          <w:vertAlign w:val="superscript"/>
          <w:lang w:val="lt-LT"/>
        </w:rPr>
        <w:t>1,2</w:t>
      </w:r>
      <w:r w:rsidRPr="00634AB1">
        <w:rPr>
          <w:lang w:val="lt-LT"/>
        </w:rPr>
        <w:tab/>
        <w:t>,</w:t>
      </w:r>
    </w:p>
    <w:p w:rsidR="00634AB1" w:rsidRPr="00634AB1" w:rsidRDefault="00634AB1" w:rsidP="00634AB1">
      <w:pPr>
        <w:autoSpaceDE w:val="0"/>
        <w:autoSpaceDN w:val="0"/>
        <w:spacing w:after="0"/>
        <w:rPr>
          <w:lang w:val="lt-LT"/>
        </w:rPr>
      </w:pPr>
      <w:r w:rsidRPr="00634AB1">
        <w:rPr>
          <w:vertAlign w:val="superscript"/>
          <w:lang w:val="lt-LT"/>
        </w:rPr>
        <w:t>1</w:t>
      </w:r>
      <w:r w:rsidRPr="00634AB1">
        <w:rPr>
          <w:lang w:val="lt-LT"/>
        </w:rPr>
        <w:t xml:space="preserve"> adsorbuoto ant hidratuoto aliuminio hidroksido (0,35 mg Al</w:t>
      </w:r>
      <w:r w:rsidRPr="00634AB1">
        <w:rPr>
          <w:vertAlign w:val="superscript"/>
          <w:lang w:val="lt-LT"/>
        </w:rPr>
        <w:t>3+</w:t>
      </w:r>
      <w:r w:rsidRPr="00634AB1">
        <w:rPr>
          <w:lang w:val="lt-LT"/>
        </w:rPr>
        <w:t>),</w:t>
      </w:r>
    </w:p>
    <w:p w:rsidR="00634AB1" w:rsidRPr="00634AB1" w:rsidRDefault="00634AB1" w:rsidP="00634AB1">
      <w:pPr>
        <w:autoSpaceDE w:val="0"/>
        <w:autoSpaceDN w:val="0"/>
        <w:spacing w:after="0"/>
        <w:rPr>
          <w:lang w:val="lt-LT"/>
        </w:rPr>
      </w:pPr>
      <w:r w:rsidRPr="00634AB1">
        <w:rPr>
          <w:vertAlign w:val="superscript"/>
          <w:lang w:val="lt-LT"/>
        </w:rPr>
        <w:t>2</w:t>
      </w:r>
      <w:r w:rsidRPr="00634AB1">
        <w:rPr>
          <w:lang w:val="lt-LT"/>
        </w:rPr>
        <w:t xml:space="preserve"> išauginto viščiuko embriono fibroblastų ląstelėse.</w:t>
      </w: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PI-1labEMEASMCA"/>
        <w:rPr>
          <w:rFonts w:ascii="Times New Roman" w:hAnsi="Times New Roman" w:cs="Times New Roman"/>
          <w:highlight w:val="lightGray"/>
        </w:rPr>
      </w:pPr>
      <w:r w:rsidRPr="00C21079">
        <w:rPr>
          <w:rFonts w:ascii="Times New Roman" w:hAnsi="Times New Roman" w:cs="Times New Roman"/>
        </w:rPr>
        <w:t>3.</w:t>
      </w:r>
      <w:r w:rsidRPr="00C21079">
        <w:rPr>
          <w:rFonts w:ascii="Times New Roman" w:hAnsi="Times New Roman" w:cs="Times New Roman"/>
        </w:rPr>
        <w:tab/>
        <w:t>PAGALBINIŲ MEDŽIAGŲ SĄRAŠAS</w:t>
      </w:r>
    </w:p>
    <w:p w:rsidR="00044AAF" w:rsidRPr="00C21079" w:rsidRDefault="00044AAF" w:rsidP="00044AAF">
      <w:pPr>
        <w:pStyle w:val="BTEMEASMCA"/>
        <w:rPr>
          <w:rFonts w:ascii="Times New Roman" w:hAnsi="Times New Roman" w:cs="Times New Roman"/>
        </w:rPr>
      </w:pPr>
    </w:p>
    <w:p w:rsidR="00044AAF" w:rsidRPr="00C21079" w:rsidRDefault="00634AB1" w:rsidP="00044AAF">
      <w:pPr>
        <w:adjustRightInd w:val="0"/>
        <w:rPr>
          <w:b/>
          <w:lang w:val="lt-LT" w:eastAsia="et-EE"/>
        </w:rPr>
      </w:pPr>
      <w:r w:rsidRPr="00634AB1">
        <w:rPr>
          <w:lang w:val="lt-LT" w:eastAsia="et-EE"/>
        </w:rPr>
        <w:t>Pagalbinės medžiagos: natrio chloridas, injekcinis vanduo, cukrus, chlortetraciklinas,  gentamicinas, neomicinas, formaldehidas.</w:t>
      </w:r>
      <w:r w:rsidR="00044AAF" w:rsidRPr="00C21079">
        <w:rPr>
          <w:lang w:val="lt-LT" w:eastAsia="et-EE"/>
        </w:rPr>
        <w:t xml:space="preserve"> </w:t>
      </w: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BTEMEASMCA"/>
        <w:rPr>
          <w:rFonts w:ascii="Times New Roman" w:hAnsi="Times New Roman" w:cs="Times New Roman"/>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4.</w:t>
      </w:r>
      <w:r w:rsidRPr="00C21079">
        <w:rPr>
          <w:rFonts w:ascii="Times New Roman" w:hAnsi="Times New Roman" w:cs="Times New Roman"/>
        </w:rPr>
        <w:tab/>
        <w:t>FARMACINĖ FORMA IR KIEKIS PAKUOTĖJE</w:t>
      </w:r>
    </w:p>
    <w:p w:rsidR="00044AAF" w:rsidRPr="00C21079" w:rsidRDefault="00044AAF" w:rsidP="00044AAF">
      <w:pPr>
        <w:spacing w:after="0"/>
        <w:rPr>
          <w:lang w:val="lt-LT"/>
        </w:rPr>
      </w:pPr>
    </w:p>
    <w:p w:rsidR="00044AAF" w:rsidRPr="005460D0" w:rsidRDefault="00044AAF" w:rsidP="00044AAF">
      <w:pPr>
        <w:spacing w:after="0"/>
      </w:pPr>
      <w:proofErr w:type="spellStart"/>
      <w:r w:rsidRPr="005460D0">
        <w:t>Injekcinė</w:t>
      </w:r>
      <w:proofErr w:type="spellEnd"/>
      <w:r w:rsidRPr="005460D0">
        <w:t xml:space="preserve"> </w:t>
      </w:r>
      <w:proofErr w:type="spellStart"/>
      <w:r w:rsidRPr="005460D0">
        <w:t>suspensija</w:t>
      </w:r>
      <w:proofErr w:type="spellEnd"/>
      <w:r w:rsidRPr="005460D0">
        <w:t xml:space="preserve"> </w:t>
      </w:r>
      <w:proofErr w:type="spellStart"/>
      <w:r w:rsidRPr="005460D0">
        <w:t>užpildytame</w:t>
      </w:r>
      <w:proofErr w:type="spellEnd"/>
      <w:r w:rsidRPr="005460D0">
        <w:t xml:space="preserve"> </w:t>
      </w:r>
      <w:proofErr w:type="spellStart"/>
      <w:r w:rsidRPr="005460D0">
        <w:t>švirkšte</w:t>
      </w:r>
      <w:proofErr w:type="spellEnd"/>
    </w:p>
    <w:p w:rsidR="00044AAF" w:rsidRPr="005460D0" w:rsidRDefault="00044AAF" w:rsidP="00044AAF">
      <w:pPr>
        <w:spacing w:after="0"/>
      </w:pPr>
      <w:r w:rsidRPr="005460D0">
        <w:t xml:space="preserve">1 </w:t>
      </w:r>
      <w:proofErr w:type="spellStart"/>
      <w:r w:rsidRPr="005460D0">
        <w:t>užpildytas</w:t>
      </w:r>
      <w:proofErr w:type="spellEnd"/>
      <w:r w:rsidRPr="005460D0">
        <w:t xml:space="preserve"> </w:t>
      </w:r>
      <w:proofErr w:type="spellStart"/>
      <w:r w:rsidRPr="005460D0">
        <w:t>švirkštas</w:t>
      </w:r>
      <w:proofErr w:type="spellEnd"/>
      <w:r w:rsidRPr="005460D0">
        <w:t xml:space="preserve"> (0</w:t>
      </w:r>
      <w:proofErr w:type="gramStart"/>
      <w:r w:rsidRPr="005460D0">
        <w:t>,5</w:t>
      </w:r>
      <w:proofErr w:type="gramEnd"/>
      <w:r w:rsidRPr="005460D0">
        <w:t xml:space="preserve"> ml) </w:t>
      </w:r>
      <w:proofErr w:type="spellStart"/>
      <w:r w:rsidRPr="005460D0">
        <w:t>su</w:t>
      </w:r>
      <w:proofErr w:type="spellEnd"/>
      <w:r w:rsidRPr="005460D0">
        <w:t xml:space="preserve"> </w:t>
      </w:r>
      <w:proofErr w:type="spellStart"/>
      <w:r w:rsidRPr="005460D0">
        <w:t>adata</w:t>
      </w:r>
      <w:proofErr w:type="spellEnd"/>
    </w:p>
    <w:p w:rsidR="00044AAF" w:rsidRPr="00C21079" w:rsidRDefault="00044AAF" w:rsidP="00044AAF">
      <w:pPr>
        <w:spacing w:after="0"/>
        <w:rPr>
          <w:lang w:val="lt-LT"/>
        </w:rPr>
      </w:pPr>
    </w:p>
    <w:p w:rsidR="00044AAF" w:rsidRPr="00C21079" w:rsidRDefault="00044AAF" w:rsidP="00044AAF">
      <w:pPr>
        <w:spacing w:after="0"/>
        <w:rPr>
          <w:lang w:val="lt-LT"/>
        </w:rPr>
      </w:pPr>
    </w:p>
    <w:p w:rsidR="00044AAF" w:rsidRPr="00C21079" w:rsidRDefault="00044AAF" w:rsidP="00044AAF">
      <w:pPr>
        <w:pStyle w:val="PI-1labEMEASMCA"/>
        <w:rPr>
          <w:rFonts w:ascii="Times New Roman" w:hAnsi="Times New Roman" w:cs="Times New Roman"/>
          <w:highlight w:val="lightGray"/>
        </w:rPr>
      </w:pPr>
      <w:r w:rsidRPr="00C21079">
        <w:rPr>
          <w:rFonts w:ascii="Times New Roman" w:hAnsi="Times New Roman" w:cs="Times New Roman"/>
        </w:rPr>
        <w:t>5.</w:t>
      </w:r>
      <w:r w:rsidRPr="00C21079">
        <w:rPr>
          <w:rFonts w:ascii="Times New Roman" w:hAnsi="Times New Roman" w:cs="Times New Roman"/>
        </w:rPr>
        <w:tab/>
        <w:t>VARTOJIMO METODAS IR BŪDAS (-AI)</w:t>
      </w:r>
    </w:p>
    <w:p w:rsidR="00044AAF" w:rsidRPr="00C21079" w:rsidRDefault="00044AAF" w:rsidP="00044AAF">
      <w:pPr>
        <w:spacing w:after="0"/>
      </w:pPr>
    </w:p>
    <w:p w:rsidR="00044AAF" w:rsidRPr="00C21079" w:rsidRDefault="00044AAF" w:rsidP="00044AAF">
      <w:pPr>
        <w:spacing w:after="0"/>
      </w:pPr>
      <w:proofErr w:type="spellStart"/>
      <w:r w:rsidRPr="00C21079">
        <w:t>Leisti</w:t>
      </w:r>
      <w:proofErr w:type="spellEnd"/>
      <w:r w:rsidRPr="00C21079">
        <w:t xml:space="preserve"> į </w:t>
      </w:r>
      <w:proofErr w:type="spellStart"/>
      <w:r w:rsidRPr="00C21079">
        <w:t>raumenis</w:t>
      </w:r>
      <w:proofErr w:type="spellEnd"/>
      <w:r w:rsidRPr="00C21079">
        <w:t xml:space="preserve"> </w:t>
      </w:r>
      <w:proofErr w:type="spellStart"/>
      <w:r w:rsidRPr="00C21079">
        <w:t>ar</w:t>
      </w:r>
      <w:proofErr w:type="spellEnd"/>
      <w:r w:rsidRPr="00C21079">
        <w:t xml:space="preserve"> </w:t>
      </w:r>
      <w:proofErr w:type="spellStart"/>
      <w:r w:rsidRPr="00C21079">
        <w:t>po</w:t>
      </w:r>
      <w:proofErr w:type="spellEnd"/>
      <w:r w:rsidRPr="00C21079">
        <w:t xml:space="preserve"> </w:t>
      </w:r>
      <w:proofErr w:type="spellStart"/>
      <w:r w:rsidRPr="00C21079">
        <w:t>oda</w:t>
      </w:r>
      <w:proofErr w:type="spellEnd"/>
      <w:r w:rsidRPr="00C21079">
        <w:t>.</w:t>
      </w:r>
    </w:p>
    <w:p w:rsidR="00044AAF" w:rsidRPr="00C21079" w:rsidRDefault="00044AAF" w:rsidP="00044AAF">
      <w:pPr>
        <w:spacing w:after="0"/>
      </w:pPr>
      <w:proofErr w:type="spellStart"/>
      <w:r w:rsidRPr="00C21079">
        <w:t>Prieš</w:t>
      </w:r>
      <w:proofErr w:type="spellEnd"/>
      <w:r w:rsidRPr="00C21079">
        <w:t xml:space="preserve"> </w:t>
      </w:r>
      <w:proofErr w:type="spellStart"/>
      <w:r w:rsidRPr="00C21079">
        <w:t>vartojimą</w:t>
      </w:r>
      <w:proofErr w:type="spellEnd"/>
      <w:r w:rsidRPr="00C21079">
        <w:t xml:space="preserve"> </w:t>
      </w:r>
      <w:proofErr w:type="spellStart"/>
      <w:r w:rsidRPr="00C21079">
        <w:t>perskaitykite</w:t>
      </w:r>
      <w:proofErr w:type="spellEnd"/>
      <w:r w:rsidRPr="00C21079">
        <w:t xml:space="preserve"> </w:t>
      </w:r>
      <w:proofErr w:type="spellStart"/>
      <w:r w:rsidRPr="00C21079">
        <w:t>pakuotės</w:t>
      </w:r>
      <w:proofErr w:type="spellEnd"/>
      <w:r w:rsidRPr="00C21079">
        <w:t xml:space="preserve"> </w:t>
      </w:r>
      <w:proofErr w:type="spellStart"/>
      <w:r w:rsidRPr="00C21079">
        <w:t>lapelį</w:t>
      </w:r>
      <w:proofErr w:type="spellEnd"/>
      <w:r w:rsidRPr="00C21079">
        <w:t>.</w:t>
      </w:r>
    </w:p>
    <w:p w:rsidR="00044AAF" w:rsidRPr="00C21079" w:rsidRDefault="00044AAF" w:rsidP="00044AAF">
      <w:pPr>
        <w:spacing w:after="0"/>
      </w:pPr>
      <w:proofErr w:type="spellStart"/>
      <w:r w:rsidRPr="00C21079">
        <w:t>Prieš</w:t>
      </w:r>
      <w:proofErr w:type="spellEnd"/>
      <w:r w:rsidRPr="00C21079">
        <w:t xml:space="preserve"> </w:t>
      </w:r>
      <w:proofErr w:type="spellStart"/>
      <w:r w:rsidRPr="00C21079">
        <w:t>vartojimą</w:t>
      </w:r>
      <w:proofErr w:type="spellEnd"/>
      <w:r w:rsidRPr="00C21079">
        <w:t xml:space="preserve"> </w:t>
      </w:r>
      <w:proofErr w:type="spellStart"/>
      <w:r w:rsidRPr="00C21079">
        <w:t>reikia</w:t>
      </w:r>
      <w:proofErr w:type="spellEnd"/>
      <w:r w:rsidRPr="00C21079">
        <w:t xml:space="preserve"> </w:t>
      </w:r>
      <w:proofErr w:type="spellStart"/>
      <w:r w:rsidRPr="00C21079">
        <w:t>atidžiai</w:t>
      </w:r>
      <w:proofErr w:type="spellEnd"/>
      <w:r w:rsidRPr="00C21079">
        <w:t xml:space="preserve"> </w:t>
      </w:r>
      <w:proofErr w:type="spellStart"/>
      <w:r w:rsidRPr="00C21079">
        <w:t>supurtyti</w:t>
      </w:r>
      <w:proofErr w:type="spellEnd"/>
      <w:r w:rsidRPr="00C21079">
        <w:t>.</w:t>
      </w:r>
    </w:p>
    <w:p w:rsidR="00044AAF" w:rsidRPr="00C21079" w:rsidRDefault="00044AAF" w:rsidP="00044AAF">
      <w:pPr>
        <w:spacing w:after="0"/>
      </w:pPr>
    </w:p>
    <w:p w:rsidR="00044AAF" w:rsidRPr="00C21079" w:rsidRDefault="00044AAF" w:rsidP="00044AAF">
      <w:pPr>
        <w:spacing w:after="0"/>
      </w:pPr>
    </w:p>
    <w:p w:rsidR="00044AAF" w:rsidRPr="00C21079" w:rsidRDefault="00044AAF" w:rsidP="00044AAF">
      <w:pPr>
        <w:pStyle w:val="PI-1labEMEASMCA"/>
        <w:pBdr>
          <w:top w:val="single" w:sz="4" w:space="3" w:color="auto"/>
        </w:pBdr>
        <w:rPr>
          <w:rFonts w:ascii="Times New Roman" w:hAnsi="Times New Roman" w:cs="Times New Roman"/>
        </w:rPr>
      </w:pPr>
      <w:r w:rsidRPr="00C21079">
        <w:rPr>
          <w:rFonts w:ascii="Times New Roman" w:hAnsi="Times New Roman" w:cs="Times New Roman"/>
        </w:rPr>
        <w:t>6.</w:t>
      </w:r>
      <w:r w:rsidRPr="00C21079">
        <w:rPr>
          <w:rFonts w:ascii="Times New Roman" w:hAnsi="Times New Roman" w:cs="Times New Roman"/>
        </w:rPr>
        <w:tab/>
        <w:t>SPECIALUS ĮSPĖJIMAS, KAD VAISTINĮ PREPARATĄ BŪTINA LAIKYTI VAIKAMS NEPASTEBIMOJE IR NEPASIEKIAMOJE VIETOJE</w:t>
      </w:r>
    </w:p>
    <w:p w:rsidR="00044AAF" w:rsidRPr="00C21079" w:rsidRDefault="00044AAF" w:rsidP="00044AAF">
      <w:pPr>
        <w:rPr>
          <w:lang w:val="lt-LT"/>
        </w:rPr>
      </w:pPr>
    </w:p>
    <w:p w:rsidR="00044AAF" w:rsidRPr="00C21079" w:rsidRDefault="00044AAF" w:rsidP="00044AAF">
      <w:pPr>
        <w:rPr>
          <w:lang w:val="lt-LT"/>
        </w:rPr>
      </w:pPr>
      <w:r w:rsidRPr="00C21079">
        <w:rPr>
          <w:lang w:val="lt-LT"/>
        </w:rPr>
        <w:t>Laikyti vaikams nepastebimoje ir nepasiekiamoje vietoje.</w:t>
      </w:r>
    </w:p>
    <w:p w:rsidR="00044AAF" w:rsidRDefault="00044AAF" w:rsidP="00044AAF">
      <w:pPr>
        <w:rPr>
          <w:lang w:val="lt-LT"/>
        </w:rPr>
      </w:pPr>
    </w:p>
    <w:p w:rsidR="003150BF" w:rsidRPr="00C21079" w:rsidRDefault="003150BF" w:rsidP="00044AAF">
      <w:pPr>
        <w:rPr>
          <w:lang w:val="lt-LT"/>
        </w:rPr>
      </w:pPr>
    </w:p>
    <w:p w:rsidR="00044AAF" w:rsidRPr="00C21079" w:rsidRDefault="00044AAF" w:rsidP="00044AAF">
      <w:pPr>
        <w:pStyle w:val="PI-1labEMEASMCA"/>
        <w:rPr>
          <w:rFonts w:ascii="Times New Roman" w:hAnsi="Times New Roman" w:cs="Times New Roman"/>
          <w:highlight w:val="lightGray"/>
        </w:rPr>
      </w:pPr>
      <w:r w:rsidRPr="00C21079">
        <w:rPr>
          <w:rFonts w:ascii="Times New Roman" w:hAnsi="Times New Roman" w:cs="Times New Roman"/>
        </w:rPr>
        <w:t>7.</w:t>
      </w:r>
      <w:r w:rsidRPr="00C21079">
        <w:rPr>
          <w:rFonts w:ascii="Times New Roman" w:hAnsi="Times New Roman" w:cs="Times New Roman"/>
        </w:rPr>
        <w:tab/>
        <w:t>KITAS (-I) SPECIALUS (-ŪS) ĮSPĖJIMAS (-AI) (JEI REIKIA)</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r w:rsidRPr="00C21079">
        <w:rPr>
          <w:rFonts w:cs="Times New Roman"/>
          <w:lang w:val="lt-LT"/>
        </w:rPr>
        <w:lastRenderedPageBreak/>
        <w:t>Nešvirkšti į kraujagyslę.</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highlight w:val="lightGray"/>
        </w:rPr>
      </w:pPr>
      <w:r w:rsidRPr="00C21079">
        <w:rPr>
          <w:rFonts w:ascii="Times New Roman" w:hAnsi="Times New Roman" w:cs="Times New Roman"/>
        </w:rPr>
        <w:t>8.</w:t>
      </w:r>
      <w:r w:rsidRPr="00C21079">
        <w:rPr>
          <w:rFonts w:ascii="Times New Roman" w:hAnsi="Times New Roman" w:cs="Times New Roman"/>
        </w:rPr>
        <w:tab/>
        <w:t>TINKAMUMO LAIKAS</w:t>
      </w:r>
    </w:p>
    <w:p w:rsidR="00044AAF" w:rsidRPr="00C21079" w:rsidRDefault="00044AAF" w:rsidP="00044AAF">
      <w:pPr>
        <w:pStyle w:val="clearformattingSM"/>
        <w:rPr>
          <w:rFonts w:cs="Times New Roman"/>
          <w:lang w:val="lt-LT"/>
        </w:rPr>
      </w:pPr>
    </w:p>
    <w:p w:rsidR="00044AAF" w:rsidRPr="00C21079" w:rsidRDefault="0009789B" w:rsidP="00044AAF">
      <w:pPr>
        <w:pStyle w:val="clearformattingSM"/>
        <w:rPr>
          <w:rFonts w:cs="Times New Roman"/>
          <w:lang w:val="lt-LT"/>
        </w:rPr>
      </w:pPr>
      <w:r>
        <w:rPr>
          <w:rFonts w:cs="Times New Roman"/>
          <w:lang w:val="lt-LT"/>
        </w:rPr>
        <w:t>Tinka iki: mm/MMMM</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9.</w:t>
      </w:r>
      <w:r w:rsidRPr="00C21079">
        <w:rPr>
          <w:rFonts w:ascii="Times New Roman" w:hAnsi="Times New Roman" w:cs="Times New Roman"/>
        </w:rPr>
        <w:tab/>
        <w:t>SPECIALIOS LAIKYMO SĄLYGOS</w:t>
      </w:r>
    </w:p>
    <w:p w:rsidR="00044AAF" w:rsidRPr="00C21079" w:rsidRDefault="00044AAF" w:rsidP="00044AAF">
      <w:pPr>
        <w:pStyle w:val="clearformattingSM"/>
        <w:rPr>
          <w:rFonts w:cs="Times New Roman"/>
          <w:lang w:val="lt-LT"/>
        </w:rPr>
      </w:pPr>
    </w:p>
    <w:p w:rsidR="00044AAF" w:rsidRDefault="00044AAF" w:rsidP="00044AAF">
      <w:pPr>
        <w:pStyle w:val="clearformattingSM"/>
        <w:rPr>
          <w:rFonts w:cs="Times New Roman"/>
          <w:lang w:val="lt-LT"/>
        </w:rPr>
      </w:pPr>
      <w:r w:rsidRPr="00C21079">
        <w:rPr>
          <w:rFonts w:cs="Times New Roman"/>
          <w:lang w:val="lt-LT"/>
        </w:rPr>
        <w:t>Laikyti šaldytuve (</w:t>
      </w:r>
      <w:r w:rsidR="0009789B" w:rsidRPr="005242C9">
        <w:rPr>
          <w:rFonts w:eastAsia="Calibri" w:cs="Times New Roman"/>
        </w:rPr>
        <w:t xml:space="preserve">2 </w:t>
      </w:r>
      <w:r w:rsidR="0009789B" w:rsidRPr="005242C9">
        <w:rPr>
          <w:rFonts w:eastAsia="Calibri" w:cs="Times New Roman"/>
        </w:rPr>
        <w:sym w:font="Times New Roman" w:char="00B0"/>
      </w:r>
      <w:r w:rsidR="0009789B" w:rsidRPr="005242C9">
        <w:rPr>
          <w:rFonts w:eastAsia="Calibri" w:cs="Times New Roman"/>
        </w:rPr>
        <w:t xml:space="preserve">C – 8 </w:t>
      </w:r>
      <w:r w:rsidR="0009789B" w:rsidRPr="005242C9">
        <w:rPr>
          <w:rFonts w:eastAsia="Calibri" w:cs="Times New Roman"/>
        </w:rPr>
        <w:sym w:font="Times New Roman" w:char="00B0"/>
      </w:r>
      <w:r w:rsidR="0009789B" w:rsidRPr="005242C9">
        <w:rPr>
          <w:rFonts w:eastAsia="Calibri" w:cs="Times New Roman"/>
        </w:rPr>
        <w:t>C</w:t>
      </w:r>
      <w:r w:rsidRPr="00C21079">
        <w:rPr>
          <w:rFonts w:cs="Times New Roman"/>
          <w:lang w:val="lt-LT"/>
        </w:rPr>
        <w:t>). Neužšaldyti.</w:t>
      </w:r>
      <w:r w:rsidR="00933B65" w:rsidRPr="00933B65">
        <w:t xml:space="preserve"> </w:t>
      </w:r>
      <w:r w:rsidR="00933B65" w:rsidRPr="00933B65">
        <w:rPr>
          <w:rFonts w:cs="Times New Roman"/>
          <w:lang w:val="lt-LT"/>
        </w:rPr>
        <w:t>Jei vakcina buvo užšalusi, jos vartoti negalima.</w:t>
      </w:r>
    </w:p>
    <w:p w:rsidR="0009789B" w:rsidRPr="0009789B" w:rsidRDefault="0009789B" w:rsidP="0009789B">
      <w:pPr>
        <w:autoSpaceDE w:val="0"/>
        <w:autoSpaceDN w:val="0"/>
        <w:spacing w:after="0"/>
        <w:rPr>
          <w:rFonts w:eastAsia="Times New Roman"/>
          <w:lang w:val="lt-LT"/>
        </w:rPr>
      </w:pPr>
      <w:r w:rsidRPr="00C21079">
        <w:rPr>
          <w:rFonts w:eastAsia="Times New Roman"/>
          <w:lang w:val="lt-LT"/>
        </w:rPr>
        <w:t>Užpildytą švirkštą laikyti išorinėje dėžutėje, kad preparatas būtų apsaugotas nuo šviesos.</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10.</w:t>
      </w:r>
      <w:r w:rsidRPr="00C21079">
        <w:rPr>
          <w:rFonts w:ascii="Times New Roman" w:hAnsi="Times New Roman" w:cs="Times New Roman"/>
        </w:rPr>
        <w:tab/>
        <w:t>SPECIALIOS ATSARGUMO PRIEMONĖS DĖL NESUVARTOTO VAISTINIO PREPARATO AR JO ATLIEKŲ TVARKYMO (JEI REIKIA)</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933B65" w:rsidRPr="00933B65" w:rsidRDefault="00933B65" w:rsidP="00933B65">
      <w:pPr>
        <w:pBdr>
          <w:top w:val="single" w:sz="4" w:space="1" w:color="auto"/>
          <w:left w:val="single" w:sz="4" w:space="4" w:color="auto"/>
          <w:bottom w:val="single" w:sz="4" w:space="1" w:color="auto"/>
          <w:right w:val="single" w:sz="4" w:space="4" w:color="auto"/>
        </w:pBdr>
        <w:tabs>
          <w:tab w:val="left" w:pos="540"/>
        </w:tabs>
        <w:spacing w:after="0"/>
        <w:rPr>
          <w:b/>
          <w:bCs/>
          <w:noProof/>
          <w:lang w:val="lt-LT"/>
        </w:rPr>
      </w:pPr>
      <w:r w:rsidRPr="00933B65">
        <w:rPr>
          <w:b/>
          <w:bCs/>
          <w:noProof/>
          <w:lang w:val="lt-LT"/>
        </w:rPr>
        <w:t>11.</w:t>
      </w:r>
      <w:r w:rsidRPr="00933B65">
        <w:rPr>
          <w:b/>
          <w:bCs/>
          <w:noProof/>
          <w:lang w:val="lt-LT"/>
        </w:rPr>
        <w:tab/>
        <w:t>LYGIAGRETUS IMPORTUOTOJAS</w:t>
      </w:r>
    </w:p>
    <w:p w:rsidR="00044AAF" w:rsidRPr="00C21079" w:rsidRDefault="00044AAF" w:rsidP="00044AAF">
      <w:pPr>
        <w:pStyle w:val="clearformattingSM"/>
        <w:rPr>
          <w:rFonts w:cs="Times New Roman"/>
          <w:lang w:val="lt-LT"/>
        </w:rPr>
      </w:pPr>
    </w:p>
    <w:p w:rsidR="00933B65" w:rsidRPr="00933B65" w:rsidRDefault="00933B65" w:rsidP="00933B65">
      <w:pPr>
        <w:spacing w:after="0"/>
        <w:rPr>
          <w:rFonts w:eastAsia="Times New Roman"/>
          <w:lang w:val="lt-LT"/>
        </w:rPr>
      </w:pPr>
      <w:r w:rsidRPr="00933B65">
        <w:rPr>
          <w:rFonts w:eastAsia="Times New Roman"/>
          <w:lang w:val="lt-LT"/>
        </w:rPr>
        <w:t>Lygiagretus importuotojas UAB „Lex ano“</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933B65" w:rsidRPr="00933B65" w:rsidRDefault="00933B65" w:rsidP="00933B65">
      <w:pPr>
        <w:pBdr>
          <w:top w:val="single" w:sz="4" w:space="1" w:color="auto"/>
          <w:left w:val="single" w:sz="4" w:space="4" w:color="auto"/>
          <w:bottom w:val="single" w:sz="4" w:space="1" w:color="auto"/>
          <w:right w:val="single" w:sz="4" w:space="4" w:color="auto"/>
        </w:pBdr>
        <w:tabs>
          <w:tab w:val="left" w:pos="540"/>
        </w:tabs>
        <w:spacing w:after="0"/>
        <w:rPr>
          <w:b/>
          <w:bCs/>
          <w:noProof/>
          <w:lang w:val="lt-LT"/>
        </w:rPr>
      </w:pPr>
      <w:r w:rsidRPr="00933B65">
        <w:rPr>
          <w:b/>
          <w:bCs/>
          <w:noProof/>
          <w:lang w:val="lt-LT"/>
        </w:rPr>
        <w:t>12.</w:t>
      </w:r>
      <w:r w:rsidRPr="00933B65">
        <w:rPr>
          <w:b/>
          <w:bCs/>
          <w:noProof/>
          <w:lang w:val="lt-LT"/>
        </w:rPr>
        <w:tab/>
        <w:t xml:space="preserve">LYGIAGRETAUS IMPORTO LEIDIMO NUMERIS </w:t>
      </w:r>
    </w:p>
    <w:p w:rsidR="00044AAF" w:rsidRPr="00C21079" w:rsidRDefault="00044AAF" w:rsidP="00044AAF">
      <w:pPr>
        <w:pStyle w:val="clearformattingSM"/>
        <w:rPr>
          <w:rFonts w:cs="Times New Roman"/>
          <w:lang w:val="lt-LT"/>
        </w:rPr>
      </w:pPr>
    </w:p>
    <w:p w:rsidR="00933B65" w:rsidRPr="00933B65" w:rsidRDefault="00933B65" w:rsidP="00933B65">
      <w:pPr>
        <w:spacing w:after="0"/>
        <w:rPr>
          <w:rFonts w:eastAsia="Times New Roman"/>
          <w:lang w:val="lt-LT"/>
        </w:rPr>
      </w:pPr>
      <w:r w:rsidRPr="00933B65">
        <w:rPr>
          <w:rFonts w:eastAsia="Times New Roman"/>
          <w:lang w:val="lt-LT"/>
        </w:rPr>
        <w:t>Lyg. imp. Nr.:  LT/L/12/0072/001</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13.</w:t>
      </w:r>
      <w:r w:rsidRPr="00C21079">
        <w:rPr>
          <w:rFonts w:ascii="Times New Roman" w:hAnsi="Times New Roman" w:cs="Times New Roman"/>
        </w:rPr>
        <w:tab/>
        <w:t>SERIJOS NUMERIS</w:t>
      </w:r>
    </w:p>
    <w:p w:rsidR="00044AAF" w:rsidRPr="00C21079" w:rsidRDefault="00044AAF" w:rsidP="00044AAF">
      <w:pPr>
        <w:pStyle w:val="clearformattingSM"/>
        <w:rPr>
          <w:rFonts w:cs="Times New Roman"/>
          <w:lang w:val="lt-LT"/>
        </w:rPr>
      </w:pPr>
    </w:p>
    <w:p w:rsidR="00044AAF" w:rsidRPr="00C21079" w:rsidRDefault="00933B65" w:rsidP="00044AAF">
      <w:pPr>
        <w:pStyle w:val="clearformattingSM"/>
        <w:rPr>
          <w:rFonts w:cs="Times New Roman"/>
          <w:lang w:val="lt-LT"/>
        </w:rPr>
      </w:pPr>
      <w:r>
        <w:rPr>
          <w:rFonts w:cs="Times New Roman"/>
          <w:lang w:val="lt-LT"/>
        </w:rPr>
        <w:t>Serija:</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14.</w:t>
      </w:r>
      <w:r w:rsidRPr="00C21079">
        <w:rPr>
          <w:rFonts w:ascii="Times New Roman" w:hAnsi="Times New Roman" w:cs="Times New Roman"/>
        </w:rPr>
        <w:tab/>
        <w:t>PARDAVIMO (IŠDAVIMO) TVARKA</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r w:rsidRPr="00C21079">
        <w:rPr>
          <w:rFonts w:cs="Times New Roman"/>
          <w:lang w:val="lt-LT"/>
        </w:rPr>
        <w:t>Receptinis vaistinis preparatas.</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15.</w:t>
      </w:r>
      <w:r w:rsidRPr="00C21079">
        <w:rPr>
          <w:rFonts w:ascii="Times New Roman" w:hAnsi="Times New Roman" w:cs="Times New Roman"/>
        </w:rPr>
        <w:tab/>
        <w:t>VARTOJIMO INSTRUKCIJA</w:t>
      </w: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clearformattingSM"/>
        <w:rPr>
          <w:rFonts w:cs="Times New Roman"/>
          <w:lang w:val="lt-LT"/>
        </w:rPr>
      </w:pPr>
    </w:p>
    <w:p w:rsidR="00044AAF" w:rsidRPr="00C21079" w:rsidRDefault="00044AAF" w:rsidP="00044AAF">
      <w:pPr>
        <w:pStyle w:val="PI-1labEMEASMCA"/>
        <w:rPr>
          <w:rFonts w:ascii="Times New Roman" w:hAnsi="Times New Roman" w:cs="Times New Roman"/>
        </w:rPr>
      </w:pPr>
      <w:r w:rsidRPr="00C21079">
        <w:rPr>
          <w:rFonts w:ascii="Times New Roman" w:hAnsi="Times New Roman" w:cs="Times New Roman"/>
        </w:rPr>
        <w:t>16.</w:t>
      </w:r>
      <w:r w:rsidRPr="00C21079">
        <w:rPr>
          <w:rFonts w:ascii="Times New Roman" w:hAnsi="Times New Roman" w:cs="Times New Roman"/>
        </w:rPr>
        <w:tab/>
        <w:t>INFORMACIJA BRAILIO RAŠTU</w:t>
      </w:r>
    </w:p>
    <w:p w:rsidR="00044AAF" w:rsidRPr="00C21079" w:rsidRDefault="00044AAF" w:rsidP="00044AAF">
      <w:pPr>
        <w:pStyle w:val="clearformattingSM"/>
        <w:rPr>
          <w:rFonts w:cs="Times New Roman"/>
          <w:lang w:val="lt-LT"/>
        </w:rPr>
      </w:pPr>
    </w:p>
    <w:p w:rsidR="00933B65" w:rsidRDefault="00933B65" w:rsidP="00933B65">
      <w:pPr>
        <w:autoSpaceDE w:val="0"/>
        <w:autoSpaceDN w:val="0"/>
        <w:spacing w:after="0"/>
        <w:rPr>
          <w:lang w:val="et-EE"/>
        </w:rPr>
      </w:pPr>
      <w:r w:rsidRPr="00933B65">
        <w:rPr>
          <w:lang w:val="et-EE"/>
        </w:rPr>
        <w:t>ENCEPUR  ADULTS</w:t>
      </w:r>
    </w:p>
    <w:p w:rsidR="00933B65" w:rsidRPr="00933B65" w:rsidRDefault="00933B65" w:rsidP="00933B65">
      <w:pPr>
        <w:autoSpaceDE w:val="0"/>
        <w:autoSpaceDN w:val="0"/>
        <w:spacing w:after="0"/>
        <w:rPr>
          <w:lang w:val="et-EE"/>
        </w:rPr>
      </w:pPr>
      <w:r>
        <w:rPr>
          <w:lang w:val="et-EE"/>
        </w:rPr>
        <w:t>-------------------------------------------------------------------------------------------------------------------------------</w:t>
      </w:r>
    </w:p>
    <w:p w:rsidR="00933B65" w:rsidRPr="002033D1" w:rsidRDefault="00933B65" w:rsidP="00933B65">
      <w:pPr>
        <w:autoSpaceDE w:val="0"/>
        <w:autoSpaceDN w:val="0"/>
        <w:spacing w:after="240" w:line="360" w:lineRule="auto"/>
        <w:jc w:val="both"/>
        <w:rPr>
          <w:lang w:val="lt-LT"/>
        </w:rPr>
      </w:pPr>
      <w:r w:rsidRPr="00933B65">
        <w:rPr>
          <w:lang w:val="tg-Cyrl-TJ"/>
        </w:rPr>
        <w:t>Gamintojas:</w:t>
      </w:r>
      <w:r w:rsidRPr="00933B65">
        <w:rPr>
          <w:b/>
          <w:lang w:val="tg-Cyrl-TJ"/>
        </w:rPr>
        <w:t xml:space="preserve"> </w:t>
      </w:r>
      <w:r w:rsidRPr="00933B65">
        <w:rPr>
          <w:lang w:val="tg-Cyrl-TJ"/>
        </w:rPr>
        <w:t>Novartis Vaccines and Diagnostics GmbH</w:t>
      </w:r>
      <w:r w:rsidRPr="00933B65">
        <w:rPr>
          <w:lang w:val="lt-LT"/>
        </w:rPr>
        <w:t xml:space="preserve">, </w:t>
      </w:r>
      <w:r w:rsidRPr="00933B65">
        <w:rPr>
          <w:lang w:val="tg-Cyrl-TJ"/>
        </w:rPr>
        <w:t>Vokietija</w:t>
      </w:r>
      <w:r w:rsidR="002033D1">
        <w:rPr>
          <w:lang w:val="lt-LT"/>
        </w:rPr>
        <w:t>.</w:t>
      </w:r>
    </w:p>
    <w:p w:rsidR="00933B65" w:rsidRPr="00933B65" w:rsidRDefault="00933B65" w:rsidP="00933B65">
      <w:pPr>
        <w:spacing w:after="0"/>
        <w:rPr>
          <w:rFonts w:eastAsia="Times New Roman"/>
          <w:lang w:val="lt-LT" w:eastAsia="lt-LT"/>
        </w:rPr>
      </w:pPr>
      <w:r w:rsidRPr="00933B65">
        <w:rPr>
          <w:rFonts w:eastAsia="Times New Roman"/>
          <w:lang w:val="lt-LT" w:eastAsia="lt-LT"/>
        </w:rPr>
        <w:lastRenderedPageBreak/>
        <w:t>Perpakavo BĮ UAB „Norfachema“.</w:t>
      </w:r>
    </w:p>
    <w:p w:rsidR="00933B65" w:rsidRPr="00933B65" w:rsidRDefault="00933B65" w:rsidP="00933B65">
      <w:pPr>
        <w:spacing w:after="0"/>
        <w:rPr>
          <w:rFonts w:eastAsia="Times New Roman"/>
          <w:lang w:val="lt-LT" w:eastAsia="lt-LT"/>
        </w:rPr>
      </w:pPr>
      <w:r w:rsidRPr="00933B65">
        <w:rPr>
          <w:rFonts w:eastAsia="Times New Roman"/>
          <w:highlight w:val="lightGray"/>
          <w:lang w:val="lt-LT" w:eastAsia="lt-LT"/>
        </w:rPr>
        <w:t>Perpakavo UAB „Entafarma“.</w:t>
      </w:r>
    </w:p>
    <w:p w:rsidR="00933B65" w:rsidRDefault="00933B65" w:rsidP="00933B65">
      <w:pPr>
        <w:autoSpaceDE w:val="0"/>
        <w:autoSpaceDN w:val="0"/>
        <w:spacing w:after="240" w:line="360" w:lineRule="auto"/>
        <w:jc w:val="both"/>
        <w:rPr>
          <w:lang w:val="tg-Cyrl-TJ"/>
        </w:rPr>
      </w:pPr>
    </w:p>
    <w:p w:rsidR="00933B65" w:rsidRPr="00933B65" w:rsidRDefault="00933B65" w:rsidP="00933B65">
      <w:pPr>
        <w:autoSpaceDE w:val="0"/>
        <w:autoSpaceDN w:val="0"/>
        <w:spacing w:after="240" w:line="360" w:lineRule="auto"/>
        <w:jc w:val="both"/>
        <w:rPr>
          <w:lang w:val="lt-LT"/>
        </w:rPr>
      </w:pPr>
      <w:r w:rsidRPr="00933B65">
        <w:rPr>
          <w:lang w:val="tg-Cyrl-TJ"/>
        </w:rPr>
        <w:t xml:space="preserve">Perpak. </w:t>
      </w:r>
      <w:r w:rsidRPr="00933B65">
        <w:rPr>
          <w:lang w:val="lt-LT"/>
        </w:rPr>
        <w:t>s</w:t>
      </w:r>
      <w:r w:rsidRPr="00933B65">
        <w:rPr>
          <w:lang w:val="tg-Cyrl-TJ"/>
        </w:rPr>
        <w:t>erija</w:t>
      </w:r>
      <w:r w:rsidRPr="00933B65">
        <w:rPr>
          <w:lang w:val="lt-LT"/>
        </w:rPr>
        <w:t>:</w:t>
      </w:r>
      <w:r w:rsidRPr="00933B65">
        <w:rPr>
          <w:lang w:val="tg-Cyrl-TJ"/>
        </w:rPr>
        <w:tab/>
      </w:r>
    </w:p>
    <w:p w:rsidR="00044AAF" w:rsidRPr="00C21079" w:rsidRDefault="00044AAF" w:rsidP="00044AAF">
      <w:pPr>
        <w:pStyle w:val="clearformattingSM"/>
        <w:rPr>
          <w:rFonts w:cs="Times New Roman"/>
        </w:rPr>
      </w:pPr>
      <w:r w:rsidRPr="00C21079">
        <w:rPr>
          <w:rFonts w:cs="Times New Roman"/>
          <w:b/>
          <w:lang w:val="lt-LT"/>
        </w:rPr>
        <w:br w:type="page"/>
      </w:r>
      <w:bookmarkStart w:id="2" w:name="_Toc129243262"/>
      <w:bookmarkStart w:id="3" w:name="_Toc129243137"/>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bookmarkEnd w:id="2"/>
    <w:bookmarkEnd w:id="3"/>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tabs>
          <w:tab w:val="left" w:pos="567"/>
        </w:tabs>
        <w:spacing w:after="0"/>
        <w:ind w:left="567" w:hanging="567"/>
        <w:jc w:val="center"/>
        <w:outlineLvl w:val="0"/>
        <w:rPr>
          <w:rFonts w:eastAsia="Arial Unicode MS"/>
          <w:b/>
          <w:caps/>
          <w:lang w:val="lt-LT" w:bidi="lo-LA"/>
        </w:rPr>
      </w:pPr>
      <w:r w:rsidRPr="00C21079">
        <w:rPr>
          <w:rFonts w:eastAsia="Arial Unicode MS"/>
          <w:b/>
          <w:caps/>
          <w:lang w:val="lt-LT" w:bidi="lo-LA"/>
        </w:rPr>
        <w:t>B. PAKUOTĖS LAPELIS</w:t>
      </w:r>
    </w:p>
    <w:p w:rsidR="00044AAF" w:rsidRPr="00C21079" w:rsidRDefault="00044AAF" w:rsidP="00044AAF">
      <w:pPr>
        <w:autoSpaceDE w:val="0"/>
        <w:autoSpaceDN w:val="0"/>
        <w:spacing w:after="0"/>
        <w:jc w:val="both"/>
        <w:rPr>
          <w:rFonts w:eastAsia="Times New Roman"/>
          <w:lang w:val="lt-LT"/>
        </w:rPr>
      </w:pPr>
      <w:r w:rsidRPr="00C21079">
        <w:rPr>
          <w:lang w:val="lt-LT"/>
        </w:rPr>
        <w:br w:type="page"/>
      </w:r>
    </w:p>
    <w:p w:rsidR="00044AAF" w:rsidRPr="00C21079" w:rsidRDefault="00044AAF" w:rsidP="00044AAF">
      <w:pPr>
        <w:autoSpaceDE w:val="0"/>
        <w:autoSpaceDN w:val="0"/>
        <w:spacing w:after="0"/>
        <w:ind w:left="567" w:hanging="567"/>
        <w:jc w:val="center"/>
        <w:rPr>
          <w:rFonts w:eastAsia="Times New Roman"/>
          <w:b/>
          <w:bCs/>
          <w:lang w:val="lt-LT"/>
        </w:rPr>
      </w:pPr>
      <w:bookmarkStart w:id="4" w:name="_Toc129243138"/>
      <w:bookmarkStart w:id="5" w:name="_Toc129243263"/>
      <w:r w:rsidRPr="00C21079">
        <w:rPr>
          <w:rFonts w:eastAsia="Times New Roman"/>
          <w:b/>
          <w:bCs/>
          <w:lang w:val="lt-LT"/>
        </w:rPr>
        <w:lastRenderedPageBreak/>
        <w:t>Pakuotės lapelis: informacija vartotojui</w:t>
      </w:r>
      <w:bookmarkEnd w:id="4"/>
      <w:bookmarkEnd w:id="5"/>
    </w:p>
    <w:p w:rsidR="00044AAF" w:rsidRPr="00C21079" w:rsidRDefault="00044AAF" w:rsidP="00044AAF">
      <w:pPr>
        <w:autoSpaceDE w:val="0"/>
        <w:autoSpaceDN w:val="0"/>
        <w:spacing w:after="0"/>
        <w:ind w:left="567" w:hanging="567"/>
        <w:jc w:val="center"/>
        <w:rPr>
          <w:rFonts w:eastAsia="Times New Roman"/>
          <w:b/>
          <w:bCs/>
          <w:caps/>
          <w:lang w:val="lt-LT"/>
        </w:rPr>
      </w:pPr>
    </w:p>
    <w:p w:rsidR="00933B65" w:rsidRPr="00933B65" w:rsidRDefault="00933B65" w:rsidP="00933B65">
      <w:pPr>
        <w:autoSpaceDE w:val="0"/>
        <w:autoSpaceDN w:val="0"/>
        <w:spacing w:after="0"/>
        <w:jc w:val="center"/>
        <w:rPr>
          <w:b/>
          <w:bCs/>
          <w:lang w:val="lt-LT"/>
        </w:rPr>
      </w:pPr>
      <w:r w:rsidRPr="00933B65">
        <w:rPr>
          <w:b/>
          <w:bCs/>
          <w:lang w:val="lt-LT"/>
        </w:rPr>
        <w:t>Encepur adults 1,5 mikrogramo/0,5 ml injekcinė suspensija</w:t>
      </w:r>
    </w:p>
    <w:p w:rsidR="00044AAF" w:rsidRPr="00C21079" w:rsidRDefault="00044AAF" w:rsidP="00044AAF">
      <w:pPr>
        <w:autoSpaceDE w:val="0"/>
        <w:autoSpaceDN w:val="0"/>
        <w:spacing w:after="0"/>
        <w:ind w:left="567" w:hanging="567"/>
        <w:jc w:val="center"/>
        <w:rPr>
          <w:rFonts w:eastAsia="Times New Roman"/>
          <w:lang w:val="lt-LT"/>
        </w:rPr>
      </w:pPr>
      <w:r w:rsidRPr="00C21079">
        <w:rPr>
          <w:rFonts w:eastAsia="Times New Roman"/>
          <w:lang w:val="lt-LT"/>
        </w:rPr>
        <w:t>Vakcina nuo erkinio encefalito (inaktyvuota)</w:t>
      </w:r>
    </w:p>
    <w:p w:rsidR="00044AAF" w:rsidRPr="00C21079" w:rsidRDefault="00044AAF" w:rsidP="00044AAF">
      <w:pPr>
        <w:autoSpaceDE w:val="0"/>
        <w:autoSpaceDN w:val="0"/>
        <w:spacing w:after="0"/>
        <w:ind w:left="567" w:hanging="567"/>
        <w:rPr>
          <w:rFonts w:eastAsia="Times New Roman"/>
          <w:lang w:val="lt-LT"/>
        </w:rPr>
      </w:pPr>
    </w:p>
    <w:p w:rsidR="00620BA7" w:rsidRPr="00620BA7" w:rsidRDefault="00620BA7" w:rsidP="00620BA7">
      <w:pPr>
        <w:spacing w:after="0"/>
        <w:rPr>
          <w:rFonts w:eastAsia="Batang"/>
          <w:b/>
          <w:noProof/>
          <w:lang w:val="lt-LT"/>
        </w:rPr>
      </w:pPr>
      <w:r w:rsidRPr="00620BA7">
        <w:rPr>
          <w:rFonts w:eastAsia="Batang"/>
          <w:b/>
          <w:noProof/>
          <w:lang w:val="lt-LT"/>
        </w:rPr>
        <w:t>Atidžiai perskaitykite visą šį lapelį, prieš pradėdami vartoti vaistą, nes jame pateikiama Jums svarbi informacija.</w:t>
      </w:r>
    </w:p>
    <w:p w:rsidR="00620BA7" w:rsidRPr="00620BA7" w:rsidRDefault="00620BA7" w:rsidP="00620BA7">
      <w:pPr>
        <w:numPr>
          <w:ilvl w:val="0"/>
          <w:numId w:val="7"/>
        </w:numPr>
        <w:spacing w:after="0" w:line="259" w:lineRule="auto"/>
        <w:contextualSpacing/>
        <w:rPr>
          <w:rFonts w:eastAsia="Batang"/>
          <w:lang w:val="lt-LT"/>
        </w:rPr>
      </w:pPr>
      <w:r w:rsidRPr="00620BA7">
        <w:rPr>
          <w:rFonts w:eastAsia="Batang"/>
          <w:lang w:val="lt-LT"/>
        </w:rPr>
        <w:t xml:space="preserve">Neišmeskite šio lapelio, nes vėl gali prireikti jį perskaityti. </w:t>
      </w:r>
    </w:p>
    <w:p w:rsidR="00620BA7" w:rsidRPr="00620BA7" w:rsidRDefault="00620BA7" w:rsidP="00620BA7">
      <w:pPr>
        <w:numPr>
          <w:ilvl w:val="0"/>
          <w:numId w:val="7"/>
        </w:numPr>
        <w:spacing w:after="0" w:line="259" w:lineRule="auto"/>
        <w:contextualSpacing/>
        <w:rPr>
          <w:rFonts w:eastAsia="Batang"/>
          <w:lang w:val="lt-LT"/>
        </w:rPr>
      </w:pPr>
      <w:r w:rsidRPr="00620BA7">
        <w:rPr>
          <w:rFonts w:eastAsia="Batang"/>
          <w:lang w:val="lt-LT"/>
        </w:rPr>
        <w:t>Jeigu kiltų daugiau klau</w:t>
      </w:r>
      <w:r>
        <w:rPr>
          <w:rFonts w:eastAsia="Batang"/>
          <w:lang w:val="lt-LT"/>
        </w:rPr>
        <w:t>simų, kreipkitės į gydytoją,</w:t>
      </w:r>
      <w:r w:rsidRPr="00620BA7">
        <w:rPr>
          <w:rFonts w:eastAsia="Batang"/>
          <w:lang w:val="lt-LT"/>
        </w:rPr>
        <w:t xml:space="preserve"> vaistininką</w:t>
      </w:r>
      <w:r>
        <w:rPr>
          <w:rFonts w:eastAsia="Batang"/>
          <w:lang w:val="lt-LT"/>
        </w:rPr>
        <w:t xml:space="preserve"> arba slaugytoją</w:t>
      </w:r>
      <w:r w:rsidRPr="00620BA7">
        <w:rPr>
          <w:rFonts w:eastAsia="Batang"/>
          <w:lang w:val="lt-LT"/>
        </w:rPr>
        <w:t xml:space="preserve">. </w:t>
      </w:r>
    </w:p>
    <w:p w:rsidR="00620BA7" w:rsidRPr="00620BA7" w:rsidRDefault="00620BA7" w:rsidP="00620BA7">
      <w:pPr>
        <w:numPr>
          <w:ilvl w:val="0"/>
          <w:numId w:val="7"/>
        </w:numPr>
        <w:spacing w:after="0" w:line="259" w:lineRule="auto"/>
        <w:contextualSpacing/>
        <w:rPr>
          <w:rFonts w:eastAsia="Batang"/>
          <w:lang w:val="lt-LT"/>
        </w:rPr>
      </w:pPr>
      <w:r w:rsidRPr="00620BA7">
        <w:rPr>
          <w:rFonts w:eastAsia="Batang"/>
          <w:lang w:val="lt-LT"/>
        </w:rPr>
        <w:t xml:space="preserve">Šis vaistas skirtas </w:t>
      </w:r>
      <w:r>
        <w:rPr>
          <w:rFonts w:eastAsia="Batang"/>
          <w:lang w:val="lt-LT"/>
        </w:rPr>
        <w:t xml:space="preserve">tik </w:t>
      </w:r>
      <w:r w:rsidRPr="00620BA7">
        <w:rPr>
          <w:rFonts w:eastAsia="Batang"/>
          <w:lang w:val="lt-LT"/>
        </w:rPr>
        <w:t xml:space="preserve">Jums, todėl kitiems žmonėms jo duoti negalima. </w:t>
      </w:r>
      <w:r w:rsidRPr="00620BA7">
        <w:rPr>
          <w:rFonts w:eastAsia="Batang"/>
          <w:noProof/>
          <w:lang w:val="lt-LT"/>
        </w:rPr>
        <w:t xml:space="preserve">Vaistas </w:t>
      </w:r>
      <w:r w:rsidRPr="00620BA7">
        <w:rPr>
          <w:rFonts w:eastAsia="Batang"/>
          <w:lang w:val="lt-LT"/>
        </w:rPr>
        <w:t xml:space="preserve">gali jiems pakenkti </w:t>
      </w:r>
      <w:r w:rsidRPr="00620BA7">
        <w:rPr>
          <w:rFonts w:eastAsia="Batang"/>
          <w:noProof/>
          <w:lang w:val="lt-LT"/>
        </w:rPr>
        <w:t xml:space="preserve">(net tiems, kurių ligos požymiai yra tokie patys kaip Jūsų). </w:t>
      </w:r>
    </w:p>
    <w:p w:rsidR="00620BA7" w:rsidRPr="00620BA7" w:rsidRDefault="00620BA7" w:rsidP="00620BA7">
      <w:pPr>
        <w:numPr>
          <w:ilvl w:val="0"/>
          <w:numId w:val="7"/>
        </w:numPr>
        <w:tabs>
          <w:tab w:val="left" w:pos="720"/>
        </w:tabs>
        <w:spacing w:after="0" w:line="259" w:lineRule="auto"/>
        <w:contextualSpacing/>
        <w:rPr>
          <w:rFonts w:eastAsia="Batang"/>
          <w:noProof/>
          <w:lang w:val="lt-LT"/>
        </w:rPr>
      </w:pPr>
      <w:r w:rsidRPr="00620BA7">
        <w:rPr>
          <w:rFonts w:eastAsia="Batang"/>
          <w:noProof/>
          <w:lang w:val="lt-LT"/>
        </w:rPr>
        <w:t>Jeigu pasireiškė šalutinis poveikis (net jeigu jis šiame lapelyje nenurodyta</w:t>
      </w:r>
      <w:r>
        <w:rPr>
          <w:rFonts w:eastAsia="Batang"/>
          <w:noProof/>
          <w:lang w:val="lt-LT"/>
        </w:rPr>
        <w:t xml:space="preserve">s), kreipkitės į gydytoją, </w:t>
      </w:r>
      <w:r w:rsidRPr="00620BA7">
        <w:rPr>
          <w:rFonts w:eastAsia="Batang"/>
          <w:noProof/>
          <w:lang w:val="lt-LT"/>
        </w:rPr>
        <w:t>vaistininką</w:t>
      </w:r>
      <w:r>
        <w:rPr>
          <w:rFonts w:eastAsia="Batang"/>
          <w:noProof/>
          <w:lang w:val="lt-LT"/>
        </w:rPr>
        <w:t xml:space="preserve"> arba slaugytoją</w:t>
      </w:r>
      <w:r w:rsidRPr="00620BA7">
        <w:rPr>
          <w:rFonts w:eastAsia="Batang"/>
          <w:noProof/>
          <w:lang w:val="lt-LT"/>
        </w:rPr>
        <w:t>. Žr. 4 skyrių.</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Apie ką rašoma šiame lapelyje?</w:t>
      </w:r>
    </w:p>
    <w:p w:rsidR="00044AAF" w:rsidRPr="00C21079" w:rsidRDefault="00044AAF" w:rsidP="00044AAF">
      <w:pPr>
        <w:autoSpaceDE w:val="0"/>
        <w:autoSpaceDN w:val="0"/>
        <w:spacing w:after="0"/>
        <w:ind w:left="567" w:hanging="567"/>
        <w:rPr>
          <w:rFonts w:eastAsia="Times New Roman"/>
          <w:b/>
          <w:bCs/>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1.</w:t>
      </w:r>
      <w:r w:rsidRPr="00C21079">
        <w:rPr>
          <w:rFonts w:eastAsia="Times New Roman"/>
          <w:lang w:val="lt-LT"/>
        </w:rPr>
        <w:tab/>
        <w:t>Kas yra Encepur adults ir kam jis vartojamas</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2.</w:t>
      </w:r>
      <w:r w:rsidRPr="00C21079">
        <w:rPr>
          <w:rFonts w:eastAsia="Times New Roman"/>
          <w:lang w:val="lt-LT"/>
        </w:rPr>
        <w:tab/>
        <w:t>Kas žinotina prieš vartojant Encepur adults</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3.</w:t>
      </w:r>
      <w:r w:rsidRPr="00C21079">
        <w:rPr>
          <w:rFonts w:eastAsia="Times New Roman"/>
          <w:lang w:val="lt-LT"/>
        </w:rPr>
        <w:tab/>
        <w:t>Kaip vartoti Encepur adults</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4.</w:t>
      </w:r>
      <w:r w:rsidRPr="00C21079">
        <w:rPr>
          <w:rFonts w:eastAsia="Times New Roman"/>
          <w:lang w:val="lt-LT"/>
        </w:rPr>
        <w:tab/>
        <w:t>Galimas šalutinis poveikis</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5.</w:t>
      </w:r>
      <w:r w:rsidRPr="00C21079">
        <w:rPr>
          <w:rFonts w:eastAsia="Times New Roman"/>
          <w:b/>
          <w:bCs/>
          <w:lang w:val="lt-LT"/>
        </w:rPr>
        <w:tab/>
      </w:r>
      <w:r w:rsidRPr="00C21079">
        <w:rPr>
          <w:rFonts w:eastAsia="Times New Roman"/>
          <w:lang w:val="lt-LT"/>
        </w:rPr>
        <w:t>Kaip laikyti Encepur adults</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6.</w:t>
      </w:r>
      <w:r w:rsidRPr="00C21079">
        <w:rPr>
          <w:rFonts w:eastAsia="Times New Roman"/>
          <w:lang w:val="lt-LT"/>
        </w:rPr>
        <w:tab/>
        <w:t>Pakuotės turinys ir kita informacija</w:t>
      </w: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sidRPr="00C21079">
        <w:rPr>
          <w:rFonts w:eastAsia="Times New Roman"/>
          <w:b/>
          <w:kern w:val="28"/>
          <w:lang w:val="lt-LT" w:eastAsia="lt-LT"/>
        </w:rPr>
        <w:t>1.</w:t>
      </w:r>
      <w:r w:rsidRPr="00C21079">
        <w:rPr>
          <w:rFonts w:eastAsia="Times New Roman"/>
          <w:b/>
          <w:kern w:val="28"/>
          <w:lang w:val="lt-LT" w:eastAsia="lt-LT"/>
        </w:rPr>
        <w:tab/>
        <w:t>Kas yra Encepur adults ir kam jis vartojamas</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 xml:space="preserve">Encepur adults yra vakcina nuo erkių pernešamo encefalito. Ji vartojama 12 metų ir vyresnių asmenų aktyviajai imunizacijai nuo erkių pernešamo encefalito. Šią ligą sukelia erkinio encefalito virusas </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(EEV), kurį perduoda įsisiurbusi erkė.</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C37DCD" w:rsidP="00044AAF">
      <w:pPr>
        <w:autoSpaceDE w:val="0"/>
        <w:autoSpaceDN w:val="0"/>
        <w:spacing w:after="0"/>
        <w:ind w:left="567" w:hanging="567"/>
        <w:rPr>
          <w:rFonts w:eastAsia="Times New Roman"/>
          <w:lang w:val="lt-LT"/>
        </w:rPr>
      </w:pPr>
      <w:r>
        <w:rPr>
          <w:rFonts w:eastAsia="Times New Roman"/>
          <w:lang w:val="lt-LT"/>
        </w:rPr>
        <w:t>Skiepyt</w:t>
      </w:r>
      <w:r w:rsidR="00044AAF" w:rsidRPr="00C21079">
        <w:rPr>
          <w:rFonts w:eastAsia="Times New Roman"/>
          <w:lang w:val="lt-LT"/>
        </w:rPr>
        <w:t xml:space="preserve">i reikia tuos asmenis, kurie laikinai arba nuolat būna erkių pernešamo encefalito endeminėse </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srityse.</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color w:val="000000"/>
          <w:lang w:val="lt-LT"/>
        </w:rPr>
        <w:t>Vakcinacija nuo erkinio encefalito neapsaugo nuo kitų erkių pernešamų ligų (pvz., boreliozės).</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sidRPr="00C21079">
        <w:rPr>
          <w:rFonts w:eastAsia="Times New Roman"/>
          <w:b/>
          <w:kern w:val="28"/>
          <w:lang w:val="lt-LT" w:eastAsia="lt-LT"/>
        </w:rPr>
        <w:t>2.</w:t>
      </w:r>
      <w:r w:rsidRPr="00C21079">
        <w:rPr>
          <w:rFonts w:eastAsia="Times New Roman"/>
          <w:b/>
          <w:kern w:val="28"/>
          <w:lang w:val="lt-LT" w:eastAsia="lt-LT"/>
        </w:rPr>
        <w:tab/>
        <w:t>Kas žinotina prieš vartojant Encepur adults</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b/>
          <w:bCs/>
          <w:caps/>
          <w:lang w:val="lt-LT"/>
        </w:rPr>
      </w:pPr>
      <w:r w:rsidRPr="00C21079">
        <w:rPr>
          <w:rFonts w:eastAsia="Times New Roman"/>
          <w:b/>
          <w:bCs/>
          <w:lang w:val="lt-LT"/>
        </w:rPr>
        <w:t>Encepur adults vartoti negalima:</w:t>
      </w: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t>-</w:t>
      </w:r>
      <w:r w:rsidRPr="00C21079">
        <w:rPr>
          <w:rFonts w:eastAsia="Times New Roman"/>
          <w:lang w:val="lt-LT"/>
        </w:rPr>
        <w:tab/>
        <w:t>jeigu yra padidėjęs jautrumas bet kuriai sudedamajai šios vakcinos medžiagai, įskaitant pagalbines medžiagas arba gamyboje naudojamų medžiagų likučius (pvz. chlortetraciklinas, gentamicinas, neomicinas, formaldehidas, kiaušiniai, vištienos baltymai, tokie kaip ovalbuminas).</w:t>
      </w: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t>-</w:t>
      </w:r>
      <w:r w:rsidRPr="00C21079">
        <w:rPr>
          <w:rFonts w:eastAsia="Times New Roman"/>
          <w:lang w:val="lt-LT"/>
        </w:rPr>
        <w:tab/>
        <w:t>jeigu esate patyręs neurologinių sutrikimų, kurie pasireiškė po ankstesnių tos pačios vakcinos injekcijų;</w:t>
      </w:r>
    </w:p>
    <w:p w:rsidR="00044AAF" w:rsidRPr="00C21079" w:rsidRDefault="00044AAF" w:rsidP="00044AAF">
      <w:pPr>
        <w:numPr>
          <w:ilvl w:val="12"/>
          <w:numId w:val="0"/>
        </w:num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Įspėjimai ir atsargumo priemonės</w:t>
      </w: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t>Pasitarkite su gydytoju, vaistininku arba slaugytoja, prieš pradėdami vartoti Encepur adults.</w:t>
      </w:r>
    </w:p>
    <w:p w:rsidR="00044AAF" w:rsidRPr="00C21079" w:rsidRDefault="00044AAF" w:rsidP="00044AAF">
      <w:pPr>
        <w:numPr>
          <w:ilvl w:val="12"/>
          <w:numId w:val="0"/>
        </w:numPr>
        <w:autoSpaceDE w:val="0"/>
        <w:autoSpaceDN w:val="0"/>
        <w:spacing w:after="0"/>
        <w:ind w:left="567" w:hanging="567"/>
        <w:rPr>
          <w:rFonts w:eastAsia="Times New Roman"/>
          <w:lang w:val="lt-LT"/>
        </w:rPr>
      </w:pP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t>-</w:t>
      </w:r>
      <w:r w:rsidRPr="00C21079">
        <w:rPr>
          <w:rFonts w:eastAsia="Times New Roman"/>
          <w:lang w:val="lt-LT"/>
        </w:rPr>
        <w:tab/>
        <w:t>Pasakykite gydytojui, jeigu sergate ūminėmis ligomis, kurioms būtinas gydymas. Vakcinuoti galima tik pasveikus, bet ne anksčiau kaip po dviejų savaičių.</w:t>
      </w: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lastRenderedPageBreak/>
        <w:t>-</w:t>
      </w:r>
      <w:r w:rsidRPr="00C21079">
        <w:rPr>
          <w:rFonts w:eastAsia="Times New Roman"/>
          <w:lang w:val="lt-LT"/>
        </w:rPr>
        <w:tab/>
        <w:t>Jūsų gydytojas turėtų atidžiai įvertinti, ar Jus būtina vakcinuoti, jeigu anksčiau yra buvę smegenų pažeidimų.</w:t>
      </w: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t>-</w:t>
      </w:r>
      <w:r w:rsidRPr="00C21079">
        <w:rPr>
          <w:rFonts w:eastAsia="Times New Roman"/>
          <w:lang w:val="lt-LT"/>
        </w:rPr>
        <w:tab/>
        <w:t>Gydytojas arba slaugytoja pasirūpins, kad Encepur adults nebūtų sušvirkštas į kraujagyslę.</w:t>
      </w:r>
    </w:p>
    <w:p w:rsidR="00044AAF" w:rsidRPr="00C21079" w:rsidRDefault="00044AAF" w:rsidP="00044AAF">
      <w:pPr>
        <w:autoSpaceDE w:val="0"/>
        <w:autoSpaceDN w:val="0"/>
        <w:spacing w:after="0"/>
        <w:ind w:left="567" w:hanging="567"/>
        <w:rPr>
          <w:rFonts w:eastAsia="Times New Roman"/>
          <w:color w:val="000000"/>
          <w:lang w:val="lt-LT"/>
        </w:rPr>
      </w:pPr>
      <w:r w:rsidRPr="00C21079">
        <w:rPr>
          <w:rFonts w:eastAsia="Times New Roman"/>
          <w:lang w:val="lt-LT"/>
        </w:rPr>
        <w:t>-</w:t>
      </w:r>
      <w:r w:rsidRPr="00C21079">
        <w:rPr>
          <w:rFonts w:eastAsia="Times New Roman"/>
          <w:lang w:val="lt-LT"/>
        </w:rPr>
        <w:tab/>
      </w:r>
      <w:r w:rsidRPr="00C21079">
        <w:rPr>
          <w:rFonts w:eastAsia="Times New Roman"/>
          <w:color w:val="000000"/>
          <w:lang w:val="lt-LT"/>
        </w:rPr>
        <w:t>Jūsų gydytojas apsvarstys vakcinavimo galimybę, jeigu sergate lėtinėmis ligomis, nes yra tam tikra sunkių ligų komplikacijų rizika, kurios galima išvengti Jus skiepijant. Gydytojas Jus informuos apie skiepijimo naudą, lyginant su ligos rizika. Nėra įrodymų, kad ligos epizodai, pasireiškiantys skiepijimo metu, gali būti nuo vakcinos.</w:t>
      </w:r>
    </w:p>
    <w:p w:rsidR="00044AAF" w:rsidRPr="00C21079" w:rsidRDefault="00044AAF" w:rsidP="00044AAF">
      <w:pPr>
        <w:autoSpaceDE w:val="0"/>
        <w:autoSpaceDN w:val="0"/>
        <w:spacing w:after="0"/>
        <w:ind w:left="567" w:hanging="567"/>
        <w:rPr>
          <w:rFonts w:eastAsia="Times New Roman"/>
          <w:color w:val="000000"/>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i/>
          <w:iCs/>
          <w:lang w:val="lt-LT"/>
        </w:rPr>
        <w:t xml:space="preserve">Lateksui jautriems asmenims. </w:t>
      </w:r>
      <w:r w:rsidRPr="00C21079">
        <w:rPr>
          <w:rFonts w:eastAsia="Times New Roman"/>
          <w:lang w:val="lt-LT"/>
        </w:rPr>
        <w:t>Nors švirkšto galiuko dangtelio sudėtyje nėra natūralios gumos latekso, nenustatyta, ar lateksui jautriems asmenims saugu vartoti Encepur adults.</w:t>
      </w:r>
    </w:p>
    <w:p w:rsidR="00044AAF" w:rsidRPr="00C21079" w:rsidRDefault="00044AAF" w:rsidP="00044AAF">
      <w:pPr>
        <w:autoSpaceDE w:val="0"/>
        <w:autoSpaceDN w:val="0"/>
        <w:spacing w:after="0"/>
        <w:ind w:left="567" w:hanging="567"/>
        <w:rPr>
          <w:rFonts w:eastAsia="Times New Roman"/>
          <w:color w:val="000000"/>
          <w:lang w:val="lt-LT"/>
        </w:rPr>
      </w:pPr>
    </w:p>
    <w:p w:rsidR="00044AAF" w:rsidRPr="00C21079" w:rsidRDefault="00044AAF" w:rsidP="00044AAF">
      <w:pPr>
        <w:autoSpaceDE w:val="0"/>
        <w:autoSpaceDN w:val="0"/>
        <w:spacing w:after="0"/>
        <w:jc w:val="both"/>
        <w:rPr>
          <w:rFonts w:eastAsia="Times New Roman"/>
          <w:lang w:val="tg-Cyrl-TJ"/>
        </w:rPr>
      </w:pPr>
      <w:r w:rsidRPr="00C21079">
        <w:rPr>
          <w:rFonts w:eastAsia="Times New Roman"/>
          <w:b/>
          <w:lang w:val="tg-Cyrl-TJ"/>
        </w:rPr>
        <w:t>Vaikams ir paaugliams</w:t>
      </w:r>
    </w:p>
    <w:p w:rsidR="00044AAF" w:rsidRPr="00C21079" w:rsidRDefault="00044AAF" w:rsidP="00044AAF">
      <w:pPr>
        <w:autoSpaceDE w:val="0"/>
        <w:autoSpaceDN w:val="0"/>
        <w:spacing w:after="0"/>
        <w:jc w:val="both"/>
        <w:rPr>
          <w:rFonts w:eastAsia="Times New Roman"/>
          <w:lang w:val="tg-Cyrl-TJ"/>
        </w:rPr>
      </w:pPr>
      <w:r w:rsidRPr="00C21079">
        <w:rPr>
          <w:rFonts w:eastAsia="Times New Roman"/>
          <w:lang w:val="tg-Cyrl-TJ"/>
        </w:rPr>
        <w:t>Encepur adults negalima vartoti jaunesniems nei 12 metų vaikams.</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Kiti vaistai ir Encepur adults</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Jeigu vartojate ar neseniai vartojote kitų vaistų arba dėl to nesate tikri, apie tai pasakykite gydytojui arba vaistininkui.</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Reikia imtis atsargumo priemonių jei skiepijant Encepur adults, kartu vartojate bet kurį iš išvardytų vaistų:</w:t>
      </w:r>
    </w:p>
    <w:p w:rsidR="00044AAF" w:rsidRPr="00C21079" w:rsidRDefault="00044AAF" w:rsidP="00044AAF">
      <w:pPr>
        <w:autoSpaceDE w:val="0"/>
        <w:autoSpaceDN w:val="0"/>
        <w:spacing w:after="0"/>
        <w:ind w:left="1290" w:hanging="1290"/>
        <w:rPr>
          <w:rFonts w:eastAsia="Times New Roman"/>
          <w:lang w:val="lt-LT"/>
        </w:rPr>
      </w:pPr>
      <w:r w:rsidRPr="00C21079">
        <w:rPr>
          <w:rFonts w:eastAsia="Times New Roman"/>
          <w:lang w:val="lt-LT"/>
        </w:rPr>
        <w:t>-</w:t>
      </w:r>
      <w:r w:rsidRPr="00C21079">
        <w:rPr>
          <w:rFonts w:eastAsia="Times New Roman"/>
          <w:lang w:val="lt-LT"/>
        </w:rPr>
        <w:tab/>
        <w:t>vaistų, kurie slopina imuninę sistemą. Pasakykite gydytojui, jeigu esate gydomas tokiais vaistais. Imuninės Jūsų organizmo reakcijos gali būti susilpnėjusios. Dėl šios priežasties, vakcina gali būti ne tokia veiksminga.</w:t>
      </w:r>
    </w:p>
    <w:p w:rsidR="00044AAF" w:rsidRPr="00C21079" w:rsidRDefault="00044AAF" w:rsidP="00044AAF">
      <w:pPr>
        <w:numPr>
          <w:ilvl w:val="12"/>
          <w:numId w:val="0"/>
        </w:numPr>
        <w:autoSpaceDE w:val="0"/>
        <w:autoSpaceDN w:val="0"/>
        <w:spacing w:after="0"/>
        <w:ind w:left="567" w:hanging="567"/>
        <w:rPr>
          <w:rFonts w:eastAsia="Times New Roman"/>
          <w:lang w:val="lt-LT"/>
        </w:rPr>
      </w:pPr>
      <w:r w:rsidRPr="00C21079">
        <w:rPr>
          <w:rFonts w:eastAsia="Times New Roman"/>
          <w:lang w:val="lt-LT"/>
        </w:rPr>
        <w:t>Encepur adults galima vartoti tuo pačiu metu su kitomis vakcinomis.</w:t>
      </w:r>
    </w:p>
    <w:p w:rsidR="00044AAF" w:rsidRPr="00C21079" w:rsidRDefault="00044AAF" w:rsidP="00044AAF">
      <w:pPr>
        <w:numPr>
          <w:ilvl w:val="12"/>
          <w:numId w:val="0"/>
        </w:num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Nėštumas ir žindymo laikotarpis</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Jeigu esate nėščia, žindote kūdikį, manote, kad galbūt esate nėščia arba planuojate pastoti, tai prieš vartodama šią vakciną</w:t>
      </w:r>
      <w:r w:rsidR="005E20E6">
        <w:rPr>
          <w:rFonts w:eastAsia="Times New Roman"/>
          <w:lang w:val="lt-LT"/>
        </w:rPr>
        <w:t>,</w:t>
      </w:r>
      <w:r w:rsidRPr="00C21079">
        <w:rPr>
          <w:rFonts w:eastAsia="Times New Roman"/>
          <w:lang w:val="lt-LT"/>
        </w:rPr>
        <w:t xml:space="preserve"> pasitarkite su gydytoju arba vaistininku. </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Encepur adults vartojimo nėštumo ir žindymo laikotarpiu saugumas klinikiniais tyrimais nenustatytas. Todėl šia vakcina vakcinuoti nėščias ir kūdikį žindančias moteris galima tik atidžiai įvertinus jos naudą ir galimą pavojų.</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Vairavimas ir mechanizmų valdymas</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Vairavimui skiepijimas vakcina Encepur adults įtakos nedaro.</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spacing w:after="0" w:line="220" w:lineRule="exact"/>
        <w:rPr>
          <w:b/>
          <w:bCs/>
          <w:lang w:val="lt-LT"/>
        </w:rPr>
      </w:pPr>
      <w:r w:rsidRPr="00C21079">
        <w:rPr>
          <w:b/>
          <w:bCs/>
          <w:lang w:val="lt-LT"/>
        </w:rPr>
        <w:t xml:space="preserve">Encepur adults </w:t>
      </w:r>
      <w:r w:rsidR="005E20E6">
        <w:rPr>
          <w:b/>
          <w:bCs/>
          <w:lang w:val="lt-LT"/>
        </w:rPr>
        <w:t>sudėtyje yra natrio</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Šios vakcinos dozėje yra mažiau kaip 1 mmol (23 mg) natrio, t.y. jis beveik neturi reikšmės.</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sidRPr="00C21079">
        <w:rPr>
          <w:rFonts w:eastAsia="Times New Roman"/>
          <w:b/>
          <w:kern w:val="28"/>
          <w:lang w:val="lt-LT" w:eastAsia="lt-LT"/>
        </w:rPr>
        <w:t>3.</w:t>
      </w:r>
      <w:r w:rsidRPr="00C21079">
        <w:rPr>
          <w:rFonts w:eastAsia="Times New Roman"/>
          <w:b/>
          <w:kern w:val="28"/>
          <w:lang w:val="lt-LT" w:eastAsia="lt-LT"/>
        </w:rPr>
        <w:tab/>
        <w:t>Kaip vartoti Encepur adults</w:t>
      </w:r>
    </w:p>
    <w:p w:rsidR="00044AAF" w:rsidRPr="00C21079" w:rsidRDefault="00044AAF" w:rsidP="00044AAF">
      <w:pPr>
        <w:autoSpaceDE w:val="0"/>
        <w:autoSpaceDN w:val="0"/>
        <w:spacing w:after="0"/>
        <w:ind w:left="567" w:hanging="567"/>
        <w:rPr>
          <w:rFonts w:eastAsia="Times New Roman"/>
          <w:lang w:val="lt-LT"/>
        </w:rPr>
      </w:pPr>
    </w:p>
    <w:p w:rsidR="00044AAF" w:rsidRPr="00C864ED" w:rsidRDefault="00C864ED" w:rsidP="00C864ED">
      <w:pPr>
        <w:tabs>
          <w:tab w:val="left" w:pos="540"/>
        </w:tabs>
        <w:spacing w:after="0"/>
        <w:rPr>
          <w:rFonts w:eastAsiaTheme="minorHAnsi"/>
          <w:lang w:val="lt-LT"/>
        </w:rPr>
      </w:pPr>
      <w:r w:rsidRPr="00C864ED">
        <w:rPr>
          <w:rFonts w:eastAsia="Batang"/>
          <w:noProof/>
          <w:lang w:val="lt-LT"/>
        </w:rPr>
        <w:t xml:space="preserve">Visada vartokite šį vaistą </w:t>
      </w:r>
      <w:r>
        <w:rPr>
          <w:rFonts w:eastAsia="Batang"/>
          <w:lang w:val="lt-LT"/>
        </w:rPr>
        <w:t xml:space="preserve">tiksliai kaip nurodė </w:t>
      </w:r>
      <w:r w:rsidRPr="00C864ED">
        <w:rPr>
          <w:rFonts w:eastAsia="Batang"/>
          <w:lang w:val="lt-LT"/>
        </w:rPr>
        <w:t xml:space="preserve">gydytojas. </w:t>
      </w:r>
      <w:r w:rsidRPr="00C864ED">
        <w:rPr>
          <w:rFonts w:eastAsiaTheme="minorHAnsi"/>
          <w:lang w:val="lt-LT"/>
        </w:rPr>
        <w:t>Jeigu abejojate, kreipkitės į gydytoją arba vaistininką.</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numPr>
          <w:ilvl w:val="0"/>
          <w:numId w:val="1"/>
        </w:numPr>
        <w:autoSpaceDE w:val="0"/>
        <w:autoSpaceDN w:val="0"/>
        <w:spacing w:after="0" w:line="360" w:lineRule="auto"/>
        <w:ind w:hanging="720"/>
        <w:jc w:val="both"/>
        <w:rPr>
          <w:rFonts w:eastAsia="Times New Roman"/>
          <w:i/>
          <w:u w:val="single"/>
          <w:lang w:val="lt-LT"/>
        </w:rPr>
      </w:pPr>
      <w:r w:rsidRPr="00C21079">
        <w:rPr>
          <w:rFonts w:eastAsia="Times New Roman"/>
          <w:i/>
          <w:iCs/>
          <w:u w:val="single"/>
          <w:lang w:val="lt-LT"/>
        </w:rPr>
        <w:t>Pirminė imunizacija</w:t>
      </w:r>
    </w:p>
    <w:p w:rsidR="00044AAF" w:rsidRPr="00C21079" w:rsidRDefault="00044AAF" w:rsidP="00044AAF">
      <w:pPr>
        <w:autoSpaceDE w:val="0"/>
        <w:autoSpaceDN w:val="0"/>
        <w:spacing w:after="0"/>
        <w:rPr>
          <w:rFonts w:eastAsia="Times New Roman"/>
          <w:u w:val="single"/>
          <w:lang w:val="lt-LT"/>
        </w:rPr>
      </w:pPr>
      <w:r w:rsidRPr="00C21079">
        <w:rPr>
          <w:rFonts w:eastAsia="Times New Roman"/>
          <w:u w:val="single"/>
          <w:lang w:val="lt-LT"/>
        </w:rPr>
        <w:t>Įprastinė imunizacijos schema</w:t>
      </w:r>
      <w:r w:rsidRPr="00C21079">
        <w:rPr>
          <w:rFonts w:eastAsia="Times New Roman"/>
          <w:iCs/>
          <w:u w:val="single"/>
          <w:lang w:val="lt-LT"/>
        </w:rPr>
        <w:t>:</w:t>
      </w:r>
    </w:p>
    <w:p w:rsidR="00044AAF" w:rsidRPr="00C21079" w:rsidRDefault="00044AAF" w:rsidP="00044AAF">
      <w:pPr>
        <w:autoSpaceDE w:val="0"/>
        <w:autoSpaceDN w:val="0"/>
        <w:spacing w:after="0"/>
        <w:rPr>
          <w:rFonts w:eastAsia="Times New Roman"/>
          <w:lang w:val="lt-LT"/>
        </w:rPr>
      </w:pPr>
      <w:r w:rsidRPr="00C21079">
        <w:rPr>
          <w:rFonts w:eastAsia="Times New Roman"/>
          <w:iCs/>
          <w:lang w:val="lt-LT"/>
        </w:rPr>
        <w:t xml:space="preserve">- Pirma dozė (0 </w:t>
      </w:r>
      <w:r w:rsidRPr="00C21079">
        <w:rPr>
          <w:rFonts w:eastAsia="Times New Roman"/>
          <w:lang w:val="lt-LT"/>
        </w:rPr>
        <w:t>diena</w:t>
      </w:r>
      <w:r w:rsidRPr="00C21079">
        <w:rPr>
          <w:rFonts w:eastAsia="Times New Roman"/>
          <w:iCs/>
          <w:lang w:val="lt-LT"/>
        </w:rPr>
        <w:t>)</w:t>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lang w:val="lt-LT"/>
        </w:rPr>
        <w:t>0,</w:t>
      </w:r>
      <w:r w:rsidRPr="00C21079">
        <w:rPr>
          <w:rFonts w:eastAsia="Times New Roman"/>
          <w:iCs/>
          <w:lang w:val="lt-LT"/>
        </w:rPr>
        <w:t>50 </w:t>
      </w:r>
      <w:r w:rsidRPr="00C21079">
        <w:rPr>
          <w:rFonts w:eastAsia="Times New Roman"/>
          <w:lang w:val="lt-LT"/>
        </w:rPr>
        <w:t>ml</w:t>
      </w:r>
    </w:p>
    <w:p w:rsidR="00044AAF" w:rsidRPr="00C21079" w:rsidRDefault="00044AAF" w:rsidP="00044AAF">
      <w:pPr>
        <w:autoSpaceDE w:val="0"/>
        <w:autoSpaceDN w:val="0"/>
        <w:spacing w:after="0"/>
        <w:rPr>
          <w:rFonts w:eastAsia="Times New Roman"/>
          <w:lang w:val="lt-LT"/>
        </w:rPr>
      </w:pPr>
      <w:r w:rsidRPr="00C21079">
        <w:rPr>
          <w:rFonts w:eastAsia="Times New Roman"/>
          <w:iCs/>
          <w:lang w:val="lt-LT"/>
        </w:rPr>
        <w:t>- Antra dozė (</w:t>
      </w:r>
      <w:r w:rsidRPr="00C21079">
        <w:rPr>
          <w:rFonts w:eastAsia="Times New Roman"/>
          <w:lang w:val="lt-LT"/>
        </w:rPr>
        <w:t xml:space="preserve">1-3 </w:t>
      </w:r>
      <w:r w:rsidRPr="00C21079">
        <w:rPr>
          <w:rFonts w:eastAsia="Times New Roman"/>
          <w:iCs/>
          <w:lang w:val="lt-LT"/>
        </w:rPr>
        <w:t xml:space="preserve">mėnesiai po </w:t>
      </w:r>
      <w:r w:rsidRPr="00C21079">
        <w:rPr>
          <w:rFonts w:eastAsia="Times New Roman"/>
          <w:lang w:val="lt-LT"/>
        </w:rPr>
        <w:t xml:space="preserve">0 </w:t>
      </w:r>
      <w:r w:rsidRPr="00C21079">
        <w:rPr>
          <w:rFonts w:eastAsia="Times New Roman"/>
          <w:iCs/>
          <w:lang w:val="lt-LT"/>
        </w:rPr>
        <w:t>dienos)</w:t>
      </w:r>
      <w:r w:rsidRPr="00C21079">
        <w:rPr>
          <w:rFonts w:eastAsia="Times New Roman"/>
          <w:iCs/>
          <w:lang w:val="lt-LT"/>
        </w:rPr>
        <w:tab/>
      </w:r>
      <w:r w:rsidRPr="00C21079">
        <w:rPr>
          <w:rFonts w:eastAsia="Times New Roman"/>
          <w:iCs/>
          <w:lang w:val="lt-LT"/>
        </w:rPr>
        <w:tab/>
      </w:r>
      <w:r w:rsidRPr="00C21079">
        <w:rPr>
          <w:rFonts w:eastAsia="Times New Roman"/>
          <w:iCs/>
          <w:lang w:val="lt-LT"/>
        </w:rPr>
        <w:tab/>
        <w:t>0,50 </w:t>
      </w:r>
      <w:r w:rsidRPr="00C21079">
        <w:rPr>
          <w:rFonts w:eastAsia="Times New Roman"/>
          <w:lang w:val="lt-LT"/>
        </w:rPr>
        <w:t>ml</w:t>
      </w:r>
    </w:p>
    <w:p w:rsidR="00044AAF" w:rsidRPr="00C21079" w:rsidRDefault="00044AAF" w:rsidP="00044AAF">
      <w:pPr>
        <w:autoSpaceDE w:val="0"/>
        <w:autoSpaceDN w:val="0"/>
        <w:spacing w:after="0"/>
        <w:rPr>
          <w:rFonts w:eastAsia="Times New Roman"/>
          <w:lang w:val="lt-LT"/>
        </w:rPr>
      </w:pPr>
      <w:r w:rsidRPr="00C21079">
        <w:rPr>
          <w:rFonts w:eastAsia="Times New Roman"/>
          <w:iCs/>
          <w:lang w:val="lt-LT"/>
        </w:rPr>
        <w:t>- Trečia dozė (</w:t>
      </w:r>
      <w:r w:rsidRPr="00C21079">
        <w:rPr>
          <w:rFonts w:eastAsia="Times New Roman"/>
          <w:lang w:val="lt-LT"/>
        </w:rPr>
        <w:t xml:space="preserve">9-12 mėnesių po </w:t>
      </w:r>
      <w:r w:rsidRPr="00C21079">
        <w:rPr>
          <w:rFonts w:eastAsia="Times New Roman"/>
          <w:iCs/>
          <w:lang w:val="lt-LT"/>
        </w:rPr>
        <w:t>antros</w:t>
      </w:r>
      <w:r w:rsidRPr="00C21079">
        <w:rPr>
          <w:rFonts w:eastAsia="Times New Roman"/>
          <w:lang w:val="lt-LT"/>
        </w:rPr>
        <w:t xml:space="preserve"> vakcinacijos</w:t>
      </w:r>
      <w:r w:rsidRPr="00C21079">
        <w:rPr>
          <w:rFonts w:eastAsia="Times New Roman"/>
          <w:iCs/>
          <w:lang w:val="lt-LT"/>
        </w:rPr>
        <w:t>)</w:t>
      </w:r>
      <w:r w:rsidRPr="00C21079">
        <w:rPr>
          <w:rFonts w:eastAsia="Times New Roman"/>
          <w:iCs/>
          <w:lang w:val="lt-LT"/>
        </w:rPr>
        <w:tab/>
      </w:r>
      <w:r w:rsidRPr="00C21079">
        <w:rPr>
          <w:rFonts w:eastAsia="Times New Roman"/>
          <w:lang w:val="lt-LT"/>
        </w:rPr>
        <w:t>0</w:t>
      </w:r>
      <w:r w:rsidRPr="00C21079">
        <w:rPr>
          <w:rFonts w:eastAsia="Times New Roman"/>
          <w:iCs/>
          <w:lang w:val="lt-LT"/>
        </w:rPr>
        <w:t>,50 </w:t>
      </w:r>
      <w:r w:rsidRPr="00C21079">
        <w:rPr>
          <w:rFonts w:eastAsia="Times New Roman"/>
          <w:lang w:val="lt-LT"/>
        </w:rPr>
        <w:t>ml</w:t>
      </w:r>
    </w:p>
    <w:p w:rsidR="00044AAF" w:rsidRPr="00C21079" w:rsidRDefault="00044AAF" w:rsidP="00044AAF">
      <w:pPr>
        <w:autoSpaceDE w:val="0"/>
        <w:autoSpaceDN w:val="0"/>
        <w:spacing w:after="0"/>
        <w:rPr>
          <w:rFonts w:eastAsia="Times New Roman"/>
          <w:iCs/>
          <w:lang w:val="lt-LT"/>
        </w:rPr>
      </w:pPr>
    </w:p>
    <w:p w:rsidR="00044AAF" w:rsidRPr="00C21079" w:rsidRDefault="00044AAF" w:rsidP="00044AAF">
      <w:pPr>
        <w:autoSpaceDE w:val="0"/>
        <w:autoSpaceDN w:val="0"/>
        <w:spacing w:after="0"/>
        <w:rPr>
          <w:rFonts w:eastAsia="Times New Roman"/>
          <w:iCs/>
          <w:lang w:val="lt-LT"/>
        </w:rPr>
      </w:pPr>
      <w:r w:rsidRPr="00C21079">
        <w:rPr>
          <w:rFonts w:eastAsia="Times New Roman"/>
          <w:iCs/>
          <w:lang w:val="lt-LT"/>
        </w:rPr>
        <w:t>Antra dozė gali būti skiriama anksčiau ir suleidžiama praėjus dviems savaitėms po pirmos dozės. Šitas įprastinis grafikas yra palengvinimas asmenims, kurie turi infekcijos pasikartojimo riziką. Praėjus 3 metams po pirmos imunizacijos rekomenduojama skirti palaikomąją dozę. Serokonversijos galima tikėtis, praėjus dviems savaitėms po antros dozės.</w:t>
      </w:r>
    </w:p>
    <w:p w:rsidR="00044AAF" w:rsidRPr="00C21079" w:rsidRDefault="00044AAF" w:rsidP="00044AAF">
      <w:pPr>
        <w:autoSpaceDE w:val="0"/>
        <w:autoSpaceDN w:val="0"/>
        <w:spacing w:after="0"/>
        <w:rPr>
          <w:rFonts w:eastAsia="Times New Roman"/>
          <w:iCs/>
          <w:lang w:val="lt-LT"/>
        </w:rPr>
      </w:pPr>
    </w:p>
    <w:p w:rsidR="00044AAF" w:rsidRPr="00C21079" w:rsidRDefault="00044AAF" w:rsidP="00044AAF">
      <w:pPr>
        <w:autoSpaceDE w:val="0"/>
        <w:autoSpaceDN w:val="0"/>
        <w:spacing w:after="0"/>
        <w:rPr>
          <w:rFonts w:eastAsia="Times New Roman"/>
          <w:iCs/>
          <w:lang w:val="lt-LT"/>
        </w:rPr>
      </w:pPr>
      <w:r w:rsidRPr="00C21079">
        <w:rPr>
          <w:rFonts w:eastAsia="Times New Roman"/>
          <w:iCs/>
          <w:lang w:val="lt-LT"/>
        </w:rPr>
        <w:t>Asmenims, kuriems būtina greita imunizacija turi naudoti alternatyvų grafiką:</w:t>
      </w:r>
    </w:p>
    <w:p w:rsidR="00044AAF" w:rsidRPr="00C21079" w:rsidRDefault="00044AAF" w:rsidP="00044AAF">
      <w:pPr>
        <w:autoSpaceDE w:val="0"/>
        <w:autoSpaceDN w:val="0"/>
        <w:spacing w:after="0"/>
        <w:rPr>
          <w:rFonts w:eastAsia="Times New Roman"/>
          <w:iCs/>
          <w:lang w:val="lt-LT"/>
        </w:rPr>
      </w:pPr>
    </w:p>
    <w:p w:rsidR="00044AAF" w:rsidRPr="00C21079" w:rsidRDefault="00044AAF" w:rsidP="00044AAF">
      <w:pPr>
        <w:autoSpaceDE w:val="0"/>
        <w:autoSpaceDN w:val="0"/>
        <w:spacing w:after="0"/>
        <w:rPr>
          <w:rFonts w:eastAsia="Times New Roman"/>
          <w:iCs/>
          <w:u w:val="single"/>
          <w:lang w:val="lt-LT"/>
        </w:rPr>
      </w:pPr>
      <w:r w:rsidRPr="00C21079">
        <w:rPr>
          <w:rFonts w:eastAsia="Times New Roman"/>
          <w:iCs/>
          <w:u w:val="single"/>
          <w:lang w:val="lt-LT"/>
        </w:rPr>
        <w:t>Greitos imunizacijos schema:</w:t>
      </w:r>
    </w:p>
    <w:p w:rsidR="00044AAF" w:rsidRPr="00C21079" w:rsidRDefault="00044AAF" w:rsidP="00044AAF">
      <w:pPr>
        <w:autoSpaceDE w:val="0"/>
        <w:autoSpaceDN w:val="0"/>
        <w:spacing w:after="0"/>
        <w:rPr>
          <w:rFonts w:eastAsia="Times New Roman"/>
          <w:iCs/>
          <w:lang w:val="lt-LT"/>
        </w:rPr>
      </w:pPr>
      <w:r w:rsidRPr="00C21079">
        <w:rPr>
          <w:rFonts w:eastAsia="Times New Roman"/>
          <w:iCs/>
          <w:lang w:val="lt-LT"/>
        </w:rPr>
        <w:t>- Pirma dozė (0 diena)</w:t>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t>0,50 ml</w:t>
      </w:r>
    </w:p>
    <w:p w:rsidR="00044AAF" w:rsidRPr="00C21079" w:rsidRDefault="00044AAF" w:rsidP="00044AAF">
      <w:pPr>
        <w:autoSpaceDE w:val="0"/>
        <w:autoSpaceDN w:val="0"/>
        <w:spacing w:after="0"/>
        <w:rPr>
          <w:rFonts w:eastAsia="Times New Roman"/>
          <w:iCs/>
          <w:lang w:val="lt-LT"/>
        </w:rPr>
      </w:pPr>
      <w:r w:rsidRPr="00C21079">
        <w:rPr>
          <w:rFonts w:eastAsia="Times New Roman"/>
          <w:iCs/>
          <w:lang w:val="lt-LT"/>
        </w:rPr>
        <w:t>- Antra dozė (7 diena)</w:t>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t>0,50 ml</w:t>
      </w:r>
    </w:p>
    <w:p w:rsidR="00044AAF" w:rsidRPr="00C21079" w:rsidRDefault="00044AAF" w:rsidP="00044AAF">
      <w:pPr>
        <w:autoSpaceDE w:val="0"/>
        <w:autoSpaceDN w:val="0"/>
        <w:spacing w:after="0"/>
        <w:rPr>
          <w:rFonts w:eastAsia="Times New Roman"/>
          <w:iCs/>
          <w:lang w:val="lt-LT"/>
        </w:rPr>
      </w:pPr>
      <w:r w:rsidRPr="00C21079">
        <w:rPr>
          <w:rFonts w:eastAsia="Times New Roman"/>
          <w:iCs/>
          <w:lang w:val="lt-LT"/>
        </w:rPr>
        <w:t>- Trečia dozė (21 diena)</w:t>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r>
      <w:r w:rsidRPr="00C21079">
        <w:rPr>
          <w:rFonts w:eastAsia="Times New Roman"/>
          <w:iCs/>
          <w:lang w:val="lt-LT"/>
        </w:rPr>
        <w:tab/>
        <w:t>0,50 ml</w:t>
      </w:r>
    </w:p>
    <w:p w:rsidR="00044AAF" w:rsidRPr="00C21079" w:rsidRDefault="00044AAF" w:rsidP="00044AAF">
      <w:pPr>
        <w:autoSpaceDE w:val="0"/>
        <w:autoSpaceDN w:val="0"/>
        <w:spacing w:after="0"/>
        <w:rPr>
          <w:rFonts w:eastAsia="Times New Roman"/>
          <w:iCs/>
          <w:lang w:val="lt-LT"/>
        </w:rPr>
      </w:pPr>
    </w:p>
    <w:p w:rsidR="00044AAF" w:rsidRPr="00C21079" w:rsidRDefault="00044AAF" w:rsidP="00044AAF">
      <w:pPr>
        <w:autoSpaceDE w:val="0"/>
        <w:autoSpaceDN w:val="0"/>
        <w:spacing w:after="0"/>
        <w:rPr>
          <w:rFonts w:eastAsia="Times New Roman"/>
          <w:iCs/>
          <w:lang w:val="lt-LT"/>
        </w:rPr>
      </w:pPr>
      <w:r w:rsidRPr="00C21079">
        <w:rPr>
          <w:rFonts w:eastAsia="Times New Roman"/>
          <w:iCs/>
          <w:lang w:val="lt-LT"/>
        </w:rPr>
        <w:t>Serokonversijos galima tikėtis</w:t>
      </w:r>
      <w:r w:rsidRPr="00C21079">
        <w:rPr>
          <w:rFonts w:eastAsia="Times New Roman"/>
          <w:lang w:val="lt-LT"/>
        </w:rPr>
        <w:t xml:space="preserve"> anksčiausiai</w:t>
      </w:r>
      <w:r w:rsidRPr="00C21079">
        <w:rPr>
          <w:rFonts w:eastAsia="Times New Roman"/>
          <w:iCs/>
          <w:lang w:val="lt-LT"/>
        </w:rPr>
        <w:t>, 14-ą dieną, po antrosios vakcinacijos, t.y. 21-ą dieną. Pasibaigus pirmajai imunizacijai, antikūnų titrai išlieka mažiausiai 12 - 18 mėnesių, tuomet yra rekomenduojama palaikomoji dozė.</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Asmenims, kuriems nustatytas imunodeficitas (sutrikusi imuninės sistemos veikla), 59 metų ir vyresniems pacientams antikūnų titrą būtina ištirti praėjus 30-60 dienų po II imunizacijos (taikant įprastinę schemą) arba III imunizacijos, jei taikoma greitos imunizacijos schema. Prireikus, galima sušvirkšti papildomą vakcinos dozę.</w:t>
      </w:r>
    </w:p>
    <w:p w:rsidR="00044AAF" w:rsidRPr="00C21079" w:rsidRDefault="00044AAF" w:rsidP="00044AAF">
      <w:pPr>
        <w:autoSpaceDE w:val="0"/>
        <w:autoSpaceDN w:val="0"/>
        <w:spacing w:after="0"/>
        <w:rPr>
          <w:rFonts w:eastAsia="Times New Roman"/>
          <w:strike/>
          <w:lang w:val="lt-LT"/>
        </w:rPr>
      </w:pPr>
    </w:p>
    <w:p w:rsidR="00044AAF" w:rsidRPr="00C21079" w:rsidRDefault="00044AAF" w:rsidP="00044AAF">
      <w:pPr>
        <w:tabs>
          <w:tab w:val="left" w:pos="720"/>
        </w:tabs>
        <w:autoSpaceDE w:val="0"/>
        <w:autoSpaceDN w:val="0"/>
        <w:spacing w:after="0"/>
        <w:rPr>
          <w:rFonts w:eastAsia="Times New Roman"/>
          <w:i/>
          <w:iCs/>
          <w:u w:val="single"/>
          <w:lang w:val="lt-LT"/>
        </w:rPr>
      </w:pPr>
      <w:r w:rsidRPr="00C21079">
        <w:rPr>
          <w:rFonts w:eastAsia="Times New Roman"/>
          <w:i/>
          <w:iCs/>
          <w:u w:val="single"/>
          <w:lang w:val="lt-LT"/>
        </w:rPr>
        <w:t>b)</w:t>
      </w:r>
      <w:r w:rsidRPr="00C21079">
        <w:rPr>
          <w:rFonts w:eastAsia="Times New Roman"/>
          <w:i/>
          <w:iCs/>
          <w:u w:val="single"/>
          <w:lang w:val="lt-LT"/>
        </w:rPr>
        <w:tab/>
        <w:t>Revakcinacija</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Įvykdžius pilnutinę pirminę imunizaciją pagal vieną iš dviejų nurodytų schemų, imunitetui palaikyti pakanka vienos 0,5 ml Encepur adults injekcijos.</w:t>
      </w:r>
    </w:p>
    <w:p w:rsidR="00044AAF" w:rsidRPr="00C21079" w:rsidRDefault="00044AAF" w:rsidP="00044AAF">
      <w:pPr>
        <w:autoSpaceDE w:val="0"/>
        <w:autoSpaceDN w:val="0"/>
        <w:spacing w:after="0"/>
        <w:ind w:left="567" w:hanging="567"/>
        <w:rPr>
          <w:rFonts w:eastAsia="Times New Roman"/>
          <w:u w:val="single"/>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Ilgalaikės imuninės apsaugos pagrindinių klinikinių tyrimų rezultatų duomenimis, taikant greitos</w:t>
      </w:r>
    </w:p>
    <w:p w:rsidR="00044AAF" w:rsidRPr="00C21079" w:rsidRDefault="00044AAF" w:rsidP="00044AAF">
      <w:pPr>
        <w:autoSpaceDE w:val="0"/>
        <w:autoSpaceDN w:val="0"/>
        <w:spacing w:after="0"/>
        <w:ind w:left="567" w:hanging="567"/>
        <w:rPr>
          <w:rFonts w:eastAsia="Times New Roman"/>
          <w:u w:val="single"/>
          <w:lang w:val="lt-LT"/>
        </w:rPr>
      </w:pPr>
      <w:r w:rsidRPr="00C21079">
        <w:rPr>
          <w:rFonts w:eastAsia="Times New Roman"/>
          <w:lang w:val="lt-LT"/>
        </w:rPr>
        <w:t>imunizacijos schemą, vakcinuojant palaikomosiomis dozėmis reikia laikytis šių intervalų.</w:t>
      </w:r>
    </w:p>
    <w:p w:rsidR="00044AAF" w:rsidRPr="00C21079" w:rsidRDefault="00044AAF" w:rsidP="00044AAF">
      <w:pPr>
        <w:autoSpaceDE w:val="0"/>
        <w:autoSpaceDN w:val="0"/>
        <w:spacing w:after="0"/>
        <w:ind w:left="567" w:hanging="567"/>
        <w:rPr>
          <w:rFonts w:eastAsia="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tblGrid>
      <w:tr w:rsidR="00044AAF" w:rsidRPr="00C21079" w:rsidTr="00044AAF">
        <w:tc>
          <w:tcPr>
            <w:tcW w:w="2802"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Greitos imunizacijos schema</w:t>
            </w:r>
          </w:p>
        </w:tc>
        <w:tc>
          <w:tcPr>
            <w:tcW w:w="2976"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1-oji palaikomoji dozė</w:t>
            </w:r>
          </w:p>
        </w:tc>
        <w:tc>
          <w:tcPr>
            <w:tcW w:w="2835"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Visos kitos palaikomosios dozės</w:t>
            </w:r>
          </w:p>
        </w:tc>
      </w:tr>
      <w:tr w:rsidR="00044AAF" w:rsidRPr="00C21079" w:rsidTr="00044AAF">
        <w:tc>
          <w:tcPr>
            <w:tcW w:w="2802"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Amžius: 12 – 49 metai</w:t>
            </w:r>
          </w:p>
        </w:tc>
        <w:tc>
          <w:tcPr>
            <w:tcW w:w="2976" w:type="dxa"/>
            <w:tcBorders>
              <w:top w:val="single" w:sz="4" w:space="0" w:color="auto"/>
              <w:left w:val="single" w:sz="4" w:space="0" w:color="auto"/>
              <w:bottom w:val="single" w:sz="4" w:space="0" w:color="auto"/>
              <w:right w:val="single" w:sz="4" w:space="0" w:color="auto"/>
            </w:tcBorders>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Rekomenduojama po12 –18 mėnesių</w:t>
            </w:r>
          </w:p>
          <w:p w:rsidR="00044AAF" w:rsidRPr="00C21079" w:rsidRDefault="00044AAF" w:rsidP="00044AAF">
            <w:pPr>
              <w:autoSpaceDE w:val="0"/>
              <w:autoSpaceDN w:val="0"/>
              <w:spacing w:after="0"/>
              <w:rPr>
                <w:rFonts w:eastAsia="Times New Roman"/>
                <w:lang w:val="lt-LT"/>
              </w:rPr>
            </w:pPr>
          </w:p>
        </w:tc>
        <w:tc>
          <w:tcPr>
            <w:tcW w:w="2835"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Kas 5 metai</w:t>
            </w:r>
          </w:p>
        </w:tc>
      </w:tr>
      <w:tr w:rsidR="00044AAF" w:rsidRPr="00C21079" w:rsidTr="00044AAF">
        <w:tc>
          <w:tcPr>
            <w:tcW w:w="2802"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Amžius &gt; 49 metų</w:t>
            </w:r>
          </w:p>
        </w:tc>
        <w:tc>
          <w:tcPr>
            <w:tcW w:w="2976"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Rekomenduojama po 12-18 mėnesių</w:t>
            </w:r>
          </w:p>
        </w:tc>
        <w:tc>
          <w:tcPr>
            <w:tcW w:w="2835"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Kas 3 metai</w:t>
            </w:r>
          </w:p>
        </w:tc>
      </w:tr>
    </w:tbl>
    <w:p w:rsidR="00044AAF" w:rsidRPr="00C21079" w:rsidRDefault="00044AAF" w:rsidP="00044AAF">
      <w:pPr>
        <w:autoSpaceDE w:val="0"/>
        <w:autoSpaceDN w:val="0"/>
        <w:spacing w:after="0"/>
        <w:ind w:left="567" w:hanging="567"/>
        <w:rPr>
          <w:rFonts w:eastAsia="Times New Roman"/>
          <w:u w:val="single"/>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Ilgalaikės imuninės apsaugos pagrindinių klinikinių tyrimų rezultatų duomenimis, taikant įprastinę</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imunizacijos schemą, vakcinuojant palaikomosiomis dozėmis reikia laikytis šių intervalų.</w:t>
      </w:r>
    </w:p>
    <w:p w:rsidR="00044AAF" w:rsidRPr="00C21079" w:rsidRDefault="00044AAF" w:rsidP="00044AAF">
      <w:pPr>
        <w:autoSpaceDE w:val="0"/>
        <w:autoSpaceDN w:val="0"/>
        <w:spacing w:after="0"/>
        <w:ind w:left="567" w:hanging="567"/>
        <w:rPr>
          <w:rFonts w:eastAsia="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tblGrid>
      <w:tr w:rsidR="00044AAF" w:rsidRPr="00C21079" w:rsidTr="00044AAF">
        <w:tc>
          <w:tcPr>
            <w:tcW w:w="2802"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Įprastinė imunizacijos schema</w:t>
            </w:r>
          </w:p>
        </w:tc>
        <w:tc>
          <w:tcPr>
            <w:tcW w:w="2976"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1-a palaikomoji dozė</w:t>
            </w:r>
          </w:p>
        </w:tc>
        <w:tc>
          <w:tcPr>
            <w:tcW w:w="2835"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Visos kitos palaikomosios dozės</w:t>
            </w:r>
          </w:p>
        </w:tc>
      </w:tr>
      <w:tr w:rsidR="00044AAF" w:rsidRPr="00C21079" w:rsidTr="00044AAF">
        <w:tc>
          <w:tcPr>
            <w:tcW w:w="2802"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Amžius: 12 – 49 metai</w:t>
            </w:r>
          </w:p>
        </w:tc>
        <w:tc>
          <w:tcPr>
            <w:tcW w:w="2976"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Po 3 metų</w:t>
            </w:r>
          </w:p>
        </w:tc>
        <w:tc>
          <w:tcPr>
            <w:tcW w:w="2835"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Kas 5 metai</w:t>
            </w:r>
          </w:p>
        </w:tc>
      </w:tr>
      <w:tr w:rsidR="00044AAF" w:rsidRPr="00C21079" w:rsidTr="00044AAF">
        <w:tc>
          <w:tcPr>
            <w:tcW w:w="2802"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Amžius &gt; 49 metų</w:t>
            </w:r>
          </w:p>
        </w:tc>
        <w:tc>
          <w:tcPr>
            <w:tcW w:w="2976"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Po 3 metų</w:t>
            </w:r>
          </w:p>
        </w:tc>
        <w:tc>
          <w:tcPr>
            <w:tcW w:w="2835" w:type="dxa"/>
            <w:tcBorders>
              <w:top w:val="single" w:sz="4" w:space="0" w:color="auto"/>
              <w:left w:val="single" w:sz="4" w:space="0" w:color="auto"/>
              <w:bottom w:val="single" w:sz="4" w:space="0" w:color="auto"/>
              <w:right w:val="single" w:sz="4" w:space="0" w:color="auto"/>
            </w:tcBorders>
            <w:hideMark/>
          </w:tcPr>
          <w:p w:rsidR="00044AAF" w:rsidRPr="00C21079" w:rsidRDefault="00044AAF" w:rsidP="00044AAF">
            <w:pPr>
              <w:autoSpaceDE w:val="0"/>
              <w:autoSpaceDN w:val="0"/>
              <w:spacing w:after="0"/>
              <w:rPr>
                <w:rFonts w:eastAsia="Times New Roman"/>
                <w:lang w:val="lt-LT"/>
              </w:rPr>
            </w:pPr>
            <w:r w:rsidRPr="00C21079">
              <w:rPr>
                <w:rFonts w:eastAsia="Times New Roman"/>
                <w:lang w:val="lt-LT"/>
              </w:rPr>
              <w:t>Kas 3 metai</w:t>
            </w:r>
          </w:p>
        </w:tc>
      </w:tr>
    </w:tbl>
    <w:p w:rsidR="00044AAF" w:rsidRPr="00C21079" w:rsidRDefault="00044AAF" w:rsidP="00044AAF">
      <w:pPr>
        <w:autoSpaceDE w:val="0"/>
        <w:autoSpaceDN w:val="0"/>
        <w:spacing w:after="0"/>
        <w:ind w:left="567" w:hanging="567"/>
        <w:rPr>
          <w:rFonts w:eastAsia="Times New Roman"/>
          <w:u w:val="single"/>
          <w:lang w:val="lt-LT"/>
        </w:rPr>
      </w:pP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sidRPr="00C21079">
        <w:rPr>
          <w:rFonts w:eastAsia="Times New Roman"/>
          <w:b/>
          <w:kern w:val="28"/>
          <w:lang w:val="lt-LT" w:eastAsia="lt-LT"/>
        </w:rPr>
        <w:t>4.</w:t>
      </w:r>
      <w:r w:rsidRPr="00C21079">
        <w:rPr>
          <w:rFonts w:eastAsia="Times New Roman"/>
          <w:b/>
          <w:kern w:val="28"/>
          <w:lang w:val="lt-LT" w:eastAsia="lt-LT"/>
        </w:rPr>
        <w:tab/>
        <w:t>Galimas šalutinis poveikis</w:t>
      </w:r>
    </w:p>
    <w:p w:rsidR="00044AAF" w:rsidRPr="00C21079" w:rsidRDefault="00044AAF" w:rsidP="00044AAF">
      <w:pPr>
        <w:autoSpaceDE w:val="0"/>
        <w:autoSpaceDN w:val="0"/>
        <w:spacing w:after="0"/>
        <w:rPr>
          <w:rFonts w:eastAsia="Times New Roman"/>
          <w:lang w:val="lt-LT" w:eastAsia="lt-LT"/>
        </w:rPr>
      </w:pPr>
    </w:p>
    <w:p w:rsidR="00044AAF" w:rsidRPr="00C21079" w:rsidRDefault="00C864ED" w:rsidP="00044AAF">
      <w:pPr>
        <w:autoSpaceDE w:val="0"/>
        <w:autoSpaceDN w:val="0"/>
        <w:spacing w:after="0"/>
        <w:rPr>
          <w:rFonts w:eastAsia="Times New Roman"/>
          <w:color w:val="000000"/>
          <w:lang w:val="lt-LT" w:eastAsia="lt-LT"/>
        </w:rPr>
      </w:pPr>
      <w:r>
        <w:rPr>
          <w:rFonts w:eastAsia="Times New Roman"/>
          <w:color w:val="000000"/>
          <w:lang w:val="lt-LT" w:eastAsia="lt-LT"/>
        </w:rPr>
        <w:t>Šis vaistas, kaip ir visi kiti</w:t>
      </w:r>
      <w:r w:rsidR="00044AAF" w:rsidRPr="00C21079">
        <w:rPr>
          <w:rFonts w:eastAsia="Times New Roman"/>
          <w:color w:val="000000"/>
          <w:lang w:val="lt-LT" w:eastAsia="lt-LT"/>
        </w:rPr>
        <w:t>, gali sukelti šalutinį poveikį, nors jis pasireiškia ne visiems žmonėms.</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lastRenderedPageBreak/>
        <w:t>Labai dažni: pasireiškia daugiau kaip 1 iš 10 vakcinuojamųjų</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Dažni : pasireiškia daugiau kaip 1 iš 100, tačiau mažiau kaip 1 iš 10 vakcinuojamųjų</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Nedažni: pasireiškia daugiau kaip 1 iš 1 000, tačiau mažiau kaip 1 iš 100 vakcinuojamųjų</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Reti: pasireiškia daugiau kaip 1 iš 10 000, tačiau mažiau kaip 1 iš 1 000 vakcinuojamųjų</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Labai reti: pasireiškia mažiau kaip 1 iš 10 000 vakcinuojamųjų, įskaitant pavienius atvejus.</w:t>
      </w:r>
    </w:p>
    <w:p w:rsidR="00044AAF" w:rsidRPr="00C21079" w:rsidRDefault="00044AAF" w:rsidP="00044AAF">
      <w:pPr>
        <w:autoSpaceDE w:val="0"/>
        <w:autoSpaceDN w:val="0"/>
        <w:spacing w:after="0"/>
        <w:rPr>
          <w:rFonts w:eastAsia="Times New Roman"/>
          <w:lang w:val="lt-LT"/>
        </w:rPr>
      </w:pPr>
    </w:p>
    <w:tbl>
      <w:tblPr>
        <w:tblW w:w="9810" w:type="dxa"/>
        <w:tblInd w:w="108" w:type="dxa"/>
        <w:tblLook w:val="00A0" w:firstRow="1" w:lastRow="0" w:firstColumn="1" w:lastColumn="0" w:noHBand="0" w:noVBand="0"/>
      </w:tblPr>
      <w:tblGrid>
        <w:gridCol w:w="1620"/>
        <w:gridCol w:w="8190"/>
      </w:tblGrid>
      <w:tr w:rsidR="00044AAF" w:rsidRPr="00C21079" w:rsidTr="00044AAF">
        <w:tc>
          <w:tcPr>
            <w:tcW w:w="1620" w:type="dxa"/>
            <w:hideMark/>
          </w:tcPr>
          <w:p w:rsidR="00044AAF" w:rsidRPr="00C21079" w:rsidRDefault="00044AAF" w:rsidP="00044AAF">
            <w:pPr>
              <w:autoSpaceDE w:val="0"/>
              <w:autoSpaceDN w:val="0"/>
              <w:spacing w:after="0"/>
              <w:rPr>
                <w:rFonts w:eastAsia="Times New Roman"/>
              </w:rPr>
            </w:pPr>
            <w:proofErr w:type="spellStart"/>
            <w:r w:rsidRPr="00C21079">
              <w:rPr>
                <w:rFonts w:eastAsia="Times New Roman"/>
              </w:rPr>
              <w:t>Labai</w:t>
            </w:r>
            <w:proofErr w:type="spellEnd"/>
            <w:r w:rsidRPr="00C21079">
              <w:rPr>
                <w:rFonts w:eastAsia="Times New Roman"/>
              </w:rPr>
              <w:t xml:space="preserve"> </w:t>
            </w:r>
            <w:proofErr w:type="spellStart"/>
            <w:r w:rsidRPr="00C21079">
              <w:rPr>
                <w:rFonts w:eastAsia="Times New Roman"/>
              </w:rPr>
              <w:t>dažni</w:t>
            </w:r>
            <w:proofErr w:type="spellEnd"/>
            <w:r w:rsidRPr="00C21079">
              <w:rPr>
                <w:rFonts w:eastAsia="Times New Roman"/>
              </w:rPr>
              <w:t>:</w:t>
            </w:r>
          </w:p>
        </w:tc>
        <w:tc>
          <w:tcPr>
            <w:tcW w:w="8190" w:type="dxa"/>
            <w:hideMark/>
          </w:tcPr>
          <w:p w:rsidR="00044AAF" w:rsidRPr="00C21079" w:rsidRDefault="00044AAF" w:rsidP="00044AAF">
            <w:pPr>
              <w:autoSpaceDE w:val="0"/>
              <w:autoSpaceDN w:val="0"/>
              <w:spacing w:after="0"/>
              <w:rPr>
                <w:rFonts w:eastAsia="Times New Roman"/>
              </w:rPr>
            </w:pPr>
            <w:proofErr w:type="spellStart"/>
            <w:proofErr w:type="gramStart"/>
            <w:r w:rsidRPr="00C21079">
              <w:rPr>
                <w:rFonts w:eastAsia="Times New Roman"/>
              </w:rPr>
              <w:t>galvos</w:t>
            </w:r>
            <w:proofErr w:type="spellEnd"/>
            <w:proofErr w:type="gramEnd"/>
            <w:r w:rsidRPr="00C21079">
              <w:rPr>
                <w:rFonts w:eastAsia="Times New Roman"/>
              </w:rPr>
              <w:t xml:space="preserve"> </w:t>
            </w:r>
            <w:proofErr w:type="spellStart"/>
            <w:r w:rsidRPr="00C21079">
              <w:rPr>
                <w:rFonts w:eastAsia="Times New Roman"/>
              </w:rPr>
              <w:t>skausmas</w:t>
            </w:r>
            <w:proofErr w:type="spellEnd"/>
            <w:r w:rsidRPr="00C21079">
              <w:rPr>
                <w:rFonts w:eastAsia="Times New Roman"/>
              </w:rPr>
              <w:t xml:space="preserve">, </w:t>
            </w:r>
            <w:proofErr w:type="spellStart"/>
            <w:r w:rsidRPr="00C21079">
              <w:rPr>
                <w:rFonts w:eastAsia="Times New Roman"/>
              </w:rPr>
              <w:t>raumenų</w:t>
            </w:r>
            <w:proofErr w:type="spellEnd"/>
            <w:r w:rsidRPr="00C21079">
              <w:rPr>
                <w:rFonts w:eastAsia="Times New Roman"/>
              </w:rPr>
              <w:t xml:space="preserve"> </w:t>
            </w:r>
            <w:proofErr w:type="spellStart"/>
            <w:r w:rsidRPr="00C21079">
              <w:rPr>
                <w:rFonts w:eastAsia="Times New Roman"/>
              </w:rPr>
              <w:t>skausmas</w:t>
            </w:r>
            <w:proofErr w:type="spellEnd"/>
            <w:r w:rsidRPr="00C21079">
              <w:rPr>
                <w:rFonts w:eastAsia="Times New Roman"/>
              </w:rPr>
              <w:t xml:space="preserve"> </w:t>
            </w:r>
            <w:r w:rsidRPr="00C21079">
              <w:rPr>
                <w:rFonts w:eastAsia="Times New Roman"/>
                <w:lang w:val="lt-LT"/>
              </w:rPr>
              <w:t>laikinas skausmas injekcijos vietoje</w:t>
            </w:r>
            <w:r w:rsidRPr="00C21079">
              <w:rPr>
                <w:rFonts w:eastAsia="Times New Roman"/>
              </w:rPr>
              <w:t xml:space="preserve">, </w:t>
            </w:r>
            <w:proofErr w:type="spellStart"/>
            <w:r w:rsidRPr="00C21079">
              <w:rPr>
                <w:rFonts w:eastAsia="Times New Roman"/>
              </w:rPr>
              <w:t>bendras</w:t>
            </w:r>
            <w:proofErr w:type="spellEnd"/>
            <w:r w:rsidRPr="00C21079">
              <w:rPr>
                <w:rFonts w:eastAsia="Times New Roman"/>
              </w:rPr>
              <w:t xml:space="preserve"> </w:t>
            </w:r>
            <w:proofErr w:type="spellStart"/>
            <w:r w:rsidRPr="00C21079">
              <w:rPr>
                <w:rFonts w:eastAsia="Times New Roman"/>
              </w:rPr>
              <w:t>negalavimas</w:t>
            </w:r>
            <w:proofErr w:type="spellEnd"/>
            <w:r w:rsidRPr="00C21079">
              <w:rPr>
                <w:rFonts w:eastAsia="Times New Roman"/>
              </w:rPr>
              <w:t>.</w:t>
            </w:r>
          </w:p>
        </w:tc>
      </w:tr>
      <w:tr w:rsidR="00044AAF" w:rsidRPr="00C21079" w:rsidTr="00044AAF">
        <w:tc>
          <w:tcPr>
            <w:tcW w:w="1620" w:type="dxa"/>
            <w:hideMark/>
          </w:tcPr>
          <w:p w:rsidR="00044AAF" w:rsidRPr="00C21079" w:rsidRDefault="00044AAF" w:rsidP="00044AAF">
            <w:pPr>
              <w:autoSpaceDE w:val="0"/>
              <w:autoSpaceDN w:val="0"/>
              <w:spacing w:after="0"/>
              <w:rPr>
                <w:rFonts w:eastAsia="Times New Roman"/>
              </w:rPr>
            </w:pPr>
            <w:proofErr w:type="spellStart"/>
            <w:r w:rsidRPr="00C21079">
              <w:rPr>
                <w:rFonts w:eastAsia="Times New Roman"/>
              </w:rPr>
              <w:t>Dažni</w:t>
            </w:r>
            <w:proofErr w:type="spellEnd"/>
            <w:r w:rsidRPr="00C21079">
              <w:rPr>
                <w:rFonts w:eastAsia="Times New Roman"/>
              </w:rPr>
              <w:t>:</w:t>
            </w:r>
          </w:p>
        </w:tc>
        <w:tc>
          <w:tcPr>
            <w:tcW w:w="8190" w:type="dxa"/>
            <w:hideMark/>
          </w:tcPr>
          <w:p w:rsidR="00044AAF" w:rsidRPr="00C21079" w:rsidRDefault="00044AAF" w:rsidP="00044AAF">
            <w:pPr>
              <w:autoSpaceDE w:val="0"/>
              <w:autoSpaceDN w:val="0"/>
              <w:spacing w:after="0"/>
              <w:rPr>
                <w:rFonts w:eastAsia="Times New Roman"/>
              </w:rPr>
            </w:pPr>
            <w:proofErr w:type="spellStart"/>
            <w:r w:rsidRPr="00C21079">
              <w:rPr>
                <w:rFonts w:eastAsia="Times New Roman"/>
              </w:rPr>
              <w:t>sąnarių</w:t>
            </w:r>
            <w:proofErr w:type="spellEnd"/>
            <w:r w:rsidRPr="00C21079">
              <w:rPr>
                <w:rFonts w:eastAsia="Times New Roman"/>
              </w:rPr>
              <w:t xml:space="preserve"> </w:t>
            </w:r>
            <w:proofErr w:type="spellStart"/>
            <w:r w:rsidRPr="00C21079">
              <w:rPr>
                <w:rFonts w:eastAsia="Times New Roman"/>
              </w:rPr>
              <w:t>skausmas</w:t>
            </w:r>
            <w:proofErr w:type="spellEnd"/>
            <w:r w:rsidRPr="00C21079">
              <w:rPr>
                <w:rFonts w:eastAsia="Times New Roman"/>
              </w:rPr>
              <w:t xml:space="preserve"> , </w:t>
            </w:r>
            <w:proofErr w:type="spellStart"/>
            <w:r w:rsidRPr="00C21079">
              <w:rPr>
                <w:rFonts w:eastAsia="Times New Roman"/>
              </w:rPr>
              <w:t>injekcijos</w:t>
            </w:r>
            <w:proofErr w:type="spellEnd"/>
            <w:r w:rsidRPr="00C21079">
              <w:rPr>
                <w:rFonts w:eastAsia="Times New Roman"/>
              </w:rPr>
              <w:t xml:space="preserve"> </w:t>
            </w:r>
            <w:proofErr w:type="spellStart"/>
            <w:r w:rsidRPr="00C21079">
              <w:rPr>
                <w:rFonts w:eastAsia="Times New Roman"/>
              </w:rPr>
              <w:t>vietos</w:t>
            </w:r>
            <w:proofErr w:type="spellEnd"/>
            <w:r w:rsidRPr="00C21079">
              <w:rPr>
                <w:rFonts w:eastAsia="Times New Roman"/>
              </w:rPr>
              <w:t xml:space="preserve"> </w:t>
            </w:r>
            <w:proofErr w:type="spellStart"/>
            <w:r w:rsidRPr="00C21079">
              <w:rPr>
                <w:rFonts w:eastAsia="Times New Roman"/>
              </w:rPr>
              <w:t>paraudimas</w:t>
            </w:r>
            <w:proofErr w:type="spellEnd"/>
            <w:r w:rsidRPr="00C21079">
              <w:rPr>
                <w:rFonts w:eastAsia="Times New Roman"/>
              </w:rPr>
              <w:t xml:space="preserve">, </w:t>
            </w:r>
            <w:proofErr w:type="spellStart"/>
            <w:r w:rsidRPr="00C21079">
              <w:rPr>
                <w:rFonts w:eastAsia="Times New Roman"/>
              </w:rPr>
              <w:t>injekcijos</w:t>
            </w:r>
            <w:proofErr w:type="spellEnd"/>
            <w:r w:rsidRPr="00C21079">
              <w:rPr>
                <w:rFonts w:eastAsia="Times New Roman"/>
              </w:rPr>
              <w:t xml:space="preserve"> </w:t>
            </w:r>
            <w:proofErr w:type="spellStart"/>
            <w:r w:rsidRPr="00C21079">
              <w:rPr>
                <w:rFonts w:eastAsia="Times New Roman"/>
              </w:rPr>
              <w:t>vietos</w:t>
            </w:r>
            <w:proofErr w:type="spellEnd"/>
            <w:r w:rsidRPr="00C21079">
              <w:rPr>
                <w:rFonts w:eastAsia="Times New Roman"/>
              </w:rPr>
              <w:t xml:space="preserve"> </w:t>
            </w:r>
            <w:proofErr w:type="spellStart"/>
            <w:r w:rsidRPr="00C21079">
              <w:rPr>
                <w:rFonts w:eastAsia="Times New Roman"/>
              </w:rPr>
              <w:t>patinimas</w:t>
            </w:r>
            <w:proofErr w:type="spellEnd"/>
            <w:r w:rsidRPr="00C21079">
              <w:rPr>
                <w:rFonts w:eastAsia="Times New Roman"/>
              </w:rPr>
              <w:t xml:space="preserve">, </w:t>
            </w:r>
            <w:r w:rsidRPr="00C21079">
              <w:rPr>
                <w:rFonts w:eastAsia="Times New Roman"/>
                <w:lang w:val="lt-LT"/>
              </w:rPr>
              <w:t>į gripą panašūs simptomai (prakaitavimo priepuoliai, šaltkrėtis), po pirmojo skiepijimo gali atsirasti karščiavimas virš 38</w:t>
            </w:r>
            <w:r w:rsidRPr="00C21079">
              <w:rPr>
                <w:rFonts w:eastAsia="Times New Roman"/>
                <w:lang w:val="lt-LT"/>
              </w:rPr>
              <w:sym w:font="Times New Roman" w:char="F0B0"/>
            </w:r>
            <w:r w:rsidRPr="00C21079">
              <w:rPr>
                <w:rFonts w:eastAsia="Times New Roman"/>
                <w:lang w:val="lt-LT"/>
              </w:rPr>
              <w:t>C.</w:t>
            </w:r>
          </w:p>
        </w:tc>
      </w:tr>
      <w:tr w:rsidR="00044AAF" w:rsidRPr="00C21079" w:rsidTr="00044AAF">
        <w:tc>
          <w:tcPr>
            <w:tcW w:w="1620" w:type="dxa"/>
            <w:hideMark/>
          </w:tcPr>
          <w:p w:rsidR="00044AAF" w:rsidRPr="00C21079" w:rsidRDefault="00044AAF" w:rsidP="00044AAF">
            <w:pPr>
              <w:autoSpaceDE w:val="0"/>
              <w:autoSpaceDN w:val="0"/>
              <w:spacing w:after="0"/>
              <w:rPr>
                <w:rFonts w:eastAsia="Times New Roman"/>
              </w:rPr>
            </w:pPr>
            <w:proofErr w:type="spellStart"/>
            <w:r w:rsidRPr="00C21079">
              <w:rPr>
                <w:rFonts w:eastAsia="Times New Roman"/>
              </w:rPr>
              <w:t>Nedažni</w:t>
            </w:r>
            <w:proofErr w:type="spellEnd"/>
            <w:r w:rsidRPr="00C21079">
              <w:rPr>
                <w:rFonts w:eastAsia="Times New Roman"/>
              </w:rPr>
              <w:t>:</w:t>
            </w:r>
          </w:p>
        </w:tc>
        <w:tc>
          <w:tcPr>
            <w:tcW w:w="8190" w:type="dxa"/>
            <w:hideMark/>
          </w:tcPr>
          <w:p w:rsidR="00044AAF" w:rsidRPr="00C21079" w:rsidRDefault="00044AAF" w:rsidP="00044AAF">
            <w:pPr>
              <w:autoSpaceDE w:val="0"/>
              <w:autoSpaceDN w:val="0"/>
              <w:spacing w:after="0"/>
              <w:rPr>
                <w:rFonts w:eastAsia="Times New Roman"/>
              </w:rPr>
            </w:pPr>
            <w:proofErr w:type="spellStart"/>
            <w:proofErr w:type="gramStart"/>
            <w:r w:rsidRPr="00C21079">
              <w:rPr>
                <w:rFonts w:eastAsia="Times New Roman"/>
              </w:rPr>
              <w:t>vėmimas</w:t>
            </w:r>
            <w:proofErr w:type="spellEnd"/>
            <w:proofErr w:type="gramEnd"/>
            <w:r w:rsidRPr="00C21079">
              <w:rPr>
                <w:rFonts w:eastAsia="Times New Roman"/>
              </w:rPr>
              <w:t>.</w:t>
            </w:r>
          </w:p>
        </w:tc>
      </w:tr>
      <w:tr w:rsidR="00044AAF" w:rsidRPr="00C21079" w:rsidTr="00044AAF">
        <w:tc>
          <w:tcPr>
            <w:tcW w:w="1620" w:type="dxa"/>
            <w:hideMark/>
          </w:tcPr>
          <w:p w:rsidR="00044AAF" w:rsidRPr="00C21079" w:rsidRDefault="00044AAF" w:rsidP="00044AAF">
            <w:pPr>
              <w:autoSpaceDE w:val="0"/>
              <w:autoSpaceDN w:val="0"/>
              <w:spacing w:after="0"/>
              <w:rPr>
                <w:rFonts w:eastAsia="Times New Roman"/>
              </w:rPr>
            </w:pPr>
            <w:proofErr w:type="spellStart"/>
            <w:r w:rsidRPr="00C21079">
              <w:rPr>
                <w:rFonts w:eastAsia="Times New Roman"/>
              </w:rPr>
              <w:t>Reti</w:t>
            </w:r>
            <w:proofErr w:type="spellEnd"/>
            <w:r w:rsidRPr="00C21079">
              <w:rPr>
                <w:rFonts w:eastAsia="Times New Roman"/>
              </w:rPr>
              <w:t>:</w:t>
            </w:r>
          </w:p>
        </w:tc>
        <w:tc>
          <w:tcPr>
            <w:tcW w:w="8190" w:type="dxa"/>
            <w:hideMark/>
          </w:tcPr>
          <w:p w:rsidR="00044AAF" w:rsidRPr="00C21079" w:rsidRDefault="00044AAF" w:rsidP="00044AAF">
            <w:pPr>
              <w:autoSpaceDE w:val="0"/>
              <w:autoSpaceDN w:val="0"/>
              <w:spacing w:after="0"/>
              <w:rPr>
                <w:rFonts w:eastAsia="Times New Roman"/>
              </w:rPr>
            </w:pPr>
            <w:proofErr w:type="spellStart"/>
            <w:proofErr w:type="gramStart"/>
            <w:r w:rsidRPr="00C21079">
              <w:rPr>
                <w:rFonts w:eastAsia="Times New Roman"/>
              </w:rPr>
              <w:t>viduriavimas</w:t>
            </w:r>
            <w:proofErr w:type="spellEnd"/>
            <w:proofErr w:type="gramEnd"/>
            <w:r w:rsidRPr="00C21079">
              <w:rPr>
                <w:rFonts w:eastAsia="Times New Roman"/>
              </w:rPr>
              <w:t xml:space="preserve">, </w:t>
            </w:r>
            <w:r w:rsidRPr="00C21079">
              <w:rPr>
                <w:rFonts w:eastAsia="Times New Roman"/>
                <w:lang w:val="lt-LT"/>
              </w:rPr>
              <w:t>sąnarių ir raumenų skausmas kaklo srityje.</w:t>
            </w:r>
          </w:p>
        </w:tc>
      </w:tr>
      <w:tr w:rsidR="00044AAF" w:rsidRPr="00C21079" w:rsidTr="00044AAF">
        <w:tc>
          <w:tcPr>
            <w:tcW w:w="1620" w:type="dxa"/>
            <w:hideMark/>
          </w:tcPr>
          <w:p w:rsidR="00044AAF" w:rsidRPr="00C21079" w:rsidRDefault="00044AAF" w:rsidP="00044AAF">
            <w:pPr>
              <w:autoSpaceDE w:val="0"/>
              <w:autoSpaceDN w:val="0"/>
              <w:spacing w:after="0"/>
              <w:rPr>
                <w:rFonts w:eastAsia="Times New Roman"/>
              </w:rPr>
            </w:pPr>
            <w:proofErr w:type="spellStart"/>
            <w:r w:rsidRPr="00C21079">
              <w:rPr>
                <w:rFonts w:eastAsia="Times New Roman"/>
              </w:rPr>
              <w:t>Labai</w:t>
            </w:r>
            <w:proofErr w:type="spellEnd"/>
            <w:r w:rsidRPr="00C21079">
              <w:rPr>
                <w:rFonts w:eastAsia="Times New Roman"/>
              </w:rPr>
              <w:t xml:space="preserve"> </w:t>
            </w:r>
            <w:proofErr w:type="spellStart"/>
            <w:r w:rsidRPr="00C21079">
              <w:rPr>
                <w:rFonts w:eastAsia="Times New Roman"/>
              </w:rPr>
              <w:t>reti</w:t>
            </w:r>
            <w:proofErr w:type="spellEnd"/>
            <w:r w:rsidRPr="00C21079">
              <w:rPr>
                <w:rFonts w:eastAsia="Times New Roman"/>
              </w:rPr>
              <w:t>:</w:t>
            </w:r>
          </w:p>
        </w:tc>
        <w:tc>
          <w:tcPr>
            <w:tcW w:w="8190" w:type="dxa"/>
            <w:hideMark/>
          </w:tcPr>
          <w:p w:rsidR="00044AAF" w:rsidRPr="00C21079" w:rsidRDefault="00044AAF" w:rsidP="00044AAF">
            <w:pPr>
              <w:autoSpaceDE w:val="0"/>
              <w:autoSpaceDN w:val="0"/>
              <w:spacing w:after="0"/>
              <w:rPr>
                <w:rFonts w:eastAsia="Times New Roman"/>
              </w:rPr>
            </w:pPr>
            <w:proofErr w:type="spellStart"/>
            <w:proofErr w:type="gramStart"/>
            <w:r w:rsidRPr="00C21079">
              <w:rPr>
                <w:rFonts w:eastAsia="Times New Roman"/>
              </w:rPr>
              <w:t>limfinių</w:t>
            </w:r>
            <w:proofErr w:type="spellEnd"/>
            <w:proofErr w:type="gramEnd"/>
            <w:r w:rsidRPr="00C21079">
              <w:rPr>
                <w:rFonts w:eastAsia="Times New Roman"/>
              </w:rPr>
              <w:t xml:space="preserve"> </w:t>
            </w:r>
            <w:proofErr w:type="spellStart"/>
            <w:r w:rsidRPr="00C21079">
              <w:rPr>
                <w:rFonts w:eastAsia="Times New Roman"/>
              </w:rPr>
              <w:t>mazgų</w:t>
            </w:r>
            <w:proofErr w:type="spellEnd"/>
            <w:r w:rsidRPr="00C21079">
              <w:rPr>
                <w:rFonts w:eastAsia="Times New Roman"/>
              </w:rPr>
              <w:t xml:space="preserve"> </w:t>
            </w:r>
            <w:proofErr w:type="spellStart"/>
            <w:r w:rsidRPr="00C21079">
              <w:rPr>
                <w:rFonts w:eastAsia="Times New Roman"/>
              </w:rPr>
              <w:t>padidėjimas</w:t>
            </w:r>
            <w:proofErr w:type="spellEnd"/>
            <w:r w:rsidRPr="00C21079">
              <w:rPr>
                <w:rFonts w:eastAsia="Times New Roman"/>
              </w:rPr>
              <w:t xml:space="preserve">, </w:t>
            </w:r>
            <w:proofErr w:type="spellStart"/>
            <w:r w:rsidRPr="00C21079">
              <w:rPr>
                <w:rFonts w:eastAsia="Times New Roman"/>
              </w:rPr>
              <w:t>alerginės</w:t>
            </w:r>
            <w:proofErr w:type="spellEnd"/>
            <w:r w:rsidRPr="00C21079">
              <w:rPr>
                <w:rFonts w:eastAsia="Times New Roman"/>
              </w:rPr>
              <w:t xml:space="preserve"> </w:t>
            </w:r>
            <w:proofErr w:type="spellStart"/>
            <w:r w:rsidRPr="00C21079">
              <w:rPr>
                <w:rFonts w:eastAsia="Times New Roman"/>
              </w:rPr>
              <w:t>reakcijos</w:t>
            </w:r>
            <w:proofErr w:type="spellEnd"/>
            <w:r w:rsidRPr="00C21079">
              <w:rPr>
                <w:rFonts w:eastAsia="Times New Roman"/>
              </w:rPr>
              <w:t xml:space="preserve"> </w:t>
            </w:r>
            <w:r w:rsidRPr="00C21079">
              <w:rPr>
                <w:rFonts w:eastAsia="Times New Roman"/>
                <w:lang w:val="lt-LT"/>
              </w:rPr>
              <w:t xml:space="preserve">(tokios kaip išplitusi dilgėlinė, gleivinės pabrinkimas, </w:t>
            </w:r>
            <w:proofErr w:type="spellStart"/>
            <w:r w:rsidRPr="00C21079">
              <w:rPr>
                <w:rFonts w:eastAsia="Times New Roman"/>
                <w:lang w:val="lt-LT"/>
              </w:rPr>
              <w:t>stridoras</w:t>
            </w:r>
            <w:proofErr w:type="spellEnd"/>
            <w:r w:rsidRPr="00C21079">
              <w:rPr>
                <w:rFonts w:eastAsia="Times New Roman"/>
                <w:lang w:val="lt-LT"/>
              </w:rPr>
              <w:t xml:space="preserve">, pasunkėjęs kvėpavimas, bronchų spazmas, mažas kraujospūdis ir kitos kraujotakos sistemos reakcijos (galimai lydimo praeinančio nespecifinio regos sutrikimo), praeinanti </w:t>
            </w:r>
            <w:proofErr w:type="spellStart"/>
            <w:r w:rsidRPr="00C21079">
              <w:rPr>
                <w:rFonts w:eastAsia="Times New Roman"/>
                <w:lang w:val="lt-LT"/>
              </w:rPr>
              <w:t>trombocitopenija</w:t>
            </w:r>
            <w:proofErr w:type="spellEnd"/>
            <w:r w:rsidRPr="00C21079">
              <w:rPr>
                <w:rFonts w:eastAsia="Times New Roman"/>
                <w:lang w:val="lt-LT"/>
              </w:rPr>
              <w:t>)</w:t>
            </w:r>
            <w:r w:rsidRPr="00C21079">
              <w:rPr>
                <w:rFonts w:eastAsia="Times New Roman"/>
              </w:rPr>
              <w:t xml:space="preserve">, </w:t>
            </w:r>
            <w:proofErr w:type="spellStart"/>
            <w:r w:rsidRPr="00C21079">
              <w:rPr>
                <w:rFonts w:eastAsia="Times New Roman"/>
              </w:rPr>
              <w:t>parestezija</w:t>
            </w:r>
            <w:proofErr w:type="spellEnd"/>
            <w:r w:rsidRPr="00C21079">
              <w:rPr>
                <w:rFonts w:eastAsia="Times New Roman"/>
              </w:rPr>
              <w:t xml:space="preserve"> (</w:t>
            </w:r>
            <w:proofErr w:type="spellStart"/>
            <w:r w:rsidRPr="00C21079">
              <w:rPr>
                <w:rFonts w:eastAsia="Times New Roman"/>
              </w:rPr>
              <w:t>tirpimas</w:t>
            </w:r>
            <w:proofErr w:type="spellEnd"/>
            <w:r w:rsidRPr="00C21079">
              <w:rPr>
                <w:rFonts w:eastAsia="Times New Roman"/>
              </w:rPr>
              <w:t xml:space="preserve">, </w:t>
            </w:r>
            <w:proofErr w:type="spellStart"/>
            <w:r w:rsidRPr="00C21079">
              <w:rPr>
                <w:rFonts w:eastAsia="Times New Roman"/>
              </w:rPr>
              <w:t>dilgsėjimas</w:t>
            </w:r>
            <w:proofErr w:type="spellEnd"/>
            <w:r w:rsidRPr="00C21079">
              <w:rPr>
                <w:rFonts w:eastAsia="Times New Roman"/>
              </w:rPr>
              <w:t xml:space="preserve">), </w:t>
            </w:r>
            <w:proofErr w:type="spellStart"/>
            <w:r w:rsidRPr="00C21079">
              <w:rPr>
                <w:rFonts w:eastAsia="Times New Roman"/>
              </w:rPr>
              <w:t>uždegimo</w:t>
            </w:r>
            <w:proofErr w:type="spellEnd"/>
            <w:r w:rsidRPr="00C21079">
              <w:rPr>
                <w:rFonts w:eastAsia="Times New Roman"/>
              </w:rPr>
              <w:t xml:space="preserve"> </w:t>
            </w:r>
            <w:proofErr w:type="spellStart"/>
            <w:r w:rsidRPr="00C21079">
              <w:rPr>
                <w:rFonts w:eastAsia="Times New Roman"/>
              </w:rPr>
              <w:t>gumbas</w:t>
            </w:r>
            <w:proofErr w:type="spellEnd"/>
            <w:r w:rsidRPr="00C21079">
              <w:rPr>
                <w:rFonts w:eastAsia="Times New Roman"/>
              </w:rPr>
              <w:t xml:space="preserve"> </w:t>
            </w:r>
            <w:proofErr w:type="spellStart"/>
            <w:r w:rsidRPr="00C21079">
              <w:rPr>
                <w:rFonts w:eastAsia="Times New Roman"/>
              </w:rPr>
              <w:t>iš</w:t>
            </w:r>
            <w:proofErr w:type="spellEnd"/>
            <w:r w:rsidRPr="00C21079">
              <w:rPr>
                <w:rFonts w:eastAsia="Times New Roman"/>
              </w:rPr>
              <w:t xml:space="preserve"> </w:t>
            </w:r>
            <w:proofErr w:type="spellStart"/>
            <w:r w:rsidRPr="00C21079">
              <w:rPr>
                <w:rFonts w:eastAsia="Times New Roman"/>
              </w:rPr>
              <w:t>audinio</w:t>
            </w:r>
            <w:proofErr w:type="spellEnd"/>
            <w:r w:rsidRPr="00C21079">
              <w:rPr>
                <w:rFonts w:eastAsia="Times New Roman"/>
                <w:lang w:val="lt-LT"/>
              </w:rPr>
              <w:t>) injekcijos vietoje, išimtiniais atvejais gali formuotis audinių skysčių sankaupa.</w:t>
            </w:r>
          </w:p>
        </w:tc>
      </w:tr>
    </w:tbl>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Minėti į gripą panašūs požymiai dažniausiai pasireiškia per 72 valandas po vakcinavimo.</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Sąnarių ir raumenų skausmas kaklo srityje gali atrodyti kaip smegenų dirginimo požymis. Tačiau</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jis pasitaiko retai ir per kelias dienas be pasekmių išnyksta.</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lang w:val="lt-LT"/>
        </w:rPr>
      </w:pPr>
      <w:r w:rsidRPr="00C21079">
        <w:rPr>
          <w:lang w:val="lt-LT"/>
        </w:rPr>
        <w:t xml:space="preserve">Per klinikinių tyrimų programą pasitaikė du glioblastomos (vėžinio smegenų auglio tipas) atvejai. Nors, </w:t>
      </w:r>
    </w:p>
    <w:p w:rsidR="00044AAF" w:rsidRPr="00C21079" w:rsidRDefault="00044AAF" w:rsidP="00044AAF">
      <w:pPr>
        <w:autoSpaceDE w:val="0"/>
        <w:autoSpaceDN w:val="0"/>
        <w:spacing w:after="0"/>
        <w:ind w:left="567" w:hanging="567"/>
        <w:rPr>
          <w:lang w:val="lt-LT"/>
        </w:rPr>
      </w:pPr>
      <w:r w:rsidRPr="00C21079">
        <w:rPr>
          <w:lang w:val="lt-LT"/>
        </w:rPr>
        <w:t xml:space="preserve">remiantis literatūroje aprašytais skaičiais, atliekant klinikinius tyrimus buvo tikėtasi mažiau tokių atvejų, </w:t>
      </w:r>
    </w:p>
    <w:p w:rsidR="00044AAF" w:rsidRPr="00C21079" w:rsidRDefault="00044AAF" w:rsidP="00044AAF">
      <w:pPr>
        <w:autoSpaceDE w:val="0"/>
        <w:autoSpaceDN w:val="0"/>
        <w:spacing w:after="0"/>
        <w:ind w:left="567" w:hanging="567"/>
        <w:rPr>
          <w:lang w:val="lt-LT"/>
        </w:rPr>
      </w:pPr>
      <w:r w:rsidRPr="00C21079">
        <w:rPr>
          <w:lang w:val="lt-LT"/>
        </w:rPr>
        <w:t>vaistui patekus į rinką pranešimų apie tokius atvejus nepadaugėjo ir priežastinis ryšys su Encepur adults</w:t>
      </w:r>
    </w:p>
    <w:p w:rsidR="00044AAF" w:rsidRPr="00C21079" w:rsidRDefault="00044AAF" w:rsidP="00044AAF">
      <w:pPr>
        <w:autoSpaceDE w:val="0"/>
        <w:autoSpaceDN w:val="0"/>
        <w:spacing w:after="0"/>
        <w:ind w:left="567" w:hanging="567"/>
        <w:rPr>
          <w:lang w:val="lt-LT"/>
        </w:rPr>
      </w:pPr>
      <w:r w:rsidRPr="00C21079">
        <w:rPr>
          <w:lang w:val="lt-LT"/>
        </w:rPr>
        <w:t>nenustatytas.</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 xml:space="preserve">Pavieniais atvejais pranešama apie po vakcinavimo nuo erkinio encefalito atsiradusius tokius centrinės </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lang w:val="lt-LT"/>
        </w:rPr>
        <w:t xml:space="preserve">ir periferinės nervų sistemos sutrikimus, kaip kylantis paralyžius, lydimas kvėpavimo sustojimo (pvz., </w:t>
      </w:r>
    </w:p>
    <w:p w:rsidR="00044AAF" w:rsidRPr="00C21079" w:rsidRDefault="00044AAF" w:rsidP="00044AAF">
      <w:pPr>
        <w:autoSpaceDE w:val="0"/>
        <w:autoSpaceDN w:val="0"/>
        <w:spacing w:after="0"/>
        <w:ind w:left="567" w:hanging="567"/>
        <w:rPr>
          <w:rFonts w:eastAsia="Times New Roman"/>
          <w:lang w:val="lt-LT"/>
        </w:rPr>
      </w:pPr>
      <w:r w:rsidRPr="00C21079">
        <w:rPr>
          <w:rFonts w:eastAsia="Times New Roman"/>
          <w:i/>
          <w:iCs/>
          <w:lang w:val="lt-LT"/>
        </w:rPr>
        <w:t>Guillen-Barré</w:t>
      </w:r>
      <w:r w:rsidRPr="00C21079">
        <w:rPr>
          <w:rFonts w:eastAsia="Times New Roman"/>
          <w:lang w:val="lt-LT"/>
        </w:rPr>
        <w:t xml:space="preserve"> sindromas).</w:t>
      </w:r>
    </w:p>
    <w:p w:rsidR="00044AAF" w:rsidRPr="00C21079" w:rsidRDefault="00044AAF" w:rsidP="00044AAF">
      <w:pPr>
        <w:autoSpaceDE w:val="0"/>
        <w:autoSpaceDN w:val="0"/>
        <w:spacing w:after="0"/>
        <w:ind w:left="567" w:hanging="567"/>
        <w:rPr>
          <w:rFonts w:eastAsia="Times New Roman"/>
          <w:lang w:val="lt-LT"/>
        </w:rPr>
      </w:pPr>
    </w:p>
    <w:p w:rsidR="00C864ED" w:rsidRPr="00C864ED" w:rsidRDefault="00C864ED" w:rsidP="00C864ED">
      <w:pPr>
        <w:tabs>
          <w:tab w:val="left" w:pos="567"/>
        </w:tabs>
        <w:spacing w:after="0"/>
        <w:rPr>
          <w:rFonts w:eastAsia="Times New Roman"/>
          <w:b/>
          <w:snapToGrid w:val="0"/>
          <w:szCs w:val="24"/>
          <w:lang w:val="lt-LT"/>
        </w:rPr>
      </w:pPr>
      <w:r w:rsidRPr="00C864ED">
        <w:rPr>
          <w:rFonts w:eastAsia="Times New Roman"/>
          <w:b/>
          <w:noProof/>
          <w:snapToGrid w:val="0"/>
          <w:szCs w:val="24"/>
          <w:lang w:val="lt-LT"/>
        </w:rPr>
        <w:t>Pranešimas apie šalutinį poveikį</w:t>
      </w:r>
    </w:p>
    <w:p w:rsidR="00C864ED" w:rsidRPr="00C864ED" w:rsidRDefault="00C864ED" w:rsidP="00C864ED">
      <w:pPr>
        <w:tabs>
          <w:tab w:val="left" w:pos="567"/>
        </w:tabs>
        <w:spacing w:after="0" w:line="260" w:lineRule="exact"/>
        <w:ind w:right="-449"/>
        <w:rPr>
          <w:rFonts w:eastAsia="Times New Roman"/>
          <w:noProof/>
          <w:snapToGrid w:val="0"/>
          <w:szCs w:val="24"/>
          <w:lang w:val="lt-LT"/>
        </w:rPr>
      </w:pPr>
      <w:r w:rsidRPr="00C864ED">
        <w:rPr>
          <w:rFonts w:eastAsia="Times New Roman"/>
          <w:snapToGrid w:val="0"/>
          <w:szCs w:val="20"/>
          <w:lang w:val="lt-LT"/>
        </w:rPr>
        <w:t>Jeigu pasireiškė šalutinis poveikis, įskaitant šiame l</w:t>
      </w:r>
      <w:r>
        <w:rPr>
          <w:rFonts w:eastAsia="Times New Roman"/>
          <w:snapToGrid w:val="0"/>
          <w:szCs w:val="20"/>
          <w:lang w:val="lt-LT"/>
        </w:rPr>
        <w:t xml:space="preserve">apelyje nenurodytą, pasakykite gydytojui arba, vaistininkui </w:t>
      </w:r>
      <w:r w:rsidRPr="00C864ED">
        <w:rPr>
          <w:rFonts w:eastAsia="Times New Roman"/>
          <w:snapToGrid w:val="0"/>
          <w:szCs w:val="20"/>
          <w:lang w:val="lt-LT"/>
        </w:rPr>
        <w:t xml:space="preserve">arba </w:t>
      </w:r>
      <w:r>
        <w:rPr>
          <w:rFonts w:eastAsia="Times New Roman"/>
          <w:snapToGrid w:val="0"/>
          <w:szCs w:val="20"/>
          <w:lang w:val="lt-LT"/>
        </w:rPr>
        <w:t>slaugytojui</w:t>
      </w:r>
      <w:r w:rsidRPr="00C864ED">
        <w:rPr>
          <w:rFonts w:eastAsia="Times New Roman"/>
          <w:snapToGrid w:val="0"/>
          <w:szCs w:val="20"/>
          <w:lang w:val="lt-LT"/>
        </w:rPr>
        <w:t>. Apie šalutinį poveikį taip pat galite pranešti Valstybinei vaistų kontrolės tarnybai prie Lietuvos Respublikos sveikatos apsaugos ministerijos nemokamu t</w:t>
      </w:r>
      <w:r w:rsidRPr="00C864ED">
        <w:rPr>
          <w:rFonts w:eastAsia="Times New Roman"/>
          <w:snapToGrid w:val="0"/>
          <w:szCs w:val="20"/>
          <w:lang w:val="lt-LT" w:eastAsia="zh-CN"/>
        </w:rPr>
        <w:t>elefonu 8 800 73568</w:t>
      </w:r>
      <w:r w:rsidRPr="00C864ED">
        <w:rPr>
          <w:rFonts w:eastAsia="Times New Roman"/>
          <w:snapToGrid w:val="0"/>
          <w:szCs w:val="20"/>
          <w:lang w:val="lt-LT"/>
        </w:rPr>
        <w:t xml:space="preserve"> arba užpildyti interneto svetainėje </w:t>
      </w:r>
      <w:hyperlink r:id="rId6" w:history="1">
        <w:r w:rsidRPr="00C864ED">
          <w:rPr>
            <w:rFonts w:eastAsia="SimSun"/>
            <w:snapToGrid w:val="0"/>
            <w:color w:val="0000FF"/>
            <w:szCs w:val="20"/>
            <w:u w:val="single"/>
            <w:lang w:val="lt-LT"/>
          </w:rPr>
          <w:t>www.vvkt.lt</w:t>
        </w:r>
      </w:hyperlink>
      <w:r w:rsidRPr="00C864ED">
        <w:rPr>
          <w:rFonts w:eastAsia="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864ED">
        <w:rPr>
          <w:rFonts w:eastAsia="Times New Roman"/>
          <w:snapToGrid w:val="0"/>
          <w:szCs w:val="20"/>
          <w:lang w:val="lt-LT" w:eastAsia="zh-CN"/>
        </w:rPr>
        <w:t xml:space="preserve">nemokamu </w:t>
      </w:r>
      <w:r w:rsidRPr="00C864ED">
        <w:rPr>
          <w:rFonts w:eastAsia="Times New Roman"/>
          <w:snapToGrid w:val="0"/>
          <w:szCs w:val="20"/>
          <w:lang w:val="lt-LT"/>
        </w:rPr>
        <w:t>fakso numeriu 8 800 20131</w:t>
      </w:r>
      <w:r w:rsidRPr="00C864ED">
        <w:rPr>
          <w:rFonts w:eastAsia="Times New Roman"/>
          <w:snapToGrid w:val="0"/>
          <w:szCs w:val="20"/>
          <w:lang w:val="lt-LT" w:eastAsia="zh-CN"/>
        </w:rPr>
        <w:t xml:space="preserve">, </w:t>
      </w:r>
      <w:r w:rsidRPr="00C864ED">
        <w:rPr>
          <w:rFonts w:eastAsia="Times New Roman"/>
          <w:snapToGrid w:val="0"/>
          <w:szCs w:val="20"/>
          <w:lang w:val="lt-LT"/>
        </w:rPr>
        <w:t xml:space="preserve">el. paštu </w:t>
      </w:r>
      <w:hyperlink r:id="rId7" w:history="1">
        <w:r w:rsidRPr="00C864ED">
          <w:rPr>
            <w:rFonts w:eastAsia="SimSun"/>
            <w:snapToGrid w:val="0"/>
            <w:color w:val="0000FF"/>
            <w:szCs w:val="20"/>
            <w:u w:val="single"/>
            <w:lang w:val="lt-LT"/>
          </w:rPr>
          <w:t>NepageidaujamaR@vvkt.lt</w:t>
        </w:r>
      </w:hyperlink>
      <w:r w:rsidRPr="00C864ED">
        <w:rPr>
          <w:rFonts w:eastAsia="Times New Roman"/>
          <w:snapToGrid w:val="0"/>
          <w:szCs w:val="20"/>
          <w:lang w:val="lt-LT"/>
        </w:rPr>
        <w:t xml:space="preserve">, taip pat per Valstybinės vaistų kontrolės tarnybos prie Lietuvos Respublikos sveikatos apsaugos ministerijos interneto svetainę (adresu </w:t>
      </w:r>
      <w:hyperlink r:id="rId8" w:history="1">
        <w:r w:rsidRPr="00C864ED">
          <w:rPr>
            <w:rFonts w:eastAsia="SimSun"/>
            <w:snapToGrid w:val="0"/>
            <w:color w:val="0000FF"/>
            <w:szCs w:val="20"/>
            <w:u w:val="single"/>
            <w:lang w:val="lt-LT"/>
          </w:rPr>
          <w:t>http://www.vvkt.lt</w:t>
        </w:r>
      </w:hyperlink>
      <w:r w:rsidRPr="00C864ED">
        <w:rPr>
          <w:rFonts w:eastAsia="Times New Roman"/>
          <w:snapToGrid w:val="0"/>
          <w:szCs w:val="20"/>
          <w:lang w:val="lt-LT"/>
        </w:rPr>
        <w:t>). Pranešdami apie šalutinį poveikį galite mums padėti gauti daugiau informacijos apie šio vaisto saugumą.</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sidRPr="00C21079">
        <w:rPr>
          <w:rFonts w:eastAsia="Times New Roman"/>
          <w:b/>
          <w:kern w:val="28"/>
          <w:lang w:val="lt-LT" w:eastAsia="lt-LT"/>
        </w:rPr>
        <w:t>5.</w:t>
      </w:r>
      <w:r w:rsidRPr="00C21079">
        <w:rPr>
          <w:rFonts w:eastAsia="Times New Roman"/>
          <w:b/>
          <w:kern w:val="28"/>
          <w:lang w:val="lt-LT" w:eastAsia="lt-LT"/>
        </w:rPr>
        <w:tab/>
        <w:t>Kaip laikyti Encepur adults</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C864ED" w:rsidP="00044AAF">
      <w:pPr>
        <w:autoSpaceDE w:val="0"/>
        <w:autoSpaceDN w:val="0"/>
        <w:spacing w:after="0"/>
        <w:rPr>
          <w:rFonts w:eastAsia="Times New Roman"/>
          <w:lang w:val="lt-LT"/>
        </w:rPr>
      </w:pPr>
      <w:r>
        <w:rPr>
          <w:rFonts w:eastAsia="Times New Roman"/>
          <w:lang w:val="lt-LT"/>
        </w:rPr>
        <w:t>Šį vaistą l</w:t>
      </w:r>
      <w:r w:rsidR="00044AAF" w:rsidRPr="00C21079">
        <w:rPr>
          <w:rFonts w:eastAsia="Times New Roman"/>
          <w:lang w:val="lt-LT"/>
        </w:rPr>
        <w:t xml:space="preserve">aikykite vaikams nepastebimoje ir nepasiekiamoje </w:t>
      </w:r>
      <w:r>
        <w:rPr>
          <w:rFonts w:eastAsia="Times New Roman"/>
          <w:lang w:val="lt-LT"/>
        </w:rPr>
        <w:t>v</w:t>
      </w:r>
      <w:r w:rsidR="00044AAF" w:rsidRPr="00C21079">
        <w:rPr>
          <w:rFonts w:eastAsia="Times New Roman"/>
          <w:lang w:val="lt-LT"/>
        </w:rPr>
        <w:t>ietoje.</w:t>
      </w:r>
    </w:p>
    <w:p w:rsidR="00044AAF" w:rsidRPr="00C21079" w:rsidRDefault="00044AAF" w:rsidP="00044AAF">
      <w:pPr>
        <w:autoSpaceDE w:val="0"/>
        <w:autoSpaceDN w:val="0"/>
        <w:spacing w:after="0"/>
        <w:rPr>
          <w:rFonts w:eastAsia="Times New Roman"/>
          <w:noProof/>
          <w:lang w:val="lt-LT"/>
        </w:rPr>
      </w:pPr>
    </w:p>
    <w:p w:rsidR="00044AAF" w:rsidRDefault="00044AAF" w:rsidP="00044AAF">
      <w:pPr>
        <w:autoSpaceDE w:val="0"/>
        <w:autoSpaceDN w:val="0"/>
        <w:spacing w:after="0"/>
        <w:rPr>
          <w:rFonts w:eastAsia="Times New Roman"/>
          <w:lang w:val="lt-LT"/>
        </w:rPr>
      </w:pPr>
      <w:r w:rsidRPr="00C21079">
        <w:rPr>
          <w:rFonts w:eastAsia="Times New Roman"/>
          <w:noProof/>
          <w:lang w:val="lt-LT"/>
        </w:rPr>
        <w:lastRenderedPageBreak/>
        <w:t xml:space="preserve">Laikyti šaldytuve (2 </w:t>
      </w:r>
      <w:r w:rsidRPr="00C21079">
        <w:rPr>
          <w:rFonts w:eastAsia="Times New Roman"/>
          <w:noProof/>
          <w:lang w:val="lt-LT"/>
        </w:rPr>
        <w:sym w:font="Symbol" w:char="F0B0"/>
      </w:r>
      <w:r w:rsidRPr="00C21079">
        <w:rPr>
          <w:rFonts w:eastAsia="Times New Roman"/>
          <w:noProof/>
          <w:lang w:val="lt-LT"/>
        </w:rPr>
        <w:t xml:space="preserve">C – 8 </w:t>
      </w:r>
      <w:r w:rsidRPr="00C21079">
        <w:rPr>
          <w:rFonts w:eastAsia="Times New Roman"/>
          <w:noProof/>
          <w:lang w:val="lt-LT"/>
        </w:rPr>
        <w:sym w:font="Symbol" w:char="F0B0"/>
      </w:r>
      <w:r w:rsidRPr="00C21079">
        <w:rPr>
          <w:rFonts w:eastAsia="Times New Roman"/>
          <w:noProof/>
          <w:lang w:val="lt-LT"/>
        </w:rPr>
        <w:t xml:space="preserve">C). </w:t>
      </w:r>
      <w:r w:rsidRPr="00C21079">
        <w:rPr>
          <w:rFonts w:eastAsia="Times New Roman"/>
          <w:lang w:val="lt-LT"/>
        </w:rPr>
        <w:t>Negalima užšaldyti.</w:t>
      </w:r>
    </w:p>
    <w:p w:rsidR="00933B65" w:rsidRPr="00933B65" w:rsidRDefault="00933B65" w:rsidP="00044AAF">
      <w:pPr>
        <w:autoSpaceDE w:val="0"/>
        <w:autoSpaceDN w:val="0"/>
        <w:spacing w:after="0"/>
        <w:rPr>
          <w:lang w:val="lt-LT"/>
        </w:rPr>
      </w:pPr>
      <w:r w:rsidRPr="00933B65">
        <w:rPr>
          <w:lang w:val="lt-LT"/>
        </w:rPr>
        <w:t>Jei vakcina buvo užšalusi, jos vartoti negalima.</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Užpildytą švirkštą laikyti išorinėje dėžutėje, kad preparatas būtų apsaugotas nuo šviesos.</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jc w:val="both"/>
        <w:rPr>
          <w:rFonts w:eastAsia="Times New Roman"/>
          <w:lang w:val="lt-LT"/>
        </w:rPr>
      </w:pPr>
      <w:r w:rsidRPr="00C21079">
        <w:rPr>
          <w:rFonts w:eastAsia="Times New Roman"/>
          <w:lang w:val="lt-LT"/>
        </w:rPr>
        <w:t xml:space="preserve">Ant </w:t>
      </w:r>
      <w:r w:rsidR="00C864ED">
        <w:rPr>
          <w:rFonts w:eastAsia="Times New Roman"/>
          <w:lang w:val="lt-LT"/>
        </w:rPr>
        <w:t xml:space="preserve">etiketės po „Tinka iki“, </w:t>
      </w:r>
      <w:r w:rsidRPr="00C21079">
        <w:rPr>
          <w:rFonts w:eastAsia="Times New Roman"/>
          <w:lang w:val="lt-LT"/>
        </w:rPr>
        <w:t>dėžutės ar švirkšto nurodytam tinkamumo laikui pasibaigus, šios vakcinos vartoti negalima. Vakcina tinkama vartoti iki paskutinės nurodyto mėnesio dienos.</w:t>
      </w: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jc w:val="both"/>
        <w:rPr>
          <w:rFonts w:eastAsia="Times New Roman"/>
          <w:lang w:val="lt-LT"/>
        </w:rPr>
      </w:pPr>
      <w:r w:rsidRPr="00C21079">
        <w:rPr>
          <w:rFonts w:eastAsia="Times New Roman"/>
          <w:lang w:val="lt-LT"/>
        </w:rPr>
        <w:t>Vaistų negalima išmesti į kanalizaciją arba su buitinėmis atliekomis. Kaip išmesti nereikalingus vaistus, klauskite vaistininko. Šios priemonės padės apsaugoti aplinką.</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sidRPr="00C21079">
        <w:rPr>
          <w:rFonts w:eastAsia="Times New Roman"/>
          <w:b/>
          <w:kern w:val="28"/>
          <w:lang w:val="lt-LT" w:eastAsia="lt-LT"/>
        </w:rPr>
        <w:t>6.</w:t>
      </w:r>
      <w:r w:rsidRPr="00C21079">
        <w:rPr>
          <w:rFonts w:eastAsia="Times New Roman"/>
          <w:b/>
          <w:kern w:val="28"/>
          <w:lang w:val="lt-LT" w:eastAsia="lt-LT"/>
        </w:rPr>
        <w:tab/>
        <w:t>Pakuotės turinys ir kita informacija</w:t>
      </w:r>
    </w:p>
    <w:p w:rsidR="00044AAF" w:rsidRPr="00C21079" w:rsidRDefault="00044AAF" w:rsidP="00044AAF">
      <w:p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Encepur adults sudėtis</w:t>
      </w:r>
    </w:p>
    <w:p w:rsidR="00044AAF" w:rsidRPr="00C21079" w:rsidRDefault="00044AAF" w:rsidP="00044AAF">
      <w:pPr>
        <w:autoSpaceDE w:val="0"/>
        <w:autoSpaceDN w:val="0"/>
        <w:spacing w:after="0"/>
        <w:ind w:left="567" w:hanging="567"/>
        <w:rPr>
          <w:rFonts w:eastAsia="Times New Roman"/>
          <w:lang w:val="lt-LT"/>
        </w:rPr>
      </w:pPr>
    </w:p>
    <w:p w:rsidR="0082655B" w:rsidRPr="0082655B" w:rsidRDefault="0082655B" w:rsidP="0082655B">
      <w:pPr>
        <w:pStyle w:val="Sraopastraipa"/>
        <w:numPr>
          <w:ilvl w:val="0"/>
          <w:numId w:val="4"/>
        </w:numPr>
        <w:autoSpaceDE w:val="0"/>
        <w:autoSpaceDN w:val="0"/>
        <w:spacing w:after="0"/>
        <w:rPr>
          <w:lang w:val="lt-LT"/>
        </w:rPr>
      </w:pPr>
      <w:r w:rsidRPr="0082655B">
        <w:rPr>
          <w:lang w:val="lt-LT"/>
        </w:rPr>
        <w:t>Veiklioji medžiaga yra inaktyvintas erkinio encefalito virusas (K23 padermės), išaugintas viščiuko embriono fibroblastų ląstelėse ir adsorbuotas ant hidratuoto aliuminio hidroksido (0,35 miligramų Al</w:t>
      </w:r>
      <w:r w:rsidRPr="0082655B">
        <w:rPr>
          <w:vertAlign w:val="superscript"/>
          <w:lang w:val="lt-LT"/>
        </w:rPr>
        <w:t>3+</w:t>
      </w:r>
      <w:r w:rsidRPr="0082655B">
        <w:rPr>
          <w:lang w:val="lt-LT"/>
        </w:rPr>
        <w:t>). Vienoje dozėje (0,5 ml suspensijos) yra 1,5 mikrogramo inaktyvinto erkinio encefalito viruso.</w:t>
      </w:r>
    </w:p>
    <w:p w:rsidR="0082655B" w:rsidRPr="0082655B" w:rsidRDefault="0082655B" w:rsidP="0082655B">
      <w:pPr>
        <w:pStyle w:val="Sraopastraipa"/>
        <w:numPr>
          <w:ilvl w:val="0"/>
          <w:numId w:val="4"/>
        </w:numPr>
        <w:autoSpaceDE w:val="0"/>
        <w:autoSpaceDN w:val="0"/>
        <w:spacing w:after="0"/>
        <w:rPr>
          <w:lang w:val="lt-LT"/>
        </w:rPr>
      </w:pPr>
      <w:r w:rsidRPr="0082655B">
        <w:rPr>
          <w:lang w:val="lt-LT"/>
        </w:rPr>
        <w:t xml:space="preserve">Pagalbinės medžiagos yra natrio chloridas, trometamolis, </w:t>
      </w:r>
      <w:r w:rsidRPr="0082655B">
        <w:rPr>
          <w:lang w:val="tg-Cyrl-TJ"/>
        </w:rPr>
        <w:t>sacharozė, injekcini</w:t>
      </w:r>
      <w:r w:rsidRPr="0082655B">
        <w:rPr>
          <w:lang w:val="lt-LT"/>
        </w:rPr>
        <w:t>s</w:t>
      </w:r>
      <w:r w:rsidRPr="0082655B">
        <w:rPr>
          <w:lang w:val="tg-Cyrl-TJ"/>
        </w:rPr>
        <w:t xml:space="preserve"> vand</w:t>
      </w:r>
      <w:r w:rsidRPr="0082655B">
        <w:rPr>
          <w:lang w:val="lt-LT"/>
        </w:rPr>
        <w:t>uo.</w:t>
      </w:r>
      <w:r w:rsidRPr="0082655B">
        <w:rPr>
          <w:lang w:val="tg-Cyrl-TJ"/>
        </w:rPr>
        <w:t xml:space="preserve"> Pėdsakai – chlortetraciklino, gentamicino, neomicino</w:t>
      </w:r>
      <w:r w:rsidRPr="0082655B">
        <w:rPr>
          <w:lang w:val="lt-LT"/>
        </w:rPr>
        <w:t>, formaldehido.</w:t>
      </w:r>
    </w:p>
    <w:p w:rsidR="00044AAF" w:rsidRPr="00C21079" w:rsidRDefault="00044AAF" w:rsidP="00044AAF">
      <w:pPr>
        <w:autoSpaceDE w:val="0"/>
        <w:autoSpaceDN w:val="0"/>
        <w:spacing w:after="0"/>
        <w:ind w:left="567" w:hanging="567"/>
        <w:rPr>
          <w:rFonts w:eastAsia="Times New Roman"/>
          <w:lang w:val="lt-LT"/>
        </w:rPr>
      </w:pPr>
    </w:p>
    <w:p w:rsidR="00044AAF" w:rsidRDefault="00044AAF" w:rsidP="00044AAF">
      <w:pPr>
        <w:autoSpaceDE w:val="0"/>
        <w:autoSpaceDN w:val="0"/>
        <w:spacing w:after="0"/>
        <w:ind w:left="567" w:hanging="567"/>
        <w:rPr>
          <w:rFonts w:eastAsia="Times New Roman"/>
          <w:b/>
          <w:bCs/>
          <w:lang w:val="lt-LT"/>
        </w:rPr>
      </w:pPr>
      <w:r w:rsidRPr="00C21079">
        <w:rPr>
          <w:rFonts w:eastAsia="Times New Roman"/>
          <w:b/>
          <w:bCs/>
          <w:lang w:val="lt-LT"/>
        </w:rPr>
        <w:t>Encepur adults išvaizda ir kiekis pakuotėje</w:t>
      </w:r>
    </w:p>
    <w:p w:rsidR="0082655B" w:rsidRPr="00C21079" w:rsidRDefault="0082655B" w:rsidP="00044AAF">
      <w:pPr>
        <w:autoSpaceDE w:val="0"/>
        <w:autoSpaceDN w:val="0"/>
        <w:spacing w:after="0"/>
        <w:ind w:left="567" w:hanging="567"/>
        <w:rPr>
          <w:rFonts w:eastAsia="Times New Roman"/>
          <w:lang w:val="lt-LT"/>
        </w:rPr>
      </w:pPr>
    </w:p>
    <w:p w:rsidR="0082655B" w:rsidRPr="0082655B" w:rsidRDefault="0082655B" w:rsidP="0082655B">
      <w:pPr>
        <w:autoSpaceDE w:val="0"/>
        <w:autoSpaceDN w:val="0"/>
        <w:spacing w:after="0"/>
        <w:ind w:left="567" w:hanging="567"/>
        <w:rPr>
          <w:lang w:val="lt-LT"/>
        </w:rPr>
      </w:pPr>
      <w:r w:rsidRPr="0082655B">
        <w:rPr>
          <w:lang w:val="lt-LT"/>
        </w:rPr>
        <w:t xml:space="preserve">Encepur adults – tai balkšva drumsta suspensija, </w:t>
      </w:r>
      <w:r w:rsidRPr="0082655B">
        <w:rPr>
          <w:color w:val="FF0000"/>
          <w:lang w:val="lt-LT"/>
        </w:rPr>
        <w:t>kurioje nėra konservantų</w:t>
      </w:r>
      <w:r w:rsidRPr="0082655B">
        <w:rPr>
          <w:lang w:val="lt-LT"/>
        </w:rPr>
        <w:t>.</w:t>
      </w:r>
    </w:p>
    <w:p w:rsidR="0082655B" w:rsidRPr="0082655B" w:rsidRDefault="0082655B" w:rsidP="0082655B">
      <w:pPr>
        <w:autoSpaceDE w:val="0"/>
        <w:autoSpaceDN w:val="0"/>
        <w:spacing w:after="0"/>
        <w:ind w:left="567" w:hanging="567"/>
        <w:rPr>
          <w:lang w:val="lt-LT"/>
        </w:rPr>
      </w:pPr>
      <w:r w:rsidRPr="0082655B">
        <w:rPr>
          <w:lang w:val="lt-LT"/>
        </w:rPr>
        <w:t>Pakuotėje yra užpildytas švirkštas (su adata), kuriame yra 0,5 ml suspensijos.</w:t>
      </w:r>
    </w:p>
    <w:p w:rsidR="00044AAF" w:rsidRPr="00C21079" w:rsidRDefault="00044AAF" w:rsidP="00044AAF">
      <w:pPr>
        <w:autoSpaceDE w:val="0"/>
        <w:autoSpaceDN w:val="0"/>
        <w:spacing w:after="0"/>
        <w:ind w:left="567" w:hanging="567"/>
        <w:rPr>
          <w:rFonts w:eastAsia="Times New Roman"/>
          <w:lang w:val="lt-LT"/>
        </w:rPr>
      </w:pPr>
    </w:p>
    <w:p w:rsidR="0082655B" w:rsidRPr="0082655B" w:rsidRDefault="0082655B" w:rsidP="0082655B">
      <w:pPr>
        <w:autoSpaceDE w:val="0"/>
        <w:autoSpaceDN w:val="0"/>
        <w:spacing w:after="0"/>
        <w:ind w:left="567" w:hanging="567"/>
        <w:rPr>
          <w:b/>
          <w:lang w:val="tg-Cyrl-TJ"/>
        </w:rPr>
      </w:pPr>
      <w:r w:rsidRPr="0082655B">
        <w:rPr>
          <w:b/>
          <w:lang w:val="tg-Cyrl-TJ"/>
        </w:rPr>
        <w:t>Gamintojas</w:t>
      </w:r>
    </w:p>
    <w:p w:rsidR="0082655B" w:rsidRPr="0082655B" w:rsidRDefault="0082655B" w:rsidP="0082655B">
      <w:pPr>
        <w:autoSpaceDE w:val="0"/>
        <w:autoSpaceDN w:val="0"/>
        <w:spacing w:after="0"/>
        <w:ind w:left="567" w:hanging="567"/>
        <w:rPr>
          <w:lang w:val="lt-LT"/>
        </w:rPr>
      </w:pPr>
      <w:r w:rsidRPr="0082655B">
        <w:rPr>
          <w:lang w:val="tg-Cyrl-TJ"/>
        </w:rPr>
        <w:t>Novartis Vaccines and Diagnostics GmbH</w:t>
      </w:r>
    </w:p>
    <w:p w:rsidR="0082655B" w:rsidRPr="0082655B" w:rsidRDefault="0082655B" w:rsidP="0082655B">
      <w:pPr>
        <w:autoSpaceDE w:val="0"/>
        <w:autoSpaceDN w:val="0"/>
        <w:spacing w:after="0"/>
        <w:ind w:left="567" w:hanging="567"/>
        <w:rPr>
          <w:lang w:val="lt-LT"/>
        </w:rPr>
      </w:pPr>
      <w:r w:rsidRPr="0082655B">
        <w:rPr>
          <w:lang w:val="tg-Cyrl-TJ"/>
        </w:rPr>
        <w:t xml:space="preserve">P.O. Box 1630, D.35006 Marburg </w:t>
      </w:r>
    </w:p>
    <w:p w:rsidR="0082655B" w:rsidRPr="0082655B" w:rsidRDefault="0082655B" w:rsidP="0082655B">
      <w:pPr>
        <w:autoSpaceDE w:val="0"/>
        <w:autoSpaceDN w:val="0"/>
        <w:spacing w:after="0"/>
        <w:ind w:left="567" w:hanging="567"/>
        <w:rPr>
          <w:lang w:val="lt-LT"/>
        </w:rPr>
      </w:pPr>
      <w:r w:rsidRPr="0082655B">
        <w:rPr>
          <w:lang w:val="lt-LT"/>
        </w:rPr>
        <w:t>Vokietija</w:t>
      </w:r>
    </w:p>
    <w:p w:rsidR="0082655B" w:rsidRPr="0082655B" w:rsidRDefault="0082655B" w:rsidP="0082655B">
      <w:pPr>
        <w:autoSpaceDE w:val="0"/>
        <w:autoSpaceDN w:val="0"/>
        <w:spacing w:after="0"/>
        <w:rPr>
          <w:lang w:val="lt-LT"/>
        </w:rPr>
      </w:pPr>
    </w:p>
    <w:p w:rsidR="0082655B" w:rsidRPr="0082655B" w:rsidRDefault="0082655B" w:rsidP="0082655B">
      <w:pPr>
        <w:autoSpaceDE w:val="0"/>
        <w:autoSpaceDN w:val="0"/>
        <w:spacing w:after="0"/>
        <w:ind w:left="567" w:hanging="567"/>
        <w:rPr>
          <w:b/>
          <w:lang w:val="tg-Cyrl-TJ"/>
        </w:rPr>
      </w:pPr>
      <w:r w:rsidRPr="0082655B">
        <w:rPr>
          <w:b/>
          <w:lang w:val="tg-Cyrl-TJ"/>
        </w:rPr>
        <w:t xml:space="preserve">Lygiagretus importuotojas </w:t>
      </w:r>
    </w:p>
    <w:p w:rsidR="0082655B" w:rsidRPr="0082655B" w:rsidRDefault="0082655B" w:rsidP="0082655B">
      <w:pPr>
        <w:autoSpaceDE w:val="0"/>
        <w:autoSpaceDN w:val="0"/>
        <w:spacing w:after="0"/>
        <w:ind w:left="567" w:hanging="567"/>
        <w:rPr>
          <w:lang w:val="tg-Cyrl-TJ"/>
        </w:rPr>
      </w:pPr>
      <w:r w:rsidRPr="0082655B">
        <w:rPr>
          <w:lang w:val="tg-Cyrl-TJ"/>
        </w:rPr>
        <w:t>UAB “Lex ano”</w:t>
      </w:r>
    </w:p>
    <w:p w:rsidR="0082655B" w:rsidRPr="0082655B" w:rsidRDefault="0082655B" w:rsidP="0082655B">
      <w:pPr>
        <w:autoSpaceDE w:val="0"/>
        <w:autoSpaceDN w:val="0"/>
        <w:spacing w:after="0"/>
        <w:ind w:left="567" w:hanging="567"/>
        <w:rPr>
          <w:lang w:val="tg-Cyrl-TJ"/>
        </w:rPr>
      </w:pPr>
      <w:r w:rsidRPr="0082655B">
        <w:rPr>
          <w:lang w:val="tg-Cyrl-TJ"/>
        </w:rPr>
        <w:t>Naugarduko g. 3, LT-03231 Vilnius</w:t>
      </w:r>
    </w:p>
    <w:p w:rsidR="0082655B" w:rsidRPr="0082655B" w:rsidRDefault="0082655B" w:rsidP="0082655B">
      <w:pPr>
        <w:autoSpaceDE w:val="0"/>
        <w:autoSpaceDN w:val="0"/>
        <w:spacing w:after="0"/>
        <w:ind w:left="567" w:hanging="567"/>
        <w:rPr>
          <w:lang w:val="tg-Cyrl-TJ"/>
        </w:rPr>
      </w:pPr>
      <w:r w:rsidRPr="0082655B">
        <w:rPr>
          <w:lang w:val="tg-Cyrl-TJ"/>
        </w:rPr>
        <w:t>Lietuva</w:t>
      </w:r>
    </w:p>
    <w:p w:rsidR="0082655B" w:rsidRPr="0082655B" w:rsidRDefault="0082655B" w:rsidP="0082655B">
      <w:pPr>
        <w:autoSpaceDE w:val="0"/>
        <w:autoSpaceDN w:val="0"/>
        <w:spacing w:after="0"/>
        <w:ind w:left="567" w:hanging="567"/>
        <w:rPr>
          <w:lang w:val="tg-Cyrl-TJ"/>
        </w:rPr>
      </w:pPr>
    </w:p>
    <w:p w:rsidR="0082655B" w:rsidRPr="0082655B" w:rsidRDefault="0082655B" w:rsidP="0082655B">
      <w:pPr>
        <w:autoSpaceDE w:val="0"/>
        <w:autoSpaceDN w:val="0"/>
        <w:spacing w:after="0"/>
        <w:ind w:left="567" w:hanging="567"/>
        <w:rPr>
          <w:b/>
          <w:lang w:val="tg-Cyrl-TJ"/>
        </w:rPr>
      </w:pPr>
      <w:r w:rsidRPr="0082655B">
        <w:rPr>
          <w:b/>
          <w:lang w:val="tg-Cyrl-TJ"/>
        </w:rPr>
        <w:t xml:space="preserve">Perpakavo </w:t>
      </w:r>
    </w:p>
    <w:p w:rsidR="0082655B" w:rsidRPr="0082655B" w:rsidRDefault="0082655B" w:rsidP="0082655B">
      <w:pPr>
        <w:autoSpaceDE w:val="0"/>
        <w:autoSpaceDN w:val="0"/>
        <w:spacing w:after="0"/>
        <w:ind w:left="567" w:hanging="567"/>
        <w:rPr>
          <w:lang w:val="tg-Cyrl-TJ"/>
        </w:rPr>
      </w:pPr>
      <w:r w:rsidRPr="0082655B">
        <w:rPr>
          <w:lang w:val="tg-Cyrl-TJ"/>
        </w:rPr>
        <w:t>BĮ UAB “Norfachema”</w:t>
      </w:r>
    </w:p>
    <w:p w:rsidR="0082655B" w:rsidRPr="0082655B" w:rsidRDefault="0082655B" w:rsidP="0082655B">
      <w:pPr>
        <w:autoSpaceDE w:val="0"/>
        <w:autoSpaceDN w:val="0"/>
        <w:spacing w:after="0"/>
        <w:ind w:left="567" w:hanging="567"/>
        <w:rPr>
          <w:lang w:val="tg-Cyrl-TJ"/>
        </w:rPr>
      </w:pPr>
      <w:r w:rsidRPr="0082655B">
        <w:rPr>
          <w:lang w:val="tg-Cyrl-TJ"/>
        </w:rPr>
        <w:t>Vytauto g. 6, Jonava</w:t>
      </w:r>
    </w:p>
    <w:p w:rsidR="0082655B" w:rsidRPr="0082655B" w:rsidRDefault="0082655B" w:rsidP="0082655B">
      <w:pPr>
        <w:autoSpaceDE w:val="0"/>
        <w:autoSpaceDN w:val="0"/>
        <w:spacing w:after="0"/>
        <w:ind w:left="567" w:hanging="567"/>
        <w:rPr>
          <w:lang w:val="tg-Cyrl-TJ"/>
        </w:rPr>
      </w:pPr>
      <w:r w:rsidRPr="0082655B">
        <w:rPr>
          <w:lang w:val="tg-Cyrl-TJ"/>
        </w:rPr>
        <w:t>Lietuva</w:t>
      </w:r>
    </w:p>
    <w:p w:rsidR="0082655B" w:rsidRDefault="0082655B" w:rsidP="0082655B">
      <w:pPr>
        <w:autoSpaceDE w:val="0"/>
        <w:autoSpaceDN w:val="0"/>
        <w:spacing w:after="0"/>
        <w:ind w:left="567" w:hanging="567"/>
        <w:rPr>
          <w:lang w:val="tg-Cyrl-TJ"/>
        </w:rPr>
      </w:pPr>
    </w:p>
    <w:p w:rsidR="00934E4C" w:rsidRDefault="00934E4C" w:rsidP="0082655B">
      <w:pPr>
        <w:autoSpaceDE w:val="0"/>
        <w:autoSpaceDN w:val="0"/>
        <w:spacing w:after="0"/>
        <w:ind w:left="567" w:hanging="567"/>
        <w:rPr>
          <w:lang w:val="lt-LT"/>
        </w:rPr>
      </w:pPr>
      <w:r>
        <w:rPr>
          <w:lang w:val="lt-LT"/>
        </w:rPr>
        <w:t>arba</w:t>
      </w:r>
    </w:p>
    <w:p w:rsidR="00934E4C" w:rsidRDefault="00934E4C" w:rsidP="00934E4C">
      <w:pPr>
        <w:spacing w:after="0"/>
        <w:rPr>
          <w:bCs/>
          <w:iCs/>
          <w:lang w:val="en-US"/>
        </w:rPr>
      </w:pPr>
    </w:p>
    <w:p w:rsidR="00934E4C" w:rsidRPr="00934E4C" w:rsidRDefault="00934E4C" w:rsidP="00934E4C">
      <w:pPr>
        <w:spacing w:after="0"/>
        <w:rPr>
          <w:bCs/>
          <w:iCs/>
          <w:lang w:val="en-US"/>
        </w:rPr>
      </w:pPr>
      <w:r w:rsidRPr="00934E4C">
        <w:rPr>
          <w:bCs/>
          <w:iCs/>
          <w:lang w:val="en-US"/>
        </w:rPr>
        <w:t>UAB „</w:t>
      </w:r>
      <w:proofErr w:type="spellStart"/>
      <w:r w:rsidRPr="00934E4C">
        <w:rPr>
          <w:bCs/>
          <w:iCs/>
          <w:lang w:val="en-US"/>
        </w:rPr>
        <w:t>Entafarma</w:t>
      </w:r>
      <w:proofErr w:type="spellEnd"/>
      <w:r w:rsidRPr="00934E4C">
        <w:rPr>
          <w:bCs/>
          <w:iCs/>
          <w:lang w:val="en-US"/>
        </w:rPr>
        <w:t>“</w:t>
      </w:r>
    </w:p>
    <w:p w:rsidR="00934E4C" w:rsidRPr="00934E4C" w:rsidRDefault="00934E4C" w:rsidP="00934E4C">
      <w:pPr>
        <w:spacing w:after="0"/>
        <w:rPr>
          <w:bCs/>
          <w:iCs/>
          <w:lang w:val="en-US"/>
        </w:rPr>
      </w:pPr>
      <w:proofErr w:type="spellStart"/>
      <w:r w:rsidRPr="00934E4C">
        <w:rPr>
          <w:bCs/>
          <w:iCs/>
          <w:lang w:val="en-US"/>
        </w:rPr>
        <w:t>Klonėnų</w:t>
      </w:r>
      <w:proofErr w:type="spellEnd"/>
      <w:r w:rsidRPr="00934E4C">
        <w:rPr>
          <w:bCs/>
          <w:iCs/>
          <w:lang w:val="en-US"/>
        </w:rPr>
        <w:t xml:space="preserve"> vs. 1</w:t>
      </w:r>
    </w:p>
    <w:p w:rsidR="00934E4C" w:rsidRPr="00934E4C" w:rsidRDefault="00934E4C" w:rsidP="00934E4C">
      <w:pPr>
        <w:spacing w:after="0"/>
        <w:rPr>
          <w:bCs/>
          <w:iCs/>
          <w:lang w:val="en-US"/>
        </w:rPr>
      </w:pPr>
      <w:proofErr w:type="spellStart"/>
      <w:r w:rsidRPr="00934E4C">
        <w:rPr>
          <w:bCs/>
          <w:iCs/>
          <w:lang w:val="en-US"/>
        </w:rPr>
        <w:t>Širvintų</w:t>
      </w:r>
      <w:proofErr w:type="spellEnd"/>
      <w:r w:rsidRPr="00934E4C">
        <w:rPr>
          <w:bCs/>
          <w:iCs/>
          <w:lang w:val="en-US"/>
        </w:rPr>
        <w:t xml:space="preserve"> r. </w:t>
      </w:r>
      <w:proofErr w:type="spellStart"/>
      <w:r w:rsidRPr="00934E4C">
        <w:rPr>
          <w:bCs/>
          <w:iCs/>
          <w:lang w:val="en-US"/>
        </w:rPr>
        <w:t>sav</w:t>
      </w:r>
      <w:proofErr w:type="spellEnd"/>
      <w:r w:rsidRPr="00934E4C">
        <w:rPr>
          <w:bCs/>
          <w:iCs/>
          <w:lang w:val="en-US"/>
        </w:rPr>
        <w:t>.</w:t>
      </w:r>
    </w:p>
    <w:p w:rsidR="00934E4C" w:rsidRPr="00934E4C" w:rsidRDefault="00934E4C" w:rsidP="00934E4C">
      <w:pPr>
        <w:spacing w:after="0"/>
        <w:rPr>
          <w:bCs/>
          <w:iCs/>
          <w:lang w:val="en-US"/>
        </w:rPr>
      </w:pPr>
      <w:proofErr w:type="spellStart"/>
      <w:r w:rsidRPr="00934E4C">
        <w:rPr>
          <w:bCs/>
          <w:iCs/>
          <w:lang w:val="en-US"/>
        </w:rPr>
        <w:t>Lietuva</w:t>
      </w:r>
      <w:proofErr w:type="spellEnd"/>
    </w:p>
    <w:p w:rsidR="00934E4C" w:rsidRPr="00934E4C" w:rsidRDefault="00934E4C" w:rsidP="0082655B">
      <w:pPr>
        <w:autoSpaceDE w:val="0"/>
        <w:autoSpaceDN w:val="0"/>
        <w:spacing w:after="0"/>
        <w:ind w:left="567" w:hanging="567"/>
        <w:rPr>
          <w:lang w:val="lt-LT"/>
        </w:rPr>
      </w:pPr>
    </w:p>
    <w:p w:rsidR="0082655B" w:rsidRPr="0082655B" w:rsidRDefault="0082655B" w:rsidP="0082655B">
      <w:pPr>
        <w:autoSpaceDE w:val="0"/>
        <w:autoSpaceDN w:val="0"/>
        <w:spacing w:after="0"/>
        <w:rPr>
          <w:lang w:val="lt-LT"/>
        </w:rPr>
      </w:pPr>
      <w:r>
        <w:rPr>
          <w:lang w:val="lt-LT"/>
        </w:rPr>
        <w:lastRenderedPageBreak/>
        <w:t>Registruotojas</w:t>
      </w:r>
      <w:r w:rsidRPr="0082655B">
        <w:rPr>
          <w:lang w:val="tg-Cyrl-TJ"/>
        </w:rPr>
        <w:t xml:space="preserve"> eksportuojančioje valstybėje yra Novartis Vaccines and Diagnostics GmbH</w:t>
      </w:r>
      <w:r w:rsidRPr="0082655B">
        <w:rPr>
          <w:lang w:val="lt-LT"/>
        </w:rPr>
        <w:t xml:space="preserve">, </w:t>
      </w:r>
      <w:r w:rsidRPr="0082655B">
        <w:rPr>
          <w:lang w:val="tg-Cyrl-TJ"/>
        </w:rPr>
        <w:t>P.O. Box 1630, D</w:t>
      </w:r>
      <w:r w:rsidR="002033D1">
        <w:rPr>
          <w:lang w:val="lt-LT"/>
        </w:rPr>
        <w:t>.</w:t>
      </w:r>
      <w:r w:rsidRPr="0082655B">
        <w:rPr>
          <w:lang w:val="tg-Cyrl-TJ"/>
        </w:rPr>
        <w:t>35006 Marburg</w:t>
      </w:r>
      <w:r w:rsidRPr="0082655B">
        <w:rPr>
          <w:lang w:val="lt-LT"/>
        </w:rPr>
        <w:t>, Vokietija.</w:t>
      </w:r>
    </w:p>
    <w:p w:rsidR="00044AAF" w:rsidRPr="00C21079" w:rsidRDefault="00044AAF" w:rsidP="00044AAF">
      <w:pPr>
        <w:numPr>
          <w:ilvl w:val="12"/>
          <w:numId w:val="0"/>
        </w:numPr>
        <w:autoSpaceDE w:val="0"/>
        <w:autoSpaceDN w:val="0"/>
        <w:spacing w:after="0"/>
        <w:ind w:left="567" w:hanging="567"/>
        <w:rPr>
          <w:rFonts w:eastAsia="Times New Roman"/>
          <w:lang w:val="lt-LT"/>
        </w:rPr>
      </w:pPr>
    </w:p>
    <w:p w:rsidR="00044AAF" w:rsidRPr="00C21079" w:rsidRDefault="00044AAF" w:rsidP="00044AAF">
      <w:pPr>
        <w:autoSpaceDE w:val="0"/>
        <w:autoSpaceDN w:val="0"/>
        <w:spacing w:after="0"/>
        <w:rPr>
          <w:rFonts w:eastAsia="Times New Roman"/>
          <w:b/>
          <w:bCs/>
          <w:lang w:val="lt-LT"/>
        </w:rPr>
      </w:pPr>
      <w:r w:rsidRPr="00C21079">
        <w:rPr>
          <w:rFonts w:eastAsia="Times New Roman"/>
          <w:b/>
          <w:bCs/>
          <w:lang w:val="lt-LT"/>
        </w:rPr>
        <w:t>Šis pakuotės</w:t>
      </w:r>
      <w:r w:rsidRPr="00C21079">
        <w:rPr>
          <w:rFonts w:eastAsia="Times New Roman"/>
          <w:lang w:val="lt-LT"/>
        </w:rPr>
        <w:t xml:space="preserve"> </w:t>
      </w:r>
      <w:r w:rsidRPr="00C21079">
        <w:rPr>
          <w:rFonts w:eastAsia="Times New Roman"/>
          <w:b/>
          <w:bCs/>
          <w:lang w:val="lt-LT"/>
        </w:rPr>
        <w:t xml:space="preserve">lapelis paskutinį kartą peržiūrėtas </w:t>
      </w:r>
      <w:r w:rsidR="0072775D">
        <w:rPr>
          <w:rFonts w:eastAsia="Times New Roman"/>
          <w:b/>
          <w:bCs/>
          <w:lang w:val="lt-LT"/>
        </w:rPr>
        <w:t>2015-09-30.</w:t>
      </w:r>
      <w:bookmarkStart w:id="6" w:name="_GoBack"/>
      <w:bookmarkEnd w:id="6"/>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p>
    <w:p w:rsidR="00C864ED" w:rsidRPr="00C864ED" w:rsidRDefault="00C864ED" w:rsidP="00C864ED">
      <w:pPr>
        <w:spacing w:after="0"/>
        <w:rPr>
          <w:noProof/>
          <w:color w:val="0000FF"/>
          <w:u w:val="single"/>
          <w:lang w:val="lt-LT"/>
        </w:rPr>
      </w:pPr>
      <w:r w:rsidRPr="00C864ED">
        <w:rPr>
          <w:noProof/>
          <w:lang w:val="lt-LT"/>
        </w:rPr>
        <w:t xml:space="preserve">Išsami informacija apie šį vaistą pateikiama Valstybinės vaistų kontrolės tarnybos prie Lietuvos Respublikos sveikatos apsaugos ministerijos tinklalapyje </w:t>
      </w:r>
      <w:hyperlink r:id="rId9" w:history="1">
        <w:r w:rsidRPr="00C864ED">
          <w:rPr>
            <w:noProof/>
            <w:color w:val="0000FF"/>
            <w:u w:val="single"/>
            <w:lang w:val="lt-LT"/>
          </w:rPr>
          <w:t>http://www.vvkt.lt/</w:t>
        </w:r>
      </w:hyperlink>
      <w:r w:rsidRPr="00C864ED">
        <w:rPr>
          <w:noProof/>
          <w:lang w:val="lt-LT"/>
        </w:rPr>
        <w:t>.</w:t>
      </w:r>
    </w:p>
    <w:p w:rsidR="00044AAF" w:rsidRPr="00C21079" w:rsidRDefault="00044AAF" w:rsidP="00044AAF">
      <w:pPr>
        <w:autoSpaceDE w:val="0"/>
        <w:autoSpaceDN w:val="0"/>
        <w:spacing w:after="0"/>
        <w:rPr>
          <w:rFonts w:eastAsia="Times New Roman"/>
          <w:highlight w:val="yellow"/>
          <w:lang w:val="lt-LT"/>
        </w:rPr>
      </w:pPr>
      <w:r w:rsidRPr="00C21079">
        <w:rPr>
          <w:rFonts w:eastAsia="Times New Roman"/>
          <w:noProof/>
          <w:lang w:val="tg-Cyrl-TJ"/>
        </w:rPr>
        <w:t>-----------------------------------------------------------------------------------------------------------------------------</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Žemiau pateikta informacija skirta tik sveikatos priežiūros specialistams:</w:t>
      </w:r>
    </w:p>
    <w:p w:rsidR="00044AAF" w:rsidRPr="00C21079" w:rsidRDefault="00044AAF" w:rsidP="00044AAF">
      <w:pPr>
        <w:autoSpaceDE w:val="0"/>
        <w:autoSpaceDN w:val="0"/>
        <w:spacing w:after="0"/>
        <w:jc w:val="both"/>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Encepur adults švirkščiama į raumenis, geriausia į žąsto raumenis (</w:t>
      </w:r>
      <w:r w:rsidRPr="00C21079">
        <w:rPr>
          <w:rFonts w:eastAsia="Times New Roman"/>
          <w:i/>
          <w:iCs/>
          <w:lang w:val="lt-LT"/>
        </w:rPr>
        <w:t>m. deltoideus)</w:t>
      </w:r>
      <w:r w:rsidRPr="00C21079">
        <w:rPr>
          <w:rFonts w:eastAsia="Times New Roman"/>
          <w:lang w:val="lt-LT"/>
        </w:rPr>
        <w:t>.</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Išskirtiniais atvejais (pvz., linkusiems kraujuoti pacientams), vakciną galima leisti po oda.</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Suderinamumo tyrimų neatlikta, todėl vakcinos maišyti su kitais vaistais negalima.</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Encepur adults yra paruoštas vartoti.</w:t>
      </w: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Prieš vartojimą vakciną reikia gerai supurtyti.</w:t>
      </w:r>
    </w:p>
    <w:p w:rsidR="00044AAF" w:rsidRPr="00C21079" w:rsidRDefault="00044AAF" w:rsidP="00044AAF">
      <w:pPr>
        <w:autoSpaceDE w:val="0"/>
        <w:autoSpaceDN w:val="0"/>
        <w:spacing w:after="0"/>
        <w:rPr>
          <w:rFonts w:eastAsia="Times New Roman"/>
          <w:lang w:val="lt-LT"/>
        </w:rPr>
      </w:pPr>
    </w:p>
    <w:p w:rsidR="00044AAF" w:rsidRPr="00C21079" w:rsidRDefault="00044AAF" w:rsidP="00044AAF">
      <w:pPr>
        <w:autoSpaceDE w:val="0"/>
        <w:autoSpaceDN w:val="0"/>
        <w:spacing w:after="0"/>
        <w:rPr>
          <w:rFonts w:eastAsia="Times New Roman"/>
          <w:lang w:val="lt-LT"/>
        </w:rPr>
      </w:pPr>
      <w:r w:rsidRPr="00C21079">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rsidR="00044AAF" w:rsidRPr="00C21079" w:rsidRDefault="00044AAF" w:rsidP="00044AAF">
      <w:pPr>
        <w:autoSpaceDE w:val="0"/>
        <w:autoSpaceDN w:val="0"/>
        <w:spacing w:after="0"/>
        <w:jc w:val="both"/>
        <w:rPr>
          <w:rFonts w:eastAsia="Times New Roman"/>
          <w:lang w:val="lt-LT"/>
        </w:rPr>
      </w:pPr>
      <w:r w:rsidRPr="00C21079">
        <w:rPr>
          <w:rFonts w:eastAsia="Times New Roman"/>
          <w:lang w:val="lt-LT"/>
        </w:rPr>
        <w:t>Apsauga yra optimali tik tuomet, kai atliekamas pilnutinis vakcinavimo kursas.</w:t>
      </w:r>
    </w:p>
    <w:p w:rsidR="00044AAF" w:rsidRPr="00C21079" w:rsidRDefault="00044AAF" w:rsidP="00044AAF">
      <w:pPr>
        <w:autoSpaceDE w:val="0"/>
        <w:autoSpaceDN w:val="0"/>
        <w:spacing w:after="0"/>
        <w:jc w:val="both"/>
        <w:rPr>
          <w:rFonts w:eastAsia="Times New Roman"/>
          <w:lang w:val="lt-LT"/>
        </w:rPr>
      </w:pPr>
    </w:p>
    <w:p w:rsidR="003D61CC" w:rsidRPr="00C21079" w:rsidRDefault="0072775D" w:rsidP="00044AAF"/>
    <w:sectPr w:rsidR="003D61CC" w:rsidRPr="00C21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28D"/>
    <w:multiLevelType w:val="hybridMultilevel"/>
    <w:tmpl w:val="F7A410AC"/>
    <w:lvl w:ilvl="0" w:tplc="D2885728">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11941AC2"/>
    <w:multiLevelType w:val="hybridMultilevel"/>
    <w:tmpl w:val="6A222780"/>
    <w:lvl w:ilvl="0" w:tplc="04270017">
      <w:start w:val="1"/>
      <w:numFmt w:val="low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nsid w:val="3F4E6682"/>
    <w:multiLevelType w:val="hybridMultilevel"/>
    <w:tmpl w:val="B5D05E86"/>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F6A33"/>
    <w:multiLevelType w:val="hybridMultilevel"/>
    <w:tmpl w:val="62D85776"/>
    <w:lvl w:ilvl="0" w:tplc="86140BF8">
      <w:start w:val="1"/>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16E57"/>
    <w:multiLevelType w:val="hybridMultilevel"/>
    <w:tmpl w:val="B24EEF6A"/>
    <w:lvl w:ilvl="0" w:tplc="47829C7E">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58DE0A8B"/>
    <w:multiLevelType w:val="hybridMultilevel"/>
    <w:tmpl w:val="C3A64DA8"/>
    <w:lvl w:ilvl="0" w:tplc="F4227E6E">
      <w:numFmt w:val="bullet"/>
      <w:lvlText w:val="-"/>
      <w:lvlJc w:val="left"/>
      <w:pPr>
        <w:ind w:left="642" w:hanging="358"/>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79A3274A"/>
    <w:multiLevelType w:val="hybridMultilevel"/>
    <w:tmpl w:val="D54E9340"/>
    <w:lvl w:ilvl="0" w:tplc="68D4F27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AF"/>
    <w:rsid w:val="00044AAF"/>
    <w:rsid w:val="0009789B"/>
    <w:rsid w:val="002033D1"/>
    <w:rsid w:val="003150BF"/>
    <w:rsid w:val="00366CD3"/>
    <w:rsid w:val="003A1689"/>
    <w:rsid w:val="005460D0"/>
    <w:rsid w:val="005E20E6"/>
    <w:rsid w:val="00620BA7"/>
    <w:rsid w:val="00634AB1"/>
    <w:rsid w:val="0072775D"/>
    <w:rsid w:val="0082655B"/>
    <w:rsid w:val="0084015B"/>
    <w:rsid w:val="00891500"/>
    <w:rsid w:val="008A33EC"/>
    <w:rsid w:val="00933B65"/>
    <w:rsid w:val="00934E4C"/>
    <w:rsid w:val="009B12D6"/>
    <w:rsid w:val="00C21079"/>
    <w:rsid w:val="00C37DCD"/>
    <w:rsid w:val="00C8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4AAF"/>
    <w:pPr>
      <w:spacing w:after="120" w:line="240" w:lineRule="auto"/>
    </w:pPr>
    <w:rPr>
      <w:rFonts w:ascii="Times New Roman" w:eastAsia="Calibri" w:hAnsi="Times New Roman" w:cs="Times New Roman"/>
      <w:lang w:val="en-GB"/>
    </w:rPr>
  </w:style>
  <w:style w:type="paragraph" w:styleId="Antrat1">
    <w:name w:val="heading 1"/>
    <w:basedOn w:val="prastasis"/>
    <w:next w:val="prastasis"/>
    <w:link w:val="Antrat1Diagrama"/>
    <w:uiPriority w:val="9"/>
    <w:qFormat/>
    <w:rsid w:val="00044A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locked/>
    <w:rsid w:val="00044AAF"/>
    <w:rPr>
      <w:rFonts w:ascii="Arial Unicode MS" w:eastAsia="Arial Unicode MS" w:hAnsi="Arial Unicode MS" w:cs="Arial Unicode MS"/>
      <w:b/>
      <w:lang w:val="lt-LT" w:bidi="lo-LA"/>
    </w:rPr>
  </w:style>
  <w:style w:type="paragraph" w:customStyle="1" w:styleId="BTEMEASMCA">
    <w:name w:val="BT EMEA_SMCA"/>
    <w:basedOn w:val="prastasis"/>
    <w:link w:val="BTEMEASMCAChar"/>
    <w:autoRedefine/>
    <w:rsid w:val="00044AAF"/>
    <w:pPr>
      <w:spacing w:after="0"/>
    </w:pPr>
    <w:rPr>
      <w:rFonts w:ascii="Arial Unicode MS" w:eastAsia="Arial Unicode MS" w:hAnsi="Arial Unicode MS" w:cs="Arial Unicode MS"/>
      <w:b/>
      <w:lang w:val="lt-LT" w:bidi="lo-LA"/>
    </w:rPr>
  </w:style>
  <w:style w:type="character" w:customStyle="1" w:styleId="TTEMEASMCAChar">
    <w:name w:val="TT EMEA_SMCA Char"/>
    <w:link w:val="TTEMEASMCA"/>
    <w:locked/>
    <w:rsid w:val="00044AAF"/>
    <w:rPr>
      <w:rFonts w:ascii="Arial Unicode MS" w:eastAsia="Arial Unicode MS" w:hAnsi="Arial Unicode MS" w:cs="Arial Unicode MS"/>
      <w:b/>
      <w:caps/>
      <w:lang w:val="lt-LT" w:bidi="lo-LA"/>
    </w:rPr>
  </w:style>
  <w:style w:type="paragraph" w:customStyle="1" w:styleId="TTEMEASMCA">
    <w:name w:val="TT EMEA_SMCA"/>
    <w:basedOn w:val="Antrat1"/>
    <w:link w:val="TTEMEASMCAChar"/>
    <w:autoRedefine/>
    <w:rsid w:val="00044AAF"/>
    <w:pPr>
      <w:keepNext w:val="0"/>
      <w:keepLines w:val="0"/>
      <w:tabs>
        <w:tab w:val="left" w:pos="567"/>
      </w:tabs>
      <w:spacing w:before="0"/>
      <w:ind w:left="567" w:hanging="567"/>
      <w:jc w:val="center"/>
    </w:pPr>
    <w:rPr>
      <w:rFonts w:ascii="Arial Unicode MS" w:eastAsia="Arial Unicode MS" w:hAnsi="Arial Unicode MS" w:cs="Arial Unicode MS"/>
      <w:b/>
      <w:caps/>
      <w:color w:val="auto"/>
      <w:sz w:val="22"/>
      <w:szCs w:val="22"/>
      <w:lang w:val="lt-LT" w:bidi="lo-LA"/>
    </w:rPr>
  </w:style>
  <w:style w:type="character" w:customStyle="1" w:styleId="PI-1labEMEASMCAChar">
    <w:name w:val="PI-1_lab EMEA_SMCA Char"/>
    <w:link w:val="PI-1labEMEASMCA"/>
    <w:locked/>
    <w:rsid w:val="00044AAF"/>
    <w:rPr>
      <w:b/>
      <w:noProof/>
      <w:lang w:val="lt-LT"/>
    </w:rPr>
  </w:style>
  <w:style w:type="paragraph" w:customStyle="1" w:styleId="PI-1labEMEASMCA">
    <w:name w:val="PI-1_lab EMEA_SMCA"/>
    <w:basedOn w:val="prastasis"/>
    <w:link w:val="PI-1labEMEASMCAChar"/>
    <w:autoRedefine/>
    <w:rsid w:val="00044AAF"/>
    <w:pPr>
      <w:pBdr>
        <w:top w:val="single" w:sz="4" w:space="1" w:color="auto"/>
        <w:left w:val="single" w:sz="4" w:space="4" w:color="auto"/>
        <w:bottom w:val="single" w:sz="4" w:space="1" w:color="auto"/>
        <w:right w:val="single" w:sz="4" w:space="4" w:color="auto"/>
      </w:pBdr>
      <w:tabs>
        <w:tab w:val="left" w:pos="540"/>
      </w:tabs>
      <w:spacing w:after="0"/>
    </w:pPr>
    <w:rPr>
      <w:rFonts w:asciiTheme="minorHAnsi" w:eastAsiaTheme="minorHAnsi" w:hAnsiTheme="minorHAnsi" w:cstheme="minorBidi"/>
      <w:b/>
      <w:noProof/>
      <w:lang w:val="lt-LT"/>
    </w:rPr>
  </w:style>
  <w:style w:type="paragraph" w:customStyle="1" w:styleId="clearformattingSM">
    <w:name w:val="clear formatting SM"/>
    <w:basedOn w:val="prastasis"/>
    <w:rsid w:val="00044AAF"/>
    <w:pPr>
      <w:autoSpaceDE w:val="0"/>
      <w:autoSpaceDN w:val="0"/>
      <w:spacing w:after="0"/>
      <w:jc w:val="both"/>
    </w:pPr>
    <w:rPr>
      <w:rFonts w:eastAsia="Times New Roman" w:cs="TimesLT"/>
      <w:lang w:val="tg-Cyrl-TJ"/>
    </w:rPr>
  </w:style>
  <w:style w:type="character" w:customStyle="1" w:styleId="Antrat1Diagrama">
    <w:name w:val="Antraštė 1 Diagrama"/>
    <w:basedOn w:val="Numatytasispastraiposriftas"/>
    <w:link w:val="Antrat1"/>
    <w:uiPriority w:val="9"/>
    <w:rsid w:val="00044AAF"/>
    <w:rPr>
      <w:rFonts w:asciiTheme="majorHAnsi" w:eastAsiaTheme="majorEastAsia" w:hAnsiTheme="majorHAnsi" w:cstheme="majorBidi"/>
      <w:color w:val="2E74B5" w:themeColor="accent1" w:themeShade="BF"/>
      <w:sz w:val="32"/>
      <w:szCs w:val="32"/>
      <w:lang w:val="en-GB"/>
    </w:rPr>
  </w:style>
  <w:style w:type="paragraph" w:styleId="Sraopastraipa">
    <w:name w:val="List Paragraph"/>
    <w:basedOn w:val="prastasis"/>
    <w:uiPriority w:val="34"/>
    <w:qFormat/>
    <w:rsid w:val="008265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4AAF"/>
    <w:pPr>
      <w:spacing w:after="120" w:line="240" w:lineRule="auto"/>
    </w:pPr>
    <w:rPr>
      <w:rFonts w:ascii="Times New Roman" w:eastAsia="Calibri" w:hAnsi="Times New Roman" w:cs="Times New Roman"/>
      <w:lang w:val="en-GB"/>
    </w:rPr>
  </w:style>
  <w:style w:type="paragraph" w:styleId="Antrat1">
    <w:name w:val="heading 1"/>
    <w:basedOn w:val="prastasis"/>
    <w:next w:val="prastasis"/>
    <w:link w:val="Antrat1Diagrama"/>
    <w:uiPriority w:val="9"/>
    <w:qFormat/>
    <w:rsid w:val="00044A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locked/>
    <w:rsid w:val="00044AAF"/>
    <w:rPr>
      <w:rFonts w:ascii="Arial Unicode MS" w:eastAsia="Arial Unicode MS" w:hAnsi="Arial Unicode MS" w:cs="Arial Unicode MS"/>
      <w:b/>
      <w:lang w:val="lt-LT" w:bidi="lo-LA"/>
    </w:rPr>
  </w:style>
  <w:style w:type="paragraph" w:customStyle="1" w:styleId="BTEMEASMCA">
    <w:name w:val="BT EMEA_SMCA"/>
    <w:basedOn w:val="prastasis"/>
    <w:link w:val="BTEMEASMCAChar"/>
    <w:autoRedefine/>
    <w:rsid w:val="00044AAF"/>
    <w:pPr>
      <w:spacing w:after="0"/>
    </w:pPr>
    <w:rPr>
      <w:rFonts w:ascii="Arial Unicode MS" w:eastAsia="Arial Unicode MS" w:hAnsi="Arial Unicode MS" w:cs="Arial Unicode MS"/>
      <w:b/>
      <w:lang w:val="lt-LT" w:bidi="lo-LA"/>
    </w:rPr>
  </w:style>
  <w:style w:type="character" w:customStyle="1" w:styleId="TTEMEASMCAChar">
    <w:name w:val="TT EMEA_SMCA Char"/>
    <w:link w:val="TTEMEASMCA"/>
    <w:locked/>
    <w:rsid w:val="00044AAF"/>
    <w:rPr>
      <w:rFonts w:ascii="Arial Unicode MS" w:eastAsia="Arial Unicode MS" w:hAnsi="Arial Unicode MS" w:cs="Arial Unicode MS"/>
      <w:b/>
      <w:caps/>
      <w:lang w:val="lt-LT" w:bidi="lo-LA"/>
    </w:rPr>
  </w:style>
  <w:style w:type="paragraph" w:customStyle="1" w:styleId="TTEMEASMCA">
    <w:name w:val="TT EMEA_SMCA"/>
    <w:basedOn w:val="Antrat1"/>
    <w:link w:val="TTEMEASMCAChar"/>
    <w:autoRedefine/>
    <w:rsid w:val="00044AAF"/>
    <w:pPr>
      <w:keepNext w:val="0"/>
      <w:keepLines w:val="0"/>
      <w:tabs>
        <w:tab w:val="left" w:pos="567"/>
      </w:tabs>
      <w:spacing w:before="0"/>
      <w:ind w:left="567" w:hanging="567"/>
      <w:jc w:val="center"/>
    </w:pPr>
    <w:rPr>
      <w:rFonts w:ascii="Arial Unicode MS" w:eastAsia="Arial Unicode MS" w:hAnsi="Arial Unicode MS" w:cs="Arial Unicode MS"/>
      <w:b/>
      <w:caps/>
      <w:color w:val="auto"/>
      <w:sz w:val="22"/>
      <w:szCs w:val="22"/>
      <w:lang w:val="lt-LT" w:bidi="lo-LA"/>
    </w:rPr>
  </w:style>
  <w:style w:type="character" w:customStyle="1" w:styleId="PI-1labEMEASMCAChar">
    <w:name w:val="PI-1_lab EMEA_SMCA Char"/>
    <w:link w:val="PI-1labEMEASMCA"/>
    <w:locked/>
    <w:rsid w:val="00044AAF"/>
    <w:rPr>
      <w:b/>
      <w:noProof/>
      <w:lang w:val="lt-LT"/>
    </w:rPr>
  </w:style>
  <w:style w:type="paragraph" w:customStyle="1" w:styleId="PI-1labEMEASMCA">
    <w:name w:val="PI-1_lab EMEA_SMCA"/>
    <w:basedOn w:val="prastasis"/>
    <w:link w:val="PI-1labEMEASMCAChar"/>
    <w:autoRedefine/>
    <w:rsid w:val="00044AAF"/>
    <w:pPr>
      <w:pBdr>
        <w:top w:val="single" w:sz="4" w:space="1" w:color="auto"/>
        <w:left w:val="single" w:sz="4" w:space="4" w:color="auto"/>
        <w:bottom w:val="single" w:sz="4" w:space="1" w:color="auto"/>
        <w:right w:val="single" w:sz="4" w:space="4" w:color="auto"/>
      </w:pBdr>
      <w:tabs>
        <w:tab w:val="left" w:pos="540"/>
      </w:tabs>
      <w:spacing w:after="0"/>
    </w:pPr>
    <w:rPr>
      <w:rFonts w:asciiTheme="minorHAnsi" w:eastAsiaTheme="minorHAnsi" w:hAnsiTheme="minorHAnsi" w:cstheme="minorBidi"/>
      <w:b/>
      <w:noProof/>
      <w:lang w:val="lt-LT"/>
    </w:rPr>
  </w:style>
  <w:style w:type="paragraph" w:customStyle="1" w:styleId="clearformattingSM">
    <w:name w:val="clear formatting SM"/>
    <w:basedOn w:val="prastasis"/>
    <w:rsid w:val="00044AAF"/>
    <w:pPr>
      <w:autoSpaceDE w:val="0"/>
      <w:autoSpaceDN w:val="0"/>
      <w:spacing w:after="0"/>
      <w:jc w:val="both"/>
    </w:pPr>
    <w:rPr>
      <w:rFonts w:eastAsia="Times New Roman" w:cs="TimesLT"/>
      <w:lang w:val="tg-Cyrl-TJ"/>
    </w:rPr>
  </w:style>
  <w:style w:type="character" w:customStyle="1" w:styleId="Antrat1Diagrama">
    <w:name w:val="Antraštė 1 Diagrama"/>
    <w:basedOn w:val="Numatytasispastraiposriftas"/>
    <w:link w:val="Antrat1"/>
    <w:uiPriority w:val="9"/>
    <w:rsid w:val="00044AAF"/>
    <w:rPr>
      <w:rFonts w:asciiTheme="majorHAnsi" w:eastAsiaTheme="majorEastAsia" w:hAnsiTheme="majorHAnsi" w:cstheme="majorBidi"/>
      <w:color w:val="2E74B5" w:themeColor="accent1" w:themeShade="BF"/>
      <w:sz w:val="32"/>
      <w:szCs w:val="32"/>
      <w:lang w:val="en-GB"/>
    </w:rPr>
  </w:style>
  <w:style w:type="paragraph" w:styleId="Sraopastraipa">
    <w:name w:val="List Paragraph"/>
    <w:basedOn w:val="prastasis"/>
    <w:uiPriority w:val="34"/>
    <w:qFormat/>
    <w:rsid w:val="00826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9785</Words>
  <Characters>5578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9</cp:revision>
  <dcterms:created xsi:type="dcterms:W3CDTF">2015-09-14T11:03:00Z</dcterms:created>
  <dcterms:modified xsi:type="dcterms:W3CDTF">2015-10-05T11:28:00Z</dcterms:modified>
</cp:coreProperties>
</file>