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r w:rsidRPr="00650D8D">
        <w:rPr>
          <w:rFonts w:ascii="Times New Roman" w:eastAsia="Calibri" w:hAnsi="Times New Roman" w:cs="Times New Roman"/>
          <w:b/>
          <w:bCs/>
          <w:lang w:val="lt-LT"/>
        </w:rPr>
        <w:t>I PRIEDAS</w:t>
      </w:r>
    </w:p>
    <w:p w:rsidR="00650D8D" w:rsidRPr="00650D8D" w:rsidRDefault="00650D8D" w:rsidP="00650D8D">
      <w:pPr>
        <w:spacing w:after="0" w:line="240" w:lineRule="auto"/>
        <w:jc w:val="center"/>
        <w:rPr>
          <w:rFonts w:ascii="Times New Roman" w:eastAsia="Calibri" w:hAnsi="Times New Roman" w:cs="Times New Roman"/>
          <w:b/>
          <w:bCs/>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r w:rsidRPr="00650D8D">
        <w:rPr>
          <w:rFonts w:ascii="Times New Roman" w:eastAsia="Calibri" w:hAnsi="Times New Roman" w:cs="Times New Roman"/>
          <w:b/>
          <w:bCs/>
          <w:lang w:val="lt-LT"/>
        </w:rPr>
        <w:t>PREPARATO CHARAKTERISTIKŲ SANTRAUKA</w:t>
      </w:r>
    </w:p>
    <w:p w:rsidR="00650D8D" w:rsidRPr="00650D8D" w:rsidRDefault="00650D8D" w:rsidP="00650D8D">
      <w:pPr>
        <w:spacing w:after="0" w:line="240" w:lineRule="auto"/>
        <w:jc w:val="center"/>
        <w:rPr>
          <w:rFonts w:ascii="Times New Roman" w:eastAsia="Calibri" w:hAnsi="Times New Roman" w:cs="Times New Roman"/>
          <w:b/>
          <w:bCs/>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lang w:val="lt-LT"/>
        </w:rPr>
        <w:br w:type="page"/>
      </w:r>
      <w:r w:rsidRPr="00650D8D">
        <w:rPr>
          <w:rFonts w:ascii="Times New Roman" w:eastAsia="Calibri" w:hAnsi="Times New Roman" w:cs="Times New Roman"/>
          <w:b/>
          <w:bCs/>
          <w:lang w:val="lt-LT"/>
        </w:rPr>
        <w:lastRenderedPageBreak/>
        <w:t>1.</w:t>
      </w:r>
      <w:r w:rsidRPr="00650D8D">
        <w:rPr>
          <w:rFonts w:ascii="Times New Roman" w:eastAsia="Calibri" w:hAnsi="Times New Roman" w:cs="Times New Roman"/>
          <w:b/>
          <w:bCs/>
          <w:lang w:val="lt-LT"/>
        </w:rPr>
        <w:tab/>
      </w:r>
      <w:r w:rsidRPr="00650D8D">
        <w:rPr>
          <w:rFonts w:ascii="Times New Roman" w:eastAsia="Calibri" w:hAnsi="Times New Roman" w:cs="Times New Roman"/>
          <w:b/>
          <w:bCs/>
          <w:caps/>
          <w:lang w:val="lt-LT"/>
        </w:rPr>
        <w:t>VAISTINIO</w:t>
      </w:r>
      <w:r w:rsidRPr="00650D8D">
        <w:rPr>
          <w:rFonts w:ascii="Times New Roman" w:eastAsia="Calibri" w:hAnsi="Times New Roman" w:cs="Times New Roman"/>
          <w:b/>
          <w:bCs/>
          <w:lang w:val="lt-LT"/>
        </w:rPr>
        <w:t xml:space="preserve"> PREPARATO PAVADINIMAS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4 mg tabletės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8 mg tabletės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16 mg tabletės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32 mg tabletės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2.</w:t>
      </w:r>
      <w:r w:rsidRPr="00650D8D">
        <w:rPr>
          <w:rFonts w:ascii="Times New Roman" w:eastAsia="Calibri" w:hAnsi="Times New Roman" w:cs="Times New Roman"/>
          <w:b/>
          <w:bCs/>
          <w:lang w:val="lt-LT"/>
        </w:rPr>
        <w:tab/>
        <w:t>KOKYBINĖ IR KIEKYBINĖ SUDĖTIS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tabletėje yra 4 mg kandesartano cileksetilo.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tabletėje yra 8 mg kandesartano cileksetilo.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tabletėje yra 16 mg kandesartano cileksetilo.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tabletėje yra 32 mg kandesartano cileksetilo.</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20766B">
        <w:rPr>
          <w:rFonts w:ascii="Times New Roman" w:eastAsia="Calibri" w:hAnsi="Times New Roman" w:cs="Times New Roman"/>
          <w:u w:val="single"/>
          <w:lang w:val="lt-LT"/>
        </w:rPr>
        <w:t>Pagalbinės medžiagos</w:t>
      </w:r>
      <w:r w:rsidR="009552AB" w:rsidRPr="0020766B">
        <w:rPr>
          <w:rFonts w:ascii="Times New Roman" w:eastAsia="Calibri" w:hAnsi="Times New Roman" w:cs="Times New Roman"/>
          <w:u w:val="single"/>
          <w:lang w:val="lt-LT"/>
        </w:rPr>
        <w:t>, kurių</w:t>
      </w:r>
      <w:r w:rsidR="00FC04EA" w:rsidRPr="0020766B">
        <w:rPr>
          <w:rFonts w:ascii="Times New Roman" w:eastAsia="Calibri" w:hAnsi="Times New Roman" w:cs="Times New Roman"/>
          <w:u w:val="single"/>
          <w:lang w:val="lt-LT"/>
        </w:rPr>
        <w:t xml:space="preserve"> poveikis žinomas</w:t>
      </w:r>
      <w:r w:rsidRPr="00650D8D">
        <w:rPr>
          <w:rFonts w:ascii="Times New Roman" w:eastAsia="Calibri" w:hAnsi="Times New Roman" w:cs="Times New Roman"/>
          <w:lang w:val="lt-LT"/>
        </w:rPr>
        <w:t xml:space="preserve">: </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4 mg tabletėje yra 95,1 mg laktozės monohidrato.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8 mg tabletėje yra 190,1 mg laktozės monohidrato.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16 mg tabletėje yra 181,7 mg laktozės monohidrato.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32 mg tabletėje yra 363,5 mg laktozės monohidrato.</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Visos pagalbinės medžiagos išvardytos 6.1 skyriuje.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3.</w:t>
      </w:r>
      <w:r w:rsidRPr="00650D8D">
        <w:rPr>
          <w:rFonts w:ascii="Times New Roman" w:eastAsia="Calibri" w:hAnsi="Times New Roman" w:cs="Times New Roman"/>
          <w:b/>
          <w:bCs/>
          <w:lang w:val="lt-LT"/>
        </w:rPr>
        <w:tab/>
        <w:t>FARMACINĖ FORMA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Tabletė.</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Candesartan Ingen Pharma 4 mg tabletės yra baltos, apvalios, abipus išgaubtos, su žymomis </w:t>
      </w:r>
      <w:r w:rsidRPr="00650D8D">
        <w:rPr>
          <w:rFonts w:ascii="Times New Roman" w:eastAsia="Calibri" w:hAnsi="Times New Roman" w:cs="Times New Roman"/>
          <w:b/>
          <w:bCs/>
          <w:i/>
          <w:iCs/>
          <w:lang w:val="lt-LT"/>
        </w:rPr>
        <w:t>CC</w:t>
      </w:r>
      <w:r w:rsidRPr="00650D8D">
        <w:rPr>
          <w:rFonts w:ascii="Times New Roman" w:eastAsia="Calibri" w:hAnsi="Times New Roman" w:cs="Times New Roman"/>
          <w:lang w:val="lt-LT"/>
        </w:rPr>
        <w:t xml:space="preserve"> vienoje pusėje ir </w:t>
      </w:r>
      <w:r w:rsidRPr="00650D8D">
        <w:rPr>
          <w:rFonts w:ascii="Times New Roman" w:eastAsia="Calibri" w:hAnsi="Times New Roman" w:cs="Times New Roman"/>
          <w:b/>
          <w:bCs/>
          <w:i/>
          <w:iCs/>
          <w:lang w:val="lt-LT"/>
        </w:rPr>
        <w:t>04</w:t>
      </w:r>
      <w:r w:rsidRPr="00650D8D">
        <w:rPr>
          <w:rFonts w:ascii="Times New Roman" w:eastAsia="Calibri" w:hAnsi="Times New Roman" w:cs="Times New Roman"/>
          <w:lang w:val="lt-LT"/>
        </w:rPr>
        <w:t xml:space="preserve"> kitoje ir vagele iš abiejų pusių. Storis: 3,4 ± 0,2 mm. Diametras: 6,7 ± 0,2 mm.</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Tabletę galima padalyti į lygias d</w:t>
      </w:r>
      <w:r w:rsidR="00596B4C">
        <w:rPr>
          <w:rFonts w:ascii="Times New Roman" w:eastAsia="Calibri" w:hAnsi="Times New Roman" w:cs="Times New Roman"/>
          <w:lang w:val="lt-LT"/>
        </w:rPr>
        <w:t>ozes</w:t>
      </w:r>
      <w:r w:rsidRPr="00650D8D">
        <w:rPr>
          <w:rFonts w:ascii="Times New Roman" w:eastAsia="Calibri" w:hAnsi="Times New Roman" w:cs="Times New Roman"/>
          <w:lang w:val="lt-LT"/>
        </w:rPr>
        <w:t>.</w:t>
      </w:r>
    </w:p>
    <w:p w:rsidR="00650D8D" w:rsidRPr="00650D8D" w:rsidRDefault="00650D8D" w:rsidP="00650D8D">
      <w:pPr>
        <w:spacing w:after="0" w:line="240" w:lineRule="auto"/>
        <w:rPr>
          <w:rFonts w:ascii="Times New Roman" w:eastAsia="Calibri" w:hAnsi="Times New Roman" w:cs="Times New Roman"/>
          <w:highlight w:val="lightGray"/>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Candesartan Ingen Pharma 8 mg tabletės yra baltos, apvalios, abipus išgaubtos, su žymomis </w:t>
      </w:r>
      <w:r w:rsidRPr="00650D8D">
        <w:rPr>
          <w:rFonts w:ascii="Times New Roman" w:eastAsia="Calibri" w:hAnsi="Times New Roman" w:cs="Times New Roman"/>
          <w:b/>
          <w:bCs/>
          <w:i/>
          <w:iCs/>
          <w:lang w:val="lt-LT"/>
        </w:rPr>
        <w:t>CC</w:t>
      </w:r>
      <w:r w:rsidRPr="00650D8D">
        <w:rPr>
          <w:rFonts w:ascii="Times New Roman" w:eastAsia="Calibri" w:hAnsi="Times New Roman" w:cs="Times New Roman"/>
          <w:lang w:val="lt-LT"/>
        </w:rPr>
        <w:t xml:space="preserve"> vienoje pusėje ir </w:t>
      </w:r>
      <w:r w:rsidRPr="00650D8D">
        <w:rPr>
          <w:rFonts w:ascii="Times New Roman" w:eastAsia="Calibri" w:hAnsi="Times New Roman" w:cs="Times New Roman"/>
          <w:b/>
          <w:bCs/>
          <w:i/>
          <w:iCs/>
          <w:lang w:val="lt-LT"/>
        </w:rPr>
        <w:t>08</w:t>
      </w:r>
      <w:r w:rsidRPr="00650D8D">
        <w:rPr>
          <w:rFonts w:ascii="Times New Roman" w:eastAsia="Calibri" w:hAnsi="Times New Roman" w:cs="Times New Roman"/>
          <w:lang w:val="lt-LT"/>
        </w:rPr>
        <w:t xml:space="preserve"> kitoje ir vagele iš abiejų pusių. Storis: 3,7 ± 0,2 mm. Diametras: 9,5 ± 0,2 mm.</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Tabletę galima padalyti į lygias d</w:t>
      </w:r>
      <w:r w:rsidR="00596B4C">
        <w:rPr>
          <w:rFonts w:ascii="Times New Roman" w:eastAsia="Calibri" w:hAnsi="Times New Roman" w:cs="Times New Roman"/>
          <w:lang w:val="lt-LT"/>
        </w:rPr>
        <w:t>ozes</w:t>
      </w:r>
      <w:r w:rsidRPr="00650D8D">
        <w:rPr>
          <w:rFonts w:ascii="Times New Roman" w:eastAsia="Calibri" w:hAnsi="Times New Roman" w:cs="Times New Roman"/>
          <w:lang w:val="lt-LT"/>
        </w:rPr>
        <w:t>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Candesartan Ingen Pharma 16 mg tabletės yra rausvos, apvalios, abipus išgaubtos, su žymomis </w:t>
      </w:r>
      <w:r w:rsidRPr="00650D8D">
        <w:rPr>
          <w:rFonts w:ascii="Times New Roman" w:eastAsia="Calibri" w:hAnsi="Times New Roman" w:cs="Times New Roman"/>
          <w:b/>
          <w:bCs/>
          <w:i/>
          <w:iCs/>
          <w:lang w:val="lt-LT"/>
        </w:rPr>
        <w:t>CC</w:t>
      </w:r>
      <w:r w:rsidRPr="00650D8D">
        <w:rPr>
          <w:rFonts w:ascii="Times New Roman" w:eastAsia="Calibri" w:hAnsi="Times New Roman" w:cs="Times New Roman"/>
          <w:lang w:val="lt-LT"/>
        </w:rPr>
        <w:t xml:space="preserve"> vienoje pusėje ir </w:t>
      </w:r>
      <w:r w:rsidRPr="00650D8D">
        <w:rPr>
          <w:rFonts w:ascii="Times New Roman" w:eastAsia="Calibri" w:hAnsi="Times New Roman" w:cs="Times New Roman"/>
          <w:b/>
          <w:bCs/>
          <w:i/>
          <w:iCs/>
          <w:lang w:val="lt-LT"/>
        </w:rPr>
        <w:t>16</w:t>
      </w:r>
      <w:r w:rsidRPr="00650D8D">
        <w:rPr>
          <w:rFonts w:ascii="Times New Roman" w:eastAsia="Calibri" w:hAnsi="Times New Roman" w:cs="Times New Roman"/>
          <w:lang w:val="lt-LT"/>
        </w:rPr>
        <w:t xml:space="preserve"> kitoje ir vagele iš abiejų pusių. Storis: 3,7 ± 0,2 mm. Diametras: 9,5 ± 0,2 mm.</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Tabletę galima padalyti į  lygias d</w:t>
      </w:r>
      <w:r w:rsidR="00596B4C">
        <w:rPr>
          <w:rFonts w:ascii="Times New Roman" w:eastAsia="Calibri" w:hAnsi="Times New Roman" w:cs="Times New Roman"/>
          <w:lang w:val="lt-LT"/>
        </w:rPr>
        <w:t>oze</w:t>
      </w:r>
      <w:r w:rsidRPr="00650D8D">
        <w:rPr>
          <w:rFonts w:ascii="Times New Roman" w:eastAsia="Calibri" w:hAnsi="Times New Roman" w:cs="Times New Roman"/>
          <w:lang w:val="lt-LT"/>
        </w:rPr>
        <w:t>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Candesartan Ingen Pharma 32 mg tabletės yra rausvos, elipsės formos, abipus išgaubtos, su žymomis </w:t>
      </w:r>
      <w:r w:rsidRPr="00650D8D">
        <w:rPr>
          <w:rFonts w:ascii="Times New Roman" w:eastAsia="Calibri" w:hAnsi="Times New Roman" w:cs="Times New Roman"/>
          <w:b/>
          <w:bCs/>
          <w:i/>
          <w:iCs/>
          <w:lang w:val="lt-LT"/>
        </w:rPr>
        <w:t>CC</w:t>
      </w:r>
      <w:r w:rsidRPr="00650D8D">
        <w:rPr>
          <w:rFonts w:ascii="Times New Roman" w:eastAsia="Calibri" w:hAnsi="Times New Roman" w:cs="Times New Roman"/>
          <w:lang w:val="lt-LT"/>
        </w:rPr>
        <w:t xml:space="preserve"> ir </w:t>
      </w:r>
      <w:r w:rsidRPr="00650D8D">
        <w:rPr>
          <w:rFonts w:ascii="Times New Roman" w:eastAsia="Calibri" w:hAnsi="Times New Roman" w:cs="Times New Roman"/>
          <w:b/>
          <w:bCs/>
          <w:i/>
          <w:iCs/>
          <w:lang w:val="lt-LT"/>
        </w:rPr>
        <w:t>32</w:t>
      </w:r>
      <w:r w:rsidRPr="00650D8D">
        <w:rPr>
          <w:rFonts w:ascii="Times New Roman" w:eastAsia="Calibri" w:hAnsi="Times New Roman" w:cs="Times New Roman"/>
          <w:lang w:val="lt-LT"/>
        </w:rPr>
        <w:t xml:space="preserve"> vienoje pusėje ir vagele iš abiejų </w:t>
      </w:r>
      <w:r w:rsidRPr="00650D8D">
        <w:rPr>
          <w:rFonts w:ascii="Times New Roman" w:eastAsia="Calibri" w:hAnsi="Times New Roman" w:cs="Times New Roman"/>
          <w:color w:val="000000"/>
          <w:lang w:val="lt-LT"/>
        </w:rPr>
        <w:t xml:space="preserve">pusių. </w:t>
      </w:r>
      <w:r w:rsidRPr="00650D8D">
        <w:rPr>
          <w:rFonts w:ascii="Times New Roman" w:eastAsia="Calibri" w:hAnsi="Times New Roman" w:cs="Times New Roman"/>
          <w:lang w:val="lt-LT"/>
        </w:rPr>
        <w:t>Storis: 5,1 ± 0,2 mm. Ilgis: 16,0 ± 0,2 mm.</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Tabletę galima padalyti į lygias d</w:t>
      </w:r>
      <w:r w:rsidR="00596B4C">
        <w:rPr>
          <w:rFonts w:ascii="Times New Roman" w:eastAsia="Calibri" w:hAnsi="Times New Roman" w:cs="Times New Roman"/>
          <w:lang w:val="lt-LT"/>
        </w:rPr>
        <w:t>oze</w:t>
      </w:r>
      <w:r w:rsidRPr="00650D8D">
        <w:rPr>
          <w:rFonts w:ascii="Times New Roman" w:eastAsia="Calibri" w:hAnsi="Times New Roman" w:cs="Times New Roman"/>
          <w:lang w:val="lt-LT"/>
        </w:rPr>
        <w:t>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caps/>
          <w:lang w:val="lt-LT"/>
        </w:rPr>
        <w:t>4.</w:t>
      </w:r>
      <w:r w:rsidRPr="00650D8D">
        <w:rPr>
          <w:rFonts w:ascii="Times New Roman" w:eastAsia="Calibri" w:hAnsi="Times New Roman" w:cs="Times New Roman"/>
          <w:b/>
          <w:bCs/>
          <w:caps/>
          <w:lang w:val="lt-LT"/>
        </w:rPr>
        <w:tab/>
      </w:r>
      <w:r w:rsidRPr="00650D8D">
        <w:rPr>
          <w:rFonts w:ascii="Times New Roman" w:eastAsia="Calibri" w:hAnsi="Times New Roman" w:cs="Times New Roman"/>
          <w:b/>
          <w:bCs/>
          <w:lang w:val="lt-LT"/>
        </w:rPr>
        <w:t>KLINIKINĖ INFORMACIJA</w:t>
      </w:r>
    </w:p>
    <w:p w:rsidR="00650D8D" w:rsidRPr="00650D8D" w:rsidRDefault="00650D8D" w:rsidP="00650D8D">
      <w:pPr>
        <w:spacing w:after="0" w:line="240" w:lineRule="auto"/>
        <w:rPr>
          <w:rFonts w:ascii="Times New Roman" w:eastAsia="Calibri" w:hAnsi="Times New Roman" w:cs="Times New Roman"/>
          <w:b/>
          <w:bCs/>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4.1</w:t>
      </w:r>
      <w:r w:rsidRPr="00650D8D">
        <w:rPr>
          <w:rFonts w:ascii="Times New Roman" w:eastAsia="Calibri" w:hAnsi="Times New Roman" w:cs="Times New Roman"/>
          <w:b/>
          <w:bCs/>
          <w:lang w:val="lt-LT"/>
        </w:rPr>
        <w:tab/>
        <w:t>Terapinės indikacijos</w:t>
      </w:r>
    </w:p>
    <w:p w:rsidR="00650D8D" w:rsidRPr="00650D8D" w:rsidRDefault="00650D8D" w:rsidP="00650D8D">
      <w:pPr>
        <w:spacing w:after="0" w:line="240" w:lineRule="auto"/>
        <w:rPr>
          <w:rFonts w:ascii="Times New Roman" w:eastAsia="Calibri" w:hAnsi="Times New Roman" w:cs="Times New Roman"/>
          <w:noProof/>
          <w:lang w:val="lt-LT"/>
        </w:rPr>
      </w:pPr>
    </w:p>
    <w:p w:rsidR="00650D8D" w:rsidRPr="00650D8D" w:rsidRDefault="00650D8D" w:rsidP="00650D8D">
      <w:pPr>
        <w:spacing w:after="0" w:line="240" w:lineRule="auto"/>
        <w:rPr>
          <w:rFonts w:ascii="Times New Roman" w:eastAsia="Calibri" w:hAnsi="Times New Roman" w:cs="Times New Roman"/>
          <w:noProof/>
          <w:lang w:val="lt-LT"/>
        </w:rPr>
      </w:pPr>
      <w:r w:rsidRPr="00650D8D">
        <w:rPr>
          <w:rFonts w:ascii="Times New Roman" w:eastAsia="Calibri" w:hAnsi="Times New Roman" w:cs="Times New Roman"/>
          <w:noProof/>
          <w:lang w:val="lt-LT"/>
        </w:rPr>
        <w:t>Suaugusiųjų pirminės arterinės hipertenzijos gydymas.</w:t>
      </w:r>
    </w:p>
    <w:p w:rsidR="00650D8D" w:rsidRPr="00650D8D" w:rsidRDefault="00650D8D" w:rsidP="00650D8D">
      <w:pPr>
        <w:spacing w:after="0" w:line="240" w:lineRule="auto"/>
        <w:rPr>
          <w:rFonts w:ascii="Times New Roman" w:eastAsia="Calibri" w:hAnsi="Times New Roman" w:cs="Times New Roman"/>
          <w:noProof/>
          <w:lang w:val="lt-LT"/>
        </w:rPr>
      </w:pPr>
    </w:p>
    <w:p w:rsidR="0014743D" w:rsidRDefault="0014743D" w:rsidP="00650D8D">
      <w:pPr>
        <w:spacing w:after="0" w:line="240" w:lineRule="auto"/>
        <w:rPr>
          <w:rFonts w:ascii="Times New Roman" w:eastAsia="Calibri" w:hAnsi="Times New Roman" w:cs="Times New Roman"/>
          <w:noProof/>
          <w:lang w:val="lt-LT"/>
        </w:rPr>
      </w:pPr>
      <w:r w:rsidRPr="0014743D">
        <w:rPr>
          <w:rFonts w:ascii="Times New Roman" w:eastAsia="Calibri" w:hAnsi="Times New Roman" w:cs="Times New Roman"/>
          <w:noProof/>
          <w:lang w:val="lt-LT"/>
        </w:rPr>
        <w:t>Suaugusių pacientų, kurie serga širdies nepakankamumu ir kurių kairio</w:t>
      </w:r>
      <w:r>
        <w:rPr>
          <w:rFonts w:ascii="Times New Roman" w:eastAsia="Calibri" w:hAnsi="Times New Roman" w:cs="Times New Roman"/>
          <w:noProof/>
          <w:lang w:val="lt-LT"/>
        </w:rPr>
        <w:t xml:space="preserve">jo skilvelio sistolinė funkcija </w:t>
      </w:r>
      <w:r w:rsidRPr="0014743D">
        <w:rPr>
          <w:rFonts w:ascii="Times New Roman" w:eastAsia="Calibri" w:hAnsi="Times New Roman" w:cs="Times New Roman"/>
          <w:noProof/>
          <w:lang w:val="lt-LT"/>
        </w:rPr>
        <w:t xml:space="preserve">sutrikusi (kairiojo skilvelio išstūmimo frakcija ≤ 40 %), gydymas, kai </w:t>
      </w:r>
      <w:r>
        <w:rPr>
          <w:rFonts w:ascii="Times New Roman" w:eastAsia="Calibri" w:hAnsi="Times New Roman" w:cs="Times New Roman"/>
          <w:noProof/>
          <w:lang w:val="lt-LT"/>
        </w:rPr>
        <w:t xml:space="preserve">netoleruojami AKF inhibitoriai, </w:t>
      </w:r>
      <w:r w:rsidRPr="0014743D">
        <w:rPr>
          <w:rFonts w:ascii="Times New Roman" w:eastAsia="Calibri" w:hAnsi="Times New Roman" w:cs="Times New Roman"/>
          <w:noProof/>
          <w:lang w:val="lt-LT"/>
        </w:rPr>
        <w:t>arba pacientų, kurie serga simptominiu širdies nepakankamumu, gydym</w:t>
      </w:r>
      <w:r>
        <w:rPr>
          <w:rFonts w:ascii="Times New Roman" w:eastAsia="Calibri" w:hAnsi="Times New Roman" w:cs="Times New Roman"/>
          <w:noProof/>
          <w:lang w:val="lt-LT"/>
        </w:rPr>
        <w:t xml:space="preserve">o AKF inhibitoriais papildymas, </w:t>
      </w:r>
      <w:r w:rsidRPr="0014743D">
        <w:rPr>
          <w:rFonts w:ascii="Times New Roman" w:eastAsia="Calibri" w:hAnsi="Times New Roman" w:cs="Times New Roman"/>
          <w:noProof/>
          <w:lang w:val="lt-LT"/>
        </w:rPr>
        <w:t>nepaisant optimalaus gydymo, kai netoleruojami mineralokortikoidinių re</w:t>
      </w:r>
      <w:r>
        <w:rPr>
          <w:rFonts w:ascii="Times New Roman" w:eastAsia="Calibri" w:hAnsi="Times New Roman" w:cs="Times New Roman"/>
          <w:noProof/>
          <w:lang w:val="lt-LT"/>
        </w:rPr>
        <w:t xml:space="preserve">ceptorių antagonistai (žr. 4.2, </w:t>
      </w:r>
      <w:r w:rsidR="00F845DF">
        <w:rPr>
          <w:rFonts w:ascii="Times New Roman" w:eastAsia="Calibri" w:hAnsi="Times New Roman" w:cs="Times New Roman"/>
          <w:noProof/>
          <w:lang w:val="lt-LT"/>
        </w:rPr>
        <w:t>4.4, 4.5 ir 5.1 skyrius)</w:t>
      </w:r>
      <w:r w:rsidRPr="0014743D">
        <w:rPr>
          <w:rFonts w:ascii="Times New Roman" w:eastAsia="Calibri" w:hAnsi="Times New Roman" w:cs="Times New Roman"/>
          <w:noProof/>
          <w:lang w:val="lt-LT"/>
        </w:rPr>
        <w:t>.</w:t>
      </w:r>
    </w:p>
    <w:p w:rsidR="00650D8D" w:rsidRPr="00650D8D" w:rsidRDefault="00650D8D" w:rsidP="00650D8D">
      <w:pPr>
        <w:spacing w:after="0" w:line="240" w:lineRule="auto"/>
        <w:rPr>
          <w:rFonts w:ascii="Times New Roman" w:eastAsia="Calibri" w:hAnsi="Times New Roman" w:cs="Times New Roman"/>
          <w:noProof/>
          <w:lang w:val="lt-LT"/>
        </w:rPr>
      </w:pPr>
    </w:p>
    <w:p w:rsidR="00650D8D" w:rsidRPr="00650D8D" w:rsidRDefault="00650D8D" w:rsidP="00650D8D">
      <w:pPr>
        <w:tabs>
          <w:tab w:val="left" w:pos="567"/>
        </w:tabs>
        <w:spacing w:after="0" w:line="240" w:lineRule="auto"/>
        <w:ind w:left="567" w:hanging="567"/>
        <w:rPr>
          <w:rFonts w:ascii="Times New Roman" w:eastAsia="Calibri" w:hAnsi="Times New Roman" w:cs="Times New Roman"/>
          <w:b/>
          <w:bCs/>
          <w:lang w:val="lt-LT"/>
        </w:rPr>
      </w:pPr>
      <w:r w:rsidRPr="00650D8D">
        <w:rPr>
          <w:rFonts w:ascii="Times New Roman" w:eastAsia="Calibri" w:hAnsi="Times New Roman" w:cs="Times New Roman"/>
          <w:b/>
          <w:bCs/>
          <w:lang w:val="lt-LT"/>
        </w:rPr>
        <w:lastRenderedPageBreak/>
        <w:t>4.2</w:t>
      </w:r>
      <w:r w:rsidRPr="00650D8D">
        <w:rPr>
          <w:rFonts w:ascii="Times New Roman" w:eastAsia="Calibri" w:hAnsi="Times New Roman" w:cs="Times New Roman"/>
          <w:b/>
          <w:bCs/>
          <w:lang w:val="lt-LT"/>
        </w:rPr>
        <w:tab/>
        <w:t>Dozavimas ir vartojimo metodas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Dozavimas sergant arterine hipertenzija</w:t>
      </w:r>
    </w:p>
    <w:p w:rsidR="00650D8D" w:rsidRPr="00650D8D" w:rsidRDefault="00650D8D" w:rsidP="00650D8D">
      <w:pPr>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 xml:space="preserve">Rekomenduojama pradinė ir įprasta palaikomoji Candesartan Ingen Pharma dozė yra 8 mg vieną kartą per parą. </w:t>
      </w:r>
      <w:r w:rsidRPr="00650D8D">
        <w:rPr>
          <w:rFonts w:ascii="Times New Roman" w:eastAsia="Calibri" w:hAnsi="Times New Roman" w:cs="Times New Roman"/>
          <w:lang w:val="lt-LT"/>
        </w:rPr>
        <w:t>Stipriausias antihipertenzinis poveikis pasireiškia per 4 savaites. Kai kuriems pacientams, kurių kraujospūdis tinkamai nesureguliuojamas, dozę</w:t>
      </w:r>
      <w:r w:rsidRPr="00650D8D">
        <w:rPr>
          <w:rFonts w:ascii="Times New Roman" w:eastAsia="Calibri" w:hAnsi="Times New Roman" w:cs="Times New Roman"/>
          <w:lang w:val="lt-LT" w:eastAsia="hu-HU"/>
        </w:rPr>
        <w:t xml:space="preserve"> galima padidinti iki 16 mg vieną kartą per parą, po to iki didžiausios – 32 mg vieną kartą per parą (žr. 5.1 skyrių). Jei kraujospūdis, vartojant šią dozę, vis tiek nesureguliuojamas, reikia pasirinkti kitą gydymo strategiją.</w:t>
      </w:r>
    </w:p>
    <w:p w:rsidR="00650D8D" w:rsidRPr="00E132AB"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Gydymas turi būti pritaikomas atsižvelgiant į kraujospūdžio pokyčius. </w:t>
      </w:r>
      <w:r w:rsidRPr="00650D8D">
        <w:rPr>
          <w:rFonts w:ascii="Times New Roman" w:eastAsia="Calibri" w:hAnsi="Times New Roman" w:cs="Times New Roman"/>
          <w:lang w:val="lt-LT"/>
        </w:rPr>
        <w:t>Candesartan Ingen Pharma taip pat galima vartoti kartu su kitomis antihipertenzinėmis medžiagomis. Nustatyta, kad papildomai vartojamo hidrochlorotiazido poveikis sumuojasi su antihipertenziniu įvairių Candesartan Ingen Pharma dozių poveikiu</w:t>
      </w:r>
      <w:r w:rsidR="0014743D" w:rsidRPr="00B253F4">
        <w:rPr>
          <w:rFonts w:ascii="Verdana,Italic" w:eastAsia="Verdana,Italic" w:cs="Verdana,Italic" w:hint="eastAsia"/>
          <w:i/>
          <w:iCs/>
          <w:sz w:val="18"/>
          <w:szCs w:val="18"/>
          <w:lang w:val="lt-LT"/>
        </w:rPr>
        <w:t xml:space="preserve"> </w:t>
      </w:r>
      <w:r w:rsidR="0014743D" w:rsidRPr="00B253F4">
        <w:rPr>
          <w:rFonts w:ascii="Times New Roman" w:eastAsia="Calibri" w:hAnsi="Times New Roman" w:cs="Times New Roman"/>
          <w:iCs/>
          <w:lang w:val="lt-LT"/>
        </w:rPr>
        <w:t>(</w:t>
      </w:r>
      <w:r w:rsidR="0014743D" w:rsidRPr="00B253F4">
        <w:rPr>
          <w:rFonts w:ascii="Times New Roman" w:eastAsia="Calibri" w:hAnsi="Times New Roman" w:cs="Times New Roman" w:hint="eastAsia"/>
          <w:iCs/>
          <w:lang w:val="lt-LT"/>
        </w:rPr>
        <w:t>ž</w:t>
      </w:r>
      <w:r w:rsidR="0014743D" w:rsidRPr="00B253F4">
        <w:rPr>
          <w:rFonts w:ascii="Times New Roman" w:eastAsia="Calibri" w:hAnsi="Times New Roman" w:cs="Times New Roman"/>
          <w:iCs/>
          <w:lang w:val="lt-LT"/>
        </w:rPr>
        <w:t>r. 4.3, 4.4, 4.5 ir 5.1 skyrius)</w:t>
      </w:r>
      <w:r w:rsidRPr="00E132AB">
        <w:rPr>
          <w:rFonts w:ascii="Times New Roman" w:eastAsia="Calibri" w:hAnsi="Times New Roman" w:cs="Times New Roman"/>
          <w:lang w:val="lt-LT"/>
        </w:rPr>
        <w:t>.</w:t>
      </w:r>
    </w:p>
    <w:p w:rsidR="00650D8D" w:rsidRPr="0014743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Vartojimas senyviems pacientams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Senyviems žmonėms pradinės dozės koreguoti nereikia.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Vartojimas pacientams, kurių cirkuliuojančio kraujo tūris sumažėjęs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Jei yra hipotenzijos pavojus, pvz., kai gali būti sumažėjęs cirkuliuojančio kraujo tūris, galima skirti pradinę 4 mg dozę (žr. 4.4 skyrių „Specialūs įspėjimai ir atsargumo priemonės“).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Vartojimas pacientams, kurių inkstų funkcija sutrikusi</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Pacientams, kurių inkstų funkcija sutrikusi (įskaitant hemodializuojamus ligonius), pradinė dozė yra 4 mg. Dozė koreguojama atsižvelgiant į organizmo reakciją. Pacientams, kuriems yra labai sunkus inkstų funkcijos sutrikimas arba galutinė jo stadija (kreatinino klirensas mažesnis nei 15 ml/min.), šio vaistinio preparato vartojimo patirties yra mažai (žr. 4.4 skyrių).</w:t>
      </w:r>
    </w:p>
    <w:p w:rsidR="00650D8D" w:rsidRPr="00650D8D" w:rsidRDefault="00650D8D" w:rsidP="00650D8D">
      <w:pPr>
        <w:spacing w:after="0" w:line="240" w:lineRule="auto"/>
        <w:rPr>
          <w:rFonts w:ascii="Times New Roman" w:eastAsia="Calibri" w:hAnsi="Times New Roman" w:cs="Times New Roman"/>
          <w:i/>
          <w:iCs/>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i/>
          <w:iCs/>
          <w:u w:val="single"/>
          <w:lang w:val="lt-LT"/>
        </w:rPr>
        <w:t>Vartojimas pacientams, kurių kepenų funkcija sutrikusi</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Pacientams, kuriems yra lengvas ar vidutinio sunkumo kepenų funkcijos sutrikimas, pradinė rekomenduojama dozė yra 4 mg vieną kartą per parą. Šią dozę galima koreguoti atsižvelgiant į organizmo reakciją. Sunkus kepenų funkcijos sutrikimas ir (ar) tulžies stazė yra kontraindikacijos šiam vaistiniam preparatui vartoti (žr. 4.3 ir 5.2 skyrius).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Vartojimas juodaodžiams pacientams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Juodaodžiams pacientams kandesartano antihipertenzinis poveikis yra silpnesnis negu kitiems, todėl norint sureguliuoti jų kraujospūdį, Candesartan Ingen Pharma ir kartu vartojamų vaistinių preparatų</w:t>
      </w:r>
      <w:r w:rsidRPr="00650D8D" w:rsidDel="003A2F17">
        <w:rPr>
          <w:rFonts w:ascii="Times New Roman" w:eastAsia="Calibri" w:hAnsi="Times New Roman" w:cs="Times New Roman"/>
          <w:lang w:val="lt-LT"/>
        </w:rPr>
        <w:t xml:space="preserve"> </w:t>
      </w:r>
      <w:r w:rsidRPr="00650D8D">
        <w:rPr>
          <w:rFonts w:ascii="Times New Roman" w:eastAsia="Calibri" w:hAnsi="Times New Roman" w:cs="Times New Roman"/>
          <w:lang w:val="lt-LT"/>
        </w:rPr>
        <w:t>dozes gali tekti didinti dažniau (žr. 5.1 skyrių).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Dozavimas sergant širdies nepakankamumu</w:t>
      </w:r>
    </w:p>
    <w:p w:rsid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Įprasta rekomenduojama pradinė Candesartan Ingen Pharma dozė – 4 mg vieną kartą per parą. Ji didinama iki tikslinės maksimalios (32 mg vieną kartą per parą) arba didžiausios toleruojamos, dozę dvigubinant ne dažniau kaip kas 2 savaites (žr. 4.4 skyrių). Tiriant širdies nepakankamumu sergančius pacientus, visada reikia ištirti ir inkstų funkciją (įskaitant kreatinino ir kalio koncentracijų serume sekimą). Kartu su Candesartan Ingen Pharma galima vartoti kitus vaistinius preparatus širdies nepakankamumui gydyti, įskaitant AKF inhibitorius, beta adrenoblokatorius, diuretikus, rusmenės glikozidus ar jų derinius. AKF inhibitorių ir kalį sulaikančių diuretikų (pvz., spironolaktono) kartu su Candesartan Ingen Pharma vartoti nerekomenduojama, jų vartojimo kartu galimybę galima svarstyti tik kruopščiai įvertinus laukiamą naudą ir galimą riziką (žr. 4.4, 4.8 ir 5.1 skyrius).</w:t>
      </w:r>
    </w:p>
    <w:p w:rsidR="0083142F" w:rsidRDefault="0083142F" w:rsidP="00650D8D">
      <w:pPr>
        <w:spacing w:after="0" w:line="240" w:lineRule="auto"/>
        <w:rPr>
          <w:rFonts w:ascii="Times New Roman" w:eastAsia="Calibri" w:hAnsi="Times New Roman" w:cs="Times New Roman"/>
          <w:lang w:val="lt-LT"/>
        </w:rPr>
      </w:pPr>
    </w:p>
    <w:p w:rsidR="0083142F" w:rsidRPr="00650D8D" w:rsidRDefault="0083142F" w:rsidP="0083142F">
      <w:pPr>
        <w:spacing w:after="0" w:line="240" w:lineRule="auto"/>
        <w:rPr>
          <w:rFonts w:ascii="Times New Roman" w:eastAsia="Calibri" w:hAnsi="Times New Roman" w:cs="Times New Roman"/>
          <w:lang w:val="lt-LT"/>
        </w:rPr>
      </w:pPr>
      <w:r w:rsidRPr="0083142F">
        <w:rPr>
          <w:rFonts w:ascii="Times New Roman" w:eastAsia="Calibri" w:hAnsi="Times New Roman" w:cs="Times New Roman"/>
          <w:lang w:val="lt-LT"/>
        </w:rPr>
        <w:t>Candesartan Ingen Pharma galima vartoti su kitais širdies</w:t>
      </w:r>
      <w:r>
        <w:rPr>
          <w:rFonts w:ascii="Times New Roman" w:eastAsia="Calibri" w:hAnsi="Times New Roman" w:cs="Times New Roman"/>
          <w:lang w:val="lt-LT"/>
        </w:rPr>
        <w:t xml:space="preserve"> nepakankamumui gydyti skirtais </w:t>
      </w:r>
      <w:r w:rsidRPr="0083142F">
        <w:rPr>
          <w:rFonts w:ascii="Times New Roman" w:eastAsia="Calibri" w:hAnsi="Times New Roman" w:cs="Times New Roman"/>
          <w:lang w:val="lt-LT"/>
        </w:rPr>
        <w:t>vaistiniais preparatais, įskaitant AKF inhibitorius, beta adrenoblok</w:t>
      </w:r>
      <w:r>
        <w:rPr>
          <w:rFonts w:ascii="Times New Roman" w:eastAsia="Calibri" w:hAnsi="Times New Roman" w:cs="Times New Roman"/>
          <w:lang w:val="lt-LT"/>
        </w:rPr>
        <w:t xml:space="preserve">atorius, diuretikus ir rusmenės </w:t>
      </w:r>
      <w:r w:rsidRPr="0083142F">
        <w:rPr>
          <w:rFonts w:ascii="Times New Roman" w:eastAsia="Calibri" w:hAnsi="Times New Roman" w:cs="Times New Roman"/>
          <w:lang w:val="lt-LT"/>
        </w:rPr>
        <w:t>(</w:t>
      </w:r>
      <w:r w:rsidRPr="0020766B">
        <w:rPr>
          <w:rFonts w:ascii="Times New Roman" w:eastAsia="Calibri" w:hAnsi="Times New Roman" w:cs="Times New Roman"/>
          <w:i/>
          <w:lang w:val="lt-LT"/>
        </w:rPr>
        <w:t>Digitalis</w:t>
      </w:r>
      <w:r w:rsidRPr="0083142F">
        <w:rPr>
          <w:rFonts w:ascii="Times New Roman" w:eastAsia="Calibri" w:hAnsi="Times New Roman" w:cs="Times New Roman"/>
          <w:lang w:val="lt-LT"/>
        </w:rPr>
        <w:t>) glikozidus, arba šių vaistinių preparatų deriniais. Candesartan Ingen Pharma</w:t>
      </w:r>
      <w:r w:rsidR="005E42DD">
        <w:rPr>
          <w:rFonts w:ascii="Times New Roman" w:eastAsia="Calibri" w:hAnsi="Times New Roman" w:cs="Times New Roman"/>
          <w:lang w:val="lt-LT"/>
        </w:rPr>
        <w:t xml:space="preserve"> gali būti </w:t>
      </w:r>
      <w:r w:rsidRPr="0083142F">
        <w:rPr>
          <w:rFonts w:ascii="Times New Roman" w:eastAsia="Calibri" w:hAnsi="Times New Roman" w:cs="Times New Roman"/>
          <w:lang w:val="lt-LT"/>
        </w:rPr>
        <w:t>skiriamas kartu su AKF inhibitoriumi pacientams, sergantiems sim</w:t>
      </w:r>
      <w:r w:rsidR="005E42DD">
        <w:rPr>
          <w:rFonts w:ascii="Times New Roman" w:eastAsia="Calibri" w:hAnsi="Times New Roman" w:cs="Times New Roman"/>
          <w:lang w:val="lt-LT"/>
        </w:rPr>
        <w:t xml:space="preserve">ptominiu širdies nepakankamumu, </w:t>
      </w:r>
      <w:r w:rsidRPr="0083142F">
        <w:rPr>
          <w:rFonts w:ascii="Times New Roman" w:eastAsia="Calibri" w:hAnsi="Times New Roman" w:cs="Times New Roman"/>
          <w:lang w:val="lt-LT"/>
        </w:rPr>
        <w:t>nepaisant optimalaus standartinio širdies nepakank</w:t>
      </w:r>
      <w:r w:rsidR="005E42DD">
        <w:rPr>
          <w:rFonts w:ascii="Times New Roman" w:eastAsia="Calibri" w:hAnsi="Times New Roman" w:cs="Times New Roman"/>
          <w:lang w:val="lt-LT"/>
        </w:rPr>
        <w:t xml:space="preserve">amumo gydymo, kai netoleruojami </w:t>
      </w:r>
      <w:r w:rsidRPr="0083142F">
        <w:rPr>
          <w:rFonts w:ascii="Times New Roman" w:eastAsia="Calibri" w:hAnsi="Times New Roman" w:cs="Times New Roman"/>
          <w:lang w:val="lt-LT"/>
        </w:rPr>
        <w:t>mineralokortikoidinių receptorių antagonistai. AKF inhibitoriaus, kalį org</w:t>
      </w:r>
      <w:r w:rsidR="005E42DD">
        <w:rPr>
          <w:rFonts w:ascii="Times New Roman" w:eastAsia="Calibri" w:hAnsi="Times New Roman" w:cs="Times New Roman"/>
          <w:lang w:val="lt-LT"/>
        </w:rPr>
        <w:t xml:space="preserve">anizme sulaikančio diuretiko ir </w:t>
      </w:r>
      <w:r w:rsidR="005E42DD" w:rsidRPr="005E42DD">
        <w:rPr>
          <w:rFonts w:ascii="Times New Roman" w:eastAsia="Calibri" w:hAnsi="Times New Roman" w:cs="Times New Roman"/>
          <w:lang w:val="lt-LT"/>
        </w:rPr>
        <w:t>Candesartan Ingen Pharma</w:t>
      </w:r>
      <w:r w:rsidRPr="0083142F">
        <w:rPr>
          <w:rFonts w:ascii="Times New Roman" w:eastAsia="Calibri" w:hAnsi="Times New Roman" w:cs="Times New Roman"/>
          <w:lang w:val="lt-LT"/>
        </w:rPr>
        <w:t xml:space="preserve"> derinio skirti nerekomenduojama, ta</w:t>
      </w:r>
      <w:r w:rsidR="005E42DD">
        <w:rPr>
          <w:rFonts w:ascii="Times New Roman" w:eastAsia="Calibri" w:hAnsi="Times New Roman" w:cs="Times New Roman"/>
          <w:lang w:val="lt-LT"/>
        </w:rPr>
        <w:t xml:space="preserve">čiau, jei reikia, jis gali būti </w:t>
      </w:r>
      <w:r w:rsidRPr="0083142F">
        <w:rPr>
          <w:rFonts w:ascii="Times New Roman" w:eastAsia="Calibri" w:hAnsi="Times New Roman" w:cs="Times New Roman"/>
          <w:lang w:val="lt-LT"/>
        </w:rPr>
        <w:t>skiriamas tik atidžiai įvertinus galimą naudą ir riziką (žr. 4.4, 4.8 ir 5.1 skyrius).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lastRenderedPageBreak/>
        <w:t>Specialiųjų grupių pacientai</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Senyviems pacientams, kurių cirkuliuojančio kraujo tūris sumažėjęs, sergantiems inkstų nepakankamumu arba lengvu ar vidutinio laipsnio kepenų nepakankamumu pacientams pradinės dozės koreguoti nereikia.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Vartojimas vaikams ir paaugliams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saugumas ir veiksmingumas vaikams ir paaugliams iki 18 metų nenustatytas (duomenų nėra).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Vartojimo metodas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Vartoti per burną.</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vartojamas vieną kartą per parą valgant arba nevalgius.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Maistas įtakos kandesartano biologiniam prieinamumui neturi.</w:t>
      </w:r>
    </w:p>
    <w:p w:rsidR="00650D8D" w:rsidRPr="00650D8D" w:rsidRDefault="00650D8D" w:rsidP="00650D8D">
      <w:pPr>
        <w:spacing w:after="0" w:line="240" w:lineRule="auto"/>
        <w:rPr>
          <w:rFonts w:ascii="Times New Roman" w:eastAsia="Calibri" w:hAnsi="Times New Roman" w:cs="Times New Roman"/>
          <w:b/>
          <w:bCs/>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4.3</w:t>
      </w:r>
      <w:r w:rsidRPr="00650D8D">
        <w:rPr>
          <w:rFonts w:ascii="Times New Roman" w:eastAsia="Calibri" w:hAnsi="Times New Roman" w:cs="Times New Roman"/>
          <w:b/>
          <w:bCs/>
          <w:lang w:val="lt-LT"/>
        </w:rPr>
        <w:tab/>
        <w:t>Kontraindikacijos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numPr>
          <w:ilvl w:val="0"/>
          <w:numId w:val="6"/>
        </w:numPr>
        <w:spacing w:after="0" w:line="240" w:lineRule="auto"/>
        <w:ind w:left="567" w:hanging="567"/>
        <w:rPr>
          <w:rFonts w:ascii="Times New Roman" w:eastAsia="Calibri" w:hAnsi="Times New Roman" w:cs="Times New Roman"/>
          <w:lang w:val="lt-LT"/>
        </w:rPr>
      </w:pPr>
      <w:r w:rsidRPr="00650D8D">
        <w:rPr>
          <w:rFonts w:ascii="Times New Roman" w:eastAsia="Calibri" w:hAnsi="Times New Roman" w:cs="Times New Roman"/>
          <w:lang w:val="lt-LT"/>
        </w:rPr>
        <w:t>Padidėjęs jautrumas kandesartano cileksetilui arba bet kuriai pagalbinei medžiagai.</w:t>
      </w:r>
    </w:p>
    <w:p w:rsidR="00650D8D" w:rsidRPr="00650D8D" w:rsidRDefault="00650D8D" w:rsidP="00650D8D">
      <w:pPr>
        <w:numPr>
          <w:ilvl w:val="0"/>
          <w:numId w:val="6"/>
        </w:numPr>
        <w:spacing w:after="0" w:line="240" w:lineRule="auto"/>
        <w:ind w:left="567" w:hanging="567"/>
        <w:rPr>
          <w:rFonts w:ascii="Times New Roman" w:eastAsia="Calibri" w:hAnsi="Times New Roman" w:cs="Times New Roman"/>
          <w:lang w:val="lt-LT"/>
        </w:rPr>
      </w:pPr>
      <w:r w:rsidRPr="00650D8D">
        <w:rPr>
          <w:rFonts w:ascii="Times New Roman" w:eastAsia="Calibri" w:hAnsi="Times New Roman" w:cs="Times New Roman"/>
          <w:lang w:val="lt-LT"/>
        </w:rPr>
        <w:t>Sunkus kepenų funkcijos sutrikimas ir (arba) tulžies stazė.</w:t>
      </w:r>
    </w:p>
    <w:p w:rsidR="00650D8D" w:rsidRDefault="00650D8D" w:rsidP="00650D8D">
      <w:pPr>
        <w:numPr>
          <w:ilvl w:val="0"/>
          <w:numId w:val="6"/>
        </w:numPr>
        <w:spacing w:after="0" w:line="240" w:lineRule="auto"/>
        <w:ind w:left="567" w:hanging="567"/>
        <w:rPr>
          <w:rFonts w:ascii="Times New Roman" w:eastAsia="Calibri" w:hAnsi="Times New Roman" w:cs="Times New Roman"/>
          <w:lang w:val="lt-LT"/>
        </w:rPr>
      </w:pPr>
      <w:r w:rsidRPr="00650D8D">
        <w:rPr>
          <w:rFonts w:ascii="Times New Roman" w:eastAsia="Calibri" w:hAnsi="Times New Roman" w:cs="Times New Roman"/>
          <w:lang w:val="lt-LT"/>
        </w:rPr>
        <w:t>Antras ir trečias nėštumo trimestrai (žr. 4.4 ir 4.6 skyrius).</w:t>
      </w:r>
    </w:p>
    <w:p w:rsidR="005E42DD" w:rsidRDefault="005E42DD" w:rsidP="00BB0865">
      <w:pPr>
        <w:spacing w:after="0" w:line="240" w:lineRule="auto"/>
        <w:rPr>
          <w:rFonts w:ascii="Times New Roman" w:eastAsia="Calibri" w:hAnsi="Times New Roman" w:cs="Times New Roman"/>
          <w:lang w:val="lt-LT"/>
        </w:rPr>
      </w:pPr>
    </w:p>
    <w:p w:rsidR="005E42DD" w:rsidRPr="00650D8D" w:rsidRDefault="005E42DD" w:rsidP="00BB0865">
      <w:pPr>
        <w:spacing w:after="0" w:line="240" w:lineRule="auto"/>
        <w:rPr>
          <w:rFonts w:ascii="Times New Roman" w:eastAsia="Calibri" w:hAnsi="Times New Roman" w:cs="Times New Roman"/>
          <w:lang w:val="lt-LT"/>
        </w:rPr>
      </w:pPr>
      <w:r w:rsidRPr="005E42DD">
        <w:rPr>
          <w:rFonts w:ascii="Times New Roman" w:eastAsia="Calibri" w:hAnsi="Times New Roman" w:cs="Times New Roman"/>
          <w:lang w:val="lt-LT"/>
        </w:rPr>
        <w:t>Pacientams, kurie serga cukriniu diabetu arba kurių ink</w:t>
      </w:r>
      <w:r>
        <w:rPr>
          <w:rFonts w:ascii="Times New Roman" w:eastAsia="Calibri" w:hAnsi="Times New Roman" w:cs="Times New Roman"/>
          <w:lang w:val="lt-LT"/>
        </w:rPr>
        <w:t xml:space="preserve">stų funkcija sutrikusi </w:t>
      </w:r>
      <w:r w:rsidRPr="005E42DD">
        <w:rPr>
          <w:rFonts w:ascii="Times New Roman" w:eastAsia="Calibri" w:hAnsi="Times New Roman" w:cs="Times New Roman"/>
          <w:lang w:val="lt-LT"/>
        </w:rPr>
        <w:t>(GFG</w:t>
      </w:r>
      <w:r w:rsidR="00E2714D">
        <w:rPr>
          <w:rFonts w:ascii="Times New Roman" w:eastAsia="Calibri" w:hAnsi="Times New Roman" w:cs="Times New Roman"/>
          <w:lang w:val="lt-LT"/>
        </w:rPr>
        <w:t> </w:t>
      </w:r>
      <w:r w:rsidRPr="005E42DD">
        <w:rPr>
          <w:rFonts w:ascii="Times New Roman" w:eastAsia="Calibri" w:hAnsi="Times New Roman" w:cs="Times New Roman"/>
          <w:lang w:val="lt-LT"/>
        </w:rPr>
        <w:t>&lt;</w:t>
      </w:r>
      <w:r w:rsidR="00945666">
        <w:rPr>
          <w:rFonts w:ascii="Times New Roman" w:eastAsia="Calibri" w:hAnsi="Times New Roman" w:cs="Times New Roman"/>
          <w:lang w:val="lt-LT"/>
        </w:rPr>
        <w:t> </w:t>
      </w:r>
      <w:r w:rsidRPr="005E42DD">
        <w:rPr>
          <w:rFonts w:ascii="Times New Roman" w:eastAsia="Calibri" w:hAnsi="Times New Roman" w:cs="Times New Roman"/>
          <w:lang w:val="lt-LT"/>
        </w:rPr>
        <w:t>60</w:t>
      </w:r>
      <w:r w:rsidR="00945666">
        <w:rPr>
          <w:rFonts w:ascii="Times New Roman" w:eastAsia="Calibri" w:hAnsi="Times New Roman" w:cs="Times New Roman"/>
          <w:lang w:val="lt-LT"/>
        </w:rPr>
        <w:t> </w:t>
      </w:r>
      <w:r w:rsidRPr="005E42DD">
        <w:rPr>
          <w:rFonts w:ascii="Times New Roman" w:eastAsia="Calibri" w:hAnsi="Times New Roman" w:cs="Times New Roman"/>
          <w:lang w:val="lt-LT"/>
        </w:rPr>
        <w:t>ml/min/1,73</w:t>
      </w:r>
      <w:r w:rsidR="00945666">
        <w:rPr>
          <w:rFonts w:ascii="Times New Roman" w:eastAsia="Calibri" w:hAnsi="Times New Roman" w:cs="Times New Roman"/>
          <w:lang w:val="lt-LT"/>
        </w:rPr>
        <w:t> </w:t>
      </w:r>
      <w:r w:rsidRPr="00E132AB">
        <w:rPr>
          <w:rFonts w:ascii="Times New Roman" w:eastAsia="Calibri" w:hAnsi="Times New Roman" w:cs="Times New Roman"/>
          <w:lang w:val="lt-LT"/>
        </w:rPr>
        <w:t>m</w:t>
      </w:r>
      <w:r w:rsidRPr="00BB0865">
        <w:rPr>
          <w:rFonts w:ascii="Times New Roman" w:eastAsia="Calibri" w:hAnsi="Times New Roman" w:cs="Times New Roman"/>
          <w:vertAlign w:val="superscript"/>
          <w:lang w:val="lt-LT"/>
        </w:rPr>
        <w:t>2</w:t>
      </w:r>
      <w:r w:rsidRPr="00E132AB">
        <w:rPr>
          <w:rFonts w:ascii="Times New Roman" w:eastAsia="Calibri" w:hAnsi="Times New Roman" w:cs="Times New Roman"/>
          <w:lang w:val="lt-LT"/>
        </w:rPr>
        <w:t>)</w:t>
      </w:r>
      <w:r w:rsidRPr="005E42DD">
        <w:rPr>
          <w:rFonts w:ascii="Times New Roman" w:eastAsia="Calibri" w:hAnsi="Times New Roman" w:cs="Times New Roman"/>
          <w:lang w:val="lt-LT"/>
        </w:rPr>
        <w:t>, Candesartan Ingen Pharma negalim</w:t>
      </w:r>
      <w:r>
        <w:rPr>
          <w:rFonts w:ascii="Times New Roman" w:eastAsia="Calibri" w:hAnsi="Times New Roman" w:cs="Times New Roman"/>
          <w:lang w:val="lt-LT"/>
        </w:rPr>
        <w:t xml:space="preserve">a vartoti kartu su preparatais, </w:t>
      </w:r>
      <w:r w:rsidRPr="005E42DD">
        <w:rPr>
          <w:rFonts w:ascii="Times New Roman" w:eastAsia="Calibri" w:hAnsi="Times New Roman" w:cs="Times New Roman"/>
          <w:lang w:val="lt-LT"/>
        </w:rPr>
        <w:t>kurių sudėtyje yra aliskireno (žr. 4.5 ir 5.1 skyrius).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4.4</w:t>
      </w:r>
      <w:r w:rsidRPr="00650D8D">
        <w:rPr>
          <w:rFonts w:ascii="Times New Roman" w:eastAsia="Calibri" w:hAnsi="Times New Roman" w:cs="Times New Roman"/>
          <w:b/>
          <w:bCs/>
          <w:lang w:val="lt-LT"/>
        </w:rPr>
        <w:tab/>
        <w:t>Specialūs įspėjimai ir atsargumo priemonės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Inkstų nepakankamumas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Vartojant Candesartan Ingen Pharma (kaip ir kitus renino, angiotenzino ir aldosterono sistemą slopinančius vaistinius preparatus), galima tikėtis sutrikimui jautrių pacientų inkstų funkcijos pokyčių.</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Jei Candesartan Ingen Pharma vartojantis pacientas serga hipertenzija ir inkstų nepakankamumu, rekomenduojama periodiškai tirti kalio ir kreatinino koncentraciją serume. Labai sunkiu ar galutinės stadijos inkstų nepakankamumu (kreatinino klirensas mažesnis kaip 15 ml/min.) sergantiems pacientams šio vaistinio preparato vartojimo patirties yra mažai. Jiems Candesartan Ingen Pharma dozę reikia didinti atsargiai, nuolat matuojant kraujospūdį.</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Tiriant širdies nepakankamumu sergančius pacientus (ypač 75 metų ir vyresnius žmones bei pacientus, kurių inkstų funkcija sutrikusi), reikia periodiškai tirti ir inkstų funkciją. Didinant Candesartan Ingen Pharma dozę, rekomenduojama tirti kreatinino ir kalio koncentraciją serume. Širdies nepakankamumo gydymo klinikiniuose tyrimuose nedalyvavo pacientai, kurių kraujyje kreatinino koncentracija viršijo 265 </w:t>
      </w:r>
      <w:r w:rsidRPr="00650D8D">
        <w:rPr>
          <w:rFonts w:ascii="Times New Roman" w:eastAsia="Calibri" w:hAnsi="Times New Roman" w:cs="Times New Roman"/>
          <w:lang w:val="lt-LT"/>
        </w:rPr>
        <w:sym w:font="Symbol" w:char="F06D"/>
      </w:r>
      <w:r w:rsidRPr="00650D8D">
        <w:rPr>
          <w:rFonts w:ascii="Times New Roman" w:eastAsia="Calibri" w:hAnsi="Times New Roman" w:cs="Times New Roman"/>
          <w:lang w:val="lt-LT"/>
        </w:rPr>
        <w:t>mol/l (</w:t>
      </w:r>
      <w:r w:rsidRPr="00650D8D">
        <w:rPr>
          <w:rFonts w:ascii="Times New Roman" w:eastAsia="Calibri" w:hAnsi="Times New Roman" w:cs="Times New Roman"/>
          <w:lang w:val="lt-LT"/>
        </w:rPr>
        <w:sym w:font="Symbol" w:char="F03E"/>
      </w:r>
      <w:r w:rsidRPr="00650D8D">
        <w:rPr>
          <w:rFonts w:ascii="Times New Roman" w:eastAsia="Calibri" w:hAnsi="Times New Roman" w:cs="Times New Roman"/>
          <w:lang w:val="lt-LT"/>
        </w:rPr>
        <w:t> 3 mg/dl).</w:t>
      </w:r>
    </w:p>
    <w:p w:rsidR="00650D8D" w:rsidRPr="00650D8D" w:rsidRDefault="00650D8D" w:rsidP="00650D8D">
      <w:pPr>
        <w:spacing w:after="0" w:line="240" w:lineRule="auto"/>
        <w:rPr>
          <w:rFonts w:ascii="Times New Roman" w:eastAsia="Calibri" w:hAnsi="Times New Roman" w:cs="Times New Roman"/>
          <w:i/>
          <w:iCs/>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Vartojimas su AKF inhibitoriais širdies nepakankamumu sergantiems pacientams</w:t>
      </w:r>
    </w:p>
    <w:p w:rsid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w:t>
      </w:r>
      <w:r w:rsidRPr="00650D8D">
        <w:rPr>
          <w:rFonts w:ascii="Times New Roman" w:eastAsia="Calibri" w:hAnsi="Times New Roman" w:cs="Times New Roman"/>
          <w:i/>
          <w:iCs/>
          <w:lang w:val="lt-LT"/>
        </w:rPr>
        <w:t xml:space="preserve"> </w:t>
      </w:r>
      <w:r w:rsidRPr="00650D8D">
        <w:rPr>
          <w:rFonts w:ascii="Times New Roman" w:eastAsia="Calibri" w:hAnsi="Times New Roman" w:cs="Times New Roman"/>
          <w:lang w:val="lt-LT"/>
        </w:rPr>
        <w:t>vartojant kartu su AKF inhibitoriais, gali padidėti nepageidaujamų reakcijų, ypač inkstų funkcijos sutrikimo ir hiperkalemijos, pavojus (žr. 4.8 skyrių). Taip gydomų pacientų būklę reikia reguliariai ir kruopščiai tirti.</w:t>
      </w:r>
    </w:p>
    <w:p w:rsidR="008F0151" w:rsidRDefault="008F0151" w:rsidP="00650D8D">
      <w:pPr>
        <w:spacing w:after="0" w:line="240" w:lineRule="auto"/>
        <w:rPr>
          <w:rFonts w:ascii="Times New Roman" w:eastAsia="Calibri" w:hAnsi="Times New Roman" w:cs="Times New Roman"/>
          <w:lang w:val="lt-LT"/>
        </w:rPr>
      </w:pPr>
    </w:p>
    <w:p w:rsidR="008F0151" w:rsidRPr="008F0151" w:rsidRDefault="008F0151" w:rsidP="008F0151">
      <w:pPr>
        <w:spacing w:after="0" w:line="240" w:lineRule="auto"/>
        <w:rPr>
          <w:rFonts w:ascii="Times New Roman" w:eastAsia="Calibri" w:hAnsi="Times New Roman" w:cs="Times New Roman"/>
          <w:lang w:val="lt-LT"/>
        </w:rPr>
      </w:pPr>
      <w:r w:rsidRPr="008F0151">
        <w:rPr>
          <w:rFonts w:ascii="Times New Roman" w:eastAsia="Calibri" w:hAnsi="Times New Roman" w:cs="Times New Roman"/>
          <w:lang w:val="lt-LT"/>
        </w:rPr>
        <w:t>Nepageidaujamų reakcijų, ypač hipotenzijos, hiperkalemijos ir inkstų fu</w:t>
      </w:r>
      <w:r>
        <w:rPr>
          <w:rFonts w:ascii="Times New Roman" w:eastAsia="Calibri" w:hAnsi="Times New Roman" w:cs="Times New Roman"/>
          <w:lang w:val="lt-LT"/>
        </w:rPr>
        <w:t xml:space="preserve">nkcijos susilpnėjimo (įskaitant </w:t>
      </w:r>
      <w:r w:rsidRPr="008F0151">
        <w:rPr>
          <w:rFonts w:ascii="Times New Roman" w:eastAsia="Calibri" w:hAnsi="Times New Roman" w:cs="Times New Roman"/>
          <w:lang w:val="lt-LT"/>
        </w:rPr>
        <w:t>ūminį inkstų nepakankamumą), rizika gali padidėti Candesartan Ingen Pharma</w:t>
      </w:r>
      <w:r>
        <w:rPr>
          <w:rFonts w:ascii="Times New Roman" w:eastAsia="Calibri" w:hAnsi="Times New Roman" w:cs="Times New Roman"/>
          <w:lang w:val="lt-LT"/>
        </w:rPr>
        <w:t xml:space="preserve"> vartojant kartu </w:t>
      </w:r>
      <w:r w:rsidRPr="008F0151">
        <w:rPr>
          <w:rFonts w:ascii="Times New Roman" w:eastAsia="Calibri" w:hAnsi="Times New Roman" w:cs="Times New Roman"/>
          <w:lang w:val="lt-LT"/>
        </w:rPr>
        <w:t>su AKF inhibitoriumi. Taip pat nerekomenduojama skirti trijų vaistinių</w:t>
      </w:r>
      <w:r>
        <w:rPr>
          <w:rFonts w:ascii="Times New Roman" w:eastAsia="Calibri" w:hAnsi="Times New Roman" w:cs="Times New Roman"/>
          <w:lang w:val="lt-LT"/>
        </w:rPr>
        <w:t xml:space="preserve"> preparatų – AKF inhibitoriaus, </w:t>
      </w:r>
      <w:r w:rsidRPr="008F0151">
        <w:rPr>
          <w:rFonts w:ascii="Times New Roman" w:eastAsia="Calibri" w:hAnsi="Times New Roman" w:cs="Times New Roman"/>
          <w:lang w:val="lt-LT"/>
        </w:rPr>
        <w:t>mineralokortikoidinių receptorių antagonistų ir kandesartano – deri</w:t>
      </w:r>
      <w:r>
        <w:rPr>
          <w:rFonts w:ascii="Times New Roman" w:eastAsia="Calibri" w:hAnsi="Times New Roman" w:cs="Times New Roman"/>
          <w:lang w:val="lt-LT"/>
        </w:rPr>
        <w:t xml:space="preserve">nį. Šiuos derinius vartojančius </w:t>
      </w:r>
      <w:r w:rsidRPr="008F0151">
        <w:rPr>
          <w:rFonts w:ascii="Times New Roman" w:eastAsia="Calibri" w:hAnsi="Times New Roman" w:cs="Times New Roman"/>
          <w:lang w:val="lt-LT"/>
        </w:rPr>
        <w:t>pacientus turi prižiūrėti specialistai, dažnai bei atidžiai tiriantys pacien</w:t>
      </w:r>
      <w:r>
        <w:rPr>
          <w:rFonts w:ascii="Times New Roman" w:eastAsia="Calibri" w:hAnsi="Times New Roman" w:cs="Times New Roman"/>
          <w:lang w:val="lt-LT"/>
        </w:rPr>
        <w:t xml:space="preserve">tų inkstų funkciją, elektrolitų </w:t>
      </w:r>
      <w:r w:rsidRPr="008F0151">
        <w:rPr>
          <w:rFonts w:ascii="Times New Roman" w:eastAsia="Calibri" w:hAnsi="Times New Roman" w:cs="Times New Roman"/>
          <w:lang w:val="lt-LT"/>
        </w:rPr>
        <w:t>koncentraciją ir kraujospūdį.</w:t>
      </w:r>
    </w:p>
    <w:p w:rsidR="008F0151" w:rsidRPr="00650D8D" w:rsidRDefault="008F0151" w:rsidP="008F0151">
      <w:pPr>
        <w:spacing w:after="0" w:line="240" w:lineRule="auto"/>
        <w:rPr>
          <w:rFonts w:ascii="Times New Roman" w:eastAsia="Calibri" w:hAnsi="Times New Roman" w:cs="Times New Roman"/>
          <w:lang w:val="lt-LT"/>
        </w:rPr>
      </w:pPr>
      <w:r w:rsidRPr="008F0151">
        <w:rPr>
          <w:rFonts w:ascii="Times New Roman" w:eastAsia="Calibri" w:hAnsi="Times New Roman" w:cs="Times New Roman"/>
          <w:lang w:val="lt-LT"/>
        </w:rPr>
        <w:t>Pacientams, sergantiems diabetine nefropatija, negalima kartu vartoti AKF</w:t>
      </w:r>
      <w:r w:rsidR="00344C24">
        <w:rPr>
          <w:rFonts w:ascii="Times New Roman" w:eastAsia="Calibri" w:hAnsi="Times New Roman" w:cs="Times New Roman"/>
          <w:lang w:val="lt-LT"/>
        </w:rPr>
        <w:t xml:space="preserve"> inhibitorių ir angiotenzino II </w:t>
      </w:r>
      <w:r w:rsidRPr="008F0151">
        <w:rPr>
          <w:rFonts w:ascii="Times New Roman" w:eastAsia="Calibri" w:hAnsi="Times New Roman" w:cs="Times New Roman"/>
          <w:lang w:val="lt-LT"/>
        </w:rPr>
        <w:t>receptorių blokatorių.</w:t>
      </w:r>
    </w:p>
    <w:p w:rsidR="00650D8D" w:rsidRPr="00650D8D" w:rsidRDefault="00650D8D" w:rsidP="00650D8D">
      <w:pPr>
        <w:spacing w:after="0" w:line="240" w:lineRule="auto"/>
        <w:rPr>
          <w:rFonts w:ascii="Times New Roman" w:eastAsia="Calibri" w:hAnsi="Times New Roman" w:cs="Times New Roman"/>
          <w:i/>
          <w:iCs/>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Hemodializės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Dializės metu dėl sumažėjusio plazmos tūrio bei renino, angiotenzino ir aldosterono sistemos suaktyvėjimo kraujospūdis gali būti ypač jautrus AT</w:t>
      </w:r>
      <w:r w:rsidRPr="00650D8D">
        <w:rPr>
          <w:rFonts w:ascii="Times New Roman" w:eastAsia="Calibri" w:hAnsi="Times New Roman" w:cs="Times New Roman"/>
          <w:vertAlign w:val="subscript"/>
          <w:lang w:val="lt-LT"/>
        </w:rPr>
        <w:t>1</w:t>
      </w:r>
      <w:r w:rsidRPr="00650D8D">
        <w:rPr>
          <w:rFonts w:ascii="Times New Roman" w:eastAsia="Calibri" w:hAnsi="Times New Roman" w:cs="Times New Roman"/>
          <w:lang w:val="lt-LT"/>
        </w:rPr>
        <w:t xml:space="preserve"> receptorių blokavimui, todėl </w:t>
      </w:r>
      <w:r w:rsidRPr="00650D8D">
        <w:rPr>
          <w:rFonts w:ascii="Times New Roman" w:eastAsia="Calibri" w:hAnsi="Times New Roman" w:cs="Times New Roman"/>
          <w:lang w:val="lt-LT"/>
        </w:rPr>
        <w:lastRenderedPageBreak/>
        <w:t>hemodializuojamiems pacientams Candesartan Ingen Pharma dozę reikia didinti labai atsargiai ir nuolat matuojant kraujospūdį.</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Inkstų arterijų stenozė</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Renino, angiotenzino ir aldosterono sistemą veikiantys vaistiniai preparatai, įskaitant angiotenzino-II receptorių blokatorius, gali sukelti šlapalo ir kreatinino koncentracijos serume padidėjimą pacientams, sergantiems abiejų inkstų arterijų stenoze arba vienintelio funkcionuojančio inksto arterijos stenoze.</w:t>
      </w:r>
    </w:p>
    <w:p w:rsidR="00650D8D" w:rsidRPr="00650D8D" w:rsidRDefault="00650D8D" w:rsidP="00650D8D">
      <w:pPr>
        <w:spacing w:after="0" w:line="240" w:lineRule="auto"/>
        <w:rPr>
          <w:rFonts w:ascii="Times New Roman" w:eastAsia="Calibri" w:hAnsi="Times New Roman" w:cs="Times New Roman"/>
          <w:i/>
          <w:iCs/>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Inkstų transplantacija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vartojimo po neseniai atliktos inkstų transplantacijos patirties nėra.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Hipotenzija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Širdies nepakankamumu sergantiems pacientams, vartojantiems Candesartan Ingen Pharma, gali pasireikšti hipotenzija. Taip pat ji gali pasireikšti hipertenzija sergantiems pacientams, kurių cirkuliuojančio kraujo tūris yra sumažėjęs, pvz., nuo didelių diuretikų dozių. Tokie pacientai pradedami gydyti atsargiai, o jų kraujo tūrį reikia sureguliuoti.</w:t>
      </w:r>
    </w:p>
    <w:p w:rsidR="00650D8D" w:rsidRPr="00650D8D" w:rsidRDefault="00650D8D" w:rsidP="00650D8D">
      <w:pPr>
        <w:spacing w:after="0" w:line="240" w:lineRule="auto"/>
        <w:rPr>
          <w:rFonts w:ascii="Times New Roman" w:eastAsia="Calibri" w:hAnsi="Times New Roman" w:cs="Times New Roman"/>
          <w:i/>
          <w:iCs/>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Anestezija ir operacija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Angiotenzino II receptorių blokatorių vartojantiems pacientams anestezijos ir operacijos metu dėl renino, angiotenzino ir aldosterono sistemos slopinimo gali pasireikšti hipotenzija. Labai retai ji gali būti tokia sunki, kad tektų vartoti skysčių į veną ir (ar) kraujagysles siaurinančių vaistų.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Aortos ir mitralinio vožtuvo stenozė (obstrukcinė hipertrofinė kardiomiopatija)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Šio vaistinio preparato, kaip ir kitų kraujagysles plečiančių, ypač atsargiai reikia skirti pacientams, sergantiems hemodinamiką trikdančia aortos arba mitralinio vožtuvo stenoze ar obstrukcine hipertrofine kardiomiopatija.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Pirminis hiperaldosteronizmas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Pacientams, sergantiems pirminiu hiperaldosteronizmu, renino, angiotenzino ir aldosterono sistemą slopinantys antihipertenziniai vaistiniai preparatai dažniausiai būna neveiksmingi, todėl jiems Candesartan Ingen Pharma nerekomenduojamas.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Hiperkalemija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vartojant kartu su kalį sulaikančiais diuretikais, kalio papildais, kalio turinčiais druskos pakaitalais ar kitais kalio koncentraciją galinčiais didinti vaistiniais preparatais (pvz., heparinu), hipertenzija sergančių pacientų serume gali padidėti kalio koncentracija. Ji turi būti tinkamai reguliariai tiriama.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Širdies nepakankamumu sergantiems pacientams, vartojantiems Candesartan Ingen Pharma, gali pasireikšti hiperkalemija. Rekomenduojama periodiškai tirti kalio koncentraciją jų serume. AKF inhibitorių ir kalį sulaikančių diuretikų (pvz., spironolaktono) kartu su Candesartan Ingen Pharma vartoti nerekomenduojama, jų vartojimo kartu galimybę galima svarstyti tik kruopščiai įvertinus galimą naudą ir riziką.</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Bendri įspėjimai</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Pacientams, kurių kraujagyslių tonusas ir inkstų funkcija daugiausiai priklausė nuo renino, angiotenzino ir aldosterono sistemos aktyvumo (pvz., sergantiems sunkiu staziniu širdies nepakankamumu ar inkstų liga, ypač inkstų arterijų stenoze), kitų šią sistemą veikiančių preparatų vartojimas buvo susijęs su ūminės hipotenzijos, azotemijos, oligurijos ir (retai) ūminio inkstų nepakankamumo pasireiškimu. Negalima paneigti ir panašaus angiotenzino II receptorių blokatorių poveikio galimybės. Dėl per didelio kraujospūdžio sumažėjimo vartojant šį (kaip ir bet kurį kitą) antihipertenzinį vaistinį preparatą išemine širdies liga ar išemine smegenų kraujagyslių liga sergančius pacientus gali ištikti miokardo infarktas ar insultas.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Kandesartano antihipertenzinį poveikį gali sustiprinti kiti kraujospūdį mažinantys vaistiniai preparatai (tiek vartojami antihipertenziniam gydymui, tiek kitoms indikacijoms).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lastRenderedPageBreak/>
        <w:t xml:space="preserve">Šio vaistinio preparato negalima vartoti pacientams, kuriems nustatytas retas paveldimas sutrikimas – galaktozės netoleravimas, </w:t>
      </w:r>
      <w:r w:rsidRPr="00650D8D">
        <w:rPr>
          <w:rFonts w:ascii="Times New Roman" w:eastAsia="Calibri" w:hAnsi="Times New Roman" w:cs="Times New Roman"/>
          <w:i/>
          <w:iCs/>
          <w:lang w:val="lt-LT"/>
        </w:rPr>
        <w:t>Lapp</w:t>
      </w:r>
      <w:r w:rsidRPr="00650D8D">
        <w:rPr>
          <w:rFonts w:ascii="Times New Roman" w:eastAsia="Calibri" w:hAnsi="Times New Roman" w:cs="Times New Roman"/>
          <w:lang w:val="lt-LT"/>
        </w:rPr>
        <w:t xml:space="preserve"> laktazės stygius arba gliukozės ir galaktozės malabsorbcija.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Nėštumas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Nėštumo laikotarpiu pradėti vartoti angiotenzino-II receptorių blokatorių (AIIRB) negalima. Išskyrus atvejus, kai tęstinis gydymas angiotenzino-II receptorių blokatoriais laikomas būtinu, planuojančioms pastoti pacientėms šiuos vaistinius preparatus reikia pakeisti kitais antihipertenziniais, kurių vartojimo nėštumo laikotarpiu saugumas yra ištirtas. Nustačius, kad pacientė pastojo, būtina nedelsiant nutraukti AIIRB vartojimą, ir, jei reikia, skirti kitų antihipertenzinių vaistinių preparatų (žr. 4.3 ir 4.6 skyrius). </w:t>
      </w:r>
    </w:p>
    <w:p w:rsidR="00650D8D" w:rsidRDefault="00650D8D" w:rsidP="00650D8D">
      <w:pPr>
        <w:spacing w:after="0" w:line="240" w:lineRule="auto"/>
        <w:rPr>
          <w:rFonts w:ascii="Times New Roman" w:eastAsia="Calibri" w:hAnsi="Times New Roman" w:cs="Times New Roman"/>
          <w:lang w:val="lt-LT"/>
        </w:rPr>
      </w:pPr>
    </w:p>
    <w:p w:rsidR="00BB0865" w:rsidRDefault="008F0151" w:rsidP="008F0151">
      <w:pPr>
        <w:spacing w:after="0" w:line="240" w:lineRule="auto"/>
        <w:rPr>
          <w:rFonts w:ascii="Times New Roman" w:eastAsia="Calibri" w:hAnsi="Times New Roman" w:cs="Times New Roman"/>
          <w:iCs/>
        </w:rPr>
      </w:pPr>
      <w:proofErr w:type="gramStart"/>
      <w:r w:rsidRPr="00BB0865">
        <w:rPr>
          <w:rFonts w:ascii="Times New Roman" w:eastAsia="Calibri" w:hAnsi="Times New Roman" w:cs="Times New Roman"/>
          <w:iCs/>
        </w:rPr>
        <w:t>Dvigubas renino, angiotenzino ir aldosterono sistemos (RAAS) nuslopinimas</w:t>
      </w:r>
      <w:r>
        <w:rPr>
          <w:rFonts w:ascii="Times New Roman" w:eastAsia="Calibri" w:hAnsi="Times New Roman" w:cs="Times New Roman"/>
          <w:iCs/>
        </w:rPr>
        <w:t>.</w:t>
      </w:r>
      <w:proofErr w:type="gramEnd"/>
      <w:r>
        <w:rPr>
          <w:rFonts w:ascii="Times New Roman" w:eastAsia="Calibri" w:hAnsi="Times New Roman" w:cs="Times New Roman"/>
          <w:iCs/>
        </w:rPr>
        <w:t xml:space="preserve"> </w:t>
      </w:r>
    </w:p>
    <w:p w:rsidR="008F0151" w:rsidRPr="00BB0865" w:rsidRDefault="008F0151" w:rsidP="008F0151">
      <w:pPr>
        <w:spacing w:after="0" w:line="240" w:lineRule="auto"/>
        <w:rPr>
          <w:rFonts w:ascii="Times New Roman" w:eastAsia="Calibri" w:hAnsi="Times New Roman" w:cs="Times New Roman"/>
          <w:iCs/>
        </w:rPr>
      </w:pPr>
      <w:proofErr w:type="gramStart"/>
      <w:r w:rsidRPr="00BB0865">
        <w:rPr>
          <w:rFonts w:ascii="Times New Roman" w:eastAsia="Calibri" w:hAnsi="Times New Roman" w:cs="Times New Roman"/>
          <w:iCs/>
        </w:rPr>
        <w:t xml:space="preserve">Turima </w:t>
      </w:r>
      <w:r w:rsidRPr="00BB0865">
        <w:rPr>
          <w:rFonts w:ascii="Times New Roman" w:eastAsia="Calibri" w:hAnsi="Times New Roman" w:cs="Times New Roman" w:hint="eastAsia"/>
          <w:iCs/>
        </w:rPr>
        <w:t>į</w:t>
      </w:r>
      <w:r w:rsidRPr="00BB0865">
        <w:rPr>
          <w:rFonts w:ascii="Times New Roman" w:eastAsia="Calibri" w:hAnsi="Times New Roman" w:cs="Times New Roman"/>
          <w:iCs/>
        </w:rPr>
        <w:t>rodym</w:t>
      </w:r>
      <w:r w:rsidRPr="00BB0865">
        <w:rPr>
          <w:rFonts w:ascii="Times New Roman" w:eastAsia="Calibri" w:hAnsi="Times New Roman" w:cs="Times New Roman" w:hint="eastAsia"/>
          <w:iCs/>
        </w:rPr>
        <w:t>ų</w:t>
      </w:r>
      <w:r w:rsidRPr="00BB0865">
        <w:rPr>
          <w:rFonts w:ascii="Times New Roman" w:eastAsia="Calibri" w:hAnsi="Times New Roman" w:cs="Times New Roman"/>
          <w:iCs/>
        </w:rPr>
        <w:t>, kad kartu vartojant AKF inhibitorius, angiotenzino II receptori</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blokatorius ar</w:t>
      </w:r>
      <w:r>
        <w:rPr>
          <w:rFonts w:ascii="Times New Roman" w:eastAsia="Calibri" w:hAnsi="Times New Roman" w:cs="Times New Roman"/>
          <w:iCs/>
        </w:rPr>
        <w:t xml:space="preserve"> </w:t>
      </w:r>
      <w:r w:rsidRPr="00BB0865">
        <w:rPr>
          <w:rFonts w:ascii="Times New Roman" w:eastAsia="Calibri" w:hAnsi="Times New Roman" w:cs="Times New Roman"/>
          <w:iCs/>
        </w:rPr>
        <w:t>aliskiren</w:t>
      </w:r>
      <w:r w:rsidRPr="00BB0865">
        <w:rPr>
          <w:rFonts w:ascii="Times New Roman" w:eastAsia="Calibri" w:hAnsi="Times New Roman" w:cs="Times New Roman" w:hint="eastAsia"/>
          <w:iCs/>
        </w:rPr>
        <w:t>ą</w:t>
      </w:r>
      <w:r w:rsidRPr="00BB0865">
        <w:rPr>
          <w:rFonts w:ascii="Times New Roman" w:eastAsia="Calibri" w:hAnsi="Times New Roman" w:cs="Times New Roman"/>
          <w:iCs/>
        </w:rPr>
        <w:t xml:space="preserve"> padid</w:t>
      </w:r>
      <w:r w:rsidRPr="00BB0865">
        <w:rPr>
          <w:rFonts w:ascii="Times New Roman" w:eastAsia="Calibri" w:hAnsi="Times New Roman" w:cs="Times New Roman" w:hint="eastAsia"/>
          <w:iCs/>
        </w:rPr>
        <w:t>ė</w:t>
      </w:r>
      <w:r w:rsidRPr="00BB0865">
        <w:rPr>
          <w:rFonts w:ascii="Times New Roman" w:eastAsia="Calibri" w:hAnsi="Times New Roman" w:cs="Times New Roman"/>
          <w:iCs/>
        </w:rPr>
        <w:t>ja hipotenzijos, hiperkalemijos ir inkst</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funkcijos susilpn</w:t>
      </w:r>
      <w:r w:rsidRPr="00BB0865">
        <w:rPr>
          <w:rFonts w:ascii="Times New Roman" w:eastAsia="Calibri" w:hAnsi="Times New Roman" w:cs="Times New Roman" w:hint="eastAsia"/>
          <w:iCs/>
        </w:rPr>
        <w:t>ė</w:t>
      </w:r>
      <w:r w:rsidRPr="00BB0865">
        <w:rPr>
          <w:rFonts w:ascii="Times New Roman" w:eastAsia="Calibri" w:hAnsi="Times New Roman" w:cs="Times New Roman"/>
          <w:iCs/>
        </w:rPr>
        <w:t>jimo (</w:t>
      </w:r>
      <w:r w:rsidRPr="00BB0865">
        <w:rPr>
          <w:rFonts w:ascii="Times New Roman" w:eastAsia="Calibri" w:hAnsi="Times New Roman" w:cs="Times New Roman" w:hint="eastAsia"/>
          <w:iCs/>
        </w:rPr>
        <w:t>į</w:t>
      </w:r>
      <w:r w:rsidRPr="00BB0865">
        <w:rPr>
          <w:rFonts w:ascii="Times New Roman" w:eastAsia="Calibri" w:hAnsi="Times New Roman" w:cs="Times New Roman"/>
          <w:iCs/>
        </w:rPr>
        <w:t xml:space="preserve">skaitant </w:t>
      </w:r>
      <w:r w:rsidRPr="00BB0865">
        <w:rPr>
          <w:rFonts w:ascii="Times New Roman" w:eastAsia="Calibri" w:hAnsi="Times New Roman" w:cs="Times New Roman" w:hint="eastAsia"/>
          <w:iCs/>
        </w:rPr>
        <w:t>ū</w:t>
      </w:r>
      <w:r w:rsidRPr="00BB0865">
        <w:rPr>
          <w:rFonts w:ascii="Times New Roman" w:eastAsia="Calibri" w:hAnsi="Times New Roman" w:cs="Times New Roman"/>
          <w:iCs/>
        </w:rPr>
        <w:t>min</w:t>
      </w:r>
      <w:r w:rsidRPr="00BB0865">
        <w:rPr>
          <w:rFonts w:ascii="Times New Roman" w:eastAsia="Calibri" w:hAnsi="Times New Roman" w:cs="Times New Roman" w:hint="eastAsia"/>
          <w:iCs/>
        </w:rPr>
        <w:t>į</w:t>
      </w:r>
      <w:r w:rsidRPr="00BB0865">
        <w:rPr>
          <w:rFonts w:ascii="Times New Roman" w:eastAsia="Calibri" w:hAnsi="Times New Roman" w:cs="Times New Roman"/>
          <w:iCs/>
        </w:rPr>
        <w:t xml:space="preserve"> inkst</w:t>
      </w:r>
      <w:r w:rsidRPr="00BB0865">
        <w:rPr>
          <w:rFonts w:ascii="Times New Roman" w:eastAsia="Calibri" w:hAnsi="Times New Roman" w:cs="Times New Roman" w:hint="eastAsia"/>
          <w:iCs/>
        </w:rPr>
        <w:t>ų</w:t>
      </w:r>
      <w:r>
        <w:rPr>
          <w:rFonts w:ascii="Times New Roman" w:eastAsia="Calibri" w:hAnsi="Times New Roman" w:cs="Times New Roman"/>
          <w:iCs/>
        </w:rPr>
        <w:t xml:space="preserve"> </w:t>
      </w:r>
      <w:r w:rsidRPr="00BB0865">
        <w:rPr>
          <w:rFonts w:ascii="Times New Roman" w:eastAsia="Calibri" w:hAnsi="Times New Roman" w:cs="Times New Roman"/>
          <w:iCs/>
        </w:rPr>
        <w:t>nepakankamum</w:t>
      </w:r>
      <w:r w:rsidRPr="00BB0865">
        <w:rPr>
          <w:rFonts w:ascii="Times New Roman" w:eastAsia="Calibri" w:hAnsi="Times New Roman" w:cs="Times New Roman" w:hint="eastAsia"/>
          <w:iCs/>
        </w:rPr>
        <w:t>ą</w:t>
      </w:r>
      <w:r w:rsidRPr="00BB0865">
        <w:rPr>
          <w:rFonts w:ascii="Times New Roman" w:eastAsia="Calibri" w:hAnsi="Times New Roman" w:cs="Times New Roman"/>
          <w:iCs/>
        </w:rPr>
        <w:t>) rizika.</w:t>
      </w:r>
      <w:proofErr w:type="gramEnd"/>
      <w:r w:rsidRPr="00BB0865">
        <w:rPr>
          <w:rFonts w:ascii="Times New Roman" w:eastAsia="Calibri" w:hAnsi="Times New Roman" w:cs="Times New Roman"/>
          <w:iCs/>
        </w:rPr>
        <w:t xml:space="preserve"> </w:t>
      </w:r>
      <w:proofErr w:type="gramStart"/>
      <w:r w:rsidRPr="00BB0865">
        <w:rPr>
          <w:rFonts w:ascii="Times New Roman" w:eastAsia="Calibri" w:hAnsi="Times New Roman" w:cs="Times New Roman"/>
          <w:iCs/>
        </w:rPr>
        <w:t>Tod</w:t>
      </w:r>
      <w:r w:rsidRPr="00BB0865">
        <w:rPr>
          <w:rFonts w:ascii="Times New Roman" w:eastAsia="Calibri" w:hAnsi="Times New Roman" w:cs="Times New Roman" w:hint="eastAsia"/>
          <w:iCs/>
        </w:rPr>
        <w:t>ė</w:t>
      </w:r>
      <w:r w:rsidRPr="00BB0865">
        <w:rPr>
          <w:rFonts w:ascii="Times New Roman" w:eastAsia="Calibri" w:hAnsi="Times New Roman" w:cs="Times New Roman"/>
          <w:iCs/>
        </w:rPr>
        <w:t>l nerekomenduojama dvigubai nuslopinti RAAS, vartojant AKF inhibitori</w:t>
      </w:r>
      <w:r w:rsidRPr="00BB0865">
        <w:rPr>
          <w:rFonts w:ascii="Times New Roman" w:eastAsia="Calibri" w:hAnsi="Times New Roman" w:cs="Times New Roman" w:hint="eastAsia"/>
          <w:iCs/>
        </w:rPr>
        <w:t>ų</w:t>
      </w:r>
      <w:r w:rsidRPr="00BB0865">
        <w:rPr>
          <w:rFonts w:ascii="Times New Roman" w:eastAsia="Calibri" w:hAnsi="Times New Roman" w:cs="Times New Roman"/>
          <w:iCs/>
        </w:rPr>
        <w:t>,</w:t>
      </w:r>
      <w:r>
        <w:rPr>
          <w:rFonts w:ascii="Times New Roman" w:eastAsia="Calibri" w:hAnsi="Times New Roman" w:cs="Times New Roman"/>
          <w:iCs/>
        </w:rPr>
        <w:t xml:space="preserve"> </w:t>
      </w:r>
      <w:r w:rsidRPr="00BB0865">
        <w:rPr>
          <w:rFonts w:ascii="Times New Roman" w:eastAsia="Calibri" w:hAnsi="Times New Roman" w:cs="Times New Roman"/>
          <w:iCs/>
        </w:rPr>
        <w:t>angiotenzino II receptori</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blokatori</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ar aliskireno derin</w:t>
      </w:r>
      <w:r w:rsidRPr="00BB0865">
        <w:rPr>
          <w:rFonts w:ascii="Times New Roman" w:eastAsia="Calibri" w:hAnsi="Times New Roman" w:cs="Times New Roman" w:hint="eastAsia"/>
          <w:iCs/>
        </w:rPr>
        <w:t>į</w:t>
      </w:r>
      <w:r w:rsidRPr="00BB0865">
        <w:rPr>
          <w:rFonts w:ascii="Times New Roman" w:eastAsia="Calibri" w:hAnsi="Times New Roman" w:cs="Times New Roman"/>
          <w:iCs/>
        </w:rPr>
        <w:t xml:space="preserve"> (</w:t>
      </w:r>
      <w:r w:rsidRPr="00BB0865">
        <w:rPr>
          <w:rFonts w:ascii="Times New Roman" w:eastAsia="Calibri" w:hAnsi="Times New Roman" w:cs="Times New Roman" w:hint="eastAsia"/>
          <w:iCs/>
        </w:rPr>
        <w:t>ž</w:t>
      </w:r>
      <w:r w:rsidRPr="00BB0865">
        <w:rPr>
          <w:rFonts w:ascii="Times New Roman" w:eastAsia="Calibri" w:hAnsi="Times New Roman" w:cs="Times New Roman"/>
          <w:iCs/>
        </w:rPr>
        <w:t>r. 4.5 ir 5.1 skyrius).</w:t>
      </w:r>
      <w:proofErr w:type="gramEnd"/>
    </w:p>
    <w:p w:rsidR="008F0151" w:rsidRPr="00BB0865" w:rsidRDefault="008F0151" w:rsidP="008F0151">
      <w:pPr>
        <w:spacing w:after="0" w:line="240" w:lineRule="auto"/>
        <w:rPr>
          <w:rFonts w:ascii="Times New Roman" w:eastAsia="Calibri" w:hAnsi="Times New Roman" w:cs="Times New Roman"/>
          <w:iCs/>
        </w:rPr>
      </w:pPr>
      <w:proofErr w:type="gramStart"/>
      <w:r w:rsidRPr="00BB0865">
        <w:rPr>
          <w:rFonts w:ascii="Times New Roman" w:eastAsia="Calibri" w:hAnsi="Times New Roman" w:cs="Times New Roman"/>
          <w:iCs/>
        </w:rPr>
        <w:t>Vis d</w:t>
      </w:r>
      <w:r w:rsidRPr="00BB0865">
        <w:rPr>
          <w:rFonts w:ascii="Times New Roman" w:eastAsia="Calibri" w:hAnsi="Times New Roman" w:cs="Times New Roman" w:hint="eastAsia"/>
          <w:iCs/>
        </w:rPr>
        <w:t>ė</w:t>
      </w:r>
      <w:r w:rsidRPr="00BB0865">
        <w:rPr>
          <w:rFonts w:ascii="Times New Roman" w:eastAsia="Calibri" w:hAnsi="Times New Roman" w:cs="Times New Roman"/>
          <w:iCs/>
        </w:rPr>
        <w:t>lto, jei dvigubas nuslopinimas laikomas absoliu</w:t>
      </w:r>
      <w:r w:rsidRPr="00BB0865">
        <w:rPr>
          <w:rFonts w:ascii="Times New Roman" w:eastAsia="Calibri" w:hAnsi="Times New Roman" w:cs="Times New Roman" w:hint="eastAsia"/>
          <w:iCs/>
        </w:rPr>
        <w:t>č</w:t>
      </w:r>
      <w:r w:rsidRPr="00BB0865">
        <w:rPr>
          <w:rFonts w:ascii="Times New Roman" w:eastAsia="Calibri" w:hAnsi="Times New Roman" w:cs="Times New Roman"/>
          <w:iCs/>
        </w:rPr>
        <w:t>iai b</w:t>
      </w:r>
      <w:r w:rsidRPr="00BB0865">
        <w:rPr>
          <w:rFonts w:ascii="Times New Roman" w:eastAsia="Calibri" w:hAnsi="Times New Roman" w:cs="Times New Roman" w:hint="eastAsia"/>
          <w:iCs/>
        </w:rPr>
        <w:t>ū</w:t>
      </w:r>
      <w:r w:rsidRPr="00BB0865">
        <w:rPr>
          <w:rFonts w:ascii="Times New Roman" w:eastAsia="Calibri" w:hAnsi="Times New Roman" w:cs="Times New Roman"/>
          <w:iCs/>
        </w:rPr>
        <w:t xml:space="preserve">tinu, </w:t>
      </w:r>
      <w:r w:rsidRPr="00BB0865">
        <w:rPr>
          <w:rFonts w:ascii="Times New Roman" w:eastAsia="Calibri" w:hAnsi="Times New Roman" w:cs="Times New Roman" w:hint="eastAsia"/>
          <w:iCs/>
        </w:rPr>
        <w:t>š</w:t>
      </w:r>
      <w:r w:rsidRPr="00BB0865">
        <w:rPr>
          <w:rFonts w:ascii="Times New Roman" w:eastAsia="Calibri" w:hAnsi="Times New Roman" w:cs="Times New Roman"/>
          <w:iCs/>
        </w:rPr>
        <w:t>is gydymas turi b</w:t>
      </w:r>
      <w:r w:rsidRPr="00BB0865">
        <w:rPr>
          <w:rFonts w:ascii="Times New Roman" w:eastAsia="Calibri" w:hAnsi="Times New Roman" w:cs="Times New Roman" w:hint="eastAsia"/>
          <w:iCs/>
        </w:rPr>
        <w:t>ū</w:t>
      </w:r>
      <w:r w:rsidRPr="00BB0865">
        <w:rPr>
          <w:rFonts w:ascii="Times New Roman" w:eastAsia="Calibri" w:hAnsi="Times New Roman" w:cs="Times New Roman"/>
          <w:iCs/>
        </w:rPr>
        <w:t>ti atliekamas tik</w:t>
      </w:r>
      <w:r>
        <w:rPr>
          <w:rFonts w:ascii="Times New Roman" w:eastAsia="Calibri" w:hAnsi="Times New Roman" w:cs="Times New Roman"/>
          <w:iCs/>
        </w:rPr>
        <w:t xml:space="preserve"> </w:t>
      </w:r>
      <w:r w:rsidRPr="00BB0865">
        <w:rPr>
          <w:rFonts w:ascii="Times New Roman" w:eastAsia="Calibri" w:hAnsi="Times New Roman" w:cs="Times New Roman"/>
          <w:iCs/>
        </w:rPr>
        <w:t>pri</w:t>
      </w:r>
      <w:r w:rsidRPr="00BB0865">
        <w:rPr>
          <w:rFonts w:ascii="Times New Roman" w:eastAsia="Calibri" w:hAnsi="Times New Roman" w:cs="Times New Roman" w:hint="eastAsia"/>
          <w:iCs/>
        </w:rPr>
        <w:t>ž</w:t>
      </w:r>
      <w:r w:rsidRPr="00BB0865">
        <w:rPr>
          <w:rFonts w:ascii="Times New Roman" w:eastAsia="Calibri" w:hAnsi="Times New Roman" w:cs="Times New Roman"/>
          <w:iCs/>
        </w:rPr>
        <w:t>i</w:t>
      </w:r>
      <w:r w:rsidRPr="00BB0865">
        <w:rPr>
          <w:rFonts w:ascii="Times New Roman" w:eastAsia="Calibri" w:hAnsi="Times New Roman" w:cs="Times New Roman" w:hint="eastAsia"/>
          <w:iCs/>
        </w:rPr>
        <w:t>ū</w:t>
      </w:r>
      <w:r w:rsidRPr="00BB0865">
        <w:rPr>
          <w:rFonts w:ascii="Times New Roman" w:eastAsia="Calibri" w:hAnsi="Times New Roman" w:cs="Times New Roman"/>
          <w:iCs/>
        </w:rPr>
        <w:t>rint specialistams ir da</w:t>
      </w:r>
      <w:r w:rsidRPr="00BB0865">
        <w:rPr>
          <w:rFonts w:ascii="Times New Roman" w:eastAsia="Calibri" w:hAnsi="Times New Roman" w:cs="Times New Roman" w:hint="eastAsia"/>
          <w:iCs/>
        </w:rPr>
        <w:t>ž</w:t>
      </w:r>
      <w:r w:rsidRPr="00BB0865">
        <w:rPr>
          <w:rFonts w:ascii="Times New Roman" w:eastAsia="Calibri" w:hAnsi="Times New Roman" w:cs="Times New Roman"/>
          <w:iCs/>
        </w:rPr>
        <w:t>nai bei atid</w:t>
      </w:r>
      <w:r w:rsidRPr="00BB0865">
        <w:rPr>
          <w:rFonts w:ascii="Times New Roman" w:eastAsia="Calibri" w:hAnsi="Times New Roman" w:cs="Times New Roman" w:hint="eastAsia"/>
          <w:iCs/>
        </w:rPr>
        <w:t>ž</w:t>
      </w:r>
      <w:r w:rsidRPr="00BB0865">
        <w:rPr>
          <w:rFonts w:ascii="Times New Roman" w:eastAsia="Calibri" w:hAnsi="Times New Roman" w:cs="Times New Roman"/>
          <w:iCs/>
        </w:rPr>
        <w:t>iai tiriant inkst</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funkcij</w:t>
      </w:r>
      <w:r w:rsidRPr="00BB0865">
        <w:rPr>
          <w:rFonts w:ascii="Times New Roman" w:eastAsia="Calibri" w:hAnsi="Times New Roman" w:cs="Times New Roman" w:hint="eastAsia"/>
          <w:iCs/>
        </w:rPr>
        <w:t>ą</w:t>
      </w:r>
      <w:r w:rsidRPr="00BB0865">
        <w:rPr>
          <w:rFonts w:ascii="Times New Roman" w:eastAsia="Calibri" w:hAnsi="Times New Roman" w:cs="Times New Roman"/>
          <w:iCs/>
        </w:rPr>
        <w:t>, elektrolit</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koncentracij</w:t>
      </w:r>
      <w:r w:rsidRPr="00BB0865">
        <w:rPr>
          <w:rFonts w:ascii="Times New Roman" w:eastAsia="Calibri" w:hAnsi="Times New Roman" w:cs="Times New Roman" w:hint="eastAsia"/>
          <w:iCs/>
        </w:rPr>
        <w:t>ą</w:t>
      </w:r>
      <w:r w:rsidRPr="00BB0865">
        <w:rPr>
          <w:rFonts w:ascii="Times New Roman" w:eastAsia="Calibri" w:hAnsi="Times New Roman" w:cs="Times New Roman"/>
          <w:iCs/>
        </w:rPr>
        <w:t xml:space="preserve"> bei</w:t>
      </w:r>
      <w:r>
        <w:rPr>
          <w:rFonts w:ascii="Times New Roman" w:eastAsia="Calibri" w:hAnsi="Times New Roman" w:cs="Times New Roman"/>
          <w:iCs/>
        </w:rPr>
        <w:t xml:space="preserve"> </w:t>
      </w:r>
      <w:r w:rsidRPr="00BB0865">
        <w:rPr>
          <w:rFonts w:ascii="Times New Roman" w:eastAsia="Calibri" w:hAnsi="Times New Roman" w:cs="Times New Roman"/>
          <w:iCs/>
        </w:rPr>
        <w:t>kraujosp</w:t>
      </w:r>
      <w:r w:rsidRPr="00BB0865">
        <w:rPr>
          <w:rFonts w:ascii="Times New Roman" w:eastAsia="Calibri" w:hAnsi="Times New Roman" w:cs="Times New Roman" w:hint="eastAsia"/>
          <w:iCs/>
        </w:rPr>
        <w:t>ū</w:t>
      </w:r>
      <w:r w:rsidRPr="00BB0865">
        <w:rPr>
          <w:rFonts w:ascii="Times New Roman" w:eastAsia="Calibri" w:hAnsi="Times New Roman" w:cs="Times New Roman"/>
          <w:iCs/>
        </w:rPr>
        <w:t>d</w:t>
      </w:r>
      <w:r w:rsidRPr="00BB0865">
        <w:rPr>
          <w:rFonts w:ascii="Times New Roman" w:eastAsia="Calibri" w:hAnsi="Times New Roman" w:cs="Times New Roman" w:hint="eastAsia"/>
          <w:iCs/>
        </w:rPr>
        <w:t>į</w:t>
      </w:r>
      <w:r w:rsidRPr="00BB0865">
        <w:rPr>
          <w:rFonts w:ascii="Times New Roman" w:eastAsia="Calibri" w:hAnsi="Times New Roman" w:cs="Times New Roman"/>
          <w:iCs/>
        </w:rPr>
        <w:t>.</w:t>
      </w:r>
      <w:proofErr w:type="gramEnd"/>
    </w:p>
    <w:p w:rsidR="008F0151" w:rsidRPr="00BB0865" w:rsidRDefault="008F0151" w:rsidP="008F0151">
      <w:pPr>
        <w:spacing w:after="0" w:line="240" w:lineRule="auto"/>
        <w:rPr>
          <w:rFonts w:ascii="Times New Roman" w:eastAsia="Calibri" w:hAnsi="Times New Roman" w:cs="Times New Roman"/>
          <w:iCs/>
        </w:rPr>
      </w:pPr>
      <w:proofErr w:type="gramStart"/>
      <w:r w:rsidRPr="00BB0865">
        <w:rPr>
          <w:rFonts w:ascii="Times New Roman" w:eastAsia="Calibri" w:hAnsi="Times New Roman" w:cs="Times New Roman"/>
          <w:iCs/>
        </w:rPr>
        <w:t>Pacientams, sergantiems diabetine nefropatija, negalima kartu vartoti AKF inhibitori</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ir angiotenzino II receptori</w:t>
      </w:r>
      <w:r w:rsidRPr="00BB0865">
        <w:rPr>
          <w:rFonts w:ascii="Times New Roman" w:eastAsia="Calibri" w:hAnsi="Times New Roman" w:cs="Times New Roman" w:hint="eastAsia"/>
          <w:iCs/>
        </w:rPr>
        <w:t>ų</w:t>
      </w:r>
      <w:r w:rsidRPr="00BB0865">
        <w:rPr>
          <w:rFonts w:ascii="Times New Roman" w:eastAsia="Calibri" w:hAnsi="Times New Roman" w:cs="Times New Roman"/>
          <w:iCs/>
        </w:rPr>
        <w:t xml:space="preserve"> blokatori</w:t>
      </w:r>
      <w:r w:rsidRPr="00BB0865">
        <w:rPr>
          <w:rFonts w:ascii="Times New Roman" w:eastAsia="Calibri" w:hAnsi="Times New Roman" w:cs="Times New Roman" w:hint="eastAsia"/>
          <w:iCs/>
        </w:rPr>
        <w:t>ų</w:t>
      </w:r>
      <w:r w:rsidRPr="00BB0865">
        <w:rPr>
          <w:rFonts w:ascii="Times New Roman" w:eastAsia="Calibri" w:hAnsi="Times New Roman" w:cs="Times New Roman"/>
          <w:iCs/>
        </w:rPr>
        <w:t>.</w:t>
      </w:r>
      <w:proofErr w:type="gramEnd"/>
    </w:p>
    <w:p w:rsidR="008F0151" w:rsidRPr="00BB0865" w:rsidRDefault="008F0151" w:rsidP="008F0151">
      <w:pPr>
        <w:spacing w:after="0" w:line="240" w:lineRule="auto"/>
        <w:rPr>
          <w:rFonts w:ascii="Times New Roman" w:eastAsia="Calibri" w:hAnsi="Times New Roman" w:cs="Times New Roman"/>
          <w:i/>
          <w:iCs/>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4.5</w:t>
      </w:r>
      <w:r w:rsidRPr="00650D8D">
        <w:rPr>
          <w:rFonts w:ascii="Times New Roman" w:eastAsia="Calibri" w:hAnsi="Times New Roman" w:cs="Times New Roman"/>
          <w:b/>
          <w:bCs/>
          <w:lang w:val="lt-LT"/>
        </w:rPr>
        <w:tab/>
        <w:t>Sąveika su kitais vaistiniais preparatais ir kitokia sąveika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Klinikinės farmakokinetikos tyrimų metu tirta sąveika su hidrochlorotiazidu, varfarinu, digoksinu, geriamaisiais kontraceptikais (etinilestradiolio ir levonorgestrelio deriniu), glibenklamidu, nifedipinu ir enalapriliu. Klinikai reikšmingos farmakokinetinės sąveikos su šiais vaistiniais preparatais nenustatyta.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Kartu vartojant kalį sulaikančių diuretikų, kalio papildų, kalio turinčių druskos pakaitalų ar kai kurių kitų vaistinių preparatų (pvz., heparino), gali padidėti kalio koncentracija serume. Ji turi būti tinkamai reguliariai tiriama (žr. 4.4 skyrių).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Buvo atvejų, kai kartu su AKF inhibitoriais vartojant ličio preparatų laikinai padidėjo ličio koncentracija serume, pasireiškė jo toksinis poveikis. Panašus poveikis galimas kartu vartojant angiotenzino-II receptorių blokatorius, todėl juos vartojant su kitais vaistiniais preparatais, rekomenduojama atidžiai sekti ličio koncentraciją serume.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Kartu su angiotenzino-II receptorių blokatoriais vartojant nesteroidinių vaistų nuo uždegimo (selektyvių ciklooksigenazės – 2 inhibitorių, acetilsalicilo rūgšties didesnėmis kaip </w:t>
      </w:r>
      <w:smartTag w:uri="urn:schemas-microsoft-com:office:smarttags" w:element="metricconverter">
        <w:smartTagPr>
          <w:attr w:name="ProductID" w:val="3ﾠg"/>
        </w:smartTagPr>
        <w:r w:rsidRPr="00650D8D">
          <w:rPr>
            <w:rFonts w:ascii="Times New Roman" w:eastAsia="Calibri" w:hAnsi="Times New Roman" w:cs="Times New Roman"/>
            <w:lang w:val="lt-LT"/>
          </w:rPr>
          <w:t>3 g</w:t>
        </w:r>
      </w:smartTag>
      <w:r w:rsidRPr="00650D8D">
        <w:rPr>
          <w:rFonts w:ascii="Times New Roman" w:eastAsia="Calibri" w:hAnsi="Times New Roman" w:cs="Times New Roman"/>
          <w:lang w:val="lt-LT"/>
        </w:rPr>
        <w:t xml:space="preserve"> paros dozėmis arba neselektyvių nesteroidinių vaistų nuo uždegimo), gali susilpnėti antihipertenzinis poveikis.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Angiotenzino-II receptorių blokatorių (kaip ir AKF inhibitorių) vartojant kartu su NVNU, gali padidėti inkstų funkcijos pablogėjimo (įskaitant ūminį inkstų nepakankamumą ir hiperkalemiją) rizika, ypač jeigu inkstų funkcija jau sutrikusi. Kartu šių vaistinių preparatų skiriama atsargiai, ypač senyviems pacientams. Pacientas turi vartoti pakankamai skysčių. Pradėjus gydymą šių vaistinių preparatų deriniu ir periodiškai vėliau gali būti tikslinga tirti inkstų funkciją.</w:t>
      </w:r>
    </w:p>
    <w:p w:rsidR="00650D8D" w:rsidRDefault="00650D8D" w:rsidP="00650D8D">
      <w:pPr>
        <w:spacing w:after="0" w:line="240" w:lineRule="auto"/>
        <w:rPr>
          <w:rFonts w:ascii="Times New Roman" w:eastAsia="Calibri" w:hAnsi="Times New Roman" w:cs="Times New Roman"/>
          <w:lang w:val="lt-LT"/>
        </w:rPr>
      </w:pPr>
    </w:p>
    <w:p w:rsidR="00344C24" w:rsidRDefault="00344C24" w:rsidP="00344C24">
      <w:pPr>
        <w:spacing w:after="0" w:line="240" w:lineRule="auto"/>
        <w:rPr>
          <w:rFonts w:ascii="Times New Roman" w:eastAsia="Calibri" w:hAnsi="Times New Roman" w:cs="Times New Roman"/>
          <w:lang w:val="lt-LT"/>
        </w:rPr>
      </w:pPr>
      <w:r w:rsidRPr="00344C24">
        <w:rPr>
          <w:rFonts w:ascii="Times New Roman" w:eastAsia="Calibri" w:hAnsi="Times New Roman" w:cs="Times New Roman"/>
          <w:lang w:val="lt-LT"/>
        </w:rPr>
        <w:t xml:space="preserve">Klinikinių tyrimų duomenys parodė, kad, palyginti su vieno RAAS </w:t>
      </w:r>
      <w:r>
        <w:rPr>
          <w:rFonts w:ascii="Times New Roman" w:eastAsia="Calibri" w:hAnsi="Times New Roman" w:cs="Times New Roman"/>
          <w:lang w:val="lt-LT"/>
        </w:rPr>
        <w:t xml:space="preserve">veikiančio preparato vartojimu, </w:t>
      </w:r>
      <w:r w:rsidRPr="00344C24">
        <w:rPr>
          <w:rFonts w:ascii="Times New Roman" w:eastAsia="Calibri" w:hAnsi="Times New Roman" w:cs="Times New Roman"/>
          <w:lang w:val="lt-LT"/>
        </w:rPr>
        <w:t>dvigubas renino, angiotenzino ir aldosterono sistemos (RAAS)</w:t>
      </w:r>
      <w:r>
        <w:rPr>
          <w:rFonts w:ascii="Times New Roman" w:eastAsia="Calibri" w:hAnsi="Times New Roman" w:cs="Times New Roman"/>
          <w:lang w:val="lt-LT"/>
        </w:rPr>
        <w:t xml:space="preserve"> slopinimas, kai vartojamas AKF </w:t>
      </w:r>
      <w:r w:rsidRPr="00344C24">
        <w:rPr>
          <w:rFonts w:ascii="Times New Roman" w:eastAsia="Calibri" w:hAnsi="Times New Roman" w:cs="Times New Roman"/>
          <w:lang w:val="lt-LT"/>
        </w:rPr>
        <w:t>inhibitorių, angiotenzino II receptorių blokatorių ar aliskire</w:t>
      </w:r>
      <w:r>
        <w:rPr>
          <w:rFonts w:ascii="Times New Roman" w:eastAsia="Calibri" w:hAnsi="Times New Roman" w:cs="Times New Roman"/>
          <w:lang w:val="lt-LT"/>
        </w:rPr>
        <w:t xml:space="preserve">no derinys, siejamas su dažniau </w:t>
      </w:r>
      <w:r w:rsidRPr="00344C24">
        <w:rPr>
          <w:rFonts w:ascii="Times New Roman" w:eastAsia="Calibri" w:hAnsi="Times New Roman" w:cs="Times New Roman"/>
          <w:lang w:val="lt-LT"/>
        </w:rPr>
        <w:t>pasitaikančiais nepageidaujamais reiškiniais, tokiais kaip hipotenzija, hi</w:t>
      </w:r>
      <w:r>
        <w:rPr>
          <w:rFonts w:ascii="Times New Roman" w:eastAsia="Calibri" w:hAnsi="Times New Roman" w:cs="Times New Roman"/>
          <w:lang w:val="lt-LT"/>
        </w:rPr>
        <w:t xml:space="preserve">perkalemija ir inkstų funkcijos </w:t>
      </w:r>
      <w:r w:rsidRPr="00344C24">
        <w:rPr>
          <w:rFonts w:ascii="Times New Roman" w:eastAsia="Calibri" w:hAnsi="Times New Roman" w:cs="Times New Roman"/>
          <w:lang w:val="lt-LT"/>
        </w:rPr>
        <w:t>susilpnėjimas (įskaitant ūminį inkstų nepakankamumą) (žr</w:t>
      </w:r>
      <w:r>
        <w:rPr>
          <w:rFonts w:ascii="Times New Roman" w:eastAsia="Calibri" w:hAnsi="Times New Roman" w:cs="Times New Roman"/>
          <w:lang w:val="lt-LT"/>
        </w:rPr>
        <w:t>. 4.3, 4.4 ir 5.1 skyrius).</w:t>
      </w:r>
    </w:p>
    <w:p w:rsidR="00344C24" w:rsidRPr="00650D8D" w:rsidRDefault="00344C24"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4.6</w:t>
      </w:r>
      <w:r w:rsidRPr="00650D8D">
        <w:rPr>
          <w:rFonts w:ascii="Times New Roman" w:eastAsia="Calibri" w:hAnsi="Times New Roman" w:cs="Times New Roman"/>
          <w:b/>
          <w:bCs/>
          <w:lang w:val="lt-LT"/>
        </w:rPr>
        <w:tab/>
      </w:r>
      <w:r w:rsidR="00196FC1" w:rsidRPr="00196FC1">
        <w:rPr>
          <w:rFonts w:ascii="Times New Roman" w:hAnsi="Times New Roman"/>
          <w:b/>
          <w:lang w:val="lt-LT"/>
        </w:rPr>
        <w:t>Vaisingumas, n</w:t>
      </w:r>
      <w:r w:rsidRPr="00650D8D">
        <w:rPr>
          <w:rFonts w:ascii="Times New Roman" w:eastAsia="Calibri" w:hAnsi="Times New Roman" w:cs="Times New Roman"/>
          <w:b/>
          <w:bCs/>
          <w:lang w:val="lt-LT"/>
        </w:rPr>
        <w:t>ėštumo ir žindymo laikotarpis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Nėštumas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lastRenderedPageBreak/>
        <w:t>Pirmą nėštumo trimestrą AIIRB vartoti nerekomenduojama (žr. 4.4 skyrių), antrą ir trečią nėštumo trimestrą AIIRB vartoti negalima (žr. 4.3 ir 4.4 skyrius).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Turimi AKF inhibitorių vartojimo pirmą nėštumo trimestrą epidemiologiniai duomenys daryti išvadų dėl teratogeninio poveikio rizikos neleidžia, tačiau negalima atmesti nežymaus jos padidėjimo galimybės. Rizikos, susijusios su AIIRB, vertinimo kontroliuojamų epidemiologinių duomenų nėra, tačiau manoma, kad jie gali kelti panašią riziką. Išskyrus atvejus, kai tęstinis gydymas AIIRB laikomas būtinu, planuojančioms pastoti pacientėms šiuos vaistinius preparatus reikia pakeisti kitais antihipertenziniais, kurių vartojimo nėštumo laikotarpiu saugumas yra ištirtas. Nustačius, kad pacientė pastojo, būtina nedelsiant nutraukti AIIRB vartojimą, ir, jei reikia, skirti kitų antihipertenzinių vaistinių preparatų.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Yra žinoma, kad antrą ir trečią nėštumo trimestrus vartojami AIIRB sukelia toksinį poveikį žmogaus vaisiui (inkstų funkcijos susilpnėjimą, oligohidramnioną, kaukolės kaulėjimo sulėtėjimą) ir naujagimiui (inkstų nepakankamumą, hipotenziją, hiperkalemiją) (žr. 5.3 skyrių).</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Paaiškėjus, kad antrą nėštumo trimestrą moteris vartojo AIIRB, rekomenduojama ultragarsu ištirti vaisiaus inkstų funkciją ir kaukolę.</w:t>
      </w:r>
    </w:p>
    <w:p w:rsidR="00650D8D" w:rsidRPr="00650D8D" w:rsidRDefault="00650D8D" w:rsidP="00650D8D">
      <w:pPr>
        <w:spacing w:after="0" w:line="240" w:lineRule="auto"/>
        <w:rPr>
          <w:rFonts w:ascii="Times New Roman" w:eastAsia="Calibri" w:hAnsi="Times New Roman" w:cs="Times New Roman"/>
          <w:i/>
          <w:iCs/>
          <w:lang w:val="lt-LT"/>
        </w:rPr>
      </w:pPr>
      <w:r w:rsidRPr="00650D8D">
        <w:rPr>
          <w:rFonts w:ascii="Times New Roman" w:eastAsia="Calibri" w:hAnsi="Times New Roman" w:cs="Times New Roman"/>
          <w:lang w:val="lt-LT"/>
        </w:rPr>
        <w:t>Kūdikius, kurių motinos nėštumo laikotarpiu vartojo AIIRB, reikia atidžiai stebėti dėl galimos hipotenzijos (žr. 4.3 ir 4.4 skyrius).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Žindymo laikotarpis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Duomenų apie Candesartan Ingen Pharma vartojimą žindymo laikotarpiu nėra, todėl žindyvėms šis vaistinis preparatas nerekomenduojamas. Joms reikėtų skirti kitų vaistinių preparatų, kurių vartojimo žindymo laikotarpiu saugumas yra ištirtas geriau, ypač jeigu žindomas naujagimis arba neišnešiotas kūdikis.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4.7</w:t>
      </w:r>
      <w:r w:rsidRPr="00650D8D">
        <w:rPr>
          <w:rFonts w:ascii="Times New Roman" w:eastAsia="Calibri" w:hAnsi="Times New Roman" w:cs="Times New Roman"/>
          <w:b/>
          <w:bCs/>
          <w:lang w:val="lt-LT"/>
        </w:rPr>
        <w:tab/>
        <w:t>Poveikis gebėjimui vairuoti ir valdyti mechanizmus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Kandesartano poveikio gebėjimui vairuoti ir valdyti mechanizmus tyrimų neatlikta, tačiau remiantis jo farmakodinaminėmis savybėmis, nesitikima, kad kandesartanas paveiks šį gebėjimą. Vis dėlto, vairuojant ar valdant mechanizmus, reikia atsižvelgti į tai, kad gydymo metu kartais gali pasireikšti svaigulys ar nuovargis.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4.8</w:t>
      </w:r>
      <w:r w:rsidRPr="00650D8D">
        <w:rPr>
          <w:rFonts w:ascii="Times New Roman" w:eastAsia="Calibri" w:hAnsi="Times New Roman" w:cs="Times New Roman"/>
          <w:b/>
          <w:bCs/>
          <w:lang w:val="lt-LT"/>
        </w:rPr>
        <w:tab/>
        <w:t>Nepageidaujamas poveikis</w:t>
      </w:r>
    </w:p>
    <w:p w:rsidR="00650D8D" w:rsidRPr="00650D8D" w:rsidRDefault="00650D8D" w:rsidP="00650D8D">
      <w:pPr>
        <w:spacing w:after="0" w:line="240" w:lineRule="auto"/>
        <w:rPr>
          <w:rFonts w:ascii="Times New Roman" w:eastAsia="Calibri" w:hAnsi="Times New Roman" w:cs="Times New Roman"/>
          <w:u w:val="single"/>
          <w:lang w:val="lt-LT"/>
        </w:rPr>
      </w:pPr>
    </w:p>
    <w:p w:rsidR="00650D8D" w:rsidRPr="00650D8D" w:rsidRDefault="00650D8D" w:rsidP="00650D8D">
      <w:pPr>
        <w:spacing w:after="0" w:line="240" w:lineRule="auto"/>
        <w:rPr>
          <w:rFonts w:ascii="Times New Roman" w:eastAsia="Calibri" w:hAnsi="Times New Roman" w:cs="Times New Roman"/>
          <w:i/>
          <w:iCs/>
          <w:lang w:val="lt-LT"/>
        </w:rPr>
      </w:pPr>
      <w:r w:rsidRPr="00650D8D">
        <w:rPr>
          <w:rFonts w:ascii="Times New Roman" w:eastAsia="Calibri" w:hAnsi="Times New Roman" w:cs="Times New Roman"/>
          <w:i/>
          <w:iCs/>
          <w:lang w:val="lt-LT"/>
        </w:rPr>
        <w:t>Hipertenzijos gydymas</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Kontroliuojamų klinikinių tyrimų metu nepageidaujamos reakcijos buvo lengvos. Ryšio tarp bendro nepageidaujamų reiškinių dažnio ir dozės ar paciento amžiaus nebuvo. Dėl nepageidaujamų reiškinių kandesartano cileksetilo ir placebo vartojimą nutraukė panašus pacientų skaičius (atitinkamai 3,1% ir 3,2%).</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lang w:val="lt-LT"/>
        </w:rPr>
      </w:pPr>
    </w:p>
    <w:p w:rsidR="00650D8D" w:rsidRPr="00650D8D" w:rsidRDefault="00650D8D" w:rsidP="00650D8D">
      <w:pPr>
        <w:autoSpaceDE w:val="0"/>
        <w:autoSpaceDN w:val="0"/>
        <w:adjustRightInd w:val="0"/>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Apibendrintais klinikinių tyrimų duomenimis, vartojant kandesartano cileksetilo pranešama apie šias nepageidaujamas reakcijas, pagal nepageidaujamų reiškinių dažnumą, mažiausiai 1% didesnį už dažnį vartojant placebo. Nepageidaujamos reakcijos, apie kurias pranešta dažniausiai, pagal šią definiciją buvo galvos sukimasis (</w:t>
      </w:r>
      <w:r w:rsidRPr="00650D8D">
        <w:rPr>
          <w:rFonts w:ascii="Times New Roman" w:eastAsia="Calibri" w:hAnsi="Times New Roman" w:cs="Times New Roman"/>
          <w:i/>
          <w:iCs/>
          <w:lang w:val="lt-LT"/>
        </w:rPr>
        <w:t>vertigo</w:t>
      </w:r>
      <w:r w:rsidRPr="00650D8D">
        <w:rPr>
          <w:rFonts w:ascii="Times New Roman" w:eastAsia="Calibri" w:hAnsi="Times New Roman" w:cs="Times New Roman"/>
          <w:lang w:val="lt-LT"/>
        </w:rPr>
        <w:t>) ar svaigulys, galvos skausmas ir kvėpavimo takų infekcija.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Nepageidaujamų reiškinių dažnis apibūdinamas taip: labai dažn</w:t>
      </w:r>
      <w:r w:rsidR="002E4DC0">
        <w:rPr>
          <w:rFonts w:ascii="Times New Roman" w:eastAsia="Calibri" w:hAnsi="Times New Roman" w:cs="Times New Roman"/>
          <w:lang w:val="lt-LT"/>
        </w:rPr>
        <w:t>as</w:t>
      </w:r>
      <w:r w:rsidRPr="00650D8D">
        <w:rPr>
          <w:rFonts w:ascii="Times New Roman" w:eastAsia="Calibri" w:hAnsi="Times New Roman" w:cs="Times New Roman"/>
          <w:lang w:val="lt-LT"/>
        </w:rPr>
        <w:t xml:space="preserve"> (≥ 1/10), dažn</w:t>
      </w:r>
      <w:r w:rsidR="002E4DC0">
        <w:rPr>
          <w:rFonts w:ascii="Times New Roman" w:eastAsia="Calibri" w:hAnsi="Times New Roman" w:cs="Times New Roman"/>
          <w:lang w:val="lt-LT"/>
        </w:rPr>
        <w:t>as</w:t>
      </w:r>
      <w:r w:rsidRPr="00650D8D">
        <w:rPr>
          <w:rFonts w:ascii="Times New Roman" w:eastAsia="Calibri" w:hAnsi="Times New Roman" w:cs="Times New Roman"/>
          <w:lang w:val="lt-LT"/>
        </w:rPr>
        <w:t xml:space="preserve"> (nuo ≥ 1/100 iki &lt; 1/10), nedažn</w:t>
      </w:r>
      <w:r w:rsidR="002E4DC0">
        <w:rPr>
          <w:rFonts w:ascii="Times New Roman" w:eastAsia="Calibri" w:hAnsi="Times New Roman" w:cs="Times New Roman"/>
          <w:lang w:val="lt-LT"/>
        </w:rPr>
        <w:t>as</w:t>
      </w:r>
      <w:r w:rsidRPr="00650D8D">
        <w:rPr>
          <w:rFonts w:ascii="Times New Roman" w:eastAsia="Calibri" w:hAnsi="Times New Roman" w:cs="Times New Roman"/>
          <w:lang w:val="lt-LT"/>
        </w:rPr>
        <w:t xml:space="preserve"> (nuo ≥ 1/1000 iki &lt;1/100), ret</w:t>
      </w:r>
      <w:r w:rsidR="002E4DC0">
        <w:rPr>
          <w:rFonts w:ascii="Times New Roman" w:eastAsia="Calibri" w:hAnsi="Times New Roman" w:cs="Times New Roman"/>
          <w:lang w:val="lt-LT"/>
        </w:rPr>
        <w:t>as</w:t>
      </w:r>
      <w:r w:rsidRPr="00650D8D">
        <w:rPr>
          <w:rFonts w:ascii="Times New Roman" w:eastAsia="Calibri" w:hAnsi="Times New Roman" w:cs="Times New Roman"/>
          <w:lang w:val="lt-LT"/>
        </w:rPr>
        <w:t xml:space="preserve"> (nuo ≥1/10000 iki &lt; 1/1000), labai ret</w:t>
      </w:r>
      <w:r w:rsidR="002E4DC0">
        <w:rPr>
          <w:rFonts w:ascii="Times New Roman" w:eastAsia="Calibri" w:hAnsi="Times New Roman" w:cs="Times New Roman"/>
          <w:lang w:val="lt-LT"/>
        </w:rPr>
        <w:t>as</w:t>
      </w:r>
      <w:r w:rsidRPr="00650D8D">
        <w:rPr>
          <w:rFonts w:ascii="Times New Roman" w:eastAsia="Calibri" w:hAnsi="Times New Roman" w:cs="Times New Roman"/>
          <w:lang w:val="lt-LT"/>
        </w:rPr>
        <w:t xml:space="preserve"> (&lt; 1/10000), dažnis nežinomas (negali būti įvertintas pagal turimus duomenis).</w:t>
      </w:r>
    </w:p>
    <w:p w:rsidR="00650D8D" w:rsidRPr="00650D8D" w:rsidRDefault="00650D8D" w:rsidP="00650D8D">
      <w:pPr>
        <w:spacing w:after="0" w:line="240" w:lineRule="auto"/>
        <w:rPr>
          <w:rFonts w:ascii="Times New Roman" w:eastAsia="Calibri" w:hAnsi="Times New Roman" w:cs="Times New Roman"/>
          <w:b/>
          <w:bCs/>
          <w:lang w:val="lt-LT"/>
        </w:rPr>
      </w:pPr>
    </w:p>
    <w:tbl>
      <w:tblPr>
        <w:tblW w:w="8460"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3780"/>
      </w:tblGrid>
      <w:tr w:rsidR="00650D8D" w:rsidRPr="00650D8D" w:rsidTr="00FC04EA">
        <w:trPr>
          <w:tblHeader/>
        </w:trPr>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Organų sistemų klasės</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Dažnis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Nepageidaujamas poveikis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Infekcijos ir infestacijos</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dažna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kvėpavimo takų infekcija</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leukopenija, neutropenija ir agranulocitozė</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hiperkalemija, hiponatremija</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dažna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galvos sukimasis </w:t>
            </w:r>
            <w:r w:rsidRPr="00650D8D">
              <w:rPr>
                <w:rFonts w:ascii="Times New Roman" w:eastAsia="Calibri" w:hAnsi="Times New Roman" w:cs="Times New Roman"/>
                <w:i/>
                <w:iCs/>
                <w:lang w:val="lt-LT"/>
              </w:rPr>
              <w:t xml:space="preserve">(vertigo) </w:t>
            </w:r>
            <w:r w:rsidRPr="00650D8D">
              <w:rPr>
                <w:rFonts w:ascii="Times New Roman" w:eastAsia="Calibri" w:hAnsi="Times New Roman" w:cs="Times New Roman"/>
                <w:lang w:val="lt-LT"/>
              </w:rPr>
              <w:t>ar svaigulys</w:t>
            </w:r>
            <w:r w:rsidRPr="00650D8D">
              <w:rPr>
                <w:rFonts w:ascii="Times New Roman" w:eastAsia="Calibri" w:hAnsi="Times New Roman" w:cs="Times New Roman"/>
                <w:i/>
                <w:iCs/>
                <w:lang w:val="lt-LT"/>
              </w:rPr>
              <w:t>,</w:t>
            </w:r>
            <w:r w:rsidRPr="00650D8D">
              <w:rPr>
                <w:rFonts w:ascii="Times New Roman" w:eastAsia="Calibri" w:hAnsi="Times New Roman" w:cs="Times New Roman"/>
                <w:lang w:val="lt-LT"/>
              </w:rPr>
              <w:t xml:space="preserve"> </w:t>
            </w:r>
            <w:r w:rsidRPr="00650D8D">
              <w:rPr>
                <w:rFonts w:ascii="Times New Roman" w:eastAsia="Calibri" w:hAnsi="Times New Roman" w:cs="Times New Roman"/>
                <w:lang w:val="lt-LT"/>
              </w:rPr>
              <w:lastRenderedPageBreak/>
              <w:t>galvos skausmas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lastRenderedPageBreak/>
              <w:t>Virškinimo trakto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pykinimas</w:t>
            </w:r>
          </w:p>
        </w:tc>
      </w:tr>
      <w:tr w:rsidR="00650D8D" w:rsidRPr="00B253F4"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Kepenų, tulžies </w:t>
            </w:r>
            <w:r w:rsidRPr="00650D8D">
              <w:rPr>
                <w:rFonts w:ascii="Times New Roman" w:eastAsia="Calibri" w:hAnsi="Times New Roman" w:cs="Times New Roman"/>
                <w:noProof/>
                <w:lang w:val="lt-LT"/>
              </w:rPr>
              <w:t xml:space="preserve">pūslės ir latakų </w:t>
            </w:r>
            <w:r w:rsidRPr="00650D8D">
              <w:rPr>
                <w:rFonts w:ascii="Times New Roman" w:eastAsia="Calibri" w:hAnsi="Times New Roman" w:cs="Times New Roman"/>
                <w:lang w:val="lt-LT"/>
              </w:rPr>
              <w:t>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padidėjęs kepenų fermentų aktyvumas, sutrikusi kepenų funkcija ar hepatitas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angioneurozinė edema, išbėrimas, dilgėlinė, niežulys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nugaros skausmas, artralgija, mialgija</w:t>
            </w:r>
          </w:p>
        </w:tc>
      </w:tr>
      <w:tr w:rsidR="00650D8D" w:rsidRPr="00B253F4"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sutrikusi inkstų funkcija, įskaitant sutrikimui linkusių pacientų inkstų nepakankamumą (žr. 4.4 skyrių)</w:t>
            </w:r>
          </w:p>
        </w:tc>
      </w:tr>
    </w:tbl>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lang w:val="lt-LT"/>
        </w:rPr>
      </w:pPr>
      <w:r w:rsidRPr="00650D8D">
        <w:rPr>
          <w:rFonts w:ascii="Times New Roman" w:eastAsia="Calibri" w:hAnsi="Times New Roman" w:cs="Times New Roman"/>
          <w:i/>
          <w:iCs/>
          <w:lang w:val="lt-LT"/>
        </w:rPr>
        <w:t>Laboratorinių tyrimų duomenys</w:t>
      </w:r>
    </w:p>
    <w:p w:rsidR="00650D8D" w:rsidRPr="00650D8D" w:rsidRDefault="00650D8D" w:rsidP="00650D8D">
      <w:pPr>
        <w:tabs>
          <w:tab w:val="left" w:pos="0"/>
        </w:tabs>
        <w:spacing w:after="0" w:line="240" w:lineRule="auto"/>
        <w:jc w:val="both"/>
        <w:rPr>
          <w:rFonts w:ascii="Times New Roman" w:eastAsia="Calibri" w:hAnsi="Times New Roman" w:cs="Times New Roman"/>
          <w:lang w:val="lt-LT"/>
        </w:rPr>
      </w:pPr>
      <w:r w:rsidRPr="00650D8D">
        <w:rPr>
          <w:rFonts w:ascii="Times New Roman" w:eastAsia="Calibri" w:hAnsi="Times New Roman" w:cs="Times New Roman"/>
          <w:lang w:val="lt-LT"/>
        </w:rPr>
        <w:t>Kliniškai reikšmingo kandesartano poveikio įprastų laboratorinių tyrimų rodikliams nebuvo. Vartojant šį vaistinį preparatą (kaip ir kitus renino, angiotenzino ir aldosterono sistemos inhibitorius), buvo nežymaus hemoglobino koncentracijos sumažėjimo atvejų.</w:t>
      </w:r>
    </w:p>
    <w:p w:rsidR="00650D8D" w:rsidRPr="00650D8D" w:rsidRDefault="00650D8D" w:rsidP="00650D8D">
      <w:pPr>
        <w:tabs>
          <w:tab w:val="left" w:pos="0"/>
        </w:tabs>
        <w:spacing w:after="0" w:line="240" w:lineRule="auto"/>
        <w:jc w:val="both"/>
        <w:rPr>
          <w:rFonts w:ascii="Times New Roman" w:eastAsia="Calibri" w:hAnsi="Times New Roman" w:cs="Times New Roman"/>
          <w:lang w:val="lt-LT"/>
        </w:rPr>
      </w:pPr>
      <w:r w:rsidRPr="00650D8D">
        <w:rPr>
          <w:rFonts w:ascii="Times New Roman" w:eastAsia="Calibri" w:hAnsi="Times New Roman" w:cs="Times New Roman"/>
          <w:lang w:val="lt-LT"/>
        </w:rPr>
        <w:t>Įprastinio laboratorinių tyrimų rodiklių stebėjimo kandesartano vartojantiems pacientams dažniausiai nereikia, tačiau rekomenduojama periodiškai tirti kalio ir kreatinino koncentraciją inkstų nepakankamumu sergančių pacientų serume.</w:t>
      </w:r>
    </w:p>
    <w:p w:rsidR="00650D8D" w:rsidRPr="00650D8D" w:rsidRDefault="00650D8D" w:rsidP="00650D8D">
      <w:pPr>
        <w:spacing w:after="0" w:line="240" w:lineRule="auto"/>
        <w:rPr>
          <w:rFonts w:ascii="Times New Roman" w:eastAsia="Calibri" w:hAnsi="Times New Roman" w:cs="Times New Roman"/>
          <w:i/>
          <w:iCs/>
          <w:lang w:val="lt-LT"/>
        </w:rPr>
      </w:pPr>
    </w:p>
    <w:p w:rsidR="00650D8D" w:rsidRPr="00650D8D" w:rsidRDefault="00650D8D" w:rsidP="00650D8D">
      <w:pPr>
        <w:spacing w:after="0" w:line="240" w:lineRule="auto"/>
        <w:rPr>
          <w:rFonts w:ascii="Times New Roman" w:eastAsia="Calibri" w:hAnsi="Times New Roman" w:cs="Times New Roman"/>
          <w:i/>
          <w:iCs/>
          <w:lang w:val="lt-LT"/>
        </w:rPr>
      </w:pPr>
      <w:r w:rsidRPr="00650D8D">
        <w:rPr>
          <w:rFonts w:ascii="Times New Roman" w:eastAsia="Calibri" w:hAnsi="Times New Roman" w:cs="Times New Roman"/>
          <w:i/>
          <w:iCs/>
          <w:lang w:val="lt-LT"/>
        </w:rPr>
        <w:t>Širdies nepakankamumo gydymas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Nepageidaujamų reiškinių pobūdis Candesartan Ingen Pharma vartojusiems širdies nepakankamumu sirgusiems pacientams atitinka šio vaistinio preparato farmakologines savybes ir pacientų sveikatos būklę. Atliekant CHARM programos klinikinius tyrimus, kuomet lygintas iki 32 mg kandesartano dozių (n = 3803) ir placebo (n = 3796) poveikis, 21% kandesartano cileksetilo grupės ir 16,1% placebo grupės pacientų nutraukė gydymą dėl nepageidaujamų reiškinių. Nepageidaujamos reakcijos, apie kurias gauta daugiausia pranešimų, buvo hiperkalemija, hipotenzija ir inkstų nepakankamumas. Jų dažniau pasireiškė vyresniems kaip 70 metų, sergantiems diabetu, taip pat kitų renino, angiotenzino ir aldosterono sistemą slopinančių vaistinių preparatų (ypač AKF inhibitorių ir / arba spironolaktoną) kartu vartojusiems pacientams.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0"/>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lang w:val="lt-LT"/>
        </w:rPr>
        <w:t>Žemiau pateikiamoje lentelėje nepageidaujamų reakcijų dažnis nurodomas remiantis klinikinių tyrimų duomenimis ir šį vaistinį preparatą pateikus į rinką sukaupta patirtimi.</w:t>
      </w:r>
    </w:p>
    <w:p w:rsidR="00650D8D" w:rsidRPr="00650D8D" w:rsidRDefault="00650D8D" w:rsidP="00650D8D">
      <w:pPr>
        <w:spacing w:after="0" w:line="240" w:lineRule="auto"/>
        <w:ind w:left="567" w:hanging="567"/>
        <w:rPr>
          <w:rFonts w:ascii="Times New Roman" w:eastAsia="Calibri" w:hAnsi="Times New Roman" w:cs="Times New Roman"/>
          <w:b/>
          <w:bCs/>
          <w:lang w:val="lt-LT"/>
        </w:rPr>
      </w:pPr>
    </w:p>
    <w:tbl>
      <w:tblPr>
        <w:tblW w:w="8460"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3780"/>
      </w:tblGrid>
      <w:tr w:rsidR="00650D8D" w:rsidRPr="00650D8D" w:rsidTr="00FC04EA">
        <w:trPr>
          <w:tblHeader/>
        </w:trPr>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Organų sistemų klasės</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Dažnis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Nepageidaujamas poveikis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r w:rsidRPr="00650D8D">
              <w:rPr>
                <w:rFonts w:ascii="Times New Roman" w:eastAsia="Calibri" w:hAnsi="Times New Roman" w:cs="Times New Roman"/>
                <w:lang w:val="lt-LT"/>
              </w:rPr>
              <w:t xml:space="preserve"> </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leukopenija, neutropenija ir agranulocitozė</w:t>
            </w:r>
          </w:p>
        </w:tc>
      </w:tr>
      <w:tr w:rsidR="00650D8D" w:rsidRPr="00650D8D" w:rsidTr="00FC04EA">
        <w:tc>
          <w:tcPr>
            <w:tcW w:w="3240" w:type="dxa"/>
            <w:tcBorders>
              <w:top w:val="single" w:sz="4" w:space="0" w:color="auto"/>
              <w:bottom w:val="nil"/>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dažna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hiperkalemija</w:t>
            </w:r>
          </w:p>
        </w:tc>
      </w:tr>
      <w:tr w:rsidR="00650D8D" w:rsidRPr="00650D8D" w:rsidTr="00FC04EA">
        <w:tc>
          <w:tcPr>
            <w:tcW w:w="3240" w:type="dxa"/>
            <w:tcBorders>
              <w:top w:val="nil"/>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hiponatremija</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r w:rsidRPr="00650D8D">
              <w:rPr>
                <w:rFonts w:ascii="Times New Roman" w:eastAsia="Calibri" w:hAnsi="Times New Roman" w:cs="Times New Roman"/>
                <w:lang w:val="lt-LT"/>
              </w:rPr>
              <w:t xml:space="preserve"> </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galvos sukimasis, galvos skausmas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kosulys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Kraujagyslių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dažna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hipotenzija</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Virškinimo trakto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pykinimas</w:t>
            </w:r>
          </w:p>
        </w:tc>
      </w:tr>
      <w:tr w:rsidR="00650D8D" w:rsidRPr="00B253F4"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Kepenų, tulžies </w:t>
            </w:r>
            <w:r w:rsidRPr="00650D8D">
              <w:rPr>
                <w:rFonts w:ascii="Times New Roman" w:eastAsia="Calibri" w:hAnsi="Times New Roman" w:cs="Times New Roman"/>
                <w:noProof/>
                <w:lang w:val="lt-LT"/>
              </w:rPr>
              <w:t>pūslės ir latakų</w:t>
            </w:r>
            <w:r w:rsidRPr="00650D8D">
              <w:rPr>
                <w:rFonts w:ascii="Times New Roman" w:eastAsia="Calibri" w:hAnsi="Times New Roman" w:cs="Times New Roman"/>
                <w:lang w:val="lt-LT"/>
              </w:rPr>
              <w:t xml:space="preserve">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padidėjęs kepenų fermentų aktyvumas, sutrikusi kepenų funkcija ar hepatitas</w:t>
            </w:r>
          </w:p>
        </w:tc>
      </w:tr>
      <w:tr w:rsidR="00650D8D" w:rsidRPr="00650D8D"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angioneurozinė edema, išbėrimas, dilgėlinė, niežulys</w:t>
            </w:r>
          </w:p>
        </w:tc>
      </w:tr>
      <w:tr w:rsidR="00650D8D" w:rsidRPr="00650D8D" w:rsidTr="00BB0865">
        <w:trPr>
          <w:trHeight w:val="515"/>
        </w:trPr>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labai reta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nugaros skausmas, artralgija, mialgija</w:t>
            </w:r>
          </w:p>
        </w:tc>
      </w:tr>
      <w:tr w:rsidR="00650D8D" w:rsidRPr="00B253F4" w:rsidTr="00FC04EA">
        <w:tc>
          <w:tcPr>
            <w:tcW w:w="3240" w:type="dxa"/>
            <w:tcBorders>
              <w:top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dažna</w:t>
            </w:r>
            <w:r w:rsidR="002E4DC0">
              <w:rPr>
                <w:rFonts w:ascii="Times New Roman" w:eastAsia="Calibri" w:hAnsi="Times New Roman" w:cs="Times New Roman"/>
                <w:lang w:val="lt-LT"/>
              </w:rPr>
              <w:t>s</w:t>
            </w:r>
          </w:p>
        </w:tc>
        <w:tc>
          <w:tcPr>
            <w:tcW w:w="3780" w:type="dxa"/>
            <w:tcBorders>
              <w:top w:val="single" w:sz="4" w:space="0" w:color="auto"/>
              <w:left w:val="single" w:sz="4" w:space="0" w:color="auto"/>
              <w:bottom w:val="single" w:sz="4" w:space="0" w:color="auto"/>
            </w:tcBorders>
          </w:tcPr>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sutrikusi inkstų funkcija, įskaitant sutrikimui jautrių pacientų inkstų nepakankamumą (žr. 4.4 skyrių)</w:t>
            </w:r>
          </w:p>
        </w:tc>
      </w:tr>
    </w:tbl>
    <w:p w:rsidR="00650D8D" w:rsidRPr="00650D8D" w:rsidRDefault="00650D8D" w:rsidP="00650D8D">
      <w:pPr>
        <w:spacing w:after="0" w:line="240" w:lineRule="auto"/>
        <w:ind w:left="567" w:hanging="567"/>
        <w:rPr>
          <w:rFonts w:ascii="Times New Roman" w:eastAsia="Calibri" w:hAnsi="Times New Roman" w:cs="Times New Roman"/>
          <w:b/>
          <w:bCs/>
          <w:lang w:val="lt-LT"/>
        </w:rPr>
      </w:pPr>
    </w:p>
    <w:p w:rsidR="00650D8D" w:rsidRPr="00650D8D" w:rsidRDefault="00650D8D" w:rsidP="00650D8D">
      <w:pPr>
        <w:spacing w:after="0" w:line="240" w:lineRule="auto"/>
        <w:rPr>
          <w:rFonts w:ascii="Times New Roman" w:eastAsia="Calibri" w:hAnsi="Times New Roman" w:cs="Times New Roman"/>
          <w:i/>
          <w:iCs/>
          <w:lang w:val="lt-LT"/>
        </w:rPr>
      </w:pPr>
      <w:r w:rsidRPr="00650D8D">
        <w:rPr>
          <w:rFonts w:ascii="Times New Roman" w:eastAsia="Calibri" w:hAnsi="Times New Roman" w:cs="Times New Roman"/>
          <w:i/>
          <w:iCs/>
          <w:lang w:val="lt-LT"/>
        </w:rPr>
        <w:lastRenderedPageBreak/>
        <w:t>Laboratorinių tyrimų duomenys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Širdies nepakankamumui gydyti kandesartano vartojantiems pacientams dažnai pasireiškia hiperkalemija ir inkstų nepakankamumas. Rekomenduojama periodiškai tirti kreatinino ir kalio koncentraciją serume (žr. 4.4 skyrių).</w:t>
      </w:r>
    </w:p>
    <w:p w:rsidR="00650D8D" w:rsidRDefault="00650D8D" w:rsidP="00650D8D">
      <w:pPr>
        <w:spacing w:after="0" w:line="240" w:lineRule="auto"/>
        <w:rPr>
          <w:rFonts w:ascii="Times New Roman" w:eastAsia="Calibri" w:hAnsi="Times New Roman" w:cs="Times New Roman"/>
          <w:lang w:val="lt-LT"/>
        </w:rPr>
      </w:pPr>
    </w:p>
    <w:p w:rsidR="004A79E6" w:rsidRPr="004A79E6" w:rsidRDefault="004A79E6" w:rsidP="004A79E6">
      <w:pPr>
        <w:spacing w:after="0" w:line="240" w:lineRule="auto"/>
        <w:rPr>
          <w:rFonts w:ascii="Times New Roman" w:eastAsia="Calibri" w:hAnsi="Times New Roman" w:cs="Times New Roman"/>
          <w:u w:val="single"/>
          <w:lang w:val="lt-LT"/>
        </w:rPr>
      </w:pPr>
      <w:r w:rsidRPr="004A79E6">
        <w:rPr>
          <w:rFonts w:ascii="Times New Roman" w:eastAsia="Calibri" w:hAnsi="Times New Roman" w:cs="Times New Roman"/>
          <w:u w:val="single"/>
          <w:lang w:val="lt-LT"/>
        </w:rPr>
        <w:t>Pranešimas apie įtariamas nepageidaujamas reakcijas</w:t>
      </w:r>
    </w:p>
    <w:p w:rsidR="004A79E6" w:rsidRPr="004A79E6" w:rsidRDefault="004A79E6" w:rsidP="004A79E6">
      <w:pPr>
        <w:spacing w:after="0" w:line="240" w:lineRule="auto"/>
        <w:rPr>
          <w:rFonts w:ascii="Times New Roman" w:eastAsia="Calibri" w:hAnsi="Times New Roman" w:cs="Times New Roman"/>
          <w:lang w:val="lt-LT"/>
        </w:rPr>
      </w:pPr>
      <w:r w:rsidRPr="004A79E6">
        <w:rPr>
          <w:rFonts w:ascii="Times New Roman" w:eastAsia="Calibri"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4A79E6">
          <w:rPr>
            <w:rStyle w:val="Hipersaitas"/>
            <w:rFonts w:ascii="Times New Roman" w:eastAsia="Calibri" w:hAnsi="Times New Roman" w:cs="Times New Roman"/>
            <w:lang w:val="lt-LT"/>
          </w:rPr>
          <w:t>www.vvkt.lt</w:t>
        </w:r>
      </w:hyperlink>
      <w:r w:rsidRPr="004A79E6">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A79E6">
          <w:rPr>
            <w:rStyle w:val="Hipersaitas"/>
            <w:rFonts w:ascii="Times New Roman" w:eastAsia="Calibri" w:hAnsi="Times New Roman" w:cs="Times New Roman"/>
            <w:lang w:val="lt-LT"/>
          </w:rPr>
          <w:t>NepageidaujamaR@vvkt.lt</w:t>
        </w:r>
      </w:hyperlink>
      <w:r w:rsidRPr="004A79E6">
        <w:rPr>
          <w:rFonts w:ascii="Times New Roman" w:eastAsia="Calibri" w:hAnsi="Times New Roman" w:cs="Times New Roman"/>
          <w:lang w:val="lt-LT"/>
        </w:rPr>
        <w:t>), per interneto svetainę (adresu http://www.vvkt.lt).</w:t>
      </w:r>
    </w:p>
    <w:p w:rsidR="004A79E6" w:rsidRDefault="004A79E6" w:rsidP="00650D8D">
      <w:pPr>
        <w:spacing w:after="0" w:line="240" w:lineRule="auto"/>
        <w:rPr>
          <w:rFonts w:ascii="Times New Roman" w:eastAsia="Calibri" w:hAnsi="Times New Roman" w:cs="Times New Roman"/>
          <w:lang w:val="lt-LT"/>
        </w:rPr>
      </w:pPr>
    </w:p>
    <w:p w:rsidR="004A79E6" w:rsidRPr="00650D8D" w:rsidRDefault="004A79E6"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4.9</w:t>
      </w:r>
      <w:r w:rsidRPr="00650D8D">
        <w:rPr>
          <w:rFonts w:ascii="Times New Roman" w:eastAsia="Calibri" w:hAnsi="Times New Roman" w:cs="Times New Roman"/>
          <w:b/>
          <w:bCs/>
          <w:lang w:val="lt-LT"/>
        </w:rPr>
        <w:tab/>
        <w:t>Perdozavimas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Simptomai</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Atsižvelgiant į šio vaistinio preparato farmakologinį veikimą manoma, kad svarbiausieji perdozavimo sukeliami reiškiniai turėtų būti simptominė hipotenzija ir svaigulys. Pavieniais aprašytais perdozavimo atvejais ne daugiau kaip 672 mg kandesartano cileksetilo išgėrę pacientai pasveiko be komplikacijų.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Gydymas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Pasireiškus simptominei hipotenzijai, turi būti pradėtas palaikomasis gydymas ir stebimi gyvybės požymiai. Būtina paguldyti pacientą ir pakelti jo kojas, jei to nepakanka – didinti plazmos tūrį infuzuojant, pvz., izotoninio natrio chlorido tirpalo, jeigu nepakanka ir to, galima skirti simpatomimetikų. </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Hemodializuojant kandesartanas nepašalinamas.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5.</w:t>
      </w:r>
      <w:r w:rsidRPr="00650D8D">
        <w:rPr>
          <w:rFonts w:ascii="Times New Roman" w:eastAsia="Calibri" w:hAnsi="Times New Roman" w:cs="Times New Roman"/>
          <w:b/>
          <w:bCs/>
          <w:lang w:val="lt-LT"/>
        </w:rPr>
        <w:tab/>
        <w:t>FARMAKOLOGINĖS SAVYBĖS</w:t>
      </w:r>
    </w:p>
    <w:p w:rsidR="00650D8D" w:rsidRPr="00650D8D" w:rsidRDefault="00650D8D" w:rsidP="00650D8D">
      <w:pPr>
        <w:spacing w:after="0" w:line="240" w:lineRule="auto"/>
        <w:rPr>
          <w:rFonts w:ascii="Times New Roman" w:eastAsia="Calibri" w:hAnsi="Times New Roman" w:cs="Times New Roman"/>
          <w:b/>
          <w:bCs/>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5.1</w:t>
      </w:r>
      <w:r w:rsidRPr="00650D8D">
        <w:rPr>
          <w:rFonts w:ascii="Times New Roman" w:eastAsia="Calibri" w:hAnsi="Times New Roman" w:cs="Times New Roman"/>
          <w:b/>
          <w:bCs/>
          <w:lang w:val="lt-LT"/>
        </w:rPr>
        <w:tab/>
        <w:t>Farmakodinaminės savybės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Farmakoterapinė grupė – angiotenzino-II receptorių blokatoriai, gryni, ATC kodas – C09C A06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Angiotenzinas-II yra svarbiausias kraujagysles veikiantis renino, angiotenzino ir aldosterono sistemos hormonas, turintis reikšmės hipertenzijos, širdies nepakankamumo bei kitų širdies ir kraujagyslių sutrikimų patologinei fiziologijai. Be to, jis turi reikšmės veikiamų organų hipertrofijos ir pažeidimų patogenezei. Svarbiausieji fiziologiniai angiotenzino-II poveikiai (kraujagyslių susiaurėjimas, aldosterono sekrecijos stimuliacija, druskos ir vandens homeostazės reguliavimas, ląstelių augimo stimuliavimas) perduodami per I tipo (AT 1) receptorius.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Kandesartanas yra provaistas, tinkamas vartoti per burną. Vykstant esterio hidrolizei absorbcijos iš virškinimo trakto metu, jis greitai paverčiamas veikliąja medžiaga – kandesartanu. Kandesartanas yra angiotenzino-II receptorių blokatorius, selektyvus AT 1 receptoriams. Jis stipriai prisijungia prie šių receptorių, lėtai nuo jų atsipalaiduoja ir neturi agonistinio aktyvumo.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Kandesartanas neslopina AKF, skatinančio angiotenzino-I virtimą angiotenzinu-II bei bradikinino irimą. Poveikio AKF nepasireiškia, bradikinino ir substancijos P veikimas nesustiprėja. Kontroliuojamų klinikinių tyrimų metu kandesartano cileksetilą vartoję pacientai pradėjo kosėti rečiau negu vartoję AKF inhibitorius. Kandesartanas nesijungia prie kitų širdies ir kraujagyslių sistemos veiklos reguliacijai svarbių hormonų receptorių ar jonų kanalų ir jų neblokuoja. Dėl angiotenzinui-II jautrių receptorių (AT 1) blokavimo priklausomai nuo dozės padidėja renino, angiotenzino-I ir angiotenzino-II bei sumažėja aldosterono koncentracija plazmoje.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Hipertenzija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lastRenderedPageBreak/>
        <w:t xml:space="preserve">Hipertenzija sergantiems pacientams kandesartanas sukelia nuo dozės priklausomą ilgalaikį arterinio kraujospūdžio sumažėjimą. Antihipertenzinį poveikį lemia sisteminio periferinio pasipriešinimo sumažėjimas be refleksinio širdies susitraukimų padažnėjimo. Nėra duomenų, kurie rodytų, kad pirma dozė sukeltų sunkią ar pernelyg ryškią hipotenziją, arba kad nutraukus šio vaistinio preparato vartojimą pasireikštų rikošetinė hipertenzija.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Išgėrus vieną kandesartano cileksetilo dozę, antihipertenzinis poveikis paprastai pasireiškia per 2 val. Nepertraukiamai vartojant bet kokią šio vaistinio preparato dozę, didžiausia kraujospūdį mažinančio poveikio dalis pasireiškia per 4 savaites; gydant ilgai kraujospūdis išlieka sumažėjęs. Metaanalizės duomenimis, vidutinis papildomas dozės padidinimo nuo 16 mg iki 32 mg vieną kartą per parą sukeliamas poveikis yra silpnas. Vis dėlto, atsižvelgiant į skirtingų asmenų organizmo ypatybių skirtumus, kai kuriems pacientams galima tikėtis stipresnio už vidutinį poveikio.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Vieną kartą per parą vartojamas kandesartanas užtikrina veiksmingą ir stabilų kraujospūdžio mažėjimą visas 24 val., skirtumas tarp stipriausiojo ir silpniausiojo poveikio šio intervalo metu būna mažas. Atlikti du atsitiktinės atrankos, dvigubai aklo pobūdžio klinikiniai tyrimai kandesartano ir losartano antihipertenziniam poveikiui bei toleravimui palyginti (juose dalyvavo 1268 pacientai, sirgę lengva ar vidutinio sunkumo hipertenzija). Vartojant 32 mg kandesartano cileksetilo vieną kartą per parą, vidutinis kraujospūdžio (sistolinio/diastolinio) sumažėjimas esant minimaliai vaistinio preparato koncentracijai buvo 13,1/10,5 mmHg, vartojant 100 mg losartano kalio vieną kartą per parą – 10/8,7 mmHg (sumažėjimo skirtumas – 3,1/1,8 mmHg, p &lt; 0,0001/p &lt; 0,0001).</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Kartu vartojamų kandesartano cileksetilo ir hidrochlorotiazido antihipertenzinis poveikis sumuojasi. Antihipertenzinis poveikis taip pat sustiprėja kandesartano cileksetilą vartojant kartu su amlodipinu ar felodipinu.</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Renino, angiotenzino ir aldosterono sistemą blokuojančių vaistinių preparatų (įskaitant kandesartaną) antihipertenzinis poveikis juodaodžiams pacientams (jų organizme renino koncentracija paprastai būna maža) yra silpnesnis negu kitiems. Atviro neintervencinio klinikinio tyrimo, kuriame dalyvavo 5156 diastoline hipertenzija sirgę pacientai, metu kandesartaną vartojusių juodaodžių pacientų kraujospūdis sumažėjo reikšmingai mažiau negu kitų (atitinkamai 14,4/10,3 mmHg ir 19/12,7 mmHg, p &lt; 0,0001 / p &lt; 0,0001).</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 </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Kandesartanas didina inkstų kraujotaką ir neveikia glomerulų filtracijos greičio arba jį didina, inkstų kraujagyslių pasipriešinimas ir filtruojamoji frakcija sumažėja. Trijų mėnesių trukmės klinikinio tyrimo, kuriame dalyvavo hipertenzija ir II tipo cukriniu diabetu su mikroalbuminurija sergantys pacientai, metu padidėjusiam kraujospūdžiui mažinti vartotas kandesartano cileksetilas sumažino albumino išskyrimą su šlapimu (albumino ir kreatinino santykis sumažėjo vidutiniškai 30%, 95% pasikliautinasis intervalas – 15–42%). Duomenų apie kandesartano poveikį inkstų pažeidimo progresavimui link diabetinės nefropatijos nėra.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Kandesartano cileksetilo, vartojamo 8–16 mg dozėmis (vidutinė dozė – 12 mg) vieną kartą per parą, poveikis sergamumui kardiovaskulinėmis ligomis ir mirštamumui nuo jų tirtas atliekant atsitiktinės atrankos klinikinį tyrimą SCOPE (Study on COgnition and Prognosis in the Elderly – pažintinės funkcijos ir prognozės senyvame amžiuje tyrimas). Jame dalyvavę 4937 senyvi pacientai (amžius – 70–89 metų, 21% buvo 80 metų ir vyresni), kurie sirgo lengva ar vidutinio sunkumo hipertenzija, buvo stebimi vidutiniškai 3,7 metų. Pacientai vartojo kandesartano cileksetilą arba placebą ir (pagal poreikį) kitų antihipertenzinių vaistų. Kandesartano grupės pacientų kraujospūdis sumažėjo nuo 166/90 mmHg iki 145/80 mmHg, kontrolinės grupės – nuo 167/90 mmHg iki 149/82 mmHg. Statistiškai reikšmingos pagrindinės vertinamosios baigties (angl., primary endpoint) – didžiųjų kardiovaskulinių reiškinių (kardiovaskulinių mirčių, nemirtinų insultų ir nemirtinų miokardo infarktų) – dažnio skirtumo nenustatyta. Kandesartano grupėje 1 000 pacientų - metų tokių reiškinių buvo 26,7, kontrolinėje – 30 (santykinė rizika – 0,89, 95% PI – 0,75-1,06, p = 0,19). </w:t>
      </w:r>
    </w:p>
    <w:p w:rsidR="00650D8D" w:rsidRPr="00650D8D" w:rsidRDefault="00650D8D" w:rsidP="00650D8D">
      <w:pPr>
        <w:spacing w:after="0" w:line="240" w:lineRule="auto"/>
        <w:rPr>
          <w:rFonts w:ascii="Times New Roman" w:eastAsia="Calibri" w:hAnsi="Times New Roman" w:cs="Times New Roman"/>
          <w:i/>
          <w:iCs/>
          <w:u w:val="single"/>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Širdies nepakankamumas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CHARM (</w:t>
      </w:r>
      <w:r w:rsidRPr="0020766B">
        <w:rPr>
          <w:rFonts w:ascii="Times New Roman" w:eastAsia="Calibri" w:hAnsi="Times New Roman" w:cs="Times New Roman"/>
          <w:i/>
          <w:lang w:val="lt-LT"/>
        </w:rPr>
        <w:t>Candesartan in Heart failure – Assessment of Reduction in Mortality and morbidity</w:t>
      </w:r>
      <w:r w:rsidRPr="00650D8D">
        <w:rPr>
          <w:rFonts w:ascii="Times New Roman" w:eastAsia="Calibri" w:hAnsi="Times New Roman" w:cs="Times New Roman"/>
          <w:lang w:val="lt-LT"/>
        </w:rPr>
        <w:t xml:space="preserve">; – kandesartano vartojimas sergant širdies nepakankamumu – mirštamumo ir sergamumo sumažėjimo vertinimas) klinikinių tyrimų programa parodė, kad gydymas kandesartano cileksetilu mažina </w:t>
      </w:r>
      <w:r w:rsidRPr="00650D8D">
        <w:rPr>
          <w:rFonts w:ascii="Times New Roman" w:eastAsia="Calibri" w:hAnsi="Times New Roman" w:cs="Times New Roman"/>
          <w:lang w:val="lt-LT"/>
        </w:rPr>
        <w:lastRenderedPageBreak/>
        <w:t>pacientų, kuriems yra kairiojo širdies skilvelio disfunkcija, mirčių ir hospitalizacijų dėl širdies nepakankamumo dažnį, lengvina ligos simptomus.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Šią placebu kontroliuojamų, dvigubai aklo pobūdžio klinikinių tyrimų programą, į kurią buvo įtraukti II-IV NYHA funkcinės klasės širdies nepakankamumu sergantys pacientai, sudarė trys atskiri tyrimai: CHARM-Alternative (n = 2028) dalyvavo pacientai, kurių kairiojo skilvelio išstūmimo frakcija buvo ≤ 40%, nevartoję AKF inhibitorių dėl netoleravimo (dažniausiai dėl kosulio, 72%); CHARM-Added (n = 2548) dalyvavo pacientai, kurių kairiojo skilvelio išstūmimo frakcija buvo ≤ 40%, kartu vartoję AKF inhibitorius; CHARM-Preserved (n = 3023) dalyvavo pacientai, kurių kairiojo skilvelio išstūmimo frakcija buvo &gt; 40%. Pacientai, kurių širdies nepakankamumo gydymas iki tyrimo buvo optimalus, atsitiktinai parinkti papildomai vartoti placebą arba kandesartano cileksetilą (jo dozė didinta nuo 4 mg ar 8 mg vieną kartą per parą iki 32 mg 1 kartą per parą arba didžiausios toleruotos, vidutiniškai iki 24 mg). Stebėjimo trukmės mediana buvo 37,7 mėn. Po 6 mėn. gydymo kandesartano cileksetilą toliau vartojo 89% pacientų, 63% iš jų dozė buvo 32 mg.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CHARM-Alternative tyrimo metu sudėtinė vertinamoji baigtis (angl., </w:t>
      </w:r>
      <w:r w:rsidRPr="00650D8D">
        <w:rPr>
          <w:rFonts w:ascii="Times New Roman" w:eastAsia="Calibri" w:hAnsi="Times New Roman" w:cs="Times New Roman"/>
          <w:i/>
          <w:iCs/>
          <w:lang w:val="lt-LT"/>
        </w:rPr>
        <w:t>composite endpoint</w:t>
      </w:r>
      <w:r w:rsidRPr="00650D8D">
        <w:rPr>
          <w:rFonts w:ascii="Times New Roman" w:eastAsia="Calibri" w:hAnsi="Times New Roman" w:cs="Times New Roman"/>
          <w:lang w:val="lt-LT"/>
        </w:rPr>
        <w:t>), kurią sudarė kardiovaskulinių mirčių ir pirmų hospitalizacijų dėl stazinio širdies nepakankamumo dažnis, kandesartano grupės pacientams buvo reikšmingai palankesnė negu placebo (santykinė rizika – 0,77, 95% PI – 0,67-0,89, p &lt; 0,001). Tai atitinka santykinės rizikos sumažėjimą 23%. Šią vertinamąją baigtį patyrė 33% (95% PI – 30,1</w:t>
      </w:r>
      <w:r w:rsidRPr="00650D8D">
        <w:rPr>
          <w:rFonts w:ascii="Times New Roman" w:eastAsia="Calibri" w:hAnsi="Times New Roman" w:cs="Times New Roman"/>
          <w:lang w:val="lt-LT"/>
        </w:rPr>
        <w:noBreakHyphen/>
        <w:t>36) kandesartaną ir 40% (95% PI – 37</w:t>
      </w:r>
      <w:r w:rsidRPr="00650D8D">
        <w:rPr>
          <w:rFonts w:ascii="Times New Roman" w:eastAsia="Calibri" w:hAnsi="Times New Roman" w:cs="Times New Roman"/>
          <w:lang w:val="lt-LT"/>
        </w:rPr>
        <w:noBreakHyphen/>
        <w:t>43,1) placebą vartojusių pacientų, absoliutus skirtumas – 7% (95% PI – 11,2</w:t>
      </w:r>
      <w:r w:rsidRPr="00650D8D">
        <w:rPr>
          <w:rFonts w:ascii="Times New Roman" w:eastAsia="Calibri" w:hAnsi="Times New Roman" w:cs="Times New Roman"/>
          <w:lang w:val="lt-LT"/>
        </w:rPr>
        <w:noBreakHyphen/>
        <w:t>2,8). Norint vieną pacientą apsaugoti nuo kardiovaskulinės mirties ar hospitalizavimo dėl širdies nepakankamumo, visą tyrimo laiką teko gydyti 14 pacientų. Kita bendra vertinamoji baigtis, kurią sudarė mirčių dėl bet kurios priežasties ir pirmų hospitalizacijų dėl stazinio širdies nepakankamumo dažnis, kandesartano grupės pacientams taip pat buvo reikšmingai palankesnis negu placebo (santykinė rizika – 0,80, 95% PI 0,70-0,92, p = 0,001). Šią vertinamąją baigtį patyrė 36,6% (95% PI – 33,7</w:t>
      </w:r>
      <w:r w:rsidRPr="00650D8D">
        <w:rPr>
          <w:rFonts w:ascii="Times New Roman" w:eastAsia="Calibri" w:hAnsi="Times New Roman" w:cs="Times New Roman"/>
          <w:lang w:val="lt-LT"/>
        </w:rPr>
        <w:noBreakHyphen/>
        <w:t>39,7) kandesartaną ir 42,7% (95% PI – 39,6</w:t>
      </w:r>
      <w:r w:rsidRPr="00650D8D">
        <w:rPr>
          <w:rFonts w:ascii="Times New Roman" w:eastAsia="Calibri" w:hAnsi="Times New Roman" w:cs="Times New Roman"/>
          <w:lang w:val="lt-LT"/>
        </w:rPr>
        <w:noBreakHyphen/>
        <w:t>45,8) placebą vartojusių pacientų, absoliutus skirtumas – 6.0% (95% PI – 10,3</w:t>
      </w:r>
      <w:r w:rsidRPr="00650D8D">
        <w:rPr>
          <w:rFonts w:ascii="Times New Roman" w:eastAsia="Calibri" w:hAnsi="Times New Roman" w:cs="Times New Roman"/>
          <w:lang w:val="lt-LT"/>
        </w:rPr>
        <w:noBreakHyphen/>
        <w:t>1,8). Išvadą apie palankesnį kandesartano poveikį lėmė abiejų vertintų rodiklių (mirčių skaičiaus ir sergamumo) sumažėjimas. Vartojant kandesartano cileksetilą, pagerėjo ir širdies nepakankamumo pagal NYHA funkcinė klasė (p = 0,008).</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CHARM-Added tyrimo metu bendra vertinamoji baigtis, kurią sudarė kardiovaskulinių mirčių ir pirmų hospitalizacijų dėl stazinio širdies nepakankamumo dažnis, kandesartano grupės pacientams buvo reikšmingai palankesnis negu placebo (santykinė rizika – 0,85, 95% PI – 0,75-0,96, p = 0,011). Tai atitinka santykinės rizikos sumažėjimą 15%. Šią vertinamąją baigtį patyrė 37,9% (95% PI – 35,2</w:t>
      </w:r>
      <w:r w:rsidRPr="00650D8D">
        <w:rPr>
          <w:rFonts w:ascii="Times New Roman" w:eastAsia="Calibri" w:hAnsi="Times New Roman" w:cs="Times New Roman"/>
          <w:lang w:val="lt-LT"/>
        </w:rPr>
        <w:noBreakHyphen/>
        <w:t>40,6) kandesartaną ir 42,3% (95% PI – 39,6</w:t>
      </w:r>
      <w:r w:rsidRPr="00650D8D">
        <w:rPr>
          <w:rFonts w:ascii="Times New Roman" w:eastAsia="Calibri" w:hAnsi="Times New Roman" w:cs="Times New Roman"/>
          <w:lang w:val="lt-LT"/>
        </w:rPr>
        <w:noBreakHyphen/>
        <w:t>45,1) placebą vartojusių pacientų, absoliutus skirtumas – 4,4% (95% PI – 8,2</w:t>
      </w:r>
      <w:r w:rsidRPr="00650D8D">
        <w:rPr>
          <w:rFonts w:ascii="Times New Roman" w:eastAsia="Calibri" w:hAnsi="Times New Roman" w:cs="Times New Roman"/>
          <w:lang w:val="lt-LT"/>
        </w:rPr>
        <w:noBreakHyphen/>
        <w:t>0,6). Norint vieną pacientą apsaugoti nuo kardiovaskulinės mirties ir hospitalizavimo dėl širdies nepakankamumo, visą tyrimo laiką teko gydyti 23 pacientus. Kita bendra vertinamoji baigtis, kurią sudarė mirčių dėl bet kurios priežasties ir pirmų hospitalizacijų dėl stazinio širdies nepakankamumo dažnis, kandesartano grupės pacientams taip pat buvo reikšmingai palankesnis (santykinė rizika – 0,87, 95% PI – 0,78-0,98, p = 0,021). Šią vertinamąją baigtį patyrė 42,2% (95% PI – 39,5</w:t>
      </w:r>
      <w:r w:rsidRPr="00650D8D">
        <w:rPr>
          <w:rFonts w:ascii="Times New Roman" w:eastAsia="Calibri" w:hAnsi="Times New Roman" w:cs="Times New Roman"/>
          <w:lang w:val="lt-LT"/>
        </w:rPr>
        <w:noBreakHyphen/>
        <w:t>45) kandesartaną ir 46,1% (95% PI – 43,4</w:t>
      </w:r>
      <w:r w:rsidRPr="00650D8D">
        <w:rPr>
          <w:rFonts w:ascii="Times New Roman" w:eastAsia="Calibri" w:hAnsi="Times New Roman" w:cs="Times New Roman"/>
          <w:lang w:val="lt-LT"/>
        </w:rPr>
        <w:noBreakHyphen/>
        <w:t>48,9) placebą vartojusių pacientų, absoliutus skirtumas – 3,9% (95% PI – 7,8</w:t>
      </w:r>
      <w:r w:rsidRPr="00650D8D">
        <w:rPr>
          <w:rFonts w:ascii="Times New Roman" w:eastAsia="Calibri" w:hAnsi="Times New Roman" w:cs="Times New Roman"/>
          <w:lang w:val="lt-LT"/>
        </w:rPr>
        <w:noBreakHyphen/>
        <w:t>0,1). Išvadą apie palankesnį kandesartano poveikį lėmė abiejų vertinamųjų baigčių (mirčių skaičiaus ir sergamumo) sumažėjimas. Vartojant kandesartano cileksetilą, pagerėjo ir širdies nepakankamumo pagal NYHA funkcinė klasė (p = 0,02).</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CHARM-Preserved tyrimo metu bendra vertinamoji baigtis, kurią sudarė kardiovaskulinių mirčių ir pirmų hospitalizacijų dėl stazinio širdies nepakankamumo dažnis, statistiškai reikšmingai nesiskyrė (santykinė rizika – 0,89, 95% PI – 0,77-1,03, p = 0,118).</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Atskirai kiekvieno iš šių trijų CHARM tyrimų duomenimis apskaičiuotas mirčių dėl bet kurios priežasties dažnis statistiškai reikšmingai nesiskyrė. Mirčių dėl visų priežasčių dažnis buvo taip pat įvertintas bendrose populiacijose: bendrai CHARM-Alternative ir CHARM-Added populiacijai santykinė rizika buvo 0,88 (95% PI – 0,79-0,98, p = 0,018), bendrai visų trijų tyrimų populiacijai – 0,91 (95% PI – 0,83-1,00, p = 0,055).</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lastRenderedPageBreak/>
        <w:t>Palankus kandesartano poveikis buvo nuolatinis, nuo amžiaus, lyties ir kartu vartotų vaistinių preparatų jis nepriklausė. Kandesartanas taip pat buvo veiksmingas pacientams, kartu vartojusiems beta adrenoblokatorių ir AKF inhibitorius, o palankus poveikis pasireiškė nepriklausomai nuo to, ar pacientai vartojo tikslinę (nurodytą gydymo rekomendacijose) AKF inhibitoriaus dozę.</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Staziniu širdies nepakankamumu sergantiems pacientams, kurių kairiojo skilvelio sistolinė funkcija susilpnėjusi (kairiojo skilvelio išstūmimo frakcija ≤ 40%), kandesartanas mažina sisteminį kraujagyslių pasipriešinimą ir spaudimą plaučių kapiliarų tinkle, didina renino aktyvumą ir angiotenzino-II koncentraciją, mažina aldosterono koncentraciją plazmoje.</w:t>
      </w:r>
    </w:p>
    <w:p w:rsidR="00650D8D" w:rsidRPr="00E132AB" w:rsidRDefault="00650D8D" w:rsidP="00650D8D">
      <w:pPr>
        <w:spacing w:after="0" w:line="240" w:lineRule="auto"/>
        <w:rPr>
          <w:rFonts w:ascii="Times New Roman" w:eastAsia="Calibri" w:hAnsi="Times New Roman" w:cs="Times New Roman"/>
          <w:lang w:val="lt-LT"/>
        </w:rPr>
      </w:pPr>
    </w:p>
    <w:p w:rsidR="00344C24" w:rsidRPr="0020766B" w:rsidRDefault="00344C24" w:rsidP="00344C24">
      <w:pPr>
        <w:spacing w:after="0" w:line="240" w:lineRule="auto"/>
        <w:rPr>
          <w:rFonts w:ascii="Times New Roman" w:eastAsia="Calibri" w:hAnsi="Times New Roman" w:cs="Times New Roman"/>
          <w:iCs/>
        </w:rPr>
      </w:pPr>
      <w:r w:rsidRPr="0020766B">
        <w:rPr>
          <w:rFonts w:ascii="Times New Roman" w:eastAsia="Calibri" w:hAnsi="Times New Roman" w:cs="Times New Roman"/>
          <w:iCs/>
        </w:rPr>
        <w:t>Dviem dideliais atsitiktin</w:t>
      </w:r>
      <w:r w:rsidRPr="0020766B">
        <w:rPr>
          <w:rFonts w:ascii="Times New Roman" w:eastAsia="Calibri" w:hAnsi="Times New Roman" w:cs="Times New Roman" w:hint="eastAsia"/>
          <w:iCs/>
        </w:rPr>
        <w:t>ė</w:t>
      </w:r>
      <w:r w:rsidRPr="0020766B">
        <w:rPr>
          <w:rFonts w:ascii="Times New Roman" w:eastAsia="Calibri" w:hAnsi="Times New Roman" w:cs="Times New Roman"/>
          <w:iCs/>
        </w:rPr>
        <w:t xml:space="preserve">s atrankos, kontroliuojamais tyrimais (ONTARGET (angl. </w:t>
      </w:r>
      <w:r w:rsidRPr="0020766B">
        <w:rPr>
          <w:rFonts w:ascii="Times New Roman" w:eastAsia="Calibri" w:hAnsi="Times New Roman" w:cs="Times New Roman" w:hint="eastAsia"/>
          <w:iCs/>
        </w:rPr>
        <w:t>„</w:t>
      </w:r>
      <w:r w:rsidRPr="00BB0865">
        <w:rPr>
          <w:rFonts w:ascii="Times New Roman" w:eastAsia="Calibri" w:hAnsi="Times New Roman" w:cs="Times New Roman"/>
          <w:i/>
          <w:iCs/>
        </w:rPr>
        <w:t>Ongoing Telmisartan Alone and in combination with Ramipril Global Endpoint Trial</w:t>
      </w:r>
      <w:r w:rsidRPr="0020766B">
        <w:rPr>
          <w:rFonts w:ascii="Times New Roman" w:eastAsia="Calibri" w:hAnsi="Times New Roman" w:cs="Times New Roman" w:hint="eastAsia"/>
          <w:iCs/>
        </w:rPr>
        <w:t>“</w:t>
      </w:r>
      <w:r w:rsidRPr="0020766B">
        <w:rPr>
          <w:rFonts w:ascii="Times New Roman" w:eastAsia="Calibri" w:hAnsi="Times New Roman" w:cs="Times New Roman"/>
          <w:iCs/>
        </w:rPr>
        <w:t>) ir VA NEPHRON-D (angl.</w:t>
      </w:r>
      <w:r w:rsidR="00BB0865">
        <w:rPr>
          <w:rFonts w:ascii="Times New Roman" w:eastAsia="Calibri" w:hAnsi="Times New Roman" w:cs="Times New Roman"/>
          <w:iCs/>
        </w:rPr>
        <w:t xml:space="preserve"> </w:t>
      </w:r>
      <w:r w:rsidRPr="0020766B">
        <w:rPr>
          <w:rFonts w:ascii="Times New Roman" w:eastAsia="Calibri" w:hAnsi="Times New Roman" w:cs="Times New Roman"/>
          <w:iCs/>
        </w:rPr>
        <w:t>„</w:t>
      </w:r>
      <w:r w:rsidRPr="00BB0865">
        <w:rPr>
          <w:rFonts w:ascii="Times New Roman" w:eastAsia="Calibri" w:hAnsi="Times New Roman" w:cs="Times New Roman"/>
          <w:i/>
          <w:iCs/>
        </w:rPr>
        <w:t>The Veterans Affairs Nephropathy in Diabetes</w:t>
      </w:r>
      <w:r w:rsidRPr="0020766B">
        <w:rPr>
          <w:rFonts w:ascii="Times New Roman" w:eastAsia="Calibri" w:hAnsi="Times New Roman" w:cs="Times New Roman" w:hint="eastAsia"/>
          <w:iCs/>
        </w:rPr>
        <w:t>“</w:t>
      </w:r>
      <w:r w:rsidRPr="0020766B">
        <w:rPr>
          <w:rFonts w:ascii="Times New Roman" w:eastAsia="Calibri" w:hAnsi="Times New Roman" w:cs="Times New Roman"/>
          <w:iCs/>
        </w:rPr>
        <w:t>)) buvo i</w:t>
      </w:r>
      <w:r w:rsidRPr="0020766B">
        <w:rPr>
          <w:rFonts w:ascii="Times New Roman" w:eastAsia="Calibri" w:hAnsi="Times New Roman" w:cs="Times New Roman" w:hint="eastAsia"/>
          <w:iCs/>
        </w:rPr>
        <w:t>š</w:t>
      </w:r>
      <w:r w:rsidRPr="0020766B">
        <w:rPr>
          <w:rFonts w:ascii="Times New Roman" w:eastAsia="Calibri" w:hAnsi="Times New Roman" w:cs="Times New Roman"/>
          <w:iCs/>
        </w:rPr>
        <w:t>tirtas AKF inhibitoriaus ir angiotenzino II receptori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blokatoriaus derinio vartojimas.</w:t>
      </w:r>
    </w:p>
    <w:p w:rsidR="00344C24" w:rsidRPr="0020766B" w:rsidRDefault="00344C24" w:rsidP="00344C24">
      <w:pPr>
        <w:spacing w:after="0" w:line="240" w:lineRule="auto"/>
        <w:rPr>
          <w:rFonts w:ascii="Times New Roman" w:eastAsia="Calibri" w:hAnsi="Times New Roman" w:cs="Times New Roman"/>
          <w:iCs/>
        </w:rPr>
      </w:pPr>
      <w:r w:rsidRPr="0020766B">
        <w:rPr>
          <w:rFonts w:ascii="Times New Roman" w:eastAsia="Calibri" w:hAnsi="Times New Roman" w:cs="Times New Roman"/>
          <w:iCs/>
        </w:rPr>
        <w:t>ONTARGET tyrime dalyvavo pacientai, kuri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anamnez</w:t>
      </w:r>
      <w:r w:rsidRPr="0020766B">
        <w:rPr>
          <w:rFonts w:ascii="Times New Roman" w:eastAsia="Calibri" w:hAnsi="Times New Roman" w:cs="Times New Roman" w:hint="eastAsia"/>
          <w:iCs/>
        </w:rPr>
        <w:t>ė</w:t>
      </w:r>
      <w:r w:rsidRPr="0020766B">
        <w:rPr>
          <w:rFonts w:ascii="Times New Roman" w:eastAsia="Calibri" w:hAnsi="Times New Roman" w:cs="Times New Roman"/>
          <w:iCs/>
        </w:rPr>
        <w:t xml:space="preserve">je buvo </w:t>
      </w:r>
      <w:r w:rsidRPr="0020766B">
        <w:rPr>
          <w:rFonts w:ascii="Times New Roman" w:eastAsia="Calibri" w:hAnsi="Times New Roman" w:cs="Times New Roman" w:hint="eastAsia"/>
          <w:iCs/>
        </w:rPr>
        <w:t>š</w:t>
      </w:r>
      <w:r w:rsidRPr="0020766B">
        <w:rPr>
          <w:rFonts w:ascii="Times New Roman" w:eastAsia="Calibri" w:hAnsi="Times New Roman" w:cs="Times New Roman"/>
          <w:iCs/>
        </w:rPr>
        <w:t>irdies ir kraujagysli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ar smegen</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kraujagysli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liga arba 2 tipo cukrinis diabetas ir susijusi akivaizdi organ</w:t>
      </w:r>
      <w:r w:rsidRPr="0020766B">
        <w:rPr>
          <w:rFonts w:ascii="Times New Roman" w:eastAsia="Calibri" w:hAnsi="Times New Roman" w:cs="Times New Roman" w:hint="eastAsia"/>
          <w:iCs/>
        </w:rPr>
        <w:t>ų</w:t>
      </w:r>
      <w:r w:rsidRPr="0020766B">
        <w:rPr>
          <w:rFonts w:ascii="Times New Roman" w:eastAsia="Calibri" w:hAnsi="Times New Roman" w:cs="Times New Roman"/>
          <w:iCs/>
        </w:rPr>
        <w:t>-taikini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pa</w:t>
      </w:r>
      <w:r w:rsidRPr="0020766B">
        <w:rPr>
          <w:rFonts w:ascii="Times New Roman" w:eastAsia="Calibri" w:hAnsi="Times New Roman" w:cs="Times New Roman" w:hint="eastAsia"/>
          <w:iCs/>
        </w:rPr>
        <w:t>ž</w:t>
      </w:r>
      <w:r w:rsidRPr="0020766B">
        <w:rPr>
          <w:rFonts w:ascii="Times New Roman" w:eastAsia="Calibri" w:hAnsi="Times New Roman" w:cs="Times New Roman"/>
          <w:iCs/>
        </w:rPr>
        <w:t>aida. VA NEPHRON-D tyrimas buvo atliekamas su pacientais, sergan</w:t>
      </w:r>
      <w:r w:rsidRPr="0020766B">
        <w:rPr>
          <w:rFonts w:ascii="Times New Roman" w:eastAsia="Calibri" w:hAnsi="Times New Roman" w:cs="Times New Roman" w:hint="eastAsia"/>
          <w:iCs/>
        </w:rPr>
        <w:t>č</w:t>
      </w:r>
      <w:r w:rsidRPr="0020766B">
        <w:rPr>
          <w:rFonts w:ascii="Times New Roman" w:eastAsia="Calibri" w:hAnsi="Times New Roman" w:cs="Times New Roman"/>
          <w:iCs/>
        </w:rPr>
        <w:t>iais 2 tipo cukriniu diabetu ir diabetine nefropatija.</w:t>
      </w:r>
    </w:p>
    <w:p w:rsidR="00344C24" w:rsidRPr="0020766B" w:rsidRDefault="00344C24" w:rsidP="00344C24">
      <w:pPr>
        <w:spacing w:after="0" w:line="240" w:lineRule="auto"/>
        <w:rPr>
          <w:rFonts w:ascii="Times New Roman" w:eastAsia="Calibri" w:hAnsi="Times New Roman" w:cs="Times New Roman"/>
          <w:iCs/>
        </w:rPr>
      </w:pPr>
      <w:r w:rsidRPr="0020766B">
        <w:rPr>
          <w:rFonts w:ascii="Times New Roman" w:eastAsia="Calibri" w:hAnsi="Times New Roman" w:cs="Times New Roman" w:hint="eastAsia"/>
          <w:iCs/>
        </w:rPr>
        <w:t>Š</w:t>
      </w:r>
      <w:r w:rsidRPr="0020766B">
        <w:rPr>
          <w:rFonts w:ascii="Times New Roman" w:eastAsia="Calibri" w:hAnsi="Times New Roman" w:cs="Times New Roman"/>
          <w:iCs/>
        </w:rPr>
        <w:t>ie tyrimai neparod</w:t>
      </w:r>
      <w:r w:rsidRPr="0020766B">
        <w:rPr>
          <w:rFonts w:ascii="Times New Roman" w:eastAsia="Calibri" w:hAnsi="Times New Roman" w:cs="Times New Roman" w:hint="eastAsia"/>
          <w:iCs/>
        </w:rPr>
        <w:t>ė</w:t>
      </w:r>
      <w:r w:rsidRPr="0020766B">
        <w:rPr>
          <w:rFonts w:ascii="Times New Roman" w:eastAsia="Calibri" w:hAnsi="Times New Roman" w:cs="Times New Roman"/>
          <w:iCs/>
        </w:rPr>
        <w:t xml:space="preserve"> reik</w:t>
      </w:r>
      <w:r w:rsidRPr="0020766B">
        <w:rPr>
          <w:rFonts w:ascii="Times New Roman" w:eastAsia="Calibri" w:hAnsi="Times New Roman" w:cs="Times New Roman" w:hint="eastAsia"/>
          <w:iCs/>
        </w:rPr>
        <w:t>š</w:t>
      </w:r>
      <w:r w:rsidRPr="0020766B">
        <w:rPr>
          <w:rFonts w:ascii="Times New Roman" w:eastAsia="Calibri" w:hAnsi="Times New Roman" w:cs="Times New Roman"/>
          <w:iCs/>
        </w:rPr>
        <w:t>mingo teigiamo poveikio inkst</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ir (arba) </w:t>
      </w:r>
      <w:r w:rsidRPr="0020766B">
        <w:rPr>
          <w:rFonts w:ascii="Times New Roman" w:eastAsia="Calibri" w:hAnsi="Times New Roman" w:cs="Times New Roman" w:hint="eastAsia"/>
          <w:iCs/>
        </w:rPr>
        <w:t>š</w:t>
      </w:r>
      <w:r w:rsidRPr="0020766B">
        <w:rPr>
          <w:rFonts w:ascii="Times New Roman" w:eastAsia="Calibri" w:hAnsi="Times New Roman" w:cs="Times New Roman"/>
          <w:iCs/>
        </w:rPr>
        <w:t>irdies ir kraujagysli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lig</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baigtims ir mir</w:t>
      </w:r>
      <w:r w:rsidRPr="0020766B">
        <w:rPr>
          <w:rFonts w:ascii="Times New Roman" w:eastAsia="Calibri" w:hAnsi="Times New Roman" w:cs="Times New Roman" w:hint="eastAsia"/>
          <w:iCs/>
        </w:rPr>
        <w:t>š</w:t>
      </w:r>
      <w:r w:rsidRPr="0020766B">
        <w:rPr>
          <w:rFonts w:ascii="Times New Roman" w:eastAsia="Calibri" w:hAnsi="Times New Roman" w:cs="Times New Roman"/>
          <w:iCs/>
        </w:rPr>
        <w:t>tamumui, bet, palyginti su monoterapija, buvo pasteb</w:t>
      </w:r>
      <w:r w:rsidRPr="0020766B">
        <w:rPr>
          <w:rFonts w:ascii="Times New Roman" w:eastAsia="Calibri" w:hAnsi="Times New Roman" w:cs="Times New Roman" w:hint="eastAsia"/>
          <w:iCs/>
        </w:rPr>
        <w:t>ė</w:t>
      </w:r>
      <w:r w:rsidRPr="0020766B">
        <w:rPr>
          <w:rFonts w:ascii="Times New Roman" w:eastAsia="Calibri" w:hAnsi="Times New Roman" w:cs="Times New Roman"/>
          <w:iCs/>
        </w:rPr>
        <w:t>ta didesn</w:t>
      </w:r>
      <w:r w:rsidRPr="0020766B">
        <w:rPr>
          <w:rFonts w:ascii="Times New Roman" w:eastAsia="Calibri" w:hAnsi="Times New Roman" w:cs="Times New Roman" w:hint="eastAsia"/>
          <w:iCs/>
        </w:rPr>
        <w:t>ė</w:t>
      </w:r>
      <w:r w:rsidRPr="0020766B">
        <w:rPr>
          <w:rFonts w:ascii="Times New Roman" w:eastAsia="Calibri" w:hAnsi="Times New Roman" w:cs="Times New Roman"/>
          <w:iCs/>
        </w:rPr>
        <w:t xml:space="preserve"> hiperkalemijos, </w:t>
      </w:r>
      <w:r w:rsidRPr="0020766B">
        <w:rPr>
          <w:rFonts w:ascii="Times New Roman" w:eastAsia="Calibri" w:hAnsi="Times New Roman" w:cs="Times New Roman" w:hint="eastAsia"/>
          <w:iCs/>
        </w:rPr>
        <w:t>ū</w:t>
      </w:r>
      <w:r w:rsidRPr="0020766B">
        <w:rPr>
          <w:rFonts w:ascii="Times New Roman" w:eastAsia="Calibri" w:hAnsi="Times New Roman" w:cs="Times New Roman"/>
          <w:iCs/>
        </w:rPr>
        <w:t>minio inkst</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pa</w:t>
      </w:r>
      <w:r w:rsidRPr="0020766B">
        <w:rPr>
          <w:rFonts w:ascii="Times New Roman" w:eastAsia="Calibri" w:hAnsi="Times New Roman" w:cs="Times New Roman" w:hint="eastAsia"/>
          <w:iCs/>
        </w:rPr>
        <w:t>ž</w:t>
      </w:r>
      <w:r w:rsidRPr="0020766B">
        <w:rPr>
          <w:rFonts w:ascii="Times New Roman" w:eastAsia="Calibri" w:hAnsi="Times New Roman" w:cs="Times New Roman"/>
          <w:iCs/>
        </w:rPr>
        <w:t>eidimo ir (arba) hipotenzijos rizika. Atsi</w:t>
      </w:r>
      <w:r w:rsidRPr="0020766B">
        <w:rPr>
          <w:rFonts w:ascii="Times New Roman" w:eastAsia="Calibri" w:hAnsi="Times New Roman" w:cs="Times New Roman" w:hint="eastAsia"/>
          <w:iCs/>
        </w:rPr>
        <w:t>ž</w:t>
      </w:r>
      <w:r w:rsidRPr="0020766B">
        <w:rPr>
          <w:rFonts w:ascii="Times New Roman" w:eastAsia="Calibri" w:hAnsi="Times New Roman" w:cs="Times New Roman"/>
          <w:iCs/>
        </w:rPr>
        <w:t xml:space="preserve">velgiant </w:t>
      </w:r>
      <w:r w:rsidRPr="0020766B">
        <w:rPr>
          <w:rFonts w:ascii="Times New Roman" w:eastAsia="Calibri" w:hAnsi="Times New Roman" w:cs="Times New Roman" w:hint="eastAsia"/>
          <w:iCs/>
        </w:rPr>
        <w:t>į</w:t>
      </w:r>
      <w:r w:rsidRPr="0020766B">
        <w:rPr>
          <w:rFonts w:ascii="Times New Roman" w:eastAsia="Calibri" w:hAnsi="Times New Roman" w:cs="Times New Roman"/>
          <w:iCs/>
        </w:rPr>
        <w:t xml:space="preserve"> pana</w:t>
      </w:r>
      <w:r w:rsidRPr="0020766B">
        <w:rPr>
          <w:rFonts w:ascii="Times New Roman" w:eastAsia="Calibri" w:hAnsi="Times New Roman" w:cs="Times New Roman" w:hint="eastAsia"/>
          <w:iCs/>
        </w:rPr>
        <w:t>š</w:t>
      </w:r>
      <w:r w:rsidRPr="0020766B">
        <w:rPr>
          <w:rFonts w:ascii="Times New Roman" w:eastAsia="Calibri" w:hAnsi="Times New Roman" w:cs="Times New Roman"/>
          <w:iCs/>
        </w:rPr>
        <w:t xml:space="preserve">ias farmakodinamines savybes, </w:t>
      </w:r>
      <w:r w:rsidRPr="0020766B">
        <w:rPr>
          <w:rFonts w:ascii="Times New Roman" w:eastAsia="Calibri" w:hAnsi="Times New Roman" w:cs="Times New Roman" w:hint="eastAsia"/>
          <w:iCs/>
        </w:rPr>
        <w:t>š</w:t>
      </w:r>
      <w:r w:rsidRPr="0020766B">
        <w:rPr>
          <w:rFonts w:ascii="Times New Roman" w:eastAsia="Calibri" w:hAnsi="Times New Roman" w:cs="Times New Roman"/>
          <w:iCs/>
        </w:rPr>
        <w:t>ie rezultatai taip pat galioja kitiems AKF inhibitoriams ir angiotenzino II receptori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blokatoriams.</w:t>
      </w:r>
    </w:p>
    <w:p w:rsidR="00344C24" w:rsidRPr="0020766B" w:rsidRDefault="00344C24" w:rsidP="00344C24">
      <w:pPr>
        <w:spacing w:after="0" w:line="240" w:lineRule="auto"/>
        <w:rPr>
          <w:rFonts w:ascii="Times New Roman" w:eastAsia="Calibri" w:hAnsi="Times New Roman" w:cs="Times New Roman"/>
          <w:iCs/>
        </w:rPr>
      </w:pPr>
      <w:r w:rsidRPr="0020766B">
        <w:rPr>
          <w:rFonts w:ascii="Times New Roman" w:eastAsia="Calibri" w:hAnsi="Times New Roman" w:cs="Times New Roman"/>
          <w:iCs/>
        </w:rPr>
        <w:t>Tod</w:t>
      </w:r>
      <w:r w:rsidRPr="0020766B">
        <w:rPr>
          <w:rFonts w:ascii="Times New Roman" w:eastAsia="Calibri" w:hAnsi="Times New Roman" w:cs="Times New Roman" w:hint="eastAsia"/>
          <w:iCs/>
        </w:rPr>
        <w:t>ė</w:t>
      </w:r>
      <w:r w:rsidRPr="0020766B">
        <w:rPr>
          <w:rFonts w:ascii="Times New Roman" w:eastAsia="Calibri" w:hAnsi="Times New Roman" w:cs="Times New Roman"/>
          <w:iCs/>
        </w:rPr>
        <w:t>l pacientams, sergantiems diabetine nefropatija, negalima kartu vartoti AKF inhibitori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ir angiotenzino II receptori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blokatori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ALTITUDE (angl. </w:t>
      </w:r>
      <w:r w:rsidRPr="0020766B">
        <w:rPr>
          <w:rFonts w:ascii="Times New Roman" w:eastAsia="Calibri" w:hAnsi="Times New Roman" w:cs="Times New Roman" w:hint="eastAsia"/>
          <w:iCs/>
        </w:rPr>
        <w:t>„</w:t>
      </w:r>
      <w:r w:rsidRPr="00BB0865">
        <w:rPr>
          <w:rFonts w:ascii="Times New Roman" w:eastAsia="Calibri" w:hAnsi="Times New Roman" w:cs="Times New Roman"/>
          <w:i/>
          <w:iCs/>
        </w:rPr>
        <w:t xml:space="preserve">Aliskiren Trial in Type 2 Diabetes Using Cardiovascular and Renal Disease </w:t>
      </w:r>
      <w:r w:rsidRPr="00196FC1">
        <w:rPr>
          <w:rFonts w:ascii="Times New Roman" w:eastAsia="Calibri" w:hAnsi="Times New Roman" w:cs="Times New Roman"/>
          <w:i/>
          <w:iCs/>
        </w:rPr>
        <w:t>Endpoints</w:t>
      </w:r>
      <w:r w:rsidRPr="0020766B">
        <w:rPr>
          <w:rFonts w:ascii="Times New Roman" w:eastAsia="Calibri" w:hAnsi="Times New Roman" w:cs="Times New Roman" w:hint="eastAsia"/>
          <w:iCs/>
        </w:rPr>
        <w:t>“</w:t>
      </w:r>
      <w:r w:rsidRPr="0020766B">
        <w:rPr>
          <w:rFonts w:ascii="Times New Roman" w:eastAsia="Calibri" w:hAnsi="Times New Roman" w:cs="Times New Roman"/>
          <w:iCs/>
        </w:rPr>
        <w:t>) tyrimu buvo siekiama i</w:t>
      </w:r>
      <w:r w:rsidRPr="0020766B">
        <w:rPr>
          <w:rFonts w:ascii="Times New Roman" w:eastAsia="Calibri" w:hAnsi="Times New Roman" w:cs="Times New Roman" w:hint="eastAsia"/>
          <w:iCs/>
        </w:rPr>
        <w:t>š</w:t>
      </w:r>
      <w:r w:rsidRPr="0020766B">
        <w:rPr>
          <w:rFonts w:ascii="Times New Roman" w:eastAsia="Calibri" w:hAnsi="Times New Roman" w:cs="Times New Roman"/>
          <w:iCs/>
        </w:rPr>
        <w:t>tirti, ar b</w:t>
      </w:r>
      <w:r w:rsidRPr="0020766B">
        <w:rPr>
          <w:rFonts w:ascii="Times New Roman" w:eastAsia="Calibri" w:hAnsi="Times New Roman" w:cs="Times New Roman" w:hint="eastAsia"/>
          <w:iCs/>
        </w:rPr>
        <w:t>ū</w:t>
      </w:r>
      <w:r w:rsidRPr="0020766B">
        <w:rPr>
          <w:rFonts w:ascii="Times New Roman" w:eastAsia="Calibri" w:hAnsi="Times New Roman" w:cs="Times New Roman"/>
          <w:iCs/>
        </w:rPr>
        <w:t>t</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naudingas aliskireno </w:t>
      </w:r>
      <w:r w:rsidRPr="0020766B">
        <w:rPr>
          <w:rFonts w:ascii="Times New Roman" w:eastAsia="Calibri" w:hAnsi="Times New Roman" w:cs="Times New Roman" w:hint="eastAsia"/>
          <w:iCs/>
        </w:rPr>
        <w:t>į</w:t>
      </w:r>
      <w:r w:rsidRPr="0020766B">
        <w:rPr>
          <w:rFonts w:ascii="Times New Roman" w:eastAsia="Calibri" w:hAnsi="Times New Roman" w:cs="Times New Roman"/>
          <w:iCs/>
        </w:rPr>
        <w:t xml:space="preserve">traukimas </w:t>
      </w:r>
      <w:r w:rsidRPr="0020766B">
        <w:rPr>
          <w:rFonts w:ascii="Times New Roman" w:eastAsia="Calibri" w:hAnsi="Times New Roman" w:cs="Times New Roman" w:hint="eastAsia"/>
          <w:iCs/>
        </w:rPr>
        <w:t>į</w:t>
      </w:r>
      <w:r w:rsidRPr="0020766B">
        <w:rPr>
          <w:rFonts w:ascii="Times New Roman" w:eastAsia="Calibri" w:hAnsi="Times New Roman" w:cs="Times New Roman"/>
          <w:iCs/>
        </w:rPr>
        <w:t xml:space="preserve"> standartin</w:t>
      </w:r>
      <w:r w:rsidRPr="0020766B">
        <w:rPr>
          <w:rFonts w:ascii="Times New Roman" w:eastAsia="Calibri" w:hAnsi="Times New Roman" w:cs="Times New Roman" w:hint="eastAsia"/>
          <w:iCs/>
        </w:rPr>
        <w:t>į</w:t>
      </w:r>
      <w:r w:rsidRPr="0020766B">
        <w:rPr>
          <w:rFonts w:ascii="Times New Roman" w:eastAsia="Calibri" w:hAnsi="Times New Roman" w:cs="Times New Roman"/>
          <w:iCs/>
        </w:rPr>
        <w:t xml:space="preserve"> pacient</w:t>
      </w:r>
      <w:r w:rsidRPr="0020766B">
        <w:rPr>
          <w:rFonts w:ascii="Times New Roman" w:eastAsia="Calibri" w:hAnsi="Times New Roman" w:cs="Times New Roman" w:hint="eastAsia"/>
          <w:iCs/>
        </w:rPr>
        <w:t>ų</w:t>
      </w:r>
      <w:r w:rsidRPr="0020766B">
        <w:rPr>
          <w:rFonts w:ascii="Times New Roman" w:eastAsia="Calibri" w:hAnsi="Times New Roman" w:cs="Times New Roman"/>
          <w:iCs/>
        </w:rPr>
        <w:t>, sergan</w:t>
      </w:r>
      <w:r w:rsidRPr="0020766B">
        <w:rPr>
          <w:rFonts w:ascii="Times New Roman" w:eastAsia="Calibri" w:hAnsi="Times New Roman" w:cs="Times New Roman" w:hint="eastAsia"/>
          <w:iCs/>
        </w:rPr>
        <w:t>č</w:t>
      </w:r>
      <w:r w:rsidRPr="0020766B">
        <w:rPr>
          <w:rFonts w:ascii="Times New Roman" w:eastAsia="Calibri" w:hAnsi="Times New Roman" w:cs="Times New Roman"/>
          <w:iCs/>
        </w:rPr>
        <w:t>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2 tipo cukriniu diabetu ir l</w:t>
      </w:r>
      <w:r w:rsidRPr="0020766B">
        <w:rPr>
          <w:rFonts w:ascii="Times New Roman" w:eastAsia="Calibri" w:hAnsi="Times New Roman" w:cs="Times New Roman" w:hint="eastAsia"/>
          <w:iCs/>
        </w:rPr>
        <w:t>ė</w:t>
      </w:r>
      <w:r w:rsidRPr="0020766B">
        <w:rPr>
          <w:rFonts w:ascii="Times New Roman" w:eastAsia="Calibri" w:hAnsi="Times New Roman" w:cs="Times New Roman"/>
          <w:iCs/>
        </w:rPr>
        <w:t>tine inkst</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liga, </w:t>
      </w:r>
      <w:r w:rsidRPr="0020766B">
        <w:rPr>
          <w:rFonts w:ascii="Times New Roman" w:eastAsia="Calibri" w:hAnsi="Times New Roman" w:cs="Times New Roman" w:hint="eastAsia"/>
          <w:iCs/>
        </w:rPr>
        <w:t>š</w:t>
      </w:r>
      <w:r w:rsidRPr="0020766B">
        <w:rPr>
          <w:rFonts w:ascii="Times New Roman" w:eastAsia="Calibri" w:hAnsi="Times New Roman" w:cs="Times New Roman"/>
          <w:iCs/>
        </w:rPr>
        <w:t>irdies ir kraujagysli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liga arba abiem ligomis, gydym</w:t>
      </w:r>
      <w:r w:rsidRPr="0020766B">
        <w:rPr>
          <w:rFonts w:ascii="Times New Roman" w:eastAsia="Calibri" w:hAnsi="Times New Roman" w:cs="Times New Roman" w:hint="eastAsia"/>
          <w:iCs/>
        </w:rPr>
        <w:t>ą</w:t>
      </w:r>
      <w:r w:rsidRPr="0020766B">
        <w:rPr>
          <w:rFonts w:ascii="Times New Roman" w:eastAsia="Calibri" w:hAnsi="Times New Roman" w:cs="Times New Roman"/>
          <w:iCs/>
        </w:rPr>
        <w:t xml:space="preserve"> AKF inhibitoriumi arba angiotenzino II receptori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blokatoriumi. Tyrimas buvo nutrauktas pirma laiko, nes padid</w:t>
      </w:r>
      <w:r w:rsidRPr="0020766B">
        <w:rPr>
          <w:rFonts w:ascii="Times New Roman" w:eastAsia="Calibri" w:hAnsi="Times New Roman" w:cs="Times New Roman" w:hint="eastAsia"/>
          <w:iCs/>
        </w:rPr>
        <w:t>ė</w:t>
      </w:r>
      <w:r w:rsidRPr="0020766B">
        <w:rPr>
          <w:rFonts w:ascii="Times New Roman" w:eastAsia="Calibri" w:hAnsi="Times New Roman" w:cs="Times New Roman"/>
          <w:iCs/>
        </w:rPr>
        <w:t>jo nepageidaujam</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baig</w:t>
      </w:r>
      <w:r w:rsidRPr="0020766B">
        <w:rPr>
          <w:rFonts w:ascii="Times New Roman" w:eastAsia="Calibri" w:hAnsi="Times New Roman" w:cs="Times New Roman" w:hint="eastAsia"/>
          <w:iCs/>
        </w:rPr>
        <w:t>č</w:t>
      </w:r>
      <w:r w:rsidRPr="0020766B">
        <w:rPr>
          <w:rFonts w:ascii="Times New Roman" w:eastAsia="Calibri" w:hAnsi="Times New Roman" w:cs="Times New Roman"/>
          <w:iCs/>
        </w:rPr>
        <w:t>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rizika. Mir</w:t>
      </w:r>
      <w:r w:rsidRPr="0020766B">
        <w:rPr>
          <w:rFonts w:ascii="Times New Roman" w:eastAsia="Calibri" w:hAnsi="Times New Roman" w:cs="Times New Roman" w:hint="eastAsia"/>
          <w:iCs/>
        </w:rPr>
        <w:t>č</w:t>
      </w:r>
      <w:r w:rsidRPr="0020766B">
        <w:rPr>
          <w:rFonts w:ascii="Times New Roman" w:eastAsia="Calibri" w:hAnsi="Times New Roman" w:cs="Times New Roman"/>
          <w:iCs/>
        </w:rPr>
        <w:t>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nuo </w:t>
      </w:r>
      <w:r w:rsidRPr="0020766B">
        <w:rPr>
          <w:rFonts w:ascii="Times New Roman" w:eastAsia="Calibri" w:hAnsi="Times New Roman" w:cs="Times New Roman" w:hint="eastAsia"/>
          <w:iCs/>
        </w:rPr>
        <w:t>š</w:t>
      </w:r>
      <w:r w:rsidRPr="0020766B">
        <w:rPr>
          <w:rFonts w:ascii="Times New Roman" w:eastAsia="Calibri" w:hAnsi="Times New Roman" w:cs="Times New Roman"/>
          <w:iCs/>
        </w:rPr>
        <w:t>irdies ir kraujagysli</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lig</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ir insult</w:t>
      </w:r>
      <w:r w:rsidR="00BB0865">
        <w:rPr>
          <w:rFonts w:ascii="Times New Roman" w:eastAsia="Calibri" w:hAnsi="Times New Roman" w:cs="Times New Roman"/>
          <w:iCs/>
        </w:rPr>
        <w:t>o</w:t>
      </w:r>
      <w:r w:rsidRPr="0020766B">
        <w:rPr>
          <w:rFonts w:ascii="Times New Roman" w:eastAsia="Calibri" w:hAnsi="Times New Roman" w:cs="Times New Roman"/>
          <w:iCs/>
        </w:rPr>
        <w:t xml:space="preserve"> atvej</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skai</w:t>
      </w:r>
      <w:r w:rsidRPr="0020766B">
        <w:rPr>
          <w:rFonts w:ascii="Times New Roman" w:eastAsia="Calibri" w:hAnsi="Times New Roman" w:cs="Times New Roman" w:hint="eastAsia"/>
          <w:iCs/>
        </w:rPr>
        <w:t>č</w:t>
      </w:r>
      <w:r w:rsidRPr="0020766B">
        <w:rPr>
          <w:rFonts w:ascii="Times New Roman" w:eastAsia="Calibri" w:hAnsi="Times New Roman" w:cs="Times New Roman"/>
          <w:iCs/>
        </w:rPr>
        <w:t>ius aliskireno grup</w:t>
      </w:r>
      <w:r w:rsidRPr="0020766B">
        <w:rPr>
          <w:rFonts w:ascii="Times New Roman" w:eastAsia="Calibri" w:hAnsi="Times New Roman" w:cs="Times New Roman" w:hint="eastAsia"/>
          <w:iCs/>
        </w:rPr>
        <w:t>ė</w:t>
      </w:r>
      <w:r w:rsidRPr="0020766B">
        <w:rPr>
          <w:rFonts w:ascii="Times New Roman" w:eastAsia="Calibri" w:hAnsi="Times New Roman" w:cs="Times New Roman"/>
          <w:iCs/>
        </w:rPr>
        <w:t>je buvo didesnis nei placebo grup</w:t>
      </w:r>
      <w:r w:rsidRPr="0020766B">
        <w:rPr>
          <w:rFonts w:ascii="Times New Roman" w:eastAsia="Calibri" w:hAnsi="Times New Roman" w:cs="Times New Roman" w:hint="eastAsia"/>
          <w:iCs/>
        </w:rPr>
        <w:t>ė</w:t>
      </w:r>
      <w:r w:rsidRPr="0020766B">
        <w:rPr>
          <w:rFonts w:ascii="Times New Roman" w:eastAsia="Calibri" w:hAnsi="Times New Roman" w:cs="Times New Roman"/>
          <w:iCs/>
        </w:rPr>
        <w:t>je, o nepageidaujami rei</w:t>
      </w:r>
      <w:r w:rsidRPr="0020766B">
        <w:rPr>
          <w:rFonts w:ascii="Times New Roman" w:eastAsia="Calibri" w:hAnsi="Times New Roman" w:cs="Times New Roman" w:hint="eastAsia"/>
          <w:iCs/>
        </w:rPr>
        <w:t>š</w:t>
      </w:r>
      <w:r w:rsidRPr="0020766B">
        <w:rPr>
          <w:rFonts w:ascii="Times New Roman" w:eastAsia="Calibri" w:hAnsi="Times New Roman" w:cs="Times New Roman"/>
          <w:iCs/>
        </w:rPr>
        <w:t>kiniai ir sunk</w:t>
      </w:r>
      <w:r w:rsidRPr="0020766B">
        <w:rPr>
          <w:rFonts w:ascii="Times New Roman" w:eastAsia="Calibri" w:hAnsi="Times New Roman" w:cs="Times New Roman" w:hint="eastAsia"/>
          <w:iCs/>
        </w:rPr>
        <w:t>ū</w:t>
      </w:r>
      <w:r w:rsidRPr="0020766B">
        <w:rPr>
          <w:rFonts w:ascii="Times New Roman" w:eastAsia="Calibri" w:hAnsi="Times New Roman" w:cs="Times New Roman"/>
          <w:iCs/>
        </w:rPr>
        <w:t>s nepageidaujami rei</w:t>
      </w:r>
      <w:r w:rsidRPr="0020766B">
        <w:rPr>
          <w:rFonts w:ascii="Times New Roman" w:eastAsia="Calibri" w:hAnsi="Times New Roman" w:cs="Times New Roman" w:hint="eastAsia"/>
          <w:iCs/>
        </w:rPr>
        <w:t>š</w:t>
      </w:r>
      <w:r w:rsidRPr="0020766B">
        <w:rPr>
          <w:rFonts w:ascii="Times New Roman" w:eastAsia="Calibri" w:hAnsi="Times New Roman" w:cs="Times New Roman"/>
          <w:iCs/>
        </w:rPr>
        <w:t>kiniai (hiperkalemija, hipotenzija ir inkst</w:t>
      </w:r>
      <w:r w:rsidRPr="0020766B">
        <w:rPr>
          <w:rFonts w:ascii="Times New Roman" w:eastAsia="Calibri" w:hAnsi="Times New Roman" w:cs="Times New Roman" w:hint="eastAsia"/>
          <w:iCs/>
        </w:rPr>
        <w:t>ų</w:t>
      </w:r>
      <w:r w:rsidRPr="0020766B">
        <w:rPr>
          <w:rFonts w:ascii="Times New Roman" w:eastAsia="Calibri" w:hAnsi="Times New Roman" w:cs="Times New Roman"/>
          <w:iCs/>
        </w:rPr>
        <w:t xml:space="preserve"> funkcijos sutrikimai) aliskireno grup</w:t>
      </w:r>
      <w:r w:rsidRPr="0020766B">
        <w:rPr>
          <w:rFonts w:ascii="Times New Roman" w:eastAsia="Calibri" w:hAnsi="Times New Roman" w:cs="Times New Roman" w:hint="eastAsia"/>
          <w:iCs/>
        </w:rPr>
        <w:t>ė</w:t>
      </w:r>
      <w:r w:rsidRPr="0020766B">
        <w:rPr>
          <w:rFonts w:ascii="Times New Roman" w:eastAsia="Calibri" w:hAnsi="Times New Roman" w:cs="Times New Roman"/>
          <w:iCs/>
        </w:rPr>
        <w:t>je taip pat pasirei</w:t>
      </w:r>
      <w:r w:rsidRPr="0020766B">
        <w:rPr>
          <w:rFonts w:ascii="Times New Roman" w:eastAsia="Calibri" w:hAnsi="Times New Roman" w:cs="Times New Roman" w:hint="eastAsia"/>
          <w:iCs/>
        </w:rPr>
        <w:t>š</w:t>
      </w:r>
      <w:r w:rsidRPr="0020766B">
        <w:rPr>
          <w:rFonts w:ascii="Times New Roman" w:eastAsia="Calibri" w:hAnsi="Times New Roman" w:cs="Times New Roman"/>
          <w:iCs/>
        </w:rPr>
        <w:t>k</w:t>
      </w:r>
      <w:r w:rsidRPr="0020766B">
        <w:rPr>
          <w:rFonts w:ascii="Times New Roman" w:eastAsia="Calibri" w:hAnsi="Times New Roman" w:cs="Times New Roman" w:hint="eastAsia"/>
          <w:iCs/>
        </w:rPr>
        <w:t>ė</w:t>
      </w:r>
      <w:r w:rsidRPr="0020766B">
        <w:rPr>
          <w:rFonts w:ascii="Times New Roman" w:eastAsia="Calibri" w:hAnsi="Times New Roman" w:cs="Times New Roman"/>
          <w:iCs/>
        </w:rPr>
        <w:t xml:space="preserve"> da</w:t>
      </w:r>
      <w:r w:rsidRPr="0020766B">
        <w:rPr>
          <w:rFonts w:ascii="Times New Roman" w:eastAsia="Calibri" w:hAnsi="Times New Roman" w:cs="Times New Roman" w:hint="eastAsia"/>
          <w:iCs/>
        </w:rPr>
        <w:t>ž</w:t>
      </w:r>
      <w:r w:rsidRPr="0020766B">
        <w:rPr>
          <w:rFonts w:ascii="Times New Roman" w:eastAsia="Calibri" w:hAnsi="Times New Roman" w:cs="Times New Roman"/>
          <w:iCs/>
        </w:rPr>
        <w:t>niau nei placebo grup</w:t>
      </w:r>
      <w:r w:rsidRPr="0020766B">
        <w:rPr>
          <w:rFonts w:ascii="Times New Roman" w:eastAsia="Calibri" w:hAnsi="Times New Roman" w:cs="Times New Roman" w:hint="eastAsia"/>
          <w:iCs/>
        </w:rPr>
        <w:t>ė</w:t>
      </w:r>
      <w:r w:rsidRPr="0020766B">
        <w:rPr>
          <w:rFonts w:ascii="Times New Roman" w:eastAsia="Calibri" w:hAnsi="Times New Roman" w:cs="Times New Roman"/>
          <w:iCs/>
        </w:rPr>
        <w:t>je.</w:t>
      </w:r>
    </w:p>
    <w:p w:rsidR="00344C24" w:rsidRPr="00196FC1" w:rsidRDefault="00344C24" w:rsidP="00344C24">
      <w:pPr>
        <w:spacing w:after="0" w:line="240" w:lineRule="auto"/>
        <w:rPr>
          <w:rFonts w:ascii="Times New Roman" w:eastAsia="Calibri" w:hAnsi="Times New Roman" w:cs="Times New Roman"/>
          <w:i/>
          <w:iCs/>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5.2</w:t>
      </w:r>
      <w:r w:rsidRPr="00650D8D">
        <w:rPr>
          <w:rFonts w:ascii="Times New Roman" w:eastAsia="Calibri" w:hAnsi="Times New Roman" w:cs="Times New Roman"/>
          <w:b/>
          <w:bCs/>
          <w:lang w:val="lt-LT"/>
        </w:rPr>
        <w:tab/>
        <w:t>Farmakokinetinės savybės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Absorbcija ir pasiskirstymas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Išgertas kandesartano cileksetilas paverčiamas aktyvia medžiaga – kandesartanu. Kandesartano absoliutus biologinis prieinamumas, išgėrus kandesartano cileksetilo tirpalo, yra maždaug 40%. Santykinis tablečių biologinis prieinamumas, palyginus su geriamuoju tirpalu, yra apie 34% (įvairuoja labai mažai), todėl apskaičiuotas absoliutus biologinis prieinamumas, išgėrus tabletę, yra 14%. Išgėrus tabletę, vidutinė didžiausia koncentracija serume (C</w:t>
      </w:r>
      <w:r w:rsidRPr="00650D8D">
        <w:rPr>
          <w:rFonts w:ascii="Times New Roman" w:eastAsia="Calibri" w:hAnsi="Times New Roman" w:cs="Times New Roman"/>
          <w:vertAlign w:val="subscript"/>
          <w:lang w:val="lt-LT"/>
        </w:rPr>
        <w:t>max</w:t>
      </w:r>
      <w:r w:rsidRPr="00650D8D">
        <w:rPr>
          <w:rFonts w:ascii="Times New Roman" w:eastAsia="Calibri" w:hAnsi="Times New Roman" w:cs="Times New Roman"/>
          <w:lang w:val="lt-LT"/>
        </w:rPr>
        <w:t>) susidaro po 3–4 val.</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Didinant dozę terapinėse ribose, kandesartano koncentracija serume didėja tiesine tvarka. Su lytimi susijusių kandesartano farmakokinetikos skirtumų nepastebėta. Maistas neturi reikšmingos įtakos plotui po kandesartano koncentracijos ir laiko kreive (AUC).</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Daug (daugiau kaip 99%) kandesartano būna prisijungusio prie plazmos baltymų, jo tariamasis pasiskirstymo tūris yra 0,1 l/kg.</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Maistas įtakos kandesartano biologiniam prieinamumui neturi.</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Biotransformacija ir eliminacija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Daugiausia kandesartano eliminuojama nepakitusio su šlapimu ir tulžimi, mažai – vykstant metabolizmui kepenyse (CYP2C9). Turimais sąveikos tyrimų duomenimis, CYP2C9 ir CYP3A4 aktyvumo šis vaistinis preparatas neveikia. Tyrimų </w:t>
      </w:r>
      <w:r w:rsidRPr="00650D8D">
        <w:rPr>
          <w:rFonts w:ascii="Times New Roman" w:eastAsia="Calibri" w:hAnsi="Times New Roman" w:cs="Times New Roman"/>
          <w:i/>
          <w:iCs/>
          <w:lang w:val="lt-LT"/>
        </w:rPr>
        <w:t>in vitro</w:t>
      </w:r>
      <w:r w:rsidRPr="00650D8D">
        <w:rPr>
          <w:rFonts w:ascii="Times New Roman" w:eastAsia="Calibri" w:hAnsi="Times New Roman" w:cs="Times New Roman"/>
          <w:lang w:val="lt-LT"/>
        </w:rPr>
        <w:t xml:space="preserve"> duomenimis, nereikėtų tikėtis sąveikos </w:t>
      </w:r>
      <w:r w:rsidRPr="00650D8D">
        <w:rPr>
          <w:rFonts w:ascii="Times New Roman" w:eastAsia="Calibri" w:hAnsi="Times New Roman" w:cs="Times New Roman"/>
          <w:i/>
          <w:iCs/>
          <w:lang w:val="lt-LT"/>
        </w:rPr>
        <w:t>in vivo</w:t>
      </w:r>
      <w:r w:rsidRPr="00650D8D">
        <w:rPr>
          <w:rFonts w:ascii="Times New Roman" w:eastAsia="Calibri" w:hAnsi="Times New Roman" w:cs="Times New Roman"/>
          <w:lang w:val="lt-LT"/>
        </w:rPr>
        <w:t xml:space="preserve"> su vaistiniais preparatais, kurių metabolizmas priklauso nuo citochromo P450 izofermentų </w:t>
      </w:r>
      <w:r w:rsidRPr="00650D8D">
        <w:rPr>
          <w:rFonts w:ascii="Times New Roman" w:eastAsia="Calibri" w:hAnsi="Times New Roman" w:cs="Times New Roman"/>
          <w:lang w:val="lt-LT"/>
        </w:rPr>
        <w:lastRenderedPageBreak/>
        <w:t>CYP1A2, CYP2A6, CYP2C9, CYP2C19, CYP2D6, CYP2E1 ar CYP3A4. Kandesartano galutinės pusinės eliminacijos laikas yra maždaug 9 val. Vartojant kartotines dozes, organizme jo nesikaupia.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Kandesartano bendras plazmos klirensas yra maždaug 0,37 ml/min./kg, inkstų –maždaug 0,19 ml/min./kg. Kandesartano eliminacija per inkstus vyksta glomerulų filtracijos ir aktyvios kanalėlių sekrecijos būdais. Išgėrus </w:t>
      </w:r>
      <w:smartTag w:uri="urn:schemas-microsoft-com:office:smarttags" w:element="metricconverter">
        <w:smartTagPr>
          <w:attr w:name="ProductID" w:val="14C"/>
        </w:smartTagPr>
        <w:r w:rsidRPr="00650D8D">
          <w:rPr>
            <w:rFonts w:ascii="Times New Roman" w:eastAsia="Calibri" w:hAnsi="Times New Roman" w:cs="Times New Roman"/>
            <w:vertAlign w:val="superscript"/>
            <w:lang w:val="lt-LT"/>
          </w:rPr>
          <w:t>14</w:t>
        </w:r>
        <w:r w:rsidRPr="00650D8D">
          <w:rPr>
            <w:rFonts w:ascii="Times New Roman" w:eastAsia="Calibri" w:hAnsi="Times New Roman" w:cs="Times New Roman"/>
            <w:lang w:val="lt-LT"/>
          </w:rPr>
          <w:t>C</w:t>
        </w:r>
      </w:smartTag>
      <w:r w:rsidRPr="00650D8D">
        <w:rPr>
          <w:rFonts w:ascii="Times New Roman" w:eastAsia="Calibri" w:hAnsi="Times New Roman" w:cs="Times New Roman"/>
          <w:lang w:val="lt-LT"/>
        </w:rPr>
        <w:t xml:space="preserve"> žymėto kandesartano cileksetilo, maždaug 26% dozės išskiriama su šlapimu kandesartano ir 7% – neaktyvaus metabolito pavidalu, maždaug 56% randama išmatose kandesartano ir 10% – neaktyvaus metabolito pavidalu.</w:t>
      </w:r>
    </w:p>
    <w:p w:rsidR="00650D8D" w:rsidRPr="00650D8D" w:rsidRDefault="00650D8D" w:rsidP="00650D8D">
      <w:pPr>
        <w:spacing w:after="0" w:line="240" w:lineRule="auto"/>
        <w:rPr>
          <w:rFonts w:ascii="Times New Roman" w:eastAsia="Calibri" w:hAnsi="Times New Roman" w:cs="Times New Roman"/>
          <w:i/>
          <w:iCs/>
          <w:lang w:val="lt-LT"/>
        </w:rPr>
      </w:pPr>
    </w:p>
    <w:p w:rsidR="00650D8D" w:rsidRPr="00650D8D" w:rsidRDefault="00650D8D" w:rsidP="00650D8D">
      <w:pPr>
        <w:spacing w:after="0" w:line="240" w:lineRule="auto"/>
        <w:rPr>
          <w:rFonts w:ascii="Times New Roman" w:eastAsia="Calibri" w:hAnsi="Times New Roman" w:cs="Times New Roman"/>
          <w:i/>
          <w:iCs/>
          <w:u w:val="single"/>
          <w:lang w:val="lt-LT"/>
        </w:rPr>
      </w:pPr>
      <w:r w:rsidRPr="00650D8D">
        <w:rPr>
          <w:rFonts w:ascii="Times New Roman" w:eastAsia="Calibri" w:hAnsi="Times New Roman" w:cs="Times New Roman"/>
          <w:i/>
          <w:iCs/>
          <w:u w:val="single"/>
          <w:lang w:val="lt-LT"/>
        </w:rPr>
        <w:t>Farmakokinetika specialių grupių ligonių organizme</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Senyvų (vyresnių kaip 65 metų) žmonių, palyginus su jaunais, plazmoje kandesartano C</w:t>
      </w:r>
      <w:r w:rsidRPr="00650D8D">
        <w:rPr>
          <w:rFonts w:ascii="Times New Roman" w:eastAsia="Calibri" w:hAnsi="Times New Roman" w:cs="Times New Roman"/>
          <w:vertAlign w:val="subscript"/>
          <w:lang w:val="lt-LT"/>
        </w:rPr>
        <w:t>ma</w:t>
      </w:r>
      <w:r w:rsidRPr="00650D8D">
        <w:rPr>
          <w:rFonts w:ascii="Times New Roman" w:eastAsia="Calibri" w:hAnsi="Times New Roman" w:cs="Times New Roman"/>
          <w:lang w:val="lt-LT"/>
        </w:rPr>
        <w:t xml:space="preserve"> būna didesnė maždaug 50%, AUC – maždaug 80%. Vis dėlto, vartojant tokią pačią dozę, kandesartano poveikis jaunų ir senyvų žmonių kraujospūdžiui bei jo nepageidaujamų reiškinių dažnis būna panašūs (žr. 4.2 skyrių).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Vartojant šį vaistinį preparatą kartotinai pacientams, kuriems yra lengvas ar vidutinio sunkumo inkstų funkcijos sutrikimas, kandesartano C</w:t>
      </w:r>
      <w:r w:rsidRPr="00650D8D">
        <w:rPr>
          <w:rFonts w:ascii="Times New Roman" w:eastAsia="Calibri" w:hAnsi="Times New Roman" w:cs="Times New Roman"/>
          <w:vertAlign w:val="subscript"/>
          <w:lang w:val="lt-LT"/>
        </w:rPr>
        <w:t xml:space="preserve">max </w:t>
      </w:r>
      <w:r w:rsidRPr="00650D8D">
        <w:rPr>
          <w:rFonts w:ascii="Times New Roman" w:eastAsia="Calibri" w:hAnsi="Times New Roman" w:cs="Times New Roman"/>
          <w:lang w:val="lt-LT"/>
        </w:rPr>
        <w:t>padidėja maždaug 50%, o AUC – maždaug 70%, tačiau pusinės eliminacijos laikas nepakinta (palyginus su žmonėmis, kurių inkstų funkcija normali). Vartojant šį vaistinį preparatą kartotinai pacientams, kuriems yra sunkus inkstų funkcijos sutrikimas, kandesartano C</w:t>
      </w:r>
      <w:r w:rsidRPr="00650D8D">
        <w:rPr>
          <w:rFonts w:ascii="Times New Roman" w:eastAsia="Calibri" w:hAnsi="Times New Roman" w:cs="Times New Roman"/>
          <w:vertAlign w:val="subscript"/>
          <w:lang w:val="lt-LT"/>
        </w:rPr>
        <w:t>max</w:t>
      </w:r>
      <w:r w:rsidRPr="00650D8D">
        <w:rPr>
          <w:rFonts w:ascii="Times New Roman" w:eastAsia="Calibri" w:hAnsi="Times New Roman" w:cs="Times New Roman"/>
          <w:lang w:val="lt-LT"/>
        </w:rPr>
        <w:t xml:space="preserve"> padidėja maždaug 50%, AUC – maždaug 110%, o galutinės pusinės eliminacijos laikas pailgėja maždaug dvigubai. Kandesartano AUC hemodializuojamiems pacientams yra panašus į pacientų, kuriems yra sunkus inkstų funkcijos sutrikimas.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Atlikti du tyrimai, kuriuose dalyvavo pacientai, kuriems buvo lengvas ir vidutinio sunkumo kepenų funkcijos sutrikimas. Vieno tyrimo duomenimis, kandesartano vidutinis AUC buvo didesnis maždaug 20%, kito – 80% (žr. 4.2 skyrių). Pacientams, kuriems yra sunkus kepenų funkcijos sutrikimas, šio vaistinio preparato vartojimo patirties nėra.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5.3</w:t>
      </w:r>
      <w:r w:rsidRPr="00650D8D">
        <w:rPr>
          <w:rFonts w:ascii="Times New Roman" w:eastAsia="Calibri" w:hAnsi="Times New Roman" w:cs="Times New Roman"/>
          <w:b/>
          <w:bCs/>
          <w:lang w:val="lt-LT"/>
        </w:rPr>
        <w:tab/>
        <w:t>Ikiklinikinių saugumo tyrimų duomenys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Duodant kandesartano kliniškai svarbiomis dozėmis, nenormalaus sisteminio ar pažeidžiančio organus toksinio poveikio nenustatyta. Ikiklinikiniai saugumo tyrimai parodė didelių kandesartano dozių poveikį pelių, žiurkių, šunų ir beždžionių inkstams bei eritrocitų rodikliams. Kandesartanas sukėlė eritrocitų skaičiaus, hemoglobino koncentracijos ir hematokrito rodiklio sumažėjimą. Kandesartano sukelti inkstų pokyčiai (intersticinis nefritas, kanalėlių išsiplėtimas ir bazofilija; padidėjusi šlapalo ir kreatinino koncentracija plazmoje) gali būti kraujospūdį mažinančio poveikio, dėl kurio pablogėja inkstų kraujotaka, pasekmė. Be to, kandesartanas sukėlė inkstų jukstaglomerulinių ląstelių hiperplaziją ar hipertrofiją, kurios priežastimi laikytas jo farmakologinis poveikis. Manoma, kad gyvūnams rasta inkstų jukstaglomerulinių ląstelių hiperplazija ar hipertrofija žmonių gydymui terapinėmis dozėmis yra nereikšminga.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Pastebėtas nėštumo pabaigoje duodamo kandesartano fetotoksinis poveikis (žr. 4.6 skyrių).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i/>
          <w:iCs/>
          <w:lang w:val="lt-LT"/>
        </w:rPr>
        <w:t>In vitro</w:t>
      </w:r>
      <w:r w:rsidRPr="00650D8D">
        <w:rPr>
          <w:rFonts w:ascii="Times New Roman" w:eastAsia="Calibri" w:hAnsi="Times New Roman" w:cs="Times New Roman"/>
          <w:lang w:val="lt-LT"/>
        </w:rPr>
        <w:t xml:space="preserve"> ir </w:t>
      </w:r>
      <w:r w:rsidRPr="00650D8D">
        <w:rPr>
          <w:rFonts w:ascii="Times New Roman" w:eastAsia="Calibri" w:hAnsi="Times New Roman" w:cs="Times New Roman"/>
          <w:i/>
          <w:iCs/>
          <w:lang w:val="lt-LT"/>
        </w:rPr>
        <w:t>in vivo</w:t>
      </w:r>
      <w:r w:rsidRPr="00650D8D">
        <w:rPr>
          <w:rFonts w:ascii="Times New Roman" w:eastAsia="Calibri" w:hAnsi="Times New Roman" w:cs="Times New Roman"/>
          <w:lang w:val="lt-LT"/>
        </w:rPr>
        <w:t xml:space="preserve"> atliktų mutageniškumo mėginių duomenimis, mutageninio ar klastogeninio poveikio žmogui kandesartanas neturėtų sukelti. Kancerogeninį poveikį rodančių duomenų negauta.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6.</w:t>
      </w:r>
      <w:r w:rsidRPr="00650D8D">
        <w:rPr>
          <w:rFonts w:ascii="Times New Roman" w:eastAsia="Calibri" w:hAnsi="Times New Roman" w:cs="Times New Roman"/>
          <w:b/>
          <w:bCs/>
          <w:lang w:val="lt-LT"/>
        </w:rPr>
        <w:tab/>
        <w:t>FARMACINĖ INFORMACIJA</w:t>
      </w:r>
    </w:p>
    <w:p w:rsidR="00650D8D" w:rsidRPr="00650D8D" w:rsidRDefault="00650D8D" w:rsidP="00650D8D">
      <w:pPr>
        <w:spacing w:after="0" w:line="240" w:lineRule="auto"/>
        <w:rPr>
          <w:rFonts w:ascii="Times New Roman" w:eastAsia="Calibri" w:hAnsi="Times New Roman" w:cs="Times New Roman"/>
          <w:b/>
          <w:bCs/>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6.1</w:t>
      </w:r>
      <w:r w:rsidRPr="00650D8D">
        <w:rPr>
          <w:rFonts w:ascii="Times New Roman" w:eastAsia="Calibri" w:hAnsi="Times New Roman" w:cs="Times New Roman"/>
          <w:b/>
          <w:bCs/>
          <w:lang w:val="lt-LT"/>
        </w:rPr>
        <w:tab/>
        <w:t>Pagalbinių medžiagų sąrašas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Dokuzato natrio druska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Natrio laurilsulfatas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Karmeliozės kalcio druska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Pregelifikuotas kukurūzų krakmolas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Hidroksipropilceliuliozė</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Laktozė monohidratas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lastRenderedPageBreak/>
        <w:t>Magnio stearatas (E572)</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Raudonasis geležies oksidas (E172) (tik 16 mg ir 32 mg tabletėse)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6.2</w:t>
      </w:r>
      <w:r w:rsidRPr="00650D8D">
        <w:rPr>
          <w:rFonts w:ascii="Times New Roman" w:eastAsia="Calibri" w:hAnsi="Times New Roman" w:cs="Times New Roman"/>
          <w:b/>
          <w:bCs/>
          <w:lang w:val="lt-LT"/>
        </w:rPr>
        <w:tab/>
        <w:t>Nesuderinamumas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Duomenys nebūtini</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6.3</w:t>
      </w:r>
      <w:r w:rsidRPr="00650D8D">
        <w:rPr>
          <w:rFonts w:ascii="Times New Roman" w:eastAsia="Calibri" w:hAnsi="Times New Roman" w:cs="Times New Roman"/>
          <w:b/>
          <w:bCs/>
          <w:lang w:val="lt-LT"/>
        </w:rPr>
        <w:tab/>
        <w:t>Tinkamumo laikas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u w:val="single"/>
          <w:lang w:val="lt-LT"/>
        </w:rPr>
        <w:t xml:space="preserve">Candesartan Ingen Pharma 4 mg ir 8 mg: </w:t>
      </w:r>
      <w:r w:rsidRPr="00650D8D">
        <w:rPr>
          <w:rFonts w:ascii="Times New Roman" w:eastAsia="Calibri" w:hAnsi="Times New Roman" w:cs="Times New Roman"/>
          <w:lang w:val="lt-LT"/>
        </w:rPr>
        <w:t>2</w:t>
      </w:r>
      <w:r w:rsidR="00596B4C">
        <w:rPr>
          <w:rFonts w:ascii="Times New Roman" w:eastAsia="Calibri" w:hAnsi="Times New Roman" w:cs="Times New Roman"/>
          <w:lang w:val="lt-LT"/>
        </w:rPr>
        <w:t xml:space="preserve"> metai</w:t>
      </w:r>
      <w:r w:rsidRPr="00650D8D">
        <w:rPr>
          <w:rFonts w:ascii="Times New Roman" w:eastAsia="Calibri" w:hAnsi="Times New Roman" w:cs="Times New Roman"/>
          <w:lang w:val="lt-LT"/>
        </w:rPr>
        <w:t>.</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u w:val="single"/>
          <w:lang w:val="lt-LT"/>
        </w:rPr>
        <w:t xml:space="preserve">Candesartan Ingen Pharma 16 mg ir 32 mg: </w:t>
      </w:r>
      <w:r w:rsidRPr="00650D8D">
        <w:rPr>
          <w:rFonts w:ascii="Times New Roman" w:eastAsia="Calibri" w:hAnsi="Times New Roman" w:cs="Times New Roman"/>
          <w:lang w:val="lt-LT"/>
        </w:rPr>
        <w:t>30 mėnesių.</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6.4</w:t>
      </w:r>
      <w:r w:rsidRPr="00650D8D">
        <w:rPr>
          <w:rFonts w:ascii="Times New Roman" w:eastAsia="Calibri" w:hAnsi="Times New Roman" w:cs="Times New Roman"/>
          <w:b/>
          <w:bCs/>
          <w:lang w:val="lt-LT"/>
        </w:rPr>
        <w:tab/>
        <w:t>Specialios laikymo sąlygos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 xml:space="preserve">Candesartan Ingen Pharma 4 mg ir 8 mg: </w:t>
      </w:r>
      <w:r w:rsidRPr="00650D8D">
        <w:rPr>
          <w:rFonts w:ascii="Times New Roman" w:eastAsia="Calibri" w:hAnsi="Times New Roman" w:cs="Times New Roman"/>
          <w:noProof/>
          <w:lang w:val="lt-LT"/>
        </w:rPr>
        <w:t>laikyti ne aukštesnėje kaip 25 </w:t>
      </w:r>
      <w:r w:rsidRPr="00650D8D">
        <w:rPr>
          <w:rFonts w:ascii="Times New Roman" w:eastAsia="Calibri" w:hAnsi="Times New Roman" w:cs="Times New Roman"/>
          <w:noProof/>
          <w:lang w:val="lt-LT"/>
        </w:rPr>
        <w:sym w:font="Symbol" w:char="F0B0"/>
      </w:r>
      <w:r w:rsidRPr="00650D8D">
        <w:rPr>
          <w:rFonts w:ascii="Times New Roman" w:eastAsia="Calibri" w:hAnsi="Times New Roman" w:cs="Times New Roman"/>
          <w:noProof/>
          <w:lang w:val="lt-LT"/>
        </w:rPr>
        <w:t>C temperatūroje.</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u w:val="single"/>
          <w:lang w:val="lt-LT"/>
        </w:rPr>
        <w:t xml:space="preserve">Candesartan Ingen Pharma 16 mg ir 32 mg: </w:t>
      </w:r>
      <w:r w:rsidRPr="00650D8D">
        <w:rPr>
          <w:rFonts w:ascii="Times New Roman" w:eastAsia="Calibri" w:hAnsi="Times New Roman" w:cs="Times New Roman"/>
          <w:lang w:val="lt-LT"/>
        </w:rPr>
        <w:t>šiam vaistiniam preparatui specialių laikymo sąlygų nereikia.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6.5</w:t>
      </w:r>
      <w:r w:rsidRPr="00650D8D">
        <w:rPr>
          <w:rFonts w:ascii="Times New Roman" w:eastAsia="Calibri" w:hAnsi="Times New Roman" w:cs="Times New Roman"/>
          <w:b/>
          <w:bCs/>
          <w:lang w:val="lt-LT"/>
        </w:rPr>
        <w:tab/>
      </w:r>
      <w:r w:rsidR="009552AB" w:rsidRPr="009552AB">
        <w:rPr>
          <w:rFonts w:ascii="Times New Roman" w:eastAsia="Calibri" w:hAnsi="Times New Roman" w:cs="Times New Roman"/>
          <w:b/>
          <w:bCs/>
          <w:lang w:val="lt-LT"/>
        </w:rPr>
        <w:t>Talpyklės pobūdis</w:t>
      </w:r>
      <w:r w:rsidRPr="00650D8D">
        <w:rPr>
          <w:rFonts w:ascii="Times New Roman" w:eastAsia="Calibri" w:hAnsi="Times New Roman" w:cs="Times New Roman"/>
          <w:b/>
          <w:bCs/>
          <w:lang w:val="lt-LT"/>
        </w:rPr>
        <w:t xml:space="preserve"> ir jos turinys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PVC / PVdC aliuminio lizdinė plokštelė, kurioje yra 28 tabletės.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6.6</w:t>
      </w:r>
      <w:r w:rsidRPr="00650D8D">
        <w:rPr>
          <w:rFonts w:ascii="Times New Roman" w:eastAsia="Calibri" w:hAnsi="Times New Roman" w:cs="Times New Roman"/>
          <w:b/>
          <w:bCs/>
          <w:lang w:val="lt-LT"/>
        </w:rPr>
        <w:tab/>
        <w:t>Specialūs reikalavimai atliekoms tvarkyti</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Specialių reikalavimų nėra.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7.</w:t>
      </w:r>
      <w:r w:rsidRPr="00650D8D">
        <w:rPr>
          <w:rFonts w:ascii="Times New Roman" w:eastAsia="Calibri" w:hAnsi="Times New Roman" w:cs="Times New Roman"/>
          <w:b/>
          <w:bCs/>
          <w:lang w:val="lt-LT"/>
        </w:rPr>
        <w:tab/>
      </w:r>
      <w:r w:rsidR="004A79E6" w:rsidRPr="004A79E6">
        <w:rPr>
          <w:rFonts w:ascii="Times New Roman" w:eastAsia="Calibri" w:hAnsi="Times New Roman" w:cs="Times New Roman"/>
          <w:b/>
          <w:bCs/>
          <w:lang w:val="lt-LT"/>
        </w:rPr>
        <w:t>REGISTRUOTOJAS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SIA Ingen Pharma</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K. Ulmaņa gatve 119</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color w:val="000000"/>
          <w:lang w:val="lt-LT"/>
        </w:rPr>
      </w:pPr>
      <w:r w:rsidRPr="00650D8D">
        <w:rPr>
          <w:rFonts w:ascii="Times New Roman" w:eastAsia="Calibri" w:hAnsi="Times New Roman" w:cs="Times New Roman"/>
          <w:lang w:val="lt-LT" w:eastAsia="lt-LT"/>
        </w:rPr>
        <w:t xml:space="preserve">LV-2167 </w:t>
      </w:r>
      <w:r w:rsidRPr="00650D8D">
        <w:rPr>
          <w:rFonts w:ascii="Times New Roman" w:eastAsia="Calibri" w:hAnsi="Times New Roman" w:cs="Times New Roman"/>
          <w:color w:val="000000"/>
          <w:lang w:val="lt-LT"/>
        </w:rPr>
        <w:t>Mārupe, Rīga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Latvija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8.</w:t>
      </w:r>
      <w:r w:rsidRPr="00650D8D">
        <w:rPr>
          <w:rFonts w:ascii="Times New Roman" w:eastAsia="Calibri" w:hAnsi="Times New Roman" w:cs="Times New Roman"/>
          <w:b/>
          <w:bCs/>
          <w:lang w:val="lt-LT"/>
        </w:rPr>
        <w:tab/>
      </w:r>
      <w:r w:rsidR="004A79E6" w:rsidRPr="004A79E6">
        <w:rPr>
          <w:rFonts w:ascii="Times New Roman" w:eastAsia="Calibri" w:hAnsi="Times New Roman" w:cs="Times New Roman"/>
          <w:b/>
          <w:bCs/>
          <w:lang w:val="lt-LT"/>
        </w:rPr>
        <w:t>REGISTRACIJOS PAŽYMĖJIMO</w:t>
      </w:r>
      <w:r w:rsidRPr="00650D8D">
        <w:rPr>
          <w:rFonts w:ascii="Times New Roman" w:eastAsia="Calibri" w:hAnsi="Times New Roman" w:cs="Times New Roman"/>
          <w:b/>
          <w:bCs/>
          <w:lang w:val="lt-LT"/>
        </w:rPr>
        <w:t xml:space="preserve"> NUMERIS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4 mg – LT/1/12/3031/001</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8 mg – LT/1/12/3031/002</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16 mg – LT/1/12/3031/003</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32 mg – LT/1/12/3031/004</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9.</w:t>
      </w:r>
      <w:r w:rsidRPr="00650D8D">
        <w:rPr>
          <w:rFonts w:ascii="Times New Roman" w:eastAsia="Calibri" w:hAnsi="Times New Roman" w:cs="Times New Roman"/>
          <w:b/>
          <w:bCs/>
          <w:lang w:val="lt-LT"/>
        </w:rPr>
        <w:tab/>
      </w:r>
      <w:r w:rsidR="004A79E6" w:rsidRPr="004A79E6">
        <w:rPr>
          <w:rFonts w:ascii="Times New Roman" w:eastAsia="Calibri" w:hAnsi="Times New Roman" w:cs="Times New Roman"/>
          <w:b/>
          <w:bCs/>
          <w:lang w:val="lt-LT"/>
        </w:rPr>
        <w:t>REGISTRAVIMO / PERREGISTRAVIMO</w:t>
      </w:r>
      <w:r w:rsidRPr="00650D8D">
        <w:rPr>
          <w:rFonts w:ascii="Times New Roman" w:eastAsia="Calibri" w:hAnsi="Times New Roman" w:cs="Times New Roman"/>
          <w:b/>
          <w:bCs/>
          <w:lang w:val="lt-LT"/>
        </w:rPr>
        <w:t xml:space="preserve"> DATA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596B4C" w:rsidP="00650D8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Registravimo data </w:t>
      </w:r>
      <w:r w:rsidR="00650D8D" w:rsidRPr="00650D8D">
        <w:rPr>
          <w:rFonts w:ascii="Times New Roman" w:eastAsia="Calibri" w:hAnsi="Times New Roman" w:cs="Times New Roman"/>
          <w:lang w:val="lt-LT"/>
        </w:rPr>
        <w:t>2012</w:t>
      </w:r>
      <w:r>
        <w:rPr>
          <w:rFonts w:ascii="Times New Roman" w:eastAsia="Calibri" w:hAnsi="Times New Roman" w:cs="Times New Roman"/>
          <w:lang w:val="lt-LT"/>
        </w:rPr>
        <w:t xml:space="preserve"> m. rugpjūčio 10 d.</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10.</w:t>
      </w:r>
      <w:r w:rsidRPr="00650D8D">
        <w:rPr>
          <w:rFonts w:ascii="Times New Roman" w:eastAsia="Calibri" w:hAnsi="Times New Roman" w:cs="Times New Roman"/>
          <w:b/>
          <w:bCs/>
          <w:lang w:val="lt-LT"/>
        </w:rPr>
        <w:tab/>
        <w:t>TEKSTO PERŽIŪROS DATA</w:t>
      </w:r>
    </w:p>
    <w:p w:rsidR="00650D8D" w:rsidRPr="00650D8D" w:rsidRDefault="00650D8D" w:rsidP="00650D8D">
      <w:pPr>
        <w:spacing w:after="0" w:line="240" w:lineRule="auto"/>
        <w:rPr>
          <w:rFonts w:ascii="Times New Roman" w:eastAsia="Calibri" w:hAnsi="Times New Roman" w:cs="Times New Roman"/>
          <w:lang w:val="lt-LT"/>
        </w:rPr>
      </w:pPr>
    </w:p>
    <w:p w:rsidR="00650D8D" w:rsidRDefault="00B253F4" w:rsidP="00650D8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2015-12-21</w:t>
      </w:r>
    </w:p>
    <w:p w:rsidR="00B253F4" w:rsidRPr="00650D8D" w:rsidRDefault="00B253F4" w:rsidP="00650D8D">
      <w:pPr>
        <w:spacing w:after="0" w:line="240" w:lineRule="auto"/>
        <w:rPr>
          <w:rFonts w:ascii="Times New Roman" w:eastAsia="Calibri" w:hAnsi="Times New Roman" w:cs="Times New Roman"/>
          <w:lang w:val="lt-LT"/>
        </w:rPr>
      </w:pPr>
    </w:p>
    <w:p w:rsidR="004A79E6" w:rsidRPr="004A79E6" w:rsidRDefault="004A79E6" w:rsidP="004A79E6">
      <w:pPr>
        <w:spacing w:after="0" w:line="240" w:lineRule="auto"/>
        <w:rPr>
          <w:rFonts w:ascii="Times New Roman" w:eastAsia="Calibri" w:hAnsi="Times New Roman" w:cs="Times New Roman"/>
          <w:lang w:val="lt-LT"/>
        </w:rPr>
      </w:pPr>
      <w:r w:rsidRPr="004A79E6">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4A79E6">
        <w:rPr>
          <w:rFonts w:ascii="Times New Roman" w:eastAsia="Calibri" w:hAnsi="Times New Roman" w:cs="Times New Roman"/>
          <w:i/>
          <w:lang w:val="lt-LT"/>
        </w:rPr>
        <w:t xml:space="preserve"> </w:t>
      </w:r>
      <w:hyperlink r:id="rId10" w:history="1">
        <w:r w:rsidRPr="00B253F4">
          <w:rPr>
            <w:rStyle w:val="Hipersaitas"/>
            <w:lang w:val="lt-LT"/>
          </w:rPr>
          <w:t>http://www.vvkt.lt</w:t>
        </w:r>
      </w:hyperlink>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br w:type="page"/>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bookmarkStart w:id="0" w:name="_Toc129243128"/>
      <w:bookmarkStart w:id="1" w:name="_Toc129243253"/>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r w:rsidRPr="00650D8D">
        <w:rPr>
          <w:rFonts w:ascii="Times New Roman" w:eastAsia="Calibri" w:hAnsi="Times New Roman" w:cs="Times New Roman"/>
          <w:b/>
          <w:bCs/>
          <w:caps/>
          <w:lang w:val="lt-LT" w:eastAsia="lt-LT"/>
        </w:rPr>
        <w:t>II PRIEDAS</w:t>
      </w:r>
      <w:bookmarkEnd w:id="0"/>
      <w:bookmarkEnd w:id="1"/>
    </w:p>
    <w:p w:rsidR="00650D8D" w:rsidRPr="00650D8D" w:rsidRDefault="00650D8D"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p>
    <w:p w:rsidR="00650D8D" w:rsidRPr="00650D8D" w:rsidRDefault="006D6F1C" w:rsidP="00650D8D">
      <w:pPr>
        <w:tabs>
          <w:tab w:val="left" w:pos="567"/>
        </w:tabs>
        <w:spacing w:after="0" w:line="240" w:lineRule="auto"/>
        <w:ind w:left="567" w:hanging="567"/>
        <w:jc w:val="center"/>
        <w:outlineLvl w:val="0"/>
        <w:rPr>
          <w:rFonts w:ascii="Times New Roman" w:eastAsia="Calibri" w:hAnsi="Times New Roman" w:cs="Times New Roman"/>
          <w:b/>
          <w:bCs/>
          <w:caps/>
          <w:lang w:val="lt-LT" w:eastAsia="lt-LT"/>
        </w:rPr>
      </w:pPr>
      <w:r w:rsidRPr="006D6F1C">
        <w:rPr>
          <w:rFonts w:ascii="Times New Roman" w:eastAsia="Calibri" w:hAnsi="Times New Roman" w:cs="Times New Roman"/>
          <w:b/>
          <w:bCs/>
          <w:caps/>
          <w:lang w:val="lt-LT" w:eastAsia="lt-LT"/>
        </w:rPr>
        <w:t>REGISTRACIJOS</w:t>
      </w:r>
      <w:r w:rsidR="00650D8D" w:rsidRPr="00650D8D">
        <w:rPr>
          <w:rFonts w:ascii="Times New Roman" w:eastAsia="Calibri" w:hAnsi="Times New Roman" w:cs="Times New Roman"/>
          <w:b/>
          <w:bCs/>
          <w:caps/>
          <w:lang w:val="lt-LT" w:eastAsia="lt-LT"/>
        </w:rPr>
        <w:t xml:space="preserve"> SĄLYGOS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tabs>
          <w:tab w:val="left" w:pos="1701"/>
        </w:tabs>
        <w:spacing w:after="0" w:line="240" w:lineRule="auto"/>
        <w:ind w:left="1701" w:hanging="567"/>
        <w:rPr>
          <w:rFonts w:ascii="Times New Roman" w:eastAsia="Calibri" w:hAnsi="Times New Roman" w:cs="Times New Roman"/>
          <w:b/>
          <w:bCs/>
          <w:highlight w:val="yellow"/>
          <w:lang w:val="lt-LT" w:eastAsia="x-none"/>
        </w:rPr>
      </w:pPr>
      <w:r w:rsidRPr="00650D8D">
        <w:rPr>
          <w:rFonts w:ascii="Times New Roman" w:eastAsia="Calibri" w:hAnsi="Times New Roman" w:cs="Times New Roman"/>
          <w:b/>
          <w:bCs/>
          <w:lang w:val="lt-LT" w:eastAsia="x-none"/>
        </w:rPr>
        <w:t>A.</w:t>
      </w:r>
      <w:r w:rsidRPr="00650D8D">
        <w:rPr>
          <w:rFonts w:ascii="Times New Roman" w:eastAsia="Calibri" w:hAnsi="Times New Roman" w:cs="Times New Roman"/>
          <w:b/>
          <w:bCs/>
          <w:lang w:val="lt-LT" w:eastAsia="x-none"/>
        </w:rPr>
        <w:tab/>
        <w:t>GAM</w:t>
      </w:r>
      <w:r w:rsidR="00596B4C">
        <w:rPr>
          <w:rFonts w:ascii="Times New Roman" w:eastAsia="Calibri" w:hAnsi="Times New Roman" w:cs="Times New Roman"/>
          <w:b/>
          <w:bCs/>
          <w:lang w:val="lt-LT" w:eastAsia="x-none"/>
        </w:rPr>
        <w:t>INTOJAS</w:t>
      </w:r>
      <w:r w:rsidRPr="00650D8D">
        <w:rPr>
          <w:rFonts w:ascii="Times New Roman" w:eastAsia="Calibri" w:hAnsi="Times New Roman" w:cs="Times New Roman"/>
          <w:b/>
          <w:bCs/>
          <w:lang w:val="lt-LT" w:eastAsia="x-none"/>
        </w:rPr>
        <w:t>, ATSAKING</w:t>
      </w:r>
      <w:r w:rsidR="00596B4C">
        <w:rPr>
          <w:rFonts w:ascii="Times New Roman" w:eastAsia="Calibri" w:hAnsi="Times New Roman" w:cs="Times New Roman"/>
          <w:b/>
          <w:bCs/>
          <w:lang w:val="lt-LT" w:eastAsia="x-none"/>
        </w:rPr>
        <w:t>AS</w:t>
      </w:r>
      <w:r w:rsidRPr="00650D8D">
        <w:rPr>
          <w:rFonts w:ascii="Times New Roman" w:eastAsia="Calibri" w:hAnsi="Times New Roman" w:cs="Times New Roman"/>
          <w:b/>
          <w:bCs/>
          <w:lang w:val="lt-LT" w:eastAsia="x-none"/>
        </w:rPr>
        <w:t xml:space="preserve"> UŽ SERIJŲ IŠLEIDIMĄ</w:t>
      </w:r>
    </w:p>
    <w:p w:rsidR="00650D8D" w:rsidRPr="00650D8D" w:rsidRDefault="00650D8D" w:rsidP="00650D8D">
      <w:pPr>
        <w:spacing w:after="0" w:line="240" w:lineRule="auto"/>
        <w:rPr>
          <w:rFonts w:ascii="Times New Roman" w:eastAsia="Calibri" w:hAnsi="Times New Roman" w:cs="Times New Roman"/>
          <w:highlight w:val="yellow"/>
          <w:lang w:val="lt-LT"/>
        </w:rPr>
      </w:pPr>
    </w:p>
    <w:p w:rsidR="00650D8D" w:rsidRPr="00650D8D" w:rsidRDefault="00650D8D" w:rsidP="00650D8D">
      <w:pPr>
        <w:tabs>
          <w:tab w:val="left" w:pos="1701"/>
        </w:tabs>
        <w:spacing w:after="0" w:line="240" w:lineRule="auto"/>
        <w:ind w:left="1701" w:hanging="567"/>
        <w:rPr>
          <w:rFonts w:ascii="Times New Roman" w:eastAsia="Calibri" w:hAnsi="Times New Roman" w:cs="Times New Roman"/>
          <w:b/>
          <w:bCs/>
          <w:lang w:val="lt-LT" w:eastAsia="x-none"/>
        </w:rPr>
      </w:pPr>
      <w:r w:rsidRPr="00650D8D">
        <w:rPr>
          <w:rFonts w:ascii="Times New Roman" w:eastAsia="Calibri" w:hAnsi="Times New Roman" w:cs="Times New Roman"/>
          <w:b/>
          <w:bCs/>
          <w:lang w:val="lt-LT" w:eastAsia="x-none"/>
        </w:rPr>
        <w:t>B.</w:t>
      </w:r>
      <w:r w:rsidRPr="00650D8D">
        <w:rPr>
          <w:rFonts w:ascii="Times New Roman" w:eastAsia="Calibri" w:hAnsi="Times New Roman" w:cs="Times New Roman"/>
          <w:b/>
          <w:bCs/>
          <w:lang w:val="lt-LT" w:eastAsia="x-none"/>
        </w:rPr>
        <w:tab/>
      </w:r>
      <w:r w:rsidR="004A79E6" w:rsidRPr="004A79E6">
        <w:rPr>
          <w:rFonts w:ascii="Times New Roman" w:eastAsia="Calibri" w:hAnsi="Times New Roman" w:cs="Times New Roman"/>
          <w:b/>
          <w:bCs/>
          <w:lang w:val="lt-LT" w:eastAsia="x-none"/>
        </w:rPr>
        <w:t>TIEKIMO IR VARTOJIMO SĄLYGOS AR APRIBOJIMAI</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br w:type="page"/>
      </w:r>
    </w:p>
    <w:p w:rsidR="00650D8D" w:rsidRPr="00650D8D" w:rsidRDefault="00650D8D" w:rsidP="00650D8D">
      <w:pPr>
        <w:keepNext/>
        <w:tabs>
          <w:tab w:val="left" w:pos="567"/>
        </w:tabs>
        <w:spacing w:after="0" w:line="240" w:lineRule="auto"/>
        <w:ind w:left="567" w:hanging="567"/>
        <w:outlineLvl w:val="1"/>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lastRenderedPageBreak/>
        <w:t>A.</w:t>
      </w:r>
      <w:r w:rsidRPr="00650D8D">
        <w:rPr>
          <w:rFonts w:ascii="Times New Roman" w:eastAsia="Calibri" w:hAnsi="Times New Roman" w:cs="Times New Roman"/>
          <w:b/>
          <w:bCs/>
          <w:lang w:val="lt-LT" w:eastAsia="lt-LT"/>
        </w:rPr>
        <w:tab/>
        <w:t>GAM</w:t>
      </w:r>
      <w:r w:rsidR="00596B4C">
        <w:rPr>
          <w:rFonts w:ascii="Times New Roman" w:eastAsia="Calibri" w:hAnsi="Times New Roman" w:cs="Times New Roman"/>
          <w:b/>
          <w:bCs/>
          <w:lang w:val="lt-LT" w:eastAsia="lt-LT"/>
        </w:rPr>
        <w:t>INTOJAS</w:t>
      </w:r>
      <w:r w:rsidRPr="00650D8D">
        <w:rPr>
          <w:rFonts w:ascii="Times New Roman" w:eastAsia="Calibri" w:hAnsi="Times New Roman" w:cs="Times New Roman"/>
          <w:b/>
          <w:bCs/>
          <w:lang w:val="lt-LT" w:eastAsia="lt-LT"/>
        </w:rPr>
        <w:t>, ATSAKING</w:t>
      </w:r>
      <w:r w:rsidR="00596B4C">
        <w:rPr>
          <w:rFonts w:ascii="Times New Roman" w:eastAsia="Calibri" w:hAnsi="Times New Roman" w:cs="Times New Roman"/>
          <w:b/>
          <w:bCs/>
          <w:lang w:val="lt-LT" w:eastAsia="lt-LT"/>
        </w:rPr>
        <w:t>AS</w:t>
      </w:r>
      <w:r w:rsidRPr="00650D8D">
        <w:rPr>
          <w:rFonts w:ascii="Times New Roman" w:eastAsia="Calibri" w:hAnsi="Times New Roman" w:cs="Times New Roman"/>
          <w:b/>
          <w:bCs/>
          <w:lang w:val="lt-LT" w:eastAsia="lt-LT"/>
        </w:rPr>
        <w:t xml:space="preserve"> UŽ SERIJŲ IŠLEIDIMĄ</w:t>
      </w:r>
    </w:p>
    <w:p w:rsidR="00650D8D" w:rsidRPr="00650D8D" w:rsidRDefault="00650D8D" w:rsidP="00650D8D">
      <w:pPr>
        <w:spacing w:after="0" w:line="240" w:lineRule="auto"/>
        <w:rPr>
          <w:rFonts w:ascii="Times New Roman" w:eastAsia="Calibri" w:hAnsi="Times New Roman" w:cs="Times New Roman"/>
          <w:highlight w:val="yellow"/>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Gamintojo, atsakingo už serijų išleidimą, pavadinimas ir adresas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Bluepharma-Indústria Farmaceutica, S.A.</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S. Martinho do Bispo</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Coimbra, 3045-016</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Portugalija</w:t>
      </w:r>
    </w:p>
    <w:p w:rsidR="00650D8D" w:rsidRPr="00650D8D" w:rsidRDefault="00650D8D" w:rsidP="00650D8D">
      <w:pPr>
        <w:spacing w:after="0" w:line="240" w:lineRule="auto"/>
        <w:rPr>
          <w:rFonts w:ascii="Times New Roman" w:eastAsia="Calibri" w:hAnsi="Times New Roman" w:cs="Times New Roman"/>
          <w:highlight w:val="yellow"/>
          <w:lang w:val="lt-LT"/>
        </w:rPr>
      </w:pPr>
    </w:p>
    <w:p w:rsidR="00650D8D" w:rsidRPr="00650D8D" w:rsidRDefault="00650D8D" w:rsidP="00650D8D">
      <w:pPr>
        <w:spacing w:after="0" w:line="240" w:lineRule="auto"/>
        <w:rPr>
          <w:rFonts w:ascii="Times New Roman" w:eastAsia="Calibri" w:hAnsi="Times New Roman" w:cs="Times New Roman"/>
          <w:highlight w:val="yellow"/>
          <w:lang w:val="lt-LT"/>
        </w:rPr>
      </w:pPr>
    </w:p>
    <w:p w:rsidR="00650D8D" w:rsidRPr="00650D8D" w:rsidRDefault="00650D8D" w:rsidP="00650D8D">
      <w:pPr>
        <w:keepNext/>
        <w:tabs>
          <w:tab w:val="left" w:pos="567"/>
        </w:tabs>
        <w:spacing w:after="0" w:line="240" w:lineRule="auto"/>
        <w:ind w:left="567" w:hanging="567"/>
        <w:outlineLvl w:val="1"/>
        <w:rPr>
          <w:rFonts w:ascii="Times New Roman" w:eastAsia="Calibri" w:hAnsi="Times New Roman" w:cs="Times New Roman"/>
          <w:b/>
          <w:bCs/>
          <w:lang w:val="lt-LT" w:eastAsia="lt-LT"/>
        </w:rPr>
      </w:pPr>
      <w:bookmarkStart w:id="2" w:name="_Toc129243129"/>
      <w:bookmarkStart w:id="3" w:name="_Toc129243254"/>
      <w:r w:rsidRPr="00650D8D">
        <w:rPr>
          <w:rFonts w:ascii="Times New Roman" w:eastAsia="Calibri" w:hAnsi="Times New Roman" w:cs="Times New Roman"/>
          <w:b/>
          <w:bCs/>
          <w:lang w:val="lt-LT" w:eastAsia="lt-LT"/>
        </w:rPr>
        <w:t>B.</w:t>
      </w:r>
      <w:r w:rsidRPr="00650D8D">
        <w:rPr>
          <w:rFonts w:ascii="Times New Roman" w:eastAsia="Calibri" w:hAnsi="Times New Roman" w:cs="Times New Roman"/>
          <w:b/>
          <w:bCs/>
          <w:lang w:val="lt-LT" w:eastAsia="lt-LT"/>
        </w:rPr>
        <w:tab/>
      </w:r>
      <w:r w:rsidR="00FA7723" w:rsidRPr="00FA7723">
        <w:rPr>
          <w:rFonts w:ascii="Times New Roman" w:eastAsia="Calibri" w:hAnsi="Times New Roman" w:cs="Times New Roman"/>
          <w:b/>
          <w:bCs/>
          <w:lang w:val="lt-LT" w:eastAsia="lt-LT"/>
        </w:rPr>
        <w:t>TIEKIMO IR VARTOJIMO SĄLYGOS AR APRIBOJIMAI</w:t>
      </w:r>
      <w:bookmarkEnd w:id="2"/>
      <w:bookmarkEnd w:id="3"/>
    </w:p>
    <w:p w:rsidR="00650D8D" w:rsidRPr="00650D8D" w:rsidRDefault="00650D8D" w:rsidP="00196FC1">
      <w:pPr>
        <w:keepNext/>
        <w:keepLines/>
        <w:tabs>
          <w:tab w:val="left" w:pos="567"/>
        </w:tabs>
        <w:spacing w:after="0" w:line="240" w:lineRule="auto"/>
        <w:outlineLvl w:val="2"/>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Receptinis vaistinis preparatas.</w:t>
      </w:r>
    </w:p>
    <w:p w:rsidR="00650D8D" w:rsidRPr="00650D8D" w:rsidRDefault="00650D8D" w:rsidP="00650D8D">
      <w:pPr>
        <w:spacing w:after="0" w:line="240" w:lineRule="auto"/>
        <w:rPr>
          <w:rFonts w:ascii="Times New Roman" w:eastAsia="Calibri" w:hAnsi="Times New Roman" w:cs="Times New Roman"/>
          <w:highlight w:val="yellow"/>
          <w:lang w:val="lt-LT"/>
        </w:rPr>
      </w:pPr>
    </w:p>
    <w:p w:rsidR="00650D8D" w:rsidRPr="00650D8D" w:rsidRDefault="00650D8D" w:rsidP="00650D8D">
      <w:pPr>
        <w:spacing w:after="0" w:line="240" w:lineRule="auto"/>
        <w:rPr>
          <w:rFonts w:ascii="Times New Roman" w:eastAsia="Calibri" w:hAnsi="Times New Roman" w:cs="Times New Roman"/>
          <w:noProof/>
          <w:lang w:val="lt-LT"/>
        </w:rPr>
      </w:pPr>
    </w:p>
    <w:p w:rsidR="00650D8D" w:rsidRPr="00650D8D" w:rsidRDefault="00650D8D" w:rsidP="00650D8D">
      <w:pPr>
        <w:spacing w:after="20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br w:type="page"/>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r w:rsidRPr="00650D8D">
        <w:rPr>
          <w:rFonts w:ascii="Times New Roman" w:eastAsia="Calibri" w:hAnsi="Times New Roman" w:cs="Times New Roman"/>
          <w:b/>
          <w:bCs/>
          <w:lang w:val="lt-LT"/>
        </w:rPr>
        <w:t>III PRIEDAS</w:t>
      </w:r>
    </w:p>
    <w:p w:rsidR="00650D8D" w:rsidRPr="00650D8D" w:rsidRDefault="00650D8D" w:rsidP="00650D8D">
      <w:pPr>
        <w:spacing w:after="0" w:line="240" w:lineRule="auto"/>
        <w:jc w:val="center"/>
        <w:rPr>
          <w:rFonts w:ascii="Times New Roman" w:eastAsia="Calibri" w:hAnsi="Times New Roman" w:cs="Times New Roman"/>
          <w:b/>
          <w:bCs/>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r w:rsidRPr="00650D8D">
        <w:rPr>
          <w:rFonts w:ascii="Times New Roman" w:eastAsia="Calibri" w:hAnsi="Times New Roman" w:cs="Times New Roman"/>
          <w:b/>
          <w:bCs/>
          <w:lang w:val="lt-LT"/>
        </w:rPr>
        <w:t>ŽENKLINIMAS IR PAKUOTĖS LAPELIS</w:t>
      </w:r>
    </w:p>
    <w:p w:rsidR="00650D8D" w:rsidRPr="00650D8D" w:rsidRDefault="00650D8D" w:rsidP="00650D8D">
      <w:pPr>
        <w:spacing w:after="0" w:line="240" w:lineRule="auto"/>
        <w:jc w:val="center"/>
        <w:rPr>
          <w:rFonts w:ascii="Times New Roman" w:eastAsia="Calibri" w:hAnsi="Times New Roman" w:cs="Times New Roman"/>
          <w:b/>
          <w:bCs/>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br w:type="page"/>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r w:rsidRPr="00650D8D">
        <w:rPr>
          <w:rFonts w:ascii="Times New Roman" w:eastAsia="Calibri" w:hAnsi="Times New Roman" w:cs="Times New Roman"/>
          <w:b/>
          <w:bCs/>
          <w:lang w:val="lt-LT"/>
        </w:rPr>
        <w:t>A. ŽENKLINIMAS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br w:type="page"/>
      </w:r>
    </w:p>
    <w:p w:rsidR="00650D8D" w:rsidRPr="00650D8D" w:rsidRDefault="00650D8D" w:rsidP="00650D8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lastRenderedPageBreak/>
        <w:t>INFORMACIJA ANT IŠORINĖS PAKUOTĖS</w:t>
      </w:r>
    </w:p>
    <w:p w:rsidR="00650D8D" w:rsidRPr="00650D8D" w:rsidRDefault="00650D8D" w:rsidP="00650D8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KARTONO DĖŽUTĖ</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w:t>
      </w:r>
      <w:r w:rsidRPr="00650D8D">
        <w:rPr>
          <w:rFonts w:ascii="Times New Roman" w:eastAsia="Calibri" w:hAnsi="Times New Roman" w:cs="Times New Roman"/>
          <w:b/>
          <w:bCs/>
          <w:lang w:val="lt-LT"/>
        </w:rPr>
        <w:tab/>
        <w:t>VAISTINIO PREPARATO PAVADINIMAS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4 mg tabletės</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Candesartan Ingen Pharma 8 mg tabletės</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Candesartan Ingen Pharma 16 mg tabletės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highlight w:val="lightGray"/>
          <w:lang w:val="lt-LT"/>
        </w:rPr>
        <w:t>Candesartan Ingen Pharma 32 mg tabletės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Kandesartano cileksetilas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2.</w:t>
      </w:r>
      <w:r w:rsidRPr="00650D8D">
        <w:rPr>
          <w:rFonts w:ascii="Times New Roman" w:eastAsia="Calibri" w:hAnsi="Times New Roman" w:cs="Times New Roman"/>
          <w:b/>
          <w:bCs/>
          <w:lang w:val="lt-LT"/>
        </w:rPr>
        <w:tab/>
        <w:t xml:space="preserve">VEIKLIOJI MEDŽIAGA IR JOS KIEKIS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Kiekvienoje tabletėje yra 4 mg kandesartano cileksetilo.</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Kiekvienoje tabletėje yra 8 mg kandesartano cileksetilo.</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Kiekvienoje tabletėje yra 16 mg kandesartano cileksetilo.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highlight w:val="lightGray"/>
          <w:lang w:val="lt-LT"/>
        </w:rPr>
        <w:t>Kiekvienoje tabletėje yra 32 mg kandesartano cileksetilo.</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3.</w:t>
      </w:r>
      <w:r w:rsidRPr="00650D8D">
        <w:rPr>
          <w:rFonts w:ascii="Times New Roman" w:eastAsia="Calibri" w:hAnsi="Times New Roman" w:cs="Times New Roman"/>
          <w:b/>
          <w:bCs/>
          <w:lang w:val="lt-LT"/>
        </w:rPr>
        <w:tab/>
        <w:t>PAGALBINIŲ MEDŽIAGŲ SĄRAŠAS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Sudėtyje yra laktozės monohidrato.</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Daugiau informacijos pateikta pakuotės lapelyje.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w:t>
      </w:r>
      <w:r w:rsidRPr="00650D8D">
        <w:rPr>
          <w:rFonts w:ascii="Times New Roman" w:eastAsia="Calibri" w:hAnsi="Times New Roman" w:cs="Times New Roman"/>
          <w:b/>
          <w:bCs/>
          <w:lang w:val="lt-LT"/>
        </w:rPr>
        <w:tab/>
        <w:t>FARMACINĖ FORMA IR KIEKIS PAKUOTĖJE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highlight w:val="lightGray"/>
          <w:lang w:val="lt-LT"/>
        </w:rPr>
        <w:t>Tabletė.</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28 tabletės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5.</w:t>
      </w:r>
      <w:r w:rsidRPr="00650D8D">
        <w:rPr>
          <w:rFonts w:ascii="Times New Roman" w:eastAsia="Calibri" w:hAnsi="Times New Roman" w:cs="Times New Roman"/>
          <w:b/>
          <w:bCs/>
          <w:lang w:val="lt-LT"/>
        </w:rPr>
        <w:tab/>
        <w:t>VARTOJIMO METODAS IR BŪDAS (-AI)</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Vartoti per burną.</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Prieš vartojimą perskaitykite pakuotės lapelį.</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322DE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lang w:val="lt-LT"/>
        </w:rPr>
      </w:pPr>
      <w:r w:rsidRPr="00650D8D">
        <w:rPr>
          <w:rFonts w:ascii="Times New Roman" w:eastAsia="Calibri" w:hAnsi="Times New Roman" w:cs="Times New Roman"/>
          <w:b/>
          <w:bCs/>
          <w:lang w:val="lt-LT"/>
        </w:rPr>
        <w:t>6.</w:t>
      </w:r>
      <w:r w:rsidRPr="00650D8D">
        <w:rPr>
          <w:rFonts w:ascii="Times New Roman" w:eastAsia="Calibri" w:hAnsi="Times New Roman" w:cs="Times New Roman"/>
          <w:b/>
          <w:bCs/>
          <w:lang w:val="lt-LT"/>
        </w:rPr>
        <w:tab/>
        <w:t xml:space="preserve">SPECIALUS ĮSPĖJIMAS, KAD VAISTINĮ PREPARATĄ BŪTINA LAIKYTI VAIKAMS NEPASTEBIMOJE </w:t>
      </w:r>
      <w:r w:rsidR="009552AB" w:rsidRPr="00650D8D">
        <w:rPr>
          <w:rFonts w:ascii="Times New Roman" w:eastAsia="Calibri" w:hAnsi="Times New Roman" w:cs="Times New Roman"/>
          <w:b/>
          <w:bCs/>
          <w:lang w:val="lt-LT"/>
        </w:rPr>
        <w:t xml:space="preserve">IR NEPASIEKIAMOJE </w:t>
      </w:r>
      <w:r w:rsidRPr="00650D8D">
        <w:rPr>
          <w:rFonts w:ascii="Times New Roman" w:eastAsia="Calibri" w:hAnsi="Times New Roman" w:cs="Times New Roman"/>
          <w:b/>
          <w:bCs/>
          <w:lang w:val="lt-LT"/>
        </w:rPr>
        <w:t>VIETOJE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 xml:space="preserve">Laikyti vaikams nepastebimoje </w:t>
      </w:r>
      <w:r w:rsidR="009552AB" w:rsidRPr="00650D8D">
        <w:rPr>
          <w:rFonts w:ascii="Times New Roman" w:eastAsia="Calibri" w:hAnsi="Times New Roman" w:cs="Times New Roman"/>
          <w:lang w:val="lt-LT"/>
        </w:rPr>
        <w:t xml:space="preserve">ir nepasiekiamoje </w:t>
      </w:r>
      <w:r w:rsidRPr="00650D8D">
        <w:rPr>
          <w:rFonts w:ascii="Times New Roman" w:eastAsia="Calibri" w:hAnsi="Times New Roman" w:cs="Times New Roman"/>
          <w:lang w:val="lt-LT"/>
        </w:rPr>
        <w:t>vietoje.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7.</w:t>
      </w:r>
      <w:r w:rsidRPr="00650D8D">
        <w:rPr>
          <w:rFonts w:ascii="Times New Roman" w:eastAsia="Calibri" w:hAnsi="Times New Roman" w:cs="Times New Roman"/>
          <w:b/>
          <w:bCs/>
          <w:lang w:val="lt-LT"/>
        </w:rPr>
        <w:tab/>
        <w:t>KITAS (-I) SPECIALUS (-ŪS) ĮSPĖJIMAS (-AI) (JEI REIKIA)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8.</w:t>
      </w:r>
      <w:r w:rsidRPr="00650D8D">
        <w:rPr>
          <w:rFonts w:ascii="Times New Roman" w:eastAsia="Calibri" w:hAnsi="Times New Roman" w:cs="Times New Roman"/>
          <w:b/>
          <w:bCs/>
          <w:lang w:val="lt-LT"/>
        </w:rPr>
        <w:tab/>
        <w:t>TINKAMUMO LAIKAS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Tinka iki {mm/MMMM}</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9.</w:t>
      </w:r>
      <w:r w:rsidRPr="00650D8D">
        <w:rPr>
          <w:rFonts w:ascii="Times New Roman" w:eastAsia="Calibri" w:hAnsi="Times New Roman" w:cs="Times New Roman"/>
          <w:b/>
          <w:bCs/>
          <w:lang w:val="lt-LT"/>
        </w:rPr>
        <w:tab/>
        <w:t>SPECIALIOS LAIKYMO SĄLYGOS</w:t>
      </w:r>
    </w:p>
    <w:p w:rsidR="00650D8D" w:rsidRPr="00650D8D" w:rsidRDefault="00650D8D" w:rsidP="00650D8D">
      <w:pPr>
        <w:spacing w:after="0" w:line="240" w:lineRule="auto"/>
        <w:rPr>
          <w:rFonts w:ascii="Times New Roman" w:eastAsia="Calibri" w:hAnsi="Times New Roman" w:cs="Times New Roman"/>
          <w:highlight w:val="lightGray"/>
          <w:lang w:val="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highlight w:val="lightGray"/>
          <w:u w:val="single"/>
          <w:lang w:val="lt-LT"/>
        </w:rPr>
        <w:t>Candesartan Ingen Pharma 4 mg ir 8 mg</w:t>
      </w:r>
    </w:p>
    <w:p w:rsidR="00650D8D" w:rsidRPr="00650D8D" w:rsidRDefault="00650D8D" w:rsidP="00650D8D">
      <w:pPr>
        <w:spacing w:after="0" w:line="240" w:lineRule="auto"/>
        <w:rPr>
          <w:rFonts w:ascii="Times New Roman" w:eastAsia="Calibri" w:hAnsi="Times New Roman" w:cs="Times New Roman"/>
          <w:noProof/>
          <w:lang w:val="lt-LT"/>
        </w:rPr>
      </w:pPr>
      <w:r w:rsidRPr="00650D8D">
        <w:rPr>
          <w:rFonts w:ascii="Times New Roman" w:eastAsia="Calibri" w:hAnsi="Times New Roman" w:cs="Times New Roman"/>
          <w:noProof/>
          <w:lang w:val="lt-LT"/>
        </w:rPr>
        <w:t>Laikyti ne aukštesnėje kaip 25 </w:t>
      </w:r>
      <w:r w:rsidRPr="00650D8D">
        <w:rPr>
          <w:rFonts w:ascii="Times New Roman" w:eastAsia="Calibri" w:hAnsi="Times New Roman" w:cs="Times New Roman"/>
          <w:noProof/>
          <w:lang w:val="lt-LT"/>
        </w:rPr>
        <w:sym w:font="Symbol" w:char="F0B0"/>
      </w:r>
      <w:r w:rsidRPr="00650D8D">
        <w:rPr>
          <w:rFonts w:ascii="Times New Roman" w:eastAsia="Calibri" w:hAnsi="Times New Roman" w:cs="Times New Roman"/>
          <w:noProof/>
          <w:lang w:val="lt-LT"/>
        </w:rPr>
        <w:t>C temperatūroje.</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FA77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lang w:val="lt-LT"/>
        </w:rPr>
      </w:pPr>
      <w:r w:rsidRPr="00650D8D">
        <w:rPr>
          <w:rFonts w:ascii="Times New Roman" w:eastAsia="Calibri" w:hAnsi="Times New Roman" w:cs="Times New Roman"/>
          <w:b/>
          <w:bCs/>
          <w:lang w:val="lt-LT"/>
        </w:rPr>
        <w:t>10.</w:t>
      </w:r>
      <w:r w:rsidRPr="00650D8D">
        <w:rPr>
          <w:rFonts w:ascii="Times New Roman" w:eastAsia="Calibri" w:hAnsi="Times New Roman" w:cs="Times New Roman"/>
          <w:b/>
          <w:bCs/>
          <w:lang w:val="lt-LT"/>
        </w:rPr>
        <w:tab/>
        <w:t>SPECIALIOS ATSARGUMO PRIEMONĖS DĖL NESUVARTOTO VAISTINIO PREPARATO AR JO ATLIEKŲ TVARKYMO (JEI REIKIA)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11.</w:t>
      </w:r>
      <w:r w:rsidRPr="00650D8D">
        <w:rPr>
          <w:rFonts w:ascii="Times New Roman" w:eastAsia="Calibri" w:hAnsi="Times New Roman" w:cs="Times New Roman"/>
          <w:b/>
          <w:bCs/>
          <w:lang w:val="lt-LT"/>
        </w:rPr>
        <w:tab/>
      </w:r>
      <w:r w:rsidR="00FA7723" w:rsidRPr="00FA7723">
        <w:rPr>
          <w:rFonts w:ascii="Times New Roman" w:eastAsia="Calibri" w:hAnsi="Times New Roman" w:cs="Times New Roman"/>
          <w:b/>
          <w:bCs/>
          <w:lang w:val="lt-LT"/>
        </w:rPr>
        <w:t>REGISTRUOTOJO</w:t>
      </w:r>
      <w:r w:rsidRPr="00650D8D">
        <w:rPr>
          <w:rFonts w:ascii="Times New Roman" w:eastAsia="Calibri" w:hAnsi="Times New Roman" w:cs="Times New Roman"/>
          <w:b/>
          <w:bCs/>
          <w:lang w:val="lt-LT"/>
        </w:rPr>
        <w:t xml:space="preserve"> PAVADINIMAS IR ADRESAS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SIA Ingen Pharma</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K. Ulmaņa gatve 119</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color w:val="000000"/>
          <w:lang w:val="lt-LT"/>
        </w:rPr>
      </w:pPr>
      <w:r w:rsidRPr="00650D8D">
        <w:rPr>
          <w:rFonts w:ascii="Times New Roman" w:eastAsia="Calibri" w:hAnsi="Times New Roman" w:cs="Times New Roman"/>
          <w:lang w:val="lt-LT" w:eastAsia="lt-LT"/>
        </w:rPr>
        <w:t xml:space="preserve">LV-2167 </w:t>
      </w:r>
      <w:r w:rsidRPr="00650D8D">
        <w:rPr>
          <w:rFonts w:ascii="Times New Roman" w:eastAsia="Calibri" w:hAnsi="Times New Roman" w:cs="Times New Roman"/>
          <w:color w:val="000000"/>
          <w:lang w:val="lt-LT"/>
        </w:rPr>
        <w:t>Mārupe, Rīga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Latvija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12.</w:t>
      </w:r>
      <w:r w:rsidRPr="00650D8D">
        <w:rPr>
          <w:rFonts w:ascii="Times New Roman" w:eastAsia="Calibri" w:hAnsi="Times New Roman" w:cs="Times New Roman"/>
          <w:b/>
          <w:bCs/>
          <w:lang w:val="lt-LT"/>
        </w:rPr>
        <w:tab/>
      </w:r>
      <w:r w:rsidR="00FA7723" w:rsidRPr="00FA7723">
        <w:rPr>
          <w:rFonts w:ascii="Times New Roman" w:eastAsia="Calibri" w:hAnsi="Times New Roman" w:cs="Times New Roman"/>
          <w:b/>
          <w:bCs/>
          <w:lang w:val="lt-LT"/>
        </w:rPr>
        <w:t>REGISTRACIJOS PAŽYMĖJIMO</w:t>
      </w:r>
      <w:r w:rsidRPr="00650D8D">
        <w:rPr>
          <w:rFonts w:ascii="Times New Roman" w:eastAsia="Calibri" w:hAnsi="Times New Roman" w:cs="Times New Roman"/>
          <w:b/>
          <w:bCs/>
          <w:lang w:val="lt-LT"/>
        </w:rPr>
        <w:t xml:space="preserve"> NUMERI</w:t>
      </w:r>
      <w:r w:rsidR="00596B4C">
        <w:rPr>
          <w:rFonts w:ascii="Times New Roman" w:eastAsia="Calibri" w:hAnsi="Times New Roman" w:cs="Times New Roman"/>
          <w:b/>
          <w:bCs/>
          <w:lang w:val="lt-LT"/>
        </w:rPr>
        <w:t>AI</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4 mg – LT/1/12/3031/001</w:t>
      </w:r>
    </w:p>
    <w:p w:rsidR="00650D8D" w:rsidRPr="0020766B" w:rsidRDefault="00650D8D" w:rsidP="00650D8D">
      <w:pPr>
        <w:spacing w:after="0" w:line="240" w:lineRule="auto"/>
        <w:rPr>
          <w:rFonts w:ascii="Times New Roman" w:eastAsia="Calibri" w:hAnsi="Times New Roman" w:cs="Times New Roman"/>
          <w:highlight w:val="lightGray"/>
          <w:lang w:val="lt-LT"/>
        </w:rPr>
      </w:pPr>
      <w:r w:rsidRPr="0020766B">
        <w:rPr>
          <w:rFonts w:ascii="Times New Roman" w:eastAsia="Calibri" w:hAnsi="Times New Roman" w:cs="Times New Roman"/>
          <w:highlight w:val="lightGray"/>
          <w:lang w:val="lt-LT"/>
        </w:rPr>
        <w:t>Candesartan Ingen Pharma 8 mg – LT/1/12/3031/002</w:t>
      </w:r>
    </w:p>
    <w:p w:rsidR="00650D8D" w:rsidRPr="0020766B" w:rsidRDefault="00650D8D" w:rsidP="00650D8D">
      <w:pPr>
        <w:spacing w:after="0" w:line="240" w:lineRule="auto"/>
        <w:rPr>
          <w:rFonts w:ascii="Times New Roman" w:eastAsia="Calibri" w:hAnsi="Times New Roman" w:cs="Times New Roman"/>
          <w:highlight w:val="lightGray"/>
          <w:lang w:val="lt-LT"/>
        </w:rPr>
      </w:pPr>
      <w:r w:rsidRPr="0020766B">
        <w:rPr>
          <w:rFonts w:ascii="Times New Roman" w:eastAsia="Calibri" w:hAnsi="Times New Roman" w:cs="Times New Roman"/>
          <w:highlight w:val="lightGray"/>
          <w:lang w:val="lt-LT"/>
        </w:rPr>
        <w:t>Candesartan Ingen Pharma 16 mg – LT/1/12/3031/003</w:t>
      </w:r>
    </w:p>
    <w:p w:rsidR="00650D8D" w:rsidRPr="00650D8D" w:rsidRDefault="00650D8D" w:rsidP="00650D8D">
      <w:pPr>
        <w:spacing w:after="0" w:line="240" w:lineRule="auto"/>
        <w:rPr>
          <w:rFonts w:ascii="Times New Roman" w:eastAsia="Calibri" w:hAnsi="Times New Roman" w:cs="Times New Roman"/>
          <w:lang w:val="lt-LT"/>
        </w:rPr>
      </w:pPr>
      <w:r w:rsidRPr="0020766B">
        <w:rPr>
          <w:rFonts w:ascii="Times New Roman" w:eastAsia="Calibri" w:hAnsi="Times New Roman" w:cs="Times New Roman"/>
          <w:highlight w:val="lightGray"/>
          <w:lang w:val="lt-LT"/>
        </w:rPr>
        <w:t>Candesartan Ingen Pharma 32 mg – LT/1/12/3031/004</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13.</w:t>
      </w:r>
      <w:r w:rsidRPr="00650D8D">
        <w:rPr>
          <w:rFonts w:ascii="Times New Roman" w:eastAsia="Calibri" w:hAnsi="Times New Roman" w:cs="Times New Roman"/>
          <w:b/>
          <w:bCs/>
          <w:lang w:val="lt-LT"/>
        </w:rPr>
        <w:tab/>
        <w:t>SERIJOS NUMERIS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Serija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14.</w:t>
      </w:r>
      <w:r w:rsidRPr="00650D8D">
        <w:rPr>
          <w:rFonts w:ascii="Times New Roman" w:eastAsia="Calibri" w:hAnsi="Times New Roman" w:cs="Times New Roman"/>
          <w:b/>
          <w:bCs/>
          <w:lang w:val="lt-LT"/>
        </w:rPr>
        <w:tab/>
        <w:t>PARDAVIMO (IŠDAVIMO)TVARKA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Receptinis vaistinis preparatas.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val="lt-LT"/>
        </w:rPr>
      </w:pPr>
      <w:r w:rsidRPr="00650D8D">
        <w:rPr>
          <w:rFonts w:ascii="Times New Roman" w:eastAsia="Calibri" w:hAnsi="Times New Roman" w:cs="Times New Roman"/>
          <w:b/>
          <w:bCs/>
          <w:lang w:val="lt-LT"/>
        </w:rPr>
        <w:t>15.</w:t>
      </w:r>
      <w:r w:rsidRPr="00650D8D">
        <w:rPr>
          <w:rFonts w:ascii="Times New Roman" w:eastAsia="Calibri" w:hAnsi="Times New Roman" w:cs="Times New Roman"/>
          <w:b/>
          <w:bCs/>
          <w:lang w:val="lt-LT"/>
        </w:rPr>
        <w:tab/>
        <w:t>VARTOJIMO INSTRUKCIJA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16.</w:t>
      </w:r>
      <w:r w:rsidRPr="00650D8D">
        <w:rPr>
          <w:rFonts w:ascii="Times New Roman" w:eastAsia="Calibri" w:hAnsi="Times New Roman" w:cs="Times New Roman"/>
          <w:b/>
          <w:bCs/>
          <w:lang w:val="lt-LT"/>
        </w:rPr>
        <w:tab/>
        <w:t>INFORMACIJA BRAILIO RAŠTU</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4 mg</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candesartan Ingen Pharma 8 mg</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candesartan Ingen Pharma 16 mg</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highlight w:val="lightGray"/>
          <w:lang w:val="lt-LT"/>
        </w:rPr>
        <w:t>candesartan Ingen Pharma 32 mg</w:t>
      </w:r>
    </w:p>
    <w:p w:rsidR="00650D8D" w:rsidRPr="00650D8D" w:rsidRDefault="00650D8D" w:rsidP="00650D8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lang w:val="lt-LT"/>
        </w:rPr>
        <w:br w:type="page"/>
      </w:r>
      <w:r w:rsidRPr="00650D8D">
        <w:rPr>
          <w:rFonts w:ascii="Times New Roman" w:eastAsia="Calibri" w:hAnsi="Times New Roman" w:cs="Times New Roman"/>
          <w:b/>
          <w:bCs/>
          <w:lang w:val="lt-LT"/>
        </w:rPr>
        <w:lastRenderedPageBreak/>
        <w:t>MINIMALI INFORMACIJA ANT LIZDINIŲ PLOKŠTELIŲ ARBA DVISLUOKSNIŲ JUOSTELIŲ</w:t>
      </w:r>
    </w:p>
    <w:p w:rsidR="00650D8D" w:rsidRPr="00650D8D" w:rsidRDefault="00650D8D" w:rsidP="00650D8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bCs/>
          <w:lang w:val="lt-LT"/>
        </w:rPr>
      </w:pPr>
    </w:p>
    <w:p w:rsidR="00650D8D" w:rsidRPr="00650D8D" w:rsidRDefault="00650D8D" w:rsidP="00650D8D">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LIZDINĖ PLOKŠTELĖ</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1.</w:t>
      </w:r>
      <w:r w:rsidRPr="00650D8D">
        <w:rPr>
          <w:rFonts w:ascii="Times New Roman" w:eastAsia="Calibri" w:hAnsi="Times New Roman" w:cs="Times New Roman"/>
          <w:b/>
          <w:bCs/>
          <w:lang w:val="lt-LT"/>
        </w:rPr>
        <w:tab/>
        <w:t>VAISTINIO PREPARATO PAVADINIMAS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Candesartan Ingen Pharma 4 mg tabletės</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Candesartan Ingen Pharma 8 mg tabletės</w:t>
      </w:r>
    </w:p>
    <w:p w:rsidR="00650D8D" w:rsidRPr="00650D8D" w:rsidRDefault="00650D8D" w:rsidP="00650D8D">
      <w:pPr>
        <w:spacing w:after="0" w:line="240" w:lineRule="auto"/>
        <w:rPr>
          <w:rFonts w:ascii="Times New Roman" w:eastAsia="Calibri" w:hAnsi="Times New Roman" w:cs="Times New Roman"/>
          <w:highlight w:val="lightGray"/>
          <w:lang w:val="lt-LT"/>
        </w:rPr>
      </w:pPr>
      <w:r w:rsidRPr="00650D8D">
        <w:rPr>
          <w:rFonts w:ascii="Times New Roman" w:eastAsia="Calibri" w:hAnsi="Times New Roman" w:cs="Times New Roman"/>
          <w:highlight w:val="lightGray"/>
          <w:lang w:val="lt-LT"/>
        </w:rPr>
        <w:t>Candesartan Ingen Pharma 16 mg tabletės</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highlight w:val="lightGray"/>
          <w:lang w:val="lt-LT"/>
        </w:rPr>
        <w:t>Candesartan Ingen Pharma 32 mg tabletės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Kandesartano cileksetilas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2.</w:t>
      </w:r>
      <w:r w:rsidRPr="00650D8D">
        <w:rPr>
          <w:rFonts w:ascii="Times New Roman" w:eastAsia="Calibri" w:hAnsi="Times New Roman" w:cs="Times New Roman"/>
          <w:b/>
          <w:bCs/>
          <w:lang w:val="lt-LT"/>
        </w:rPr>
        <w:tab/>
      </w:r>
      <w:r w:rsidR="00FA7723" w:rsidRPr="00FA7723">
        <w:rPr>
          <w:rFonts w:ascii="Times New Roman" w:eastAsia="Calibri" w:hAnsi="Times New Roman" w:cs="Times New Roman"/>
          <w:b/>
          <w:bCs/>
          <w:lang w:val="lt-LT"/>
        </w:rPr>
        <w:t>REGISTRUOTOJO</w:t>
      </w:r>
      <w:r w:rsidRPr="00650D8D">
        <w:rPr>
          <w:rFonts w:ascii="Times New Roman" w:eastAsia="Calibri" w:hAnsi="Times New Roman" w:cs="Times New Roman"/>
          <w:b/>
          <w:bCs/>
          <w:lang w:val="lt-LT"/>
        </w:rPr>
        <w:t xml:space="preserve"> PAVADINIMAS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INGEN PHARMA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3.</w:t>
      </w:r>
      <w:r w:rsidRPr="00650D8D">
        <w:rPr>
          <w:rFonts w:ascii="Times New Roman" w:eastAsia="Calibri" w:hAnsi="Times New Roman" w:cs="Times New Roman"/>
          <w:b/>
          <w:bCs/>
          <w:lang w:val="lt-LT"/>
        </w:rPr>
        <w:tab/>
        <w:t>TINKAMUMO LAIKAS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Tinka iki: {mm/MMMM}</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4.</w:t>
      </w:r>
      <w:r w:rsidRPr="00650D8D">
        <w:rPr>
          <w:rFonts w:ascii="Times New Roman" w:eastAsia="Calibri" w:hAnsi="Times New Roman" w:cs="Times New Roman"/>
          <w:b/>
          <w:bCs/>
          <w:lang w:val="lt-LT"/>
        </w:rPr>
        <w:tab/>
        <w:t>SERIJOS NUMERIS</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Serija: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val="lt-LT"/>
        </w:rPr>
      </w:pPr>
      <w:r w:rsidRPr="00650D8D">
        <w:rPr>
          <w:rFonts w:ascii="Times New Roman" w:eastAsia="Calibri" w:hAnsi="Times New Roman" w:cs="Times New Roman"/>
          <w:b/>
          <w:bCs/>
          <w:lang w:val="lt-LT"/>
        </w:rPr>
        <w:t>5.</w:t>
      </w:r>
      <w:r w:rsidRPr="00650D8D">
        <w:rPr>
          <w:rFonts w:ascii="Times New Roman" w:eastAsia="Calibri" w:hAnsi="Times New Roman" w:cs="Times New Roman"/>
          <w:b/>
          <w:bCs/>
          <w:lang w:val="lt-LT"/>
        </w:rPr>
        <w:tab/>
        <w:t>KITA</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br w:type="page"/>
      </w:r>
      <w:r w:rsidRPr="00650D8D" w:rsidDel="00477DDC">
        <w:rPr>
          <w:rFonts w:ascii="Times New Roman" w:eastAsia="Calibri" w:hAnsi="Times New Roman" w:cs="Times New Roman"/>
          <w:lang w:val="lt-LT"/>
        </w:rPr>
        <w:lastRenderedPageBreak/>
        <w:t xml:space="preserve"> </w:t>
      </w: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rPr>
          <w:rFonts w:ascii="Times New Roman" w:eastAsia="Calibri" w:hAnsi="Times New Roman" w:cs="Times New Roman"/>
          <w:lang w:val="lt-LT"/>
        </w:rPr>
      </w:pPr>
    </w:p>
    <w:p w:rsidR="00650D8D" w:rsidRPr="00650D8D" w:rsidRDefault="00650D8D" w:rsidP="00650D8D">
      <w:pPr>
        <w:spacing w:after="0" w:line="240" w:lineRule="auto"/>
        <w:jc w:val="center"/>
        <w:rPr>
          <w:rFonts w:ascii="Times New Roman" w:eastAsia="Calibri" w:hAnsi="Times New Roman" w:cs="Times New Roman"/>
          <w:b/>
          <w:bCs/>
          <w:lang w:val="lt-LT"/>
        </w:rPr>
      </w:pPr>
      <w:r w:rsidRPr="00650D8D">
        <w:rPr>
          <w:rFonts w:ascii="Times New Roman" w:eastAsia="Calibri" w:hAnsi="Times New Roman" w:cs="Times New Roman"/>
          <w:b/>
          <w:bCs/>
          <w:lang w:val="lt-LT"/>
        </w:rPr>
        <w:t>B. PAKUOTĖS LAPELIS</w:t>
      </w:r>
    </w:p>
    <w:p w:rsidR="006E13F0" w:rsidRDefault="00650D8D" w:rsidP="00650D8D">
      <w:pPr>
        <w:spacing w:after="0" w:line="240" w:lineRule="auto"/>
        <w:jc w:val="center"/>
        <w:outlineLvl w:val="0"/>
        <w:rPr>
          <w:rFonts w:ascii="Times New Roman" w:eastAsia="Calibri" w:hAnsi="Times New Roman" w:cs="Times New Roman"/>
          <w:b/>
          <w:bCs/>
          <w:lang w:val="lt-LT" w:eastAsia="lt-LT"/>
        </w:rPr>
      </w:pPr>
      <w:r w:rsidRPr="00650D8D">
        <w:rPr>
          <w:rFonts w:ascii="Times New Roman" w:eastAsia="Calibri" w:hAnsi="Times New Roman" w:cs="Times New Roman"/>
          <w:lang w:val="lt-LT"/>
        </w:rPr>
        <w:br w:type="page"/>
      </w:r>
      <w:r w:rsidRPr="00650D8D">
        <w:rPr>
          <w:rFonts w:ascii="Times New Roman" w:eastAsia="Calibri" w:hAnsi="Times New Roman" w:cs="Times New Roman"/>
          <w:b/>
          <w:bCs/>
          <w:lang w:val="lt-LT" w:eastAsia="lt-LT"/>
        </w:rPr>
        <w:lastRenderedPageBreak/>
        <w:t>P</w:t>
      </w:r>
      <w:r w:rsidR="006E13F0" w:rsidRPr="006E13F0">
        <w:rPr>
          <w:rFonts w:ascii="Times New Roman" w:eastAsia="Calibri" w:hAnsi="Times New Roman" w:cs="Times New Roman"/>
          <w:b/>
          <w:bCs/>
          <w:lang w:val="lt-LT" w:eastAsia="lt-LT"/>
        </w:rPr>
        <w:t>akuotės lapelis</w:t>
      </w:r>
      <w:r w:rsidR="006E13F0">
        <w:rPr>
          <w:rFonts w:ascii="Times New Roman" w:eastAsia="Calibri" w:hAnsi="Times New Roman" w:cs="Times New Roman"/>
          <w:b/>
          <w:bCs/>
          <w:lang w:val="lt-LT" w:eastAsia="lt-LT"/>
        </w:rPr>
        <w:t xml:space="preserve">: </w:t>
      </w:r>
      <w:r w:rsidR="006E13F0" w:rsidRPr="006E13F0">
        <w:rPr>
          <w:rFonts w:ascii="Times New Roman" w:eastAsia="Calibri" w:hAnsi="Times New Roman" w:cs="Times New Roman"/>
          <w:b/>
          <w:bCs/>
          <w:lang w:val="lt-LT" w:eastAsia="lt-LT"/>
        </w:rPr>
        <w:t>informacija</w:t>
      </w:r>
      <w:r w:rsidRPr="00650D8D">
        <w:rPr>
          <w:rFonts w:ascii="Times New Roman" w:eastAsia="Calibri" w:hAnsi="Times New Roman" w:cs="Times New Roman"/>
          <w:b/>
          <w:bCs/>
          <w:lang w:val="lt-LT" w:eastAsia="lt-LT"/>
        </w:rPr>
        <w:t xml:space="preserve"> </w:t>
      </w:r>
      <w:r w:rsidR="006E13F0" w:rsidRPr="006E13F0">
        <w:rPr>
          <w:rFonts w:ascii="Times New Roman" w:eastAsia="Calibri" w:hAnsi="Times New Roman" w:cs="Times New Roman"/>
          <w:b/>
          <w:bCs/>
          <w:lang w:val="lt-LT" w:eastAsia="lt-LT"/>
        </w:rPr>
        <w:t>vartotojui</w:t>
      </w:r>
    </w:p>
    <w:p w:rsidR="00650D8D" w:rsidRPr="00650D8D" w:rsidRDefault="00650D8D" w:rsidP="00650D8D">
      <w:pPr>
        <w:spacing w:after="0" w:line="240" w:lineRule="auto"/>
        <w:jc w:val="center"/>
        <w:outlineLvl w:val="0"/>
        <w:rPr>
          <w:rFonts w:ascii="Times New Roman" w:eastAsia="Calibri" w:hAnsi="Times New Roman" w:cs="Times New Roman"/>
          <w:b/>
          <w:bCs/>
          <w:lang w:val="lt-LT" w:eastAsia="lt-LT"/>
        </w:rPr>
      </w:pPr>
    </w:p>
    <w:p w:rsidR="00650D8D" w:rsidRPr="00650D8D" w:rsidRDefault="00650D8D" w:rsidP="00650D8D">
      <w:pPr>
        <w:numPr>
          <w:ilvl w:val="12"/>
          <w:numId w:val="0"/>
        </w:numPr>
        <w:spacing w:after="0" w:line="240" w:lineRule="auto"/>
        <w:jc w:val="center"/>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Candesartan Ingen Pharma 4 mg tabletės</w:t>
      </w:r>
    </w:p>
    <w:p w:rsidR="00650D8D" w:rsidRPr="00650D8D" w:rsidRDefault="00650D8D" w:rsidP="00650D8D">
      <w:pPr>
        <w:numPr>
          <w:ilvl w:val="12"/>
          <w:numId w:val="0"/>
        </w:numPr>
        <w:spacing w:after="0" w:line="240" w:lineRule="auto"/>
        <w:jc w:val="center"/>
        <w:rPr>
          <w:rFonts w:ascii="Times New Roman" w:eastAsia="Calibri" w:hAnsi="Times New Roman" w:cs="Times New Roman"/>
          <w:lang w:val="lt-LT" w:eastAsia="lt-LT"/>
        </w:rPr>
      </w:pPr>
      <w:r w:rsidRPr="00650D8D">
        <w:rPr>
          <w:rFonts w:ascii="Times New Roman" w:eastAsia="Calibri" w:hAnsi="Times New Roman" w:cs="Times New Roman"/>
          <w:b/>
          <w:bCs/>
          <w:lang w:val="lt-LT" w:eastAsia="lt-LT"/>
        </w:rPr>
        <w:t>Candesartan Ingen Pharma 8 mg tabletės</w:t>
      </w:r>
      <w:r w:rsidRPr="00650D8D">
        <w:rPr>
          <w:rFonts w:ascii="Times New Roman" w:eastAsia="Calibri" w:hAnsi="Times New Roman" w:cs="Times New Roman"/>
          <w:lang w:val="lt-LT" w:eastAsia="lt-LT"/>
        </w:rPr>
        <w:t xml:space="preserve"> </w:t>
      </w:r>
    </w:p>
    <w:p w:rsidR="00650D8D" w:rsidRPr="00650D8D" w:rsidRDefault="00650D8D" w:rsidP="00650D8D">
      <w:pPr>
        <w:numPr>
          <w:ilvl w:val="12"/>
          <w:numId w:val="0"/>
        </w:numPr>
        <w:spacing w:after="0" w:line="240" w:lineRule="auto"/>
        <w:jc w:val="center"/>
        <w:rPr>
          <w:rFonts w:ascii="Times New Roman" w:eastAsia="Calibri" w:hAnsi="Times New Roman" w:cs="Times New Roman"/>
          <w:lang w:val="lt-LT" w:eastAsia="lt-LT"/>
        </w:rPr>
      </w:pPr>
      <w:r w:rsidRPr="00650D8D">
        <w:rPr>
          <w:rFonts w:ascii="Times New Roman" w:eastAsia="Calibri" w:hAnsi="Times New Roman" w:cs="Times New Roman"/>
          <w:b/>
          <w:bCs/>
          <w:lang w:val="lt-LT" w:eastAsia="lt-LT"/>
        </w:rPr>
        <w:t>Candesartan Ingen Pharma 16 mg tabletės</w:t>
      </w:r>
      <w:r w:rsidRPr="00650D8D">
        <w:rPr>
          <w:rFonts w:ascii="Times New Roman" w:eastAsia="Calibri" w:hAnsi="Times New Roman" w:cs="Times New Roman"/>
          <w:lang w:val="lt-LT" w:eastAsia="lt-LT"/>
        </w:rPr>
        <w:t xml:space="preserve"> </w:t>
      </w:r>
    </w:p>
    <w:p w:rsidR="00650D8D" w:rsidRPr="00650D8D" w:rsidRDefault="00650D8D" w:rsidP="00650D8D">
      <w:pPr>
        <w:numPr>
          <w:ilvl w:val="12"/>
          <w:numId w:val="0"/>
        </w:numPr>
        <w:spacing w:after="0" w:line="240" w:lineRule="auto"/>
        <w:jc w:val="center"/>
        <w:rPr>
          <w:rFonts w:ascii="Times New Roman" w:eastAsia="Calibri" w:hAnsi="Times New Roman" w:cs="Times New Roman"/>
          <w:lang w:val="lt-LT" w:eastAsia="lt-LT"/>
        </w:rPr>
      </w:pPr>
      <w:r w:rsidRPr="00650D8D">
        <w:rPr>
          <w:rFonts w:ascii="Times New Roman" w:eastAsia="Calibri" w:hAnsi="Times New Roman" w:cs="Times New Roman"/>
          <w:b/>
          <w:bCs/>
          <w:lang w:val="lt-LT" w:eastAsia="lt-LT"/>
        </w:rPr>
        <w:t>Candesartan Ingen Pharma 32 mg tabletės</w:t>
      </w:r>
      <w:r w:rsidRPr="00650D8D">
        <w:rPr>
          <w:rFonts w:ascii="Times New Roman" w:eastAsia="Calibri" w:hAnsi="Times New Roman" w:cs="Times New Roman"/>
          <w:lang w:val="lt-LT" w:eastAsia="lt-LT"/>
        </w:rPr>
        <w:t xml:space="preserve"> </w:t>
      </w:r>
    </w:p>
    <w:p w:rsidR="00650D8D" w:rsidRPr="00650D8D" w:rsidRDefault="00650D8D" w:rsidP="00650D8D">
      <w:pPr>
        <w:numPr>
          <w:ilvl w:val="12"/>
          <w:numId w:val="0"/>
        </w:numPr>
        <w:spacing w:after="0" w:line="240" w:lineRule="auto"/>
        <w:jc w:val="center"/>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Kandesartano cileksetilas</w:t>
      </w:r>
    </w:p>
    <w:p w:rsidR="00650D8D" w:rsidRPr="00650D8D" w:rsidRDefault="00650D8D" w:rsidP="00650D8D">
      <w:pPr>
        <w:spacing w:after="0" w:line="240" w:lineRule="auto"/>
        <w:jc w:val="center"/>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b/>
          <w:bCs/>
          <w:lang w:val="lt-LT" w:eastAsia="hu-HU"/>
        </w:rPr>
      </w:pPr>
      <w:r w:rsidRPr="00650D8D">
        <w:rPr>
          <w:rFonts w:ascii="Times New Roman" w:eastAsia="Calibri" w:hAnsi="Times New Roman" w:cs="Times New Roman"/>
          <w:b/>
          <w:bCs/>
          <w:lang w:val="lt-LT" w:eastAsia="hu-HU"/>
        </w:rPr>
        <w:t>Atidžiai perskaitykite visą šį lapelį, prieš pradėdami vartoti vaistą</w:t>
      </w:r>
      <w:r w:rsidR="006E13F0" w:rsidRPr="006E13F0">
        <w:rPr>
          <w:rFonts w:ascii="Times New Roman" w:eastAsia="Calibri" w:hAnsi="Times New Roman" w:cs="Times New Roman"/>
          <w:b/>
          <w:bCs/>
          <w:lang w:val="lt-LT" w:eastAsia="hu-HU"/>
        </w:rPr>
        <w:t>, nes jame pateikiama Jums svarbi informacija.</w:t>
      </w:r>
    </w:p>
    <w:p w:rsidR="00650D8D" w:rsidRPr="00650D8D" w:rsidRDefault="00650D8D" w:rsidP="00650D8D">
      <w:pPr>
        <w:numPr>
          <w:ilvl w:val="0"/>
          <w:numId w:val="3"/>
        </w:numPr>
        <w:tabs>
          <w:tab w:val="num" w:pos="567"/>
        </w:tabs>
        <w:spacing w:after="0" w:line="240" w:lineRule="auto"/>
        <w:ind w:left="567" w:hanging="567"/>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Neišmeskite šio lapelio, nes vėl gali prireikti jį perskaityti.</w:t>
      </w:r>
    </w:p>
    <w:p w:rsidR="00650D8D" w:rsidRPr="00650D8D" w:rsidRDefault="00650D8D" w:rsidP="00650D8D">
      <w:pPr>
        <w:numPr>
          <w:ilvl w:val="0"/>
          <w:numId w:val="3"/>
        </w:numPr>
        <w:tabs>
          <w:tab w:val="num" w:pos="567"/>
        </w:tabs>
        <w:spacing w:after="0" w:line="240" w:lineRule="auto"/>
        <w:ind w:left="567" w:hanging="567"/>
        <w:rPr>
          <w:rFonts w:ascii="Times New Roman" w:eastAsia="Calibri" w:hAnsi="Times New Roman" w:cs="Times New Roman"/>
          <w:lang w:val="lt-LT"/>
        </w:rPr>
      </w:pPr>
      <w:r w:rsidRPr="00650D8D">
        <w:rPr>
          <w:rFonts w:ascii="Times New Roman" w:eastAsia="Calibri" w:hAnsi="Times New Roman" w:cs="Times New Roman"/>
          <w:lang w:val="lt-LT"/>
        </w:rPr>
        <w:t>Jeigu kiltų daugiau klausimų, kreipkitės į gydytoją arba vaistininką.</w:t>
      </w:r>
    </w:p>
    <w:p w:rsidR="00650D8D" w:rsidRPr="00650D8D" w:rsidRDefault="00650D8D" w:rsidP="00650D8D">
      <w:pPr>
        <w:numPr>
          <w:ilvl w:val="0"/>
          <w:numId w:val="3"/>
        </w:numPr>
        <w:tabs>
          <w:tab w:val="num" w:pos="567"/>
        </w:tabs>
        <w:spacing w:after="0" w:line="240" w:lineRule="auto"/>
        <w:ind w:left="567" w:hanging="567"/>
        <w:rPr>
          <w:rFonts w:ascii="Times New Roman" w:eastAsia="Calibri" w:hAnsi="Times New Roman" w:cs="Times New Roman"/>
          <w:lang w:val="lt-LT"/>
        </w:rPr>
      </w:pPr>
      <w:r w:rsidRPr="00650D8D">
        <w:rPr>
          <w:rFonts w:ascii="Times New Roman" w:eastAsia="Calibri" w:hAnsi="Times New Roman" w:cs="Times New Roman"/>
          <w:lang w:val="lt-LT"/>
        </w:rPr>
        <w:t>Šis vaistas skirtas</w:t>
      </w:r>
      <w:r w:rsidR="00FA7723">
        <w:rPr>
          <w:rFonts w:ascii="Times New Roman" w:eastAsia="Calibri" w:hAnsi="Times New Roman" w:cs="Times New Roman"/>
          <w:lang w:val="lt-LT"/>
        </w:rPr>
        <w:t xml:space="preserve"> tik</w:t>
      </w:r>
      <w:r w:rsidRPr="00650D8D">
        <w:rPr>
          <w:rFonts w:ascii="Times New Roman" w:eastAsia="Calibri" w:hAnsi="Times New Roman" w:cs="Times New Roman"/>
          <w:lang w:val="lt-LT"/>
        </w:rPr>
        <w:t xml:space="preserve"> Jums, todėl kitiems žmonėms jo duoti negalima. Vaistas gali jiems pakenkti (net tiems, kurių ligos </w:t>
      </w:r>
      <w:r w:rsidR="00FA7723" w:rsidRPr="00FA7723">
        <w:rPr>
          <w:rFonts w:ascii="Times New Roman" w:eastAsia="Calibri" w:hAnsi="Times New Roman" w:cs="Times New Roman"/>
          <w:lang w:val="lt-LT"/>
        </w:rPr>
        <w:t>požymiai</w:t>
      </w:r>
      <w:r w:rsidRPr="00650D8D">
        <w:rPr>
          <w:rFonts w:ascii="Times New Roman" w:eastAsia="Calibri" w:hAnsi="Times New Roman" w:cs="Times New Roman"/>
          <w:lang w:val="lt-LT"/>
        </w:rPr>
        <w:t xml:space="preserve"> yra tokie patys kaip Jūsų).</w:t>
      </w:r>
    </w:p>
    <w:p w:rsidR="00650D8D" w:rsidRPr="00650D8D" w:rsidRDefault="00650D8D" w:rsidP="00650D8D">
      <w:pPr>
        <w:numPr>
          <w:ilvl w:val="0"/>
          <w:numId w:val="3"/>
        </w:numPr>
        <w:tabs>
          <w:tab w:val="num" w:pos="567"/>
        </w:tabs>
        <w:spacing w:after="0" w:line="240" w:lineRule="auto"/>
        <w:ind w:left="567" w:hanging="567"/>
        <w:rPr>
          <w:rFonts w:ascii="Times New Roman" w:eastAsia="Calibri" w:hAnsi="Times New Roman" w:cs="Times New Roman"/>
          <w:lang w:val="lt-LT"/>
        </w:rPr>
      </w:pPr>
      <w:r w:rsidRPr="00650D8D">
        <w:rPr>
          <w:rFonts w:ascii="Times New Roman" w:eastAsia="Calibri" w:hAnsi="Times New Roman" w:cs="Times New Roman"/>
          <w:lang w:val="lt-LT"/>
        </w:rPr>
        <w:t xml:space="preserve">Jeigu pasireiškė šalutinis poveikis </w:t>
      </w:r>
      <w:r w:rsidR="006E13F0" w:rsidRPr="006E13F0">
        <w:rPr>
          <w:rFonts w:ascii="Times New Roman" w:eastAsia="Calibri" w:hAnsi="Times New Roman" w:cs="Times New Roman"/>
          <w:lang w:val="lt-LT"/>
        </w:rPr>
        <w:t>(net jeigu jis šiame lapelyje nenurodytas), kreipkitės į</w:t>
      </w:r>
      <w:r w:rsidRPr="00650D8D">
        <w:rPr>
          <w:rFonts w:ascii="Times New Roman" w:eastAsia="Calibri" w:hAnsi="Times New Roman" w:cs="Times New Roman"/>
          <w:lang w:val="lt-LT"/>
        </w:rPr>
        <w:t xml:space="preserve"> gydytoj</w:t>
      </w:r>
      <w:r w:rsidR="006E13F0">
        <w:rPr>
          <w:rFonts w:ascii="Times New Roman" w:eastAsia="Calibri" w:hAnsi="Times New Roman" w:cs="Times New Roman"/>
          <w:lang w:val="lt-LT"/>
        </w:rPr>
        <w:t>ą</w:t>
      </w:r>
      <w:r w:rsidRPr="00650D8D">
        <w:rPr>
          <w:rFonts w:ascii="Times New Roman" w:eastAsia="Calibri" w:hAnsi="Times New Roman" w:cs="Times New Roman"/>
          <w:lang w:val="lt-LT"/>
        </w:rPr>
        <w:t xml:space="preserve"> arba vaistinink</w:t>
      </w:r>
      <w:r w:rsidR="006E13F0">
        <w:rPr>
          <w:rFonts w:ascii="Times New Roman" w:eastAsia="Calibri" w:hAnsi="Times New Roman" w:cs="Times New Roman"/>
          <w:lang w:val="lt-LT"/>
        </w:rPr>
        <w:t>ą</w:t>
      </w:r>
      <w:r w:rsidRPr="00650D8D">
        <w:rPr>
          <w:rFonts w:ascii="Times New Roman" w:eastAsia="Calibri" w:hAnsi="Times New Roman" w:cs="Times New Roman"/>
          <w:lang w:val="lt-LT"/>
        </w:rPr>
        <w:t>.</w:t>
      </w:r>
      <w:r w:rsidR="00174481" w:rsidRPr="00174481">
        <w:rPr>
          <w:rFonts w:ascii="Times New Roman" w:eastAsia="Times New Roman" w:hAnsi="Times New Roman" w:cs="Times New Roman"/>
          <w:noProof/>
          <w:snapToGrid w:val="0"/>
          <w:szCs w:val="24"/>
          <w:lang w:val="lt-LT"/>
        </w:rPr>
        <w:t xml:space="preserve"> </w:t>
      </w:r>
      <w:r w:rsidR="00174481" w:rsidRPr="00174481">
        <w:rPr>
          <w:rFonts w:ascii="Times New Roman" w:eastAsia="Calibri" w:hAnsi="Times New Roman" w:cs="Times New Roman"/>
          <w:lang w:val="lt-LT"/>
        </w:rPr>
        <w:t>Žr. 4 skyrių.</w:t>
      </w:r>
    </w:p>
    <w:p w:rsidR="00650D8D" w:rsidRPr="00650D8D" w:rsidRDefault="00650D8D" w:rsidP="00650D8D">
      <w:pPr>
        <w:spacing w:after="0" w:line="240" w:lineRule="auto"/>
        <w:rPr>
          <w:rFonts w:ascii="Times New Roman" w:eastAsia="Calibri" w:hAnsi="Times New Roman" w:cs="Times New Roman"/>
          <w:lang w:val="lt-LT" w:eastAsia="hu-HU"/>
        </w:rPr>
      </w:pPr>
    </w:p>
    <w:p w:rsidR="00650D8D" w:rsidRPr="00650D8D" w:rsidRDefault="00650D8D" w:rsidP="00650D8D">
      <w:pPr>
        <w:spacing w:after="0" w:line="240" w:lineRule="auto"/>
        <w:rPr>
          <w:rFonts w:ascii="Times New Roman" w:eastAsia="Calibri" w:hAnsi="Times New Roman" w:cs="Times New Roman"/>
          <w:lang w:val="lt-LT" w:eastAsia="hu-HU"/>
        </w:rPr>
      </w:pPr>
    </w:p>
    <w:p w:rsidR="006E13F0" w:rsidRDefault="006E13F0" w:rsidP="00650D8D">
      <w:pPr>
        <w:tabs>
          <w:tab w:val="left" w:pos="567"/>
        </w:tabs>
        <w:spacing w:after="0" w:line="240" w:lineRule="auto"/>
        <w:rPr>
          <w:rFonts w:ascii="Times New Roman" w:eastAsia="Calibri" w:hAnsi="Times New Roman" w:cs="Times New Roman"/>
          <w:b/>
          <w:bCs/>
          <w:lang w:val="lt-LT" w:eastAsia="hu-HU"/>
        </w:rPr>
      </w:pPr>
      <w:r w:rsidRPr="006E13F0">
        <w:rPr>
          <w:rFonts w:ascii="Times New Roman" w:eastAsia="Calibri" w:hAnsi="Times New Roman" w:cs="Times New Roman"/>
          <w:b/>
          <w:bCs/>
          <w:lang w:val="lt-LT" w:eastAsia="hu-HU"/>
        </w:rPr>
        <w:t>Apie ką rašoma šiame lapelyje</w:t>
      </w:r>
      <w:r>
        <w:rPr>
          <w:rFonts w:ascii="Times New Roman" w:eastAsia="Calibri" w:hAnsi="Times New Roman" w:cs="Times New Roman"/>
          <w:b/>
          <w:bCs/>
          <w:lang w:val="lt-LT" w:eastAsia="hu-HU"/>
        </w:rPr>
        <w:t>?</w:t>
      </w:r>
    </w:p>
    <w:p w:rsidR="006E13F0" w:rsidRDefault="006E13F0" w:rsidP="00650D8D">
      <w:pPr>
        <w:tabs>
          <w:tab w:val="left" w:pos="567"/>
        </w:tabs>
        <w:spacing w:after="0" w:line="240" w:lineRule="auto"/>
        <w:rPr>
          <w:rFonts w:ascii="Times New Roman" w:eastAsia="Calibri" w:hAnsi="Times New Roman" w:cs="Times New Roman"/>
          <w:b/>
          <w:bCs/>
          <w:lang w:val="lt-LT" w:eastAsia="hu-HU"/>
        </w:rPr>
      </w:pPr>
    </w:p>
    <w:p w:rsidR="00650D8D" w:rsidRPr="00650D8D" w:rsidRDefault="00650D8D" w:rsidP="00650D8D">
      <w:pPr>
        <w:tabs>
          <w:tab w:val="left" w:pos="567"/>
        </w:tabs>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1.</w:t>
      </w:r>
      <w:r w:rsidRPr="00650D8D">
        <w:rPr>
          <w:rFonts w:ascii="Times New Roman" w:eastAsia="Calibri" w:hAnsi="Times New Roman" w:cs="Times New Roman"/>
          <w:lang w:val="lt-LT" w:eastAsia="hu-HU"/>
        </w:rPr>
        <w:tab/>
        <w:t>Kas yra Candesartan Ingen Pharma ir kam jis vartojamas</w:t>
      </w:r>
    </w:p>
    <w:p w:rsidR="00650D8D" w:rsidRPr="00650D8D" w:rsidRDefault="00650D8D" w:rsidP="00650D8D">
      <w:pPr>
        <w:tabs>
          <w:tab w:val="left" w:pos="567"/>
        </w:tabs>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2.</w:t>
      </w:r>
      <w:r w:rsidRPr="00650D8D">
        <w:rPr>
          <w:rFonts w:ascii="Times New Roman" w:eastAsia="Calibri" w:hAnsi="Times New Roman" w:cs="Times New Roman"/>
          <w:lang w:val="lt-LT" w:eastAsia="hu-HU"/>
        </w:rPr>
        <w:tab/>
        <w:t>Kas žinotina prieš vartojant Candesartan Ingen Pharma</w:t>
      </w:r>
    </w:p>
    <w:p w:rsidR="00650D8D" w:rsidRPr="00650D8D" w:rsidRDefault="00650D8D" w:rsidP="00650D8D">
      <w:pPr>
        <w:tabs>
          <w:tab w:val="left" w:pos="567"/>
        </w:tabs>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3.</w:t>
      </w:r>
      <w:r w:rsidRPr="00650D8D">
        <w:rPr>
          <w:rFonts w:ascii="Times New Roman" w:eastAsia="Calibri" w:hAnsi="Times New Roman" w:cs="Times New Roman"/>
          <w:lang w:val="lt-LT" w:eastAsia="hu-HU"/>
        </w:rPr>
        <w:tab/>
        <w:t>Kaip vartoti Candesartan Ingen Pharma</w:t>
      </w:r>
    </w:p>
    <w:p w:rsidR="00650D8D" w:rsidRPr="00650D8D" w:rsidRDefault="00650D8D" w:rsidP="00650D8D">
      <w:pPr>
        <w:tabs>
          <w:tab w:val="left" w:pos="567"/>
        </w:tabs>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4.</w:t>
      </w:r>
      <w:r w:rsidRPr="00650D8D">
        <w:rPr>
          <w:rFonts w:ascii="Times New Roman" w:eastAsia="Calibri" w:hAnsi="Times New Roman" w:cs="Times New Roman"/>
          <w:lang w:val="lt-LT" w:eastAsia="hu-HU"/>
        </w:rPr>
        <w:tab/>
        <w:t>Galimas šalutinis poveikis</w:t>
      </w:r>
    </w:p>
    <w:p w:rsidR="00650D8D" w:rsidRPr="00650D8D" w:rsidRDefault="00650D8D" w:rsidP="00650D8D">
      <w:pPr>
        <w:tabs>
          <w:tab w:val="left" w:pos="567"/>
        </w:tabs>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5.</w:t>
      </w:r>
      <w:r w:rsidRPr="00650D8D">
        <w:rPr>
          <w:rFonts w:ascii="Times New Roman" w:eastAsia="Calibri" w:hAnsi="Times New Roman" w:cs="Times New Roman"/>
          <w:lang w:val="lt-LT" w:eastAsia="hu-HU"/>
        </w:rPr>
        <w:tab/>
        <w:t>Kaip laikyti Candesartan Ingen Pharma</w:t>
      </w:r>
    </w:p>
    <w:p w:rsidR="00650D8D" w:rsidRPr="00650D8D" w:rsidRDefault="00650D8D" w:rsidP="00650D8D">
      <w:pPr>
        <w:tabs>
          <w:tab w:val="left" w:pos="567"/>
        </w:tabs>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6.</w:t>
      </w:r>
      <w:r w:rsidRPr="00650D8D">
        <w:rPr>
          <w:rFonts w:ascii="Times New Roman" w:eastAsia="Calibri" w:hAnsi="Times New Roman" w:cs="Times New Roman"/>
          <w:lang w:val="lt-LT" w:eastAsia="hu-HU"/>
        </w:rPr>
        <w:tab/>
      </w:r>
      <w:r w:rsidR="006E13F0" w:rsidRPr="006E13F0">
        <w:rPr>
          <w:rFonts w:ascii="Times New Roman" w:eastAsia="Calibri" w:hAnsi="Times New Roman" w:cs="Times New Roman"/>
          <w:lang w:val="lt-LT" w:eastAsia="hu-HU"/>
        </w:rPr>
        <w:t xml:space="preserve">Pakuotės turinys ir </w:t>
      </w:r>
      <w:r w:rsidR="006E13F0">
        <w:rPr>
          <w:rFonts w:ascii="Times New Roman" w:eastAsia="Calibri" w:hAnsi="Times New Roman" w:cs="Times New Roman"/>
          <w:lang w:val="lt-LT" w:eastAsia="hu-HU"/>
        </w:rPr>
        <w:t>k</w:t>
      </w:r>
      <w:r w:rsidRPr="00650D8D">
        <w:rPr>
          <w:rFonts w:ascii="Times New Roman" w:eastAsia="Calibri" w:hAnsi="Times New Roman" w:cs="Times New Roman"/>
          <w:lang w:val="lt-LT" w:eastAsia="hu-HU"/>
        </w:rPr>
        <w:t>ita informacija</w:t>
      </w:r>
    </w:p>
    <w:p w:rsidR="00650D8D" w:rsidRPr="00650D8D" w:rsidRDefault="00650D8D" w:rsidP="00650D8D">
      <w:pPr>
        <w:spacing w:after="0" w:line="240" w:lineRule="auto"/>
        <w:rPr>
          <w:rFonts w:ascii="Times New Roman" w:eastAsia="Calibri" w:hAnsi="Times New Roman" w:cs="Times New Roman"/>
          <w:lang w:val="lt-LT" w:eastAsia="hu-HU"/>
        </w:rPr>
      </w:pPr>
    </w:p>
    <w:p w:rsidR="00650D8D" w:rsidRPr="00650D8D" w:rsidRDefault="00650D8D" w:rsidP="00650D8D">
      <w:pPr>
        <w:spacing w:after="0" w:line="240" w:lineRule="auto"/>
        <w:rPr>
          <w:rFonts w:ascii="Times New Roman" w:eastAsia="Calibri" w:hAnsi="Times New Roman" w:cs="Times New Roman"/>
          <w:lang w:val="lt-LT" w:eastAsia="hu-HU"/>
        </w:rPr>
      </w:pPr>
    </w:p>
    <w:p w:rsidR="006E13F0" w:rsidRDefault="00650D8D" w:rsidP="006E13F0">
      <w:pPr>
        <w:keepNext/>
        <w:tabs>
          <w:tab w:val="left" w:pos="567"/>
        </w:tabs>
        <w:spacing w:after="0" w:line="240" w:lineRule="auto"/>
        <w:outlineLvl w:val="1"/>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1.</w:t>
      </w:r>
      <w:r w:rsidRPr="00650D8D">
        <w:rPr>
          <w:rFonts w:ascii="Times New Roman" w:eastAsia="Calibri" w:hAnsi="Times New Roman" w:cs="Times New Roman"/>
          <w:b/>
          <w:bCs/>
          <w:lang w:val="lt-LT" w:eastAsia="lt-LT"/>
        </w:rPr>
        <w:tab/>
      </w:r>
      <w:r w:rsidR="006E13F0" w:rsidRPr="006E13F0">
        <w:rPr>
          <w:rFonts w:ascii="Times New Roman" w:eastAsia="Calibri" w:hAnsi="Times New Roman" w:cs="Times New Roman"/>
          <w:b/>
          <w:bCs/>
          <w:lang w:val="lt-LT" w:eastAsia="lt-LT"/>
        </w:rPr>
        <w:t xml:space="preserve">Kas yra </w:t>
      </w:r>
      <w:r w:rsidRPr="00650D8D">
        <w:rPr>
          <w:rFonts w:ascii="Times New Roman" w:eastAsia="Calibri" w:hAnsi="Times New Roman" w:cs="Times New Roman"/>
          <w:b/>
          <w:bCs/>
          <w:lang w:val="lt-LT" w:eastAsia="lt-LT"/>
        </w:rPr>
        <w:t>C</w:t>
      </w:r>
      <w:r w:rsidR="006E13F0">
        <w:rPr>
          <w:rFonts w:ascii="Times New Roman" w:eastAsia="Calibri" w:hAnsi="Times New Roman" w:cs="Times New Roman"/>
          <w:b/>
          <w:bCs/>
          <w:lang w:val="lt-LT" w:eastAsia="lt-LT"/>
        </w:rPr>
        <w:t>andesartan Ingen Pharma</w:t>
      </w:r>
      <w:r w:rsidRPr="00650D8D">
        <w:rPr>
          <w:rFonts w:ascii="Times New Roman" w:eastAsia="Calibri" w:hAnsi="Times New Roman" w:cs="Times New Roman"/>
          <w:b/>
          <w:bCs/>
          <w:lang w:val="lt-LT" w:eastAsia="lt-LT"/>
        </w:rPr>
        <w:t xml:space="preserve"> </w:t>
      </w:r>
      <w:r w:rsidR="006E13F0" w:rsidRPr="006E13F0">
        <w:rPr>
          <w:rFonts w:ascii="Times New Roman" w:eastAsia="Calibri" w:hAnsi="Times New Roman" w:cs="Times New Roman"/>
          <w:b/>
          <w:bCs/>
          <w:lang w:val="lt-LT" w:eastAsia="lt-LT"/>
        </w:rPr>
        <w:t>ir kam jis vartojamas</w:t>
      </w:r>
    </w:p>
    <w:p w:rsidR="00650D8D" w:rsidRPr="00650D8D" w:rsidRDefault="00650D8D" w:rsidP="006E13F0">
      <w:pPr>
        <w:keepNext/>
        <w:tabs>
          <w:tab w:val="left" w:pos="567"/>
        </w:tabs>
        <w:spacing w:after="0" w:line="240" w:lineRule="auto"/>
        <w:outlineLvl w:val="1"/>
        <w:rPr>
          <w:rFonts w:ascii="Times New Roman" w:eastAsia="Calibri" w:hAnsi="Times New Roman" w:cs="Times New Roman"/>
          <w:noProof/>
          <w:lang w:val="lt-LT" w:eastAsia="lt-LT"/>
        </w:rPr>
      </w:pPr>
    </w:p>
    <w:p w:rsidR="00650D8D" w:rsidRPr="000F6EB7" w:rsidRDefault="00650D8D" w:rsidP="00650D8D">
      <w:pPr>
        <w:spacing w:after="0" w:line="240" w:lineRule="auto"/>
        <w:rPr>
          <w:rFonts w:ascii="Times New Roman" w:eastAsia="Calibri" w:hAnsi="Times New Roman" w:cs="Times New Roman"/>
          <w:noProof/>
          <w:lang w:val="lt-LT" w:eastAsia="lt-LT"/>
        </w:rPr>
      </w:pPr>
      <w:r w:rsidRPr="00650D8D">
        <w:rPr>
          <w:rFonts w:ascii="Times New Roman" w:eastAsia="Calibri" w:hAnsi="Times New Roman" w:cs="Times New Roman"/>
          <w:noProof/>
          <w:lang w:val="lt-LT" w:eastAsia="lt-LT"/>
        </w:rPr>
        <w:t xml:space="preserve">Candesartan Ingen </w:t>
      </w:r>
      <w:r w:rsidRPr="000F6EB7">
        <w:rPr>
          <w:rFonts w:ascii="Times New Roman" w:eastAsia="Calibri" w:hAnsi="Times New Roman" w:cs="Times New Roman"/>
          <w:noProof/>
          <w:lang w:val="lt-LT" w:eastAsia="lt-LT"/>
        </w:rPr>
        <w:t>Pharma priklauso vaistų, vadinamų angiotenzino-II receptorių blokatoriais, grupei.</w:t>
      </w:r>
    </w:p>
    <w:p w:rsidR="00650D8D" w:rsidRPr="000F6EB7" w:rsidRDefault="00650D8D" w:rsidP="00650D8D">
      <w:pPr>
        <w:spacing w:after="0" w:line="240" w:lineRule="auto"/>
        <w:rPr>
          <w:rFonts w:ascii="Times New Roman" w:eastAsia="Calibri" w:hAnsi="Times New Roman" w:cs="Times New Roman"/>
          <w:noProof/>
          <w:lang w:val="lt-LT" w:eastAsia="lt-LT"/>
        </w:rPr>
      </w:pPr>
      <w:r w:rsidRPr="000F6EB7">
        <w:rPr>
          <w:rFonts w:ascii="Times New Roman" w:eastAsia="Calibri" w:hAnsi="Times New Roman" w:cs="Times New Roman"/>
          <w:noProof/>
          <w:lang w:val="lt-LT" w:eastAsia="lt-LT"/>
        </w:rPr>
        <w:t>Candesartan Ingen Pharma vartojamas:</w:t>
      </w:r>
    </w:p>
    <w:p w:rsidR="00650D8D" w:rsidRPr="00650D8D" w:rsidRDefault="00650D8D" w:rsidP="00650D8D">
      <w:pPr>
        <w:numPr>
          <w:ilvl w:val="0"/>
          <w:numId w:val="5"/>
        </w:numPr>
        <w:spacing w:after="0" w:line="240" w:lineRule="auto"/>
        <w:ind w:left="567" w:hanging="567"/>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Pacientams, turintiems aukštą kraujospūdį (hipertenziją), gydyti.</w:t>
      </w:r>
    </w:p>
    <w:p w:rsidR="00650D8D" w:rsidRPr="00650D8D" w:rsidRDefault="00650D8D" w:rsidP="00650D8D">
      <w:pPr>
        <w:numPr>
          <w:ilvl w:val="0"/>
          <w:numId w:val="5"/>
        </w:numPr>
        <w:spacing w:after="0" w:line="240" w:lineRule="auto"/>
        <w:ind w:left="567" w:hanging="567"/>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Pacientams, sergantiems lėtiniu širdies nepakankamumu ir turintiems kairiojo širdies skilvelio sistolinės funkcijos sutrikimą (kairiojo skilvelio išstūmimo frakcija ≤ 40 %), papildomai gydyti kartu su AKF inhibitoriais arba kai AKF inhibitoriai netoleruojami.</w:t>
      </w:r>
    </w:p>
    <w:p w:rsidR="00650D8D" w:rsidRPr="00650D8D" w:rsidRDefault="00650D8D" w:rsidP="00650D8D">
      <w:pPr>
        <w:numPr>
          <w:ilvl w:val="12"/>
          <w:numId w:val="0"/>
        </w:numPr>
        <w:spacing w:after="0" w:line="240" w:lineRule="auto"/>
        <w:rPr>
          <w:rFonts w:ascii="Times New Roman" w:eastAsia="Calibri" w:hAnsi="Times New Roman" w:cs="Times New Roman"/>
          <w:lang w:val="lt-LT" w:eastAsia="lt-LT"/>
        </w:rPr>
      </w:pPr>
    </w:p>
    <w:p w:rsidR="00650D8D" w:rsidRDefault="00322DEB" w:rsidP="00322DEB">
      <w:pPr>
        <w:numPr>
          <w:ilvl w:val="12"/>
          <w:numId w:val="0"/>
        </w:numPr>
        <w:spacing w:after="0" w:line="240" w:lineRule="auto"/>
        <w:rPr>
          <w:rFonts w:ascii="Times New Roman" w:eastAsia="Calibri" w:hAnsi="Times New Roman" w:cs="Times New Roman"/>
          <w:lang w:val="lt-LT" w:eastAsia="lt-LT"/>
        </w:rPr>
      </w:pPr>
      <w:r w:rsidRPr="00322DEB">
        <w:rPr>
          <w:rFonts w:ascii="Times New Roman" w:eastAsia="Calibri" w:hAnsi="Times New Roman" w:cs="Times New Roman"/>
          <w:lang w:val="lt-LT" w:eastAsia="lt-LT"/>
        </w:rPr>
        <w:t>Candesartan Ingen Pharma priklauso gali būti vartojamas suaugusių pacientų, kurių širdies raumuo susi</w:t>
      </w:r>
      <w:r>
        <w:rPr>
          <w:rFonts w:ascii="Times New Roman" w:eastAsia="Calibri" w:hAnsi="Times New Roman" w:cs="Times New Roman"/>
          <w:lang w:val="lt-LT" w:eastAsia="lt-LT"/>
        </w:rPr>
        <w:t xml:space="preserve">lpnėjęs, širdies nepakankamumui </w:t>
      </w:r>
      <w:r w:rsidRPr="00322DEB">
        <w:rPr>
          <w:rFonts w:ascii="Times New Roman" w:eastAsia="Calibri" w:hAnsi="Times New Roman" w:cs="Times New Roman"/>
          <w:lang w:val="lt-LT" w:eastAsia="lt-LT"/>
        </w:rPr>
        <w:t>gydyti, kai angiotenziną konvertuojančio fermento (AKF) inhibito</w:t>
      </w:r>
      <w:r>
        <w:rPr>
          <w:rFonts w:ascii="Times New Roman" w:eastAsia="Calibri" w:hAnsi="Times New Roman" w:cs="Times New Roman"/>
          <w:lang w:val="lt-LT" w:eastAsia="lt-LT"/>
        </w:rPr>
        <w:t xml:space="preserve">rių vartoti negalima, arba kaip </w:t>
      </w:r>
      <w:r w:rsidRPr="00322DEB">
        <w:rPr>
          <w:rFonts w:ascii="Times New Roman" w:eastAsia="Calibri" w:hAnsi="Times New Roman" w:cs="Times New Roman"/>
          <w:lang w:val="lt-LT" w:eastAsia="lt-LT"/>
        </w:rPr>
        <w:t>papildomas vaistas gydant AKF inhibitoriais, kai simptomai išlie</w:t>
      </w:r>
      <w:r>
        <w:rPr>
          <w:rFonts w:ascii="Times New Roman" w:eastAsia="Calibri" w:hAnsi="Times New Roman" w:cs="Times New Roman"/>
          <w:lang w:val="lt-LT" w:eastAsia="lt-LT"/>
        </w:rPr>
        <w:t xml:space="preserve">ka nepaisant gydymo ir negalima </w:t>
      </w:r>
      <w:r w:rsidRPr="00322DEB">
        <w:rPr>
          <w:rFonts w:ascii="Times New Roman" w:eastAsia="Calibri" w:hAnsi="Times New Roman" w:cs="Times New Roman"/>
          <w:lang w:val="lt-LT" w:eastAsia="lt-LT"/>
        </w:rPr>
        <w:t>vartoti mineralokortikoidinių receptorių antagonistų (MRA). (AKF i</w:t>
      </w:r>
      <w:r>
        <w:rPr>
          <w:rFonts w:ascii="Times New Roman" w:eastAsia="Calibri" w:hAnsi="Times New Roman" w:cs="Times New Roman"/>
          <w:lang w:val="lt-LT" w:eastAsia="lt-LT"/>
        </w:rPr>
        <w:t xml:space="preserve">nhibitoriai ir MRA yra vaistai, </w:t>
      </w:r>
      <w:r w:rsidRPr="00322DEB">
        <w:rPr>
          <w:rFonts w:ascii="Times New Roman" w:eastAsia="Calibri" w:hAnsi="Times New Roman" w:cs="Times New Roman"/>
          <w:lang w:val="lt-LT" w:eastAsia="lt-LT"/>
        </w:rPr>
        <w:t xml:space="preserve">vartojami </w:t>
      </w:r>
      <w:r>
        <w:rPr>
          <w:rFonts w:ascii="Times New Roman" w:eastAsia="Calibri" w:hAnsi="Times New Roman" w:cs="Times New Roman"/>
          <w:lang w:val="lt-LT" w:eastAsia="lt-LT"/>
        </w:rPr>
        <w:t>širdies nepakankamumui gydyti).</w:t>
      </w:r>
    </w:p>
    <w:p w:rsidR="00322DEB" w:rsidRDefault="00322DEB" w:rsidP="00322DEB">
      <w:pPr>
        <w:numPr>
          <w:ilvl w:val="12"/>
          <w:numId w:val="0"/>
        </w:numPr>
        <w:spacing w:after="0" w:line="240" w:lineRule="auto"/>
        <w:rPr>
          <w:rFonts w:ascii="Times New Roman" w:eastAsia="Calibri" w:hAnsi="Times New Roman" w:cs="Times New Roman"/>
          <w:lang w:val="lt-LT" w:eastAsia="lt-LT"/>
        </w:rPr>
      </w:pPr>
    </w:p>
    <w:p w:rsidR="00322DEB" w:rsidRPr="00650D8D" w:rsidRDefault="00322DEB" w:rsidP="00322DEB">
      <w:pPr>
        <w:numPr>
          <w:ilvl w:val="12"/>
          <w:numId w:val="0"/>
        </w:numPr>
        <w:spacing w:after="0" w:line="240" w:lineRule="auto"/>
        <w:rPr>
          <w:rFonts w:ascii="Times New Roman" w:eastAsia="Calibri" w:hAnsi="Times New Roman" w:cs="Times New Roman"/>
          <w:lang w:val="lt-LT" w:eastAsia="lt-LT"/>
        </w:rPr>
      </w:pPr>
    </w:p>
    <w:p w:rsidR="00650D8D" w:rsidRPr="00650D8D" w:rsidRDefault="00650D8D" w:rsidP="00650D8D">
      <w:pPr>
        <w:numPr>
          <w:ilvl w:val="0"/>
          <w:numId w:val="1"/>
        </w:numPr>
        <w:spacing w:after="0" w:line="240" w:lineRule="auto"/>
        <w:ind w:right="-2"/>
        <w:jc w:val="both"/>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K</w:t>
      </w:r>
      <w:r w:rsidR="005C5D89" w:rsidRPr="005C5D89">
        <w:rPr>
          <w:rFonts w:ascii="Times New Roman" w:eastAsia="Calibri" w:hAnsi="Times New Roman" w:cs="Times New Roman"/>
          <w:b/>
          <w:bCs/>
          <w:lang w:val="lt-LT" w:eastAsia="lt-LT"/>
        </w:rPr>
        <w:t>as žinotina prieš vartojant Candesartan Ingen Pharma</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outlineLvl w:val="0"/>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Candesartan Ingen Pharma vartoti negalima</w:t>
      </w:r>
    </w:p>
    <w:p w:rsidR="00650D8D" w:rsidRPr="00650D8D" w:rsidRDefault="00650D8D" w:rsidP="00650D8D">
      <w:pPr>
        <w:numPr>
          <w:ilvl w:val="12"/>
          <w:numId w:val="0"/>
        </w:numPr>
        <w:spacing w:after="0" w:line="240" w:lineRule="auto"/>
        <w:ind w:left="567"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jeigu yra alergija (padidėjęs jautrumas) kandesartano cileksetilui arba bet kuriai pagalbinei Candesartan Ingen Pharma medžiagai;</w:t>
      </w:r>
    </w:p>
    <w:p w:rsidR="00650D8D" w:rsidRPr="00650D8D" w:rsidRDefault="00650D8D" w:rsidP="00650D8D">
      <w:pPr>
        <w:numPr>
          <w:ilvl w:val="12"/>
          <w:numId w:val="0"/>
        </w:numPr>
        <w:spacing w:after="0" w:line="240" w:lineRule="auto"/>
        <w:ind w:left="567"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jeigu Jums yra sunkus kepenų sutrikimas ir (arba) jeigu sutrikęs tulžies nutekėjimas (cholestazė);</w:t>
      </w:r>
    </w:p>
    <w:p w:rsidR="00B24AB3" w:rsidRDefault="00650D8D" w:rsidP="00650D8D">
      <w:pPr>
        <w:numPr>
          <w:ilvl w:val="12"/>
          <w:numId w:val="0"/>
        </w:numPr>
        <w:spacing w:after="0" w:line="240" w:lineRule="auto"/>
        <w:ind w:left="567"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jeigu esate nėščia ilgiau nei tris mėnesius (taip pat geriau nevartoti Candesartan Ingen Pharma ankstyvojo nėštumo metu – žr. skyrių „Nėštumas ir žindymo laikotarpis“)</w:t>
      </w:r>
      <w:r w:rsidR="00B24AB3">
        <w:rPr>
          <w:rFonts w:ascii="Times New Roman" w:eastAsia="Calibri" w:hAnsi="Times New Roman" w:cs="Times New Roman"/>
          <w:lang w:val="lt-LT" w:eastAsia="lt-LT"/>
        </w:rPr>
        <w:t>;</w:t>
      </w:r>
    </w:p>
    <w:p w:rsidR="00650D8D" w:rsidRPr="00650D8D" w:rsidRDefault="00B24AB3" w:rsidP="00196FC1">
      <w:pPr>
        <w:numPr>
          <w:ilvl w:val="12"/>
          <w:numId w:val="0"/>
        </w:numPr>
        <w:spacing w:after="0" w:line="240" w:lineRule="auto"/>
        <w:ind w:left="567" w:hanging="567"/>
        <w:rPr>
          <w:rFonts w:ascii="Times New Roman" w:eastAsia="Calibri" w:hAnsi="Times New Roman" w:cs="Times New Roman"/>
          <w:lang w:val="lt-LT" w:eastAsia="lt-LT"/>
        </w:rPr>
      </w:pPr>
      <w:r w:rsidRPr="00B24AB3">
        <w:rPr>
          <w:rFonts w:ascii="Times New Roman" w:eastAsia="Calibri" w:hAnsi="Times New Roman" w:cs="Times New Roman"/>
          <w:lang w:val="lt-LT" w:eastAsia="lt-LT"/>
        </w:rPr>
        <w:t>-</w:t>
      </w:r>
      <w:r>
        <w:rPr>
          <w:rFonts w:ascii="Times New Roman" w:eastAsia="Calibri" w:hAnsi="Times New Roman" w:cs="Times New Roman"/>
          <w:lang w:val="lt-LT" w:eastAsia="lt-LT"/>
        </w:rPr>
        <w:tab/>
      </w:r>
      <w:r w:rsidRPr="00B24AB3">
        <w:rPr>
          <w:rFonts w:ascii="Times New Roman" w:eastAsia="Calibri" w:hAnsi="Times New Roman" w:cs="Times New Roman"/>
          <w:lang w:val="lt-LT" w:eastAsia="lt-LT"/>
        </w:rPr>
        <w:t>jeigu Jūs sergate cukriniu diabetu arba Jūsų inkstų veikla sutrik</w:t>
      </w:r>
      <w:r>
        <w:rPr>
          <w:rFonts w:ascii="Times New Roman" w:eastAsia="Calibri" w:hAnsi="Times New Roman" w:cs="Times New Roman"/>
          <w:lang w:val="lt-LT" w:eastAsia="lt-LT"/>
        </w:rPr>
        <w:t xml:space="preserve">usi ir Jums skirtas kraujospūdį </w:t>
      </w:r>
      <w:r w:rsidRPr="00B24AB3">
        <w:rPr>
          <w:rFonts w:ascii="Times New Roman" w:eastAsia="Calibri" w:hAnsi="Times New Roman" w:cs="Times New Roman"/>
          <w:lang w:val="lt-LT" w:eastAsia="lt-LT"/>
        </w:rPr>
        <w:t>mažinantis vaistas</w:t>
      </w:r>
      <w:r>
        <w:rPr>
          <w:rFonts w:ascii="Times New Roman" w:eastAsia="Calibri" w:hAnsi="Times New Roman" w:cs="Times New Roman"/>
          <w:lang w:val="lt-LT" w:eastAsia="lt-LT"/>
        </w:rPr>
        <w:t>, kurio sudėtyje yra aliskireno.</w:t>
      </w:r>
    </w:p>
    <w:p w:rsidR="00650D8D" w:rsidRPr="00650D8D" w:rsidRDefault="00650D8D" w:rsidP="00650D8D">
      <w:pPr>
        <w:numPr>
          <w:ilvl w:val="12"/>
          <w:numId w:val="0"/>
        </w:numPr>
        <w:spacing w:after="0" w:line="240" w:lineRule="auto"/>
        <w:ind w:left="567" w:hanging="567"/>
        <w:jc w:val="both"/>
        <w:rPr>
          <w:rFonts w:ascii="Times New Roman" w:eastAsia="Calibri" w:hAnsi="Times New Roman" w:cs="Times New Roman"/>
          <w:lang w:val="lt-LT" w:eastAsia="lt-LT"/>
        </w:rPr>
      </w:pPr>
    </w:p>
    <w:p w:rsidR="008A127D" w:rsidRDefault="00416FF5" w:rsidP="00650D8D">
      <w:pPr>
        <w:numPr>
          <w:ilvl w:val="12"/>
          <w:numId w:val="0"/>
        </w:numPr>
        <w:spacing w:after="0" w:line="240" w:lineRule="auto"/>
        <w:ind w:left="567" w:hanging="567"/>
        <w:rPr>
          <w:rFonts w:ascii="Times New Roman" w:eastAsia="Calibri" w:hAnsi="Times New Roman" w:cs="Times New Roman"/>
          <w:b/>
          <w:bCs/>
          <w:lang w:val="lt-LT" w:eastAsia="lt-LT"/>
        </w:rPr>
      </w:pPr>
      <w:r w:rsidRPr="00416FF5">
        <w:rPr>
          <w:rFonts w:ascii="Times New Roman" w:eastAsia="Calibri" w:hAnsi="Times New Roman" w:cs="Times New Roman"/>
          <w:b/>
          <w:bCs/>
          <w:lang w:val="lt-LT" w:eastAsia="lt-LT"/>
        </w:rPr>
        <w:t>Įspėjimai ir atsargumo priemonės</w:t>
      </w:r>
    </w:p>
    <w:p w:rsidR="00650D8D" w:rsidRPr="00B253F4" w:rsidRDefault="008A127D">
      <w:pPr>
        <w:numPr>
          <w:ilvl w:val="12"/>
          <w:numId w:val="0"/>
        </w:numPr>
        <w:spacing w:after="0" w:line="240" w:lineRule="auto"/>
        <w:ind w:left="567" w:hanging="567"/>
        <w:rPr>
          <w:rFonts w:ascii="Times New Roman" w:eastAsia="Calibri" w:hAnsi="Times New Roman" w:cs="Times New Roman"/>
          <w:b/>
          <w:bCs/>
          <w:lang w:val="lt-LT" w:eastAsia="lt-LT"/>
        </w:rPr>
      </w:pPr>
      <w:r w:rsidRPr="00B253F4">
        <w:rPr>
          <w:rFonts w:ascii="Times New Roman" w:eastAsia="Calibri" w:hAnsi="Times New Roman" w:cs="Times New Roman"/>
          <w:b/>
          <w:bCs/>
          <w:lang w:val="lt-LT" w:eastAsia="lt-LT"/>
        </w:rPr>
        <w:lastRenderedPageBreak/>
        <w:t>Pasitarkite su gydytoju arba vaistininku, prieš pradėdami vartoti Candesartan Ingen Pharma.</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Jeigu sutrikusi inkstų funkcija (žr. 3 skyriuje „</w:t>
      </w:r>
      <w:r w:rsidRPr="00650D8D">
        <w:rPr>
          <w:rFonts w:ascii="Times New Roman" w:eastAsia="Calibri" w:hAnsi="Times New Roman" w:cs="Times New Roman"/>
          <w:i/>
          <w:iCs/>
          <w:lang w:val="lt-LT" w:eastAsia="lt-LT"/>
        </w:rPr>
        <w:t>Vartojimas pacientams, kuriems yra sutrikusi inkstų funkcija</w:t>
      </w:r>
      <w:r w:rsidRPr="00650D8D">
        <w:rPr>
          <w:rFonts w:ascii="Times New Roman" w:eastAsia="Calibri" w:hAnsi="Times New Roman" w:cs="Times New Roman"/>
          <w:lang w:val="lt-LT"/>
        </w:rPr>
        <w:t>“). Rekomenduojama, kad gydytojas reguliariai ir rūpestingai tikrintų kalio ir kreatinino kiekį kraujyje).</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Jeigu kartu vartojate AKF inhibitorių.</w:t>
      </w:r>
    </w:p>
    <w:p w:rsidR="00650D8D" w:rsidRPr="00650D8D" w:rsidRDefault="00650D8D" w:rsidP="00650D8D">
      <w:pPr>
        <w:tabs>
          <w:tab w:val="left" w:pos="567"/>
        </w:tabs>
        <w:spacing w:after="0" w:line="240" w:lineRule="auto"/>
        <w:ind w:left="567"/>
        <w:rPr>
          <w:rFonts w:ascii="Times New Roman" w:eastAsia="Calibri" w:hAnsi="Times New Roman" w:cs="Times New Roman"/>
          <w:lang w:val="lt-LT"/>
        </w:rPr>
      </w:pPr>
      <w:r w:rsidRPr="00650D8D">
        <w:rPr>
          <w:rFonts w:ascii="Times New Roman" w:eastAsia="Calibri" w:hAnsi="Times New Roman" w:cs="Times New Roman"/>
          <w:lang w:val="lt-LT"/>
        </w:rPr>
        <w:t>Šalutinių poveikių rizika, ypač inkstų funkcijos sutrikimas ir padidėjusi kalio koncentracija, didėja, jeigu Candesartan Ingen Pharma vartojamas kartu su AKF inhibitoriais. Gydytojas reguliariai ir atidžiai Jus stebės, ar nepasireiškia šie simptomai.</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Jeigu jums atliekama hemodializė.</w:t>
      </w:r>
    </w:p>
    <w:p w:rsidR="00650D8D" w:rsidRPr="00650D8D" w:rsidRDefault="00650D8D" w:rsidP="00650D8D">
      <w:pPr>
        <w:tabs>
          <w:tab w:val="left" w:pos="567"/>
        </w:tabs>
        <w:spacing w:after="0" w:line="240" w:lineRule="auto"/>
        <w:ind w:left="567"/>
        <w:rPr>
          <w:rFonts w:ascii="Times New Roman" w:eastAsia="Calibri" w:hAnsi="Times New Roman" w:cs="Times New Roman"/>
          <w:lang w:val="lt-LT"/>
        </w:rPr>
      </w:pPr>
      <w:r w:rsidRPr="00650D8D">
        <w:rPr>
          <w:rFonts w:ascii="Times New Roman" w:eastAsia="Calibri" w:hAnsi="Times New Roman" w:cs="Times New Roman"/>
          <w:lang w:val="lt-LT"/>
        </w:rPr>
        <w:t>Atliekant dializę kraujospūdžio atsakas į Candesartan Ingen Pharma gali būti labai jautrus. Dėl šios priežasties gydytojas turėtų atsargiai pritaikyti Candesartan Ingen Pharma dozę pacientams, atidžiai stebėdamas jų kraujospūdį.</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Jeigu Jums yra inksto arterijos susiaurėjimas (abiejų inkstų, arba jeigu Jūs turite vieną inkstą). Kaip ir su kitais kraujospūdį mažinančiais vaistais (pvz., AKF inhibitoriais), neatmetama šlapalo ir kreatinino koncentracijos kraujyje padidėjimo galimybė.</w:t>
      </w:r>
    </w:p>
    <w:p w:rsidR="00650D8D" w:rsidRPr="00650D8D" w:rsidRDefault="00650D8D" w:rsidP="00650D8D">
      <w:pPr>
        <w:numPr>
          <w:ilvl w:val="0"/>
          <w:numId w:val="2"/>
        </w:numPr>
        <w:tabs>
          <w:tab w:val="left" w:pos="567"/>
        </w:tabs>
        <w:spacing w:after="0" w:line="240" w:lineRule="auto"/>
        <w:ind w:left="567" w:hanging="566"/>
        <w:jc w:val="both"/>
        <w:rPr>
          <w:rFonts w:ascii="Times New Roman" w:eastAsia="Calibri" w:hAnsi="Times New Roman" w:cs="Times New Roman"/>
          <w:lang w:val="lt-LT"/>
        </w:rPr>
      </w:pPr>
      <w:r w:rsidRPr="00650D8D">
        <w:rPr>
          <w:rFonts w:ascii="Times New Roman" w:eastAsia="Calibri" w:hAnsi="Times New Roman" w:cs="Times New Roman"/>
          <w:lang w:val="lt-LT"/>
        </w:rPr>
        <w:t>Jeigu Jums neseniai buvo atlikta inksto transplantacija, nes nėra tokių pacientų gydymo patirties.</w:t>
      </w:r>
    </w:p>
    <w:p w:rsidR="00650D8D" w:rsidRPr="00650D8D" w:rsidRDefault="00650D8D" w:rsidP="00650D8D">
      <w:pPr>
        <w:numPr>
          <w:ilvl w:val="0"/>
          <w:numId w:val="2"/>
        </w:numPr>
        <w:tabs>
          <w:tab w:val="left" w:pos="567"/>
        </w:tabs>
        <w:spacing w:after="0" w:line="240" w:lineRule="auto"/>
        <w:ind w:left="567" w:hanging="566"/>
        <w:jc w:val="both"/>
        <w:rPr>
          <w:rFonts w:ascii="Times New Roman" w:eastAsia="Calibri" w:hAnsi="Times New Roman" w:cs="Times New Roman"/>
          <w:lang w:val="lt-LT"/>
        </w:rPr>
      </w:pPr>
      <w:r w:rsidRPr="00650D8D">
        <w:rPr>
          <w:rFonts w:ascii="Times New Roman" w:eastAsia="Calibri" w:hAnsi="Times New Roman" w:cs="Times New Roman"/>
          <w:lang w:val="lt-LT"/>
        </w:rPr>
        <w:t xml:space="preserve">Jeigu gydantis Candesartan Ingen Pharma jums labai smarkiai nukrito kraujospūdis. </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 xml:space="preserve">Jeigu planuojama chirurginė operacija, nes Candesartan Ingen Pharma gali sumažinti kraujospūdį operacijos ir anestezijos metu. Prieš planuojant bet kokią chirurginę operaciją, pasakykite gydytojui, kad vartojate Candesartan Ingen Pharma. </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Jeigu Jums yra žymus vožtuvų susiaurėjimas širdies kairiojoje ertmėje (aortos ar mitralinio vožtuvo stenozė) arba jeigu yra labai ribotas kraujo ištekėjimas iš širdies (hipertrofinė obstrukcinė kardiomiopatija).</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Jeigu yra didelė aldosterono koncentracija kraujyje (pirminis hiperaldosteronizmas). Tokių pacientų Candesartan Ingen Pharma gydyti nerekomenduoja.</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 xml:space="preserve">Jeigu vartojate vaistų, didinančių kalio kiekį kraujyje: kalio papildus ar druskų pakaitalus, kurių sudėtyje yra kalio, kalį tausojančius vaistus ir hepariną. Rekomenduojama, kad gydytojas reguliariai tikrintų kalio kiekį kraujyje. </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 xml:space="preserve">Jeigu Jums yra sunkus širdies nepakankamumas, gali pasireikšti staigus kraujospūdžio kritimas, sumažėjęs šlapimo išsiskyrimas, padidėjęs azoto kiekis kraujyje, retais atvejais – ūminis inkstų nepakankamumas. </w:t>
      </w:r>
    </w:p>
    <w:p w:rsidR="00650D8D" w:rsidRPr="00650D8D" w:rsidRDefault="00650D8D" w:rsidP="00650D8D">
      <w:pPr>
        <w:numPr>
          <w:ilvl w:val="0"/>
          <w:numId w:val="2"/>
        </w:numPr>
        <w:tabs>
          <w:tab w:val="left" w:pos="567"/>
        </w:tabs>
        <w:spacing w:after="0" w:line="240" w:lineRule="auto"/>
        <w:ind w:left="567" w:hanging="566"/>
        <w:rPr>
          <w:rFonts w:ascii="Times New Roman" w:eastAsia="Calibri" w:hAnsi="Times New Roman" w:cs="Times New Roman"/>
          <w:lang w:val="lt-LT"/>
        </w:rPr>
      </w:pPr>
      <w:r w:rsidRPr="00650D8D">
        <w:rPr>
          <w:rFonts w:ascii="Times New Roman" w:eastAsia="Calibri" w:hAnsi="Times New Roman" w:cs="Times New Roman"/>
          <w:lang w:val="lt-LT"/>
        </w:rPr>
        <w:t xml:space="preserve">Jeigu sergate nesunkia, su inkstais susijusia liga (įskaitant vieno ar abiejų inkstų arterijų susiaurėjimą). Tokiu atveju gali pasireikšti staigus kraujospūdžio kritimas, sumažėjęs šlapimo išsiskyrimas, padidėjęs azoto kiekis kraujyje, retais atvejais – ūminis inkstų nepakankamumas. </w:t>
      </w:r>
    </w:p>
    <w:p w:rsidR="008A127D" w:rsidRDefault="00650D8D" w:rsidP="00650D8D">
      <w:pPr>
        <w:numPr>
          <w:ilvl w:val="12"/>
          <w:numId w:val="0"/>
        </w:numPr>
        <w:tabs>
          <w:tab w:val="left" w:pos="567"/>
        </w:tabs>
        <w:spacing w:after="0" w:line="240" w:lineRule="auto"/>
        <w:ind w:left="567" w:hanging="566"/>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Jeigu Jums yra išeminė kardiomiopatija (pablogėjusi širdies raumens kraujotaka) ar smegenų kraujotakos sutrikimai. Kaip ir vartojant kitų kraujospūdį mažinančių vaistų, staigus kraujospūdžio kritimas tokiais atvejais gali išprovokuoti širdies smūgį ar infarktą</w:t>
      </w:r>
      <w:r w:rsidR="008A127D">
        <w:rPr>
          <w:rFonts w:ascii="Times New Roman" w:eastAsia="Calibri" w:hAnsi="Times New Roman" w:cs="Times New Roman"/>
          <w:lang w:val="lt-LT" w:eastAsia="lt-LT"/>
        </w:rPr>
        <w:t>.</w:t>
      </w:r>
    </w:p>
    <w:p w:rsidR="008A127D" w:rsidRPr="00196FC1" w:rsidRDefault="008A127D" w:rsidP="00196FC1">
      <w:pPr>
        <w:pStyle w:val="Sraopastraipa"/>
        <w:numPr>
          <w:ilvl w:val="0"/>
          <w:numId w:val="7"/>
        </w:numPr>
        <w:tabs>
          <w:tab w:val="left" w:pos="567"/>
        </w:tabs>
        <w:spacing w:after="0" w:line="240" w:lineRule="auto"/>
        <w:ind w:hanging="721"/>
        <w:rPr>
          <w:rFonts w:ascii="Times New Roman" w:eastAsia="Calibri" w:hAnsi="Times New Roman" w:cs="Times New Roman"/>
          <w:lang w:val="lt-LT" w:eastAsia="lt-LT"/>
        </w:rPr>
      </w:pPr>
      <w:r w:rsidRPr="00196FC1">
        <w:rPr>
          <w:rFonts w:ascii="Times New Roman" w:eastAsia="Calibri" w:hAnsi="Times New Roman" w:cs="Times New Roman"/>
          <w:lang w:val="lt-LT" w:eastAsia="lt-LT"/>
        </w:rPr>
        <w:t>Jeigu vartojate kurį nors iš šių vaistų padidėjusiam kraujospūdžiui gydyti:</w:t>
      </w:r>
    </w:p>
    <w:p w:rsidR="008A127D" w:rsidRPr="008A127D" w:rsidRDefault="008A127D">
      <w:pPr>
        <w:numPr>
          <w:ilvl w:val="12"/>
          <w:numId w:val="0"/>
        </w:numPr>
        <w:tabs>
          <w:tab w:val="left" w:pos="567"/>
        </w:tabs>
        <w:spacing w:after="0" w:line="240" w:lineRule="auto"/>
        <w:ind w:left="567"/>
        <w:rPr>
          <w:rFonts w:ascii="Times New Roman" w:eastAsia="Calibri" w:hAnsi="Times New Roman" w:cs="Times New Roman"/>
          <w:lang w:val="lt-LT" w:eastAsia="lt-LT"/>
        </w:rPr>
      </w:pPr>
      <w:r w:rsidRPr="008A127D">
        <w:rPr>
          <w:rFonts w:ascii="Times New Roman" w:eastAsia="Calibri" w:hAnsi="Times New Roman" w:cs="Times New Roman"/>
          <w:lang w:val="lt-LT" w:eastAsia="lt-LT"/>
        </w:rPr>
        <w:t>- AKF inhibitorių (pavyzdžiui, enalaprilį, lizinoprilį, ramiprilį), ypač jei turite su diabetu susijusių</w:t>
      </w:r>
      <w:r>
        <w:rPr>
          <w:rFonts w:ascii="Times New Roman" w:eastAsia="Calibri" w:hAnsi="Times New Roman" w:cs="Times New Roman"/>
          <w:lang w:val="lt-LT" w:eastAsia="lt-LT"/>
        </w:rPr>
        <w:t xml:space="preserve"> </w:t>
      </w:r>
      <w:r w:rsidRPr="008A127D">
        <w:rPr>
          <w:rFonts w:ascii="Times New Roman" w:eastAsia="Calibri" w:hAnsi="Times New Roman" w:cs="Times New Roman"/>
          <w:lang w:val="lt-LT" w:eastAsia="lt-LT"/>
        </w:rPr>
        <w:t>inkstų sutrikimų;</w:t>
      </w:r>
    </w:p>
    <w:p w:rsidR="008A127D" w:rsidRDefault="008A127D" w:rsidP="008A127D">
      <w:pPr>
        <w:numPr>
          <w:ilvl w:val="12"/>
          <w:numId w:val="0"/>
        </w:numPr>
        <w:tabs>
          <w:tab w:val="left" w:pos="567"/>
        </w:tabs>
        <w:spacing w:after="0" w:line="240" w:lineRule="auto"/>
        <w:ind w:left="567"/>
        <w:rPr>
          <w:rFonts w:ascii="Times New Roman" w:eastAsia="Calibri" w:hAnsi="Times New Roman" w:cs="Times New Roman"/>
          <w:lang w:val="lt-LT" w:eastAsia="lt-LT"/>
        </w:rPr>
      </w:pPr>
      <w:r w:rsidRPr="008A127D">
        <w:rPr>
          <w:rFonts w:ascii="Times New Roman" w:eastAsia="Calibri" w:hAnsi="Times New Roman" w:cs="Times New Roman"/>
          <w:lang w:val="lt-LT" w:eastAsia="lt-LT"/>
        </w:rPr>
        <w:t>- aliskireną</w:t>
      </w:r>
      <w:r>
        <w:rPr>
          <w:rFonts w:ascii="Times New Roman" w:eastAsia="Calibri" w:hAnsi="Times New Roman" w:cs="Times New Roman"/>
          <w:lang w:val="lt-LT" w:eastAsia="lt-LT"/>
        </w:rPr>
        <w:t>.</w:t>
      </w:r>
    </w:p>
    <w:p w:rsidR="008A127D" w:rsidRPr="00196FC1" w:rsidRDefault="008A127D" w:rsidP="00196FC1">
      <w:pPr>
        <w:pStyle w:val="Sraopastraipa"/>
        <w:numPr>
          <w:ilvl w:val="0"/>
          <w:numId w:val="7"/>
        </w:numPr>
        <w:tabs>
          <w:tab w:val="left"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J</w:t>
      </w:r>
      <w:r w:rsidRPr="008A127D">
        <w:rPr>
          <w:rFonts w:ascii="Times New Roman" w:eastAsia="Calibri" w:hAnsi="Times New Roman" w:cs="Times New Roman"/>
          <w:lang w:val="lt-LT" w:eastAsia="lt-LT"/>
        </w:rPr>
        <w:t>eigu vartojate AKF inhibitorių kartu su vaistu, priklausančiu mineralokortikoidinių receptorių</w:t>
      </w:r>
      <w:r>
        <w:rPr>
          <w:rFonts w:ascii="Times New Roman" w:eastAsia="Calibri" w:hAnsi="Times New Roman" w:cs="Times New Roman"/>
          <w:lang w:val="lt-LT" w:eastAsia="lt-LT"/>
        </w:rPr>
        <w:t xml:space="preserve"> </w:t>
      </w:r>
      <w:r w:rsidRPr="00196FC1">
        <w:rPr>
          <w:rFonts w:ascii="Times New Roman" w:eastAsia="Calibri" w:hAnsi="Times New Roman" w:cs="Times New Roman"/>
          <w:lang w:val="lt-LT" w:eastAsia="lt-LT"/>
        </w:rPr>
        <w:t xml:space="preserve">antagonistų (MRA) grupei. Šie vaistai skirti širdies nepakankamumui gydyti (žiūrėkite „Kiti vaistai ir </w:t>
      </w:r>
      <w:r w:rsidRPr="008A127D">
        <w:rPr>
          <w:rFonts w:ascii="Times New Roman" w:eastAsia="Calibri" w:hAnsi="Times New Roman" w:cs="Times New Roman"/>
          <w:lang w:val="lt-LT" w:eastAsia="lt-LT"/>
        </w:rPr>
        <w:t>Candesartan Ingen Pharma</w:t>
      </w:r>
      <w:r>
        <w:rPr>
          <w:rFonts w:ascii="Times New Roman" w:eastAsia="Calibri" w:hAnsi="Times New Roman" w:cs="Times New Roman"/>
          <w:lang w:val="lt-LT" w:eastAsia="lt-LT"/>
        </w:rPr>
        <w:t>“).</w:t>
      </w:r>
    </w:p>
    <w:p w:rsidR="00650D8D" w:rsidRPr="00650D8D" w:rsidRDefault="00650D8D" w:rsidP="00650D8D">
      <w:pPr>
        <w:numPr>
          <w:ilvl w:val="12"/>
          <w:numId w:val="0"/>
        </w:numPr>
        <w:tabs>
          <w:tab w:val="left" w:pos="567"/>
        </w:tabs>
        <w:spacing w:after="0" w:line="240" w:lineRule="auto"/>
        <w:ind w:left="567" w:hanging="566"/>
        <w:rPr>
          <w:rFonts w:ascii="Times New Roman" w:eastAsia="Calibri" w:hAnsi="Times New Roman" w:cs="Times New Roman"/>
          <w:lang w:val="lt-LT" w:eastAsia="lt-LT"/>
        </w:rPr>
      </w:pPr>
    </w:p>
    <w:p w:rsidR="00FC1B34" w:rsidRPr="00FC1B34" w:rsidRDefault="00FC1B34" w:rsidP="00FC1B34">
      <w:pPr>
        <w:numPr>
          <w:ilvl w:val="12"/>
          <w:numId w:val="0"/>
        </w:numPr>
        <w:spacing w:after="0" w:line="240" w:lineRule="auto"/>
        <w:jc w:val="both"/>
        <w:rPr>
          <w:rFonts w:ascii="Times New Roman" w:eastAsia="Calibri" w:hAnsi="Times New Roman" w:cs="Times New Roman"/>
          <w:lang w:val="lt-LT" w:eastAsia="lt-LT"/>
        </w:rPr>
      </w:pPr>
      <w:r w:rsidRPr="00FC1B34">
        <w:rPr>
          <w:rFonts w:ascii="Times New Roman" w:eastAsia="Calibri" w:hAnsi="Times New Roman" w:cs="Times New Roman"/>
          <w:lang w:val="lt-LT" w:eastAsia="lt-LT"/>
        </w:rPr>
        <w:t>Jūsų gydytojas gali reguliariai ištirti Jūsų inkstų funkciją, kraujospūdį ir elektrolitų kiekį (pvz., kalio)</w:t>
      </w:r>
    </w:p>
    <w:p w:rsidR="00650D8D" w:rsidRDefault="00FC1B34" w:rsidP="00FC1B34">
      <w:pPr>
        <w:numPr>
          <w:ilvl w:val="12"/>
          <w:numId w:val="0"/>
        </w:numPr>
        <w:spacing w:after="0" w:line="240" w:lineRule="auto"/>
        <w:jc w:val="both"/>
        <w:rPr>
          <w:rFonts w:ascii="Times New Roman" w:eastAsia="Calibri" w:hAnsi="Times New Roman" w:cs="Times New Roman"/>
          <w:lang w:val="lt-LT" w:eastAsia="lt-LT"/>
        </w:rPr>
      </w:pPr>
      <w:r w:rsidRPr="00FC1B34">
        <w:rPr>
          <w:rFonts w:ascii="Times New Roman" w:eastAsia="Calibri" w:hAnsi="Times New Roman" w:cs="Times New Roman"/>
          <w:lang w:val="lt-LT" w:eastAsia="lt-LT"/>
        </w:rPr>
        <w:t>kraujyje.</w:t>
      </w:r>
    </w:p>
    <w:p w:rsidR="00FC1B34" w:rsidRDefault="00FC1B34" w:rsidP="00FC1B34">
      <w:pPr>
        <w:numPr>
          <w:ilvl w:val="12"/>
          <w:numId w:val="0"/>
        </w:numPr>
        <w:spacing w:after="0" w:line="240" w:lineRule="auto"/>
        <w:jc w:val="both"/>
        <w:rPr>
          <w:rFonts w:ascii="Times New Roman" w:eastAsia="Calibri" w:hAnsi="Times New Roman" w:cs="Times New Roman"/>
          <w:lang w:val="lt-LT" w:eastAsia="lt-LT"/>
        </w:rPr>
      </w:pPr>
    </w:p>
    <w:p w:rsidR="00FC1B34" w:rsidRPr="00F7486B" w:rsidRDefault="00FC1B34" w:rsidP="00FC1B34">
      <w:pPr>
        <w:numPr>
          <w:ilvl w:val="12"/>
          <w:numId w:val="0"/>
        </w:numPr>
        <w:spacing w:after="0" w:line="240" w:lineRule="auto"/>
        <w:jc w:val="both"/>
        <w:rPr>
          <w:rFonts w:ascii="Times New Roman" w:eastAsia="Calibri" w:hAnsi="Times New Roman" w:cs="Times New Roman"/>
          <w:lang w:val="lt-LT" w:eastAsia="lt-LT"/>
        </w:rPr>
      </w:pPr>
      <w:r w:rsidRPr="00196FC1">
        <w:rPr>
          <w:rFonts w:ascii="Times New Roman" w:eastAsia="Calibri" w:hAnsi="Times New Roman" w:cs="Times New Roman"/>
          <w:iCs/>
          <w:lang w:eastAsia="lt-LT"/>
        </w:rPr>
        <w:t xml:space="preserve">Taip pat </w:t>
      </w:r>
      <w:r w:rsidRPr="00196FC1">
        <w:rPr>
          <w:rFonts w:ascii="Times New Roman" w:eastAsia="Calibri" w:hAnsi="Times New Roman" w:cs="Times New Roman" w:hint="eastAsia"/>
          <w:iCs/>
          <w:lang w:eastAsia="lt-LT"/>
        </w:rPr>
        <w:t>ž</w:t>
      </w:r>
      <w:r w:rsidRPr="00196FC1">
        <w:rPr>
          <w:rFonts w:ascii="Times New Roman" w:eastAsia="Calibri" w:hAnsi="Times New Roman" w:cs="Times New Roman"/>
          <w:iCs/>
          <w:lang w:eastAsia="lt-LT"/>
        </w:rPr>
        <w:t>i</w:t>
      </w:r>
      <w:r w:rsidRPr="00196FC1">
        <w:rPr>
          <w:rFonts w:ascii="Times New Roman" w:eastAsia="Calibri" w:hAnsi="Times New Roman" w:cs="Times New Roman" w:hint="eastAsia"/>
          <w:iCs/>
          <w:lang w:eastAsia="lt-LT"/>
        </w:rPr>
        <w:t>ū</w:t>
      </w:r>
      <w:r w:rsidRPr="00196FC1">
        <w:rPr>
          <w:rFonts w:ascii="Times New Roman" w:eastAsia="Calibri" w:hAnsi="Times New Roman" w:cs="Times New Roman"/>
          <w:iCs/>
          <w:lang w:eastAsia="lt-LT"/>
        </w:rPr>
        <w:t>r</w:t>
      </w:r>
      <w:r w:rsidRPr="00196FC1">
        <w:rPr>
          <w:rFonts w:ascii="Times New Roman" w:eastAsia="Calibri" w:hAnsi="Times New Roman" w:cs="Times New Roman" w:hint="eastAsia"/>
          <w:iCs/>
          <w:lang w:eastAsia="lt-LT"/>
        </w:rPr>
        <w:t>ė</w:t>
      </w:r>
      <w:r w:rsidRPr="00196FC1">
        <w:rPr>
          <w:rFonts w:ascii="Times New Roman" w:eastAsia="Calibri" w:hAnsi="Times New Roman" w:cs="Times New Roman"/>
          <w:iCs/>
          <w:lang w:eastAsia="lt-LT"/>
        </w:rPr>
        <w:t>kite informacij</w:t>
      </w:r>
      <w:r w:rsidRPr="00196FC1">
        <w:rPr>
          <w:rFonts w:ascii="Times New Roman" w:eastAsia="Calibri" w:hAnsi="Times New Roman" w:cs="Times New Roman" w:hint="eastAsia"/>
          <w:iCs/>
          <w:lang w:eastAsia="lt-LT"/>
        </w:rPr>
        <w:t>ą</w:t>
      </w:r>
      <w:r w:rsidRPr="00196FC1">
        <w:rPr>
          <w:rFonts w:ascii="Times New Roman" w:eastAsia="Calibri" w:hAnsi="Times New Roman" w:cs="Times New Roman"/>
          <w:iCs/>
          <w:lang w:eastAsia="lt-LT"/>
        </w:rPr>
        <w:t>, pateikt</w:t>
      </w:r>
      <w:r w:rsidRPr="00196FC1">
        <w:rPr>
          <w:rFonts w:ascii="Times New Roman" w:eastAsia="Calibri" w:hAnsi="Times New Roman" w:cs="Times New Roman" w:hint="eastAsia"/>
          <w:iCs/>
          <w:lang w:eastAsia="lt-LT"/>
        </w:rPr>
        <w:t>ą</w:t>
      </w:r>
      <w:r w:rsidRPr="00196FC1">
        <w:rPr>
          <w:rFonts w:ascii="Times New Roman" w:eastAsia="Calibri" w:hAnsi="Times New Roman" w:cs="Times New Roman"/>
          <w:iCs/>
          <w:lang w:eastAsia="lt-LT"/>
        </w:rPr>
        <w:t xml:space="preserve"> poskyryje </w:t>
      </w:r>
      <w:r w:rsidRPr="00196FC1">
        <w:rPr>
          <w:rFonts w:ascii="Times New Roman" w:eastAsia="Calibri" w:hAnsi="Times New Roman" w:cs="Times New Roman" w:hint="eastAsia"/>
          <w:iCs/>
          <w:lang w:eastAsia="lt-LT"/>
        </w:rPr>
        <w:t>„</w:t>
      </w:r>
      <w:r w:rsidR="00F7486B" w:rsidRPr="00196FC1">
        <w:rPr>
          <w:rFonts w:ascii="Times New Roman" w:eastAsia="Calibri" w:hAnsi="Times New Roman" w:cs="Times New Roman"/>
          <w:iCs/>
          <w:lang w:eastAsia="lt-LT"/>
        </w:rPr>
        <w:t xml:space="preserve">Candesartan Ingen Pharma </w:t>
      </w:r>
      <w:r w:rsidRPr="00196FC1">
        <w:rPr>
          <w:rFonts w:ascii="Times New Roman" w:eastAsia="Calibri" w:hAnsi="Times New Roman" w:cs="Times New Roman"/>
          <w:iCs/>
          <w:lang w:eastAsia="lt-LT"/>
        </w:rPr>
        <w:t>vartoti negalima</w:t>
      </w:r>
      <w:r w:rsidRPr="00196FC1">
        <w:rPr>
          <w:rFonts w:ascii="Times New Roman" w:eastAsia="Calibri" w:hAnsi="Times New Roman" w:cs="Times New Roman" w:hint="eastAsia"/>
          <w:iCs/>
          <w:lang w:eastAsia="lt-LT"/>
        </w:rPr>
        <w:t>“</w:t>
      </w:r>
      <w:r w:rsidRPr="00196FC1">
        <w:rPr>
          <w:rFonts w:ascii="Times New Roman" w:eastAsia="Calibri" w:hAnsi="Times New Roman" w:cs="Times New Roman"/>
          <w:iCs/>
          <w:lang w:eastAsia="lt-LT"/>
        </w:rPr>
        <w:t>.</w:t>
      </w:r>
    </w:p>
    <w:p w:rsidR="00FC1B34" w:rsidRPr="00650D8D" w:rsidRDefault="00FC1B34" w:rsidP="00FC1B34">
      <w:pPr>
        <w:numPr>
          <w:ilvl w:val="12"/>
          <w:numId w:val="0"/>
        </w:numPr>
        <w:spacing w:after="0" w:line="240" w:lineRule="auto"/>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jc w:val="both"/>
        <w:outlineLvl w:val="0"/>
        <w:rPr>
          <w:rFonts w:ascii="Times New Roman" w:eastAsia="Calibri" w:hAnsi="Times New Roman" w:cs="Times New Roman"/>
          <w:i/>
          <w:iCs/>
          <w:u w:val="single"/>
          <w:lang w:val="lt-LT" w:eastAsia="lt-LT"/>
        </w:rPr>
      </w:pPr>
      <w:r w:rsidRPr="00650D8D">
        <w:rPr>
          <w:rFonts w:ascii="Times New Roman" w:eastAsia="Calibri" w:hAnsi="Times New Roman" w:cs="Times New Roman"/>
          <w:i/>
          <w:iCs/>
          <w:u w:val="single"/>
          <w:lang w:val="lt-LT" w:eastAsia="lt-LT"/>
        </w:rPr>
        <w:t>Nėštumas</w:t>
      </w: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Praneškite savo gydytojui, jei manote, jog esate (arba galite tapti) nėščia. Candesartan Ingen Pharma nerekomenduojamas esant ankstyvam nėštumui, ir neturi būti vartojamas, jei Jūs esate nėščia ilgiau nei 3 mėn., nes šis vaistas gali sukelti rimtą žalą Jūsų kūdikiui, jei bus tuo metu vartojamas (žr. skyrių „Nėštumas“).</w:t>
      </w:r>
    </w:p>
    <w:p w:rsidR="00650D8D" w:rsidRPr="00650D8D" w:rsidRDefault="00650D8D" w:rsidP="00650D8D">
      <w:pPr>
        <w:numPr>
          <w:ilvl w:val="12"/>
          <w:numId w:val="0"/>
        </w:numPr>
        <w:spacing w:after="0" w:line="240" w:lineRule="auto"/>
        <w:jc w:val="both"/>
        <w:rPr>
          <w:rFonts w:ascii="Times New Roman" w:eastAsia="Calibri" w:hAnsi="Times New Roman" w:cs="Times New Roman"/>
          <w:i/>
          <w:iCs/>
          <w:u w:val="single"/>
          <w:lang w:val="lt-LT" w:eastAsia="lt-LT"/>
        </w:rPr>
      </w:pPr>
    </w:p>
    <w:p w:rsidR="00650D8D" w:rsidRPr="00650D8D" w:rsidRDefault="00650D8D" w:rsidP="00650D8D">
      <w:pPr>
        <w:numPr>
          <w:ilvl w:val="12"/>
          <w:numId w:val="0"/>
        </w:numPr>
        <w:spacing w:after="0" w:line="240" w:lineRule="auto"/>
        <w:jc w:val="both"/>
        <w:rPr>
          <w:rFonts w:ascii="Times New Roman" w:eastAsia="Calibri" w:hAnsi="Times New Roman" w:cs="Times New Roman"/>
          <w:i/>
          <w:iCs/>
          <w:u w:val="single"/>
          <w:lang w:val="lt-LT" w:eastAsia="lt-LT"/>
        </w:rPr>
      </w:pPr>
      <w:r w:rsidRPr="00650D8D">
        <w:rPr>
          <w:rFonts w:ascii="Times New Roman" w:eastAsia="Calibri" w:hAnsi="Times New Roman" w:cs="Times New Roman"/>
          <w:i/>
          <w:iCs/>
          <w:u w:val="single"/>
          <w:lang w:val="lt-LT" w:eastAsia="lt-LT"/>
        </w:rPr>
        <w:lastRenderedPageBreak/>
        <w:t>Vaikai ir suaugusieji</w:t>
      </w:r>
    </w:p>
    <w:p w:rsidR="00650D8D" w:rsidRPr="00650D8D" w:rsidRDefault="00650D8D" w:rsidP="00650D8D">
      <w:pPr>
        <w:numPr>
          <w:ilvl w:val="12"/>
          <w:numId w:val="0"/>
        </w:numPr>
        <w:spacing w:after="0" w:line="240" w:lineRule="auto"/>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Candesartan Ingen Pharma saugumas ir veiksmingumas vaikams ir paaugliams (iki 18 metų amžiaus) neištirtas.</w:t>
      </w:r>
    </w:p>
    <w:p w:rsidR="00650D8D" w:rsidRPr="00650D8D" w:rsidRDefault="00650D8D" w:rsidP="00650D8D">
      <w:pPr>
        <w:numPr>
          <w:ilvl w:val="12"/>
          <w:numId w:val="0"/>
        </w:numPr>
        <w:spacing w:after="0" w:line="240" w:lineRule="auto"/>
        <w:jc w:val="both"/>
        <w:rPr>
          <w:rFonts w:ascii="Times New Roman" w:eastAsia="Calibri" w:hAnsi="Times New Roman" w:cs="Times New Roman"/>
          <w:lang w:val="lt-LT" w:eastAsia="lt-LT"/>
        </w:rPr>
      </w:pPr>
    </w:p>
    <w:p w:rsidR="00650D8D" w:rsidRPr="00650D8D" w:rsidRDefault="001E211A" w:rsidP="00650D8D">
      <w:pPr>
        <w:numPr>
          <w:ilvl w:val="12"/>
          <w:numId w:val="0"/>
        </w:numPr>
        <w:spacing w:after="0" w:line="240" w:lineRule="auto"/>
        <w:ind w:right="-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Kiti vaistai ir</w:t>
      </w:r>
      <w:r w:rsidR="00416FF5">
        <w:rPr>
          <w:rFonts w:ascii="Times New Roman" w:eastAsia="Calibri" w:hAnsi="Times New Roman" w:cs="Times New Roman"/>
          <w:b/>
          <w:bCs/>
          <w:lang w:val="lt-LT" w:eastAsia="lt-LT"/>
        </w:rPr>
        <w:t xml:space="preserve"> Candesartan Ingen Pharma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Jeigu vartojate arba neseniai vartojote kitų vaistų</w:t>
      </w:r>
      <w:r w:rsidR="00BC19CA" w:rsidRPr="00B253F4">
        <w:rPr>
          <w:rFonts w:ascii="Verdana,Bold" w:hAnsi="Verdana,Bold" w:cs="Verdana,Bold"/>
          <w:b/>
          <w:bCs/>
          <w:sz w:val="18"/>
          <w:szCs w:val="18"/>
          <w:lang w:val="lt-LT"/>
        </w:rPr>
        <w:t xml:space="preserve"> </w:t>
      </w:r>
      <w:r w:rsidR="00BC19CA" w:rsidRPr="00B253F4">
        <w:rPr>
          <w:rFonts w:ascii="Times New Roman" w:eastAsia="Calibri" w:hAnsi="Times New Roman" w:cs="Times New Roman"/>
          <w:bCs/>
          <w:lang w:val="lt-LT" w:eastAsia="lt-LT"/>
        </w:rPr>
        <w:t>arba dėl to nesate tikri</w:t>
      </w:r>
      <w:r w:rsidR="00445F46" w:rsidRPr="00B253F4">
        <w:rPr>
          <w:rFonts w:ascii="Times New Roman" w:eastAsia="Calibri" w:hAnsi="Times New Roman" w:cs="Times New Roman"/>
          <w:bCs/>
          <w:lang w:val="lt-LT" w:eastAsia="lt-LT"/>
        </w:rPr>
        <w:t xml:space="preserve">, apie tai </w:t>
      </w:r>
      <w:r w:rsidRPr="00650D8D">
        <w:rPr>
          <w:rFonts w:ascii="Times New Roman" w:eastAsia="Calibri" w:hAnsi="Times New Roman" w:cs="Times New Roman"/>
          <w:lang w:val="lt-LT" w:eastAsia="lt-LT"/>
        </w:rPr>
        <w:t>pasakykite gydytojui arba vaistininkui.</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Atsižvelgiant į absorbciją, pasiskirstymą ir pašalinimą iš organizmo, nenustatyta tiesioginė sąveika su gydymu vaistais, kuriuose yra nurodytų veikliųjų medžiagų:</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varfarino (kraują skystinantis vaistas), digoksino (vartojamas širdies ligoms gydyti), kontraceptinių piliulių (pvz., etinilestradiolio / levonorgestrelio), glibenklamido (vartojamas diabetui gydyti), nifedipino (vartojamas kraujospūdžiui mažinti, kalcio kanalų blokatorius) ir enalaprilio (vartojamas kraujospūdžiui mažinti, AKF inhibitorius).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Būtinai praneškite savo gydytojui, jei esate gydomas šiais vaistais:</w:t>
      </w:r>
    </w:p>
    <w:p w:rsidR="00650D8D" w:rsidRPr="00650D8D" w:rsidRDefault="00650D8D" w:rsidP="00650D8D">
      <w:pPr>
        <w:numPr>
          <w:ilvl w:val="0"/>
          <w:numId w:val="2"/>
        </w:numPr>
        <w:spacing w:after="0" w:line="240" w:lineRule="auto"/>
        <w:ind w:left="567" w:right="-2"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Kraujospūdį mažinančiais vaistais, nepaisant to, ar jie buvo paskirti mažinti kraujospūdį, ar bet kokiai kitai indikacijai, nes gali padidėti Candesartan Ingen Pharma kraujospūdį mažinantis poveikis.</w:t>
      </w:r>
    </w:p>
    <w:p w:rsidR="00650D8D" w:rsidRPr="00650D8D" w:rsidRDefault="00650D8D" w:rsidP="00650D8D">
      <w:pPr>
        <w:numPr>
          <w:ilvl w:val="0"/>
          <w:numId w:val="2"/>
        </w:numPr>
        <w:spacing w:after="0" w:line="240" w:lineRule="auto"/>
        <w:ind w:left="567" w:right="-2"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Tam tikrais diuretikais (kalį tausojančiais diuretikais), kalio preparatais, kalio turinčiais druskos pakaitalais ar kitais vaistais, kurie gali padidinti kalio kiekį (pvz., heparinu), nes gali padidėti kalio kiekis kraujyje, jei jie bus vartojami kartu.</w:t>
      </w:r>
    </w:p>
    <w:p w:rsidR="00650D8D" w:rsidRPr="00650D8D" w:rsidRDefault="00650D8D" w:rsidP="00650D8D">
      <w:pPr>
        <w:numPr>
          <w:ilvl w:val="0"/>
          <w:numId w:val="2"/>
        </w:numPr>
        <w:spacing w:after="0" w:line="240" w:lineRule="auto"/>
        <w:ind w:left="567" w:right="-2"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Tam tikrais skausmą ir (ar) uždegimą malšinančiais vaistais (nesteroidiniais vaistais nuo uždegimo), pvz., ibuprofenu, naproksenu ar diklofenaku, nes juos vartojant kartu gali sumažėti Candesartan Ingen Pharma kraujospūdį mažinantis poveikis. Be to, toks kombinuotas vartojimas gali būti susijęs su padidėjusia inkstų veiklos pablogėjimo, įskaitant ūmų inkstų funkcijos nepakankamumą, rizika, ypač pacientams, turintiems sunkų inkstų funkcijos sutrikimą, taip pat senyvo amžiaus pacientams, ir gali padidinti kalio koncentraciją kraujyje. Turėtų būti apsvarstytas inkstų funkcijos stebėjimas gydymo pradžioje ir reguliariai kombinuoto gydymo metu. Gydymo metu turėtumėte gerti daug skysčių.</w:t>
      </w:r>
    </w:p>
    <w:p w:rsidR="00650D8D" w:rsidRPr="00650D8D" w:rsidRDefault="00650D8D" w:rsidP="00650D8D">
      <w:pPr>
        <w:numPr>
          <w:ilvl w:val="0"/>
          <w:numId w:val="2"/>
        </w:numPr>
        <w:spacing w:after="0" w:line="240" w:lineRule="auto"/>
        <w:ind w:left="567" w:right="-2"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COX-2 inhibitoriais, pvz., celekoksibu ar etorikoksibu.</w:t>
      </w:r>
    </w:p>
    <w:p w:rsidR="00650D8D" w:rsidRPr="00650D8D" w:rsidRDefault="00650D8D" w:rsidP="00650D8D">
      <w:pPr>
        <w:numPr>
          <w:ilvl w:val="0"/>
          <w:numId w:val="2"/>
        </w:numPr>
        <w:spacing w:after="0" w:line="240" w:lineRule="auto"/>
        <w:ind w:left="567" w:right="-2"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Acetilsalicilo rūgštimi, jei vartojate daugiau nei </w:t>
      </w:r>
      <w:smartTag w:uri="urn:schemas-microsoft-com:office:smarttags" w:element="metricconverter">
        <w:smartTagPr>
          <w:attr w:name="ProductID" w:val="3ﾠg"/>
        </w:smartTagPr>
        <w:r w:rsidRPr="00650D8D">
          <w:rPr>
            <w:rFonts w:ascii="Times New Roman" w:eastAsia="Calibri" w:hAnsi="Times New Roman" w:cs="Times New Roman"/>
            <w:lang w:val="lt-LT" w:eastAsia="lt-LT"/>
          </w:rPr>
          <w:t>3 g</w:t>
        </w:r>
      </w:smartTag>
      <w:r w:rsidRPr="00650D8D">
        <w:rPr>
          <w:rFonts w:ascii="Times New Roman" w:eastAsia="Calibri" w:hAnsi="Times New Roman" w:cs="Times New Roman"/>
          <w:lang w:val="lt-LT" w:eastAsia="lt-LT"/>
        </w:rPr>
        <w:t xml:space="preserve"> per parą.</w:t>
      </w:r>
    </w:p>
    <w:p w:rsidR="00650D8D" w:rsidRPr="00650D8D" w:rsidRDefault="00650D8D" w:rsidP="00650D8D">
      <w:pPr>
        <w:numPr>
          <w:ilvl w:val="0"/>
          <w:numId w:val="2"/>
        </w:numPr>
        <w:spacing w:after="0" w:line="240" w:lineRule="auto"/>
        <w:ind w:left="567" w:right="-2"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Ličio preparatais, nes gali padidėti ličio kiekis kraujyje, o tai gali sustiprinti su ličiu susijusius šalutinius poveikius. Todėl šiuos vaistus vartojant kartu turėtų būti stebimas ličio kiekis.</w:t>
      </w:r>
    </w:p>
    <w:p w:rsidR="00650D8D" w:rsidRDefault="00650D8D" w:rsidP="00650D8D">
      <w:pPr>
        <w:numPr>
          <w:ilvl w:val="12"/>
          <w:numId w:val="0"/>
        </w:numPr>
        <w:spacing w:after="0" w:line="240" w:lineRule="auto"/>
        <w:ind w:left="284" w:right="-2"/>
        <w:jc w:val="both"/>
        <w:rPr>
          <w:rFonts w:ascii="Times New Roman" w:eastAsia="Calibri" w:hAnsi="Times New Roman" w:cs="Times New Roman"/>
          <w:lang w:val="lt-LT" w:eastAsia="lt-LT"/>
        </w:rPr>
      </w:pPr>
    </w:p>
    <w:p w:rsidR="007F29CB" w:rsidRPr="007F29CB" w:rsidRDefault="007F29CB" w:rsidP="007F29CB">
      <w:pPr>
        <w:numPr>
          <w:ilvl w:val="12"/>
          <w:numId w:val="0"/>
        </w:numPr>
        <w:spacing w:after="0" w:line="240" w:lineRule="auto"/>
        <w:ind w:left="284" w:right="-2" w:hanging="284"/>
        <w:jc w:val="both"/>
        <w:rPr>
          <w:rFonts w:ascii="Times New Roman" w:eastAsia="Calibri" w:hAnsi="Times New Roman" w:cs="Times New Roman"/>
          <w:lang w:val="lt-LT" w:eastAsia="lt-LT"/>
        </w:rPr>
      </w:pPr>
      <w:r w:rsidRPr="007F29CB">
        <w:rPr>
          <w:rFonts w:ascii="Times New Roman" w:eastAsia="Calibri" w:hAnsi="Times New Roman" w:cs="Times New Roman"/>
          <w:lang w:val="lt-LT" w:eastAsia="lt-LT"/>
        </w:rPr>
        <w:t>Jūsų gydytojui gali tekti pakeisti Jūsų dozę ir (arba) imtis kitų atsargumo priemonių:</w:t>
      </w:r>
    </w:p>
    <w:p w:rsidR="007F29CB" w:rsidRPr="00196FC1" w:rsidRDefault="007F29CB" w:rsidP="00196FC1">
      <w:pPr>
        <w:pStyle w:val="Sraopastraipa"/>
        <w:numPr>
          <w:ilvl w:val="0"/>
          <w:numId w:val="2"/>
        </w:numPr>
        <w:spacing w:after="0" w:line="240" w:lineRule="auto"/>
        <w:ind w:left="567" w:right="-2" w:hanging="567"/>
        <w:jc w:val="both"/>
        <w:rPr>
          <w:rFonts w:ascii="Times New Roman" w:eastAsia="Calibri" w:hAnsi="Times New Roman" w:cs="Times New Roman"/>
          <w:lang w:val="lt-LT" w:eastAsia="lt-LT"/>
        </w:rPr>
      </w:pPr>
      <w:r w:rsidRPr="00196FC1">
        <w:rPr>
          <w:rFonts w:ascii="Times New Roman" w:eastAsia="Calibri" w:hAnsi="Times New Roman" w:cs="Times New Roman"/>
          <w:lang w:val="lt-LT" w:eastAsia="lt-LT"/>
        </w:rPr>
        <w:t>jeigu vartojate AKF inhibitorių arba aliskireną (taip pat žiūrėkite informaciją, pateiktą poskyryje „</w:t>
      </w:r>
      <w:r w:rsidRPr="007F29CB">
        <w:rPr>
          <w:rFonts w:ascii="Times New Roman" w:eastAsia="Calibri" w:hAnsi="Times New Roman" w:cs="Times New Roman"/>
          <w:lang w:val="lt-LT" w:eastAsia="lt-LT"/>
        </w:rPr>
        <w:t>Candesartan Ingen Pharma</w:t>
      </w:r>
      <w:r>
        <w:rPr>
          <w:rFonts w:ascii="Times New Roman" w:eastAsia="Calibri" w:hAnsi="Times New Roman" w:cs="Times New Roman"/>
          <w:lang w:val="lt-LT" w:eastAsia="lt-LT"/>
        </w:rPr>
        <w:t xml:space="preserve"> </w:t>
      </w:r>
      <w:r w:rsidRPr="00196FC1">
        <w:rPr>
          <w:rFonts w:ascii="Times New Roman" w:eastAsia="Calibri" w:hAnsi="Times New Roman" w:cs="Times New Roman"/>
          <w:lang w:val="lt-LT" w:eastAsia="lt-LT"/>
        </w:rPr>
        <w:t>vartoti negalima“ ir „Įspėjimai ir atsargumo priemonės“)</w:t>
      </w:r>
      <w:r>
        <w:rPr>
          <w:rFonts w:ascii="Times New Roman" w:eastAsia="Calibri" w:hAnsi="Times New Roman" w:cs="Times New Roman"/>
          <w:lang w:val="lt-LT" w:eastAsia="lt-LT"/>
        </w:rPr>
        <w:t>;</w:t>
      </w:r>
    </w:p>
    <w:p w:rsidR="007F29CB" w:rsidRPr="00196FC1" w:rsidRDefault="007F29CB" w:rsidP="00196FC1">
      <w:pPr>
        <w:pStyle w:val="Sraopastraipa"/>
        <w:numPr>
          <w:ilvl w:val="0"/>
          <w:numId w:val="2"/>
        </w:numPr>
        <w:spacing w:after="0" w:line="240" w:lineRule="auto"/>
        <w:ind w:left="567" w:right="-2" w:hanging="567"/>
        <w:jc w:val="both"/>
        <w:rPr>
          <w:rFonts w:ascii="Times New Roman" w:eastAsia="Calibri" w:hAnsi="Times New Roman" w:cs="Times New Roman"/>
          <w:lang w:val="lt-LT" w:eastAsia="lt-LT"/>
        </w:rPr>
      </w:pPr>
      <w:r w:rsidRPr="00196FC1">
        <w:rPr>
          <w:rFonts w:ascii="Times New Roman" w:eastAsia="Calibri" w:hAnsi="Times New Roman" w:cs="Times New Roman"/>
          <w:lang w:val="lt-LT" w:eastAsia="lt-LT"/>
        </w:rPr>
        <w:t>jeigu vartojate AKF inhibitorių kartu su tam tikrais kitais vaistais, skirtais širdies nepakankamumui</w:t>
      </w:r>
      <w:r>
        <w:rPr>
          <w:rFonts w:ascii="Times New Roman" w:eastAsia="Calibri" w:hAnsi="Times New Roman" w:cs="Times New Roman"/>
          <w:lang w:val="lt-LT" w:eastAsia="lt-LT"/>
        </w:rPr>
        <w:t xml:space="preserve"> </w:t>
      </w:r>
      <w:r w:rsidRPr="00196FC1">
        <w:rPr>
          <w:rFonts w:ascii="Times New Roman" w:eastAsia="Calibri" w:hAnsi="Times New Roman" w:cs="Times New Roman"/>
          <w:lang w:val="lt-LT" w:eastAsia="lt-LT"/>
        </w:rPr>
        <w:t>gydyti ir priklausančiais mineralokortikoidinių receptorių antagonistų (MRA) grupei (pavyzdžiui,</w:t>
      </w:r>
      <w:r>
        <w:rPr>
          <w:rFonts w:ascii="Times New Roman" w:eastAsia="Calibri" w:hAnsi="Times New Roman" w:cs="Times New Roman"/>
          <w:lang w:val="lt-LT" w:eastAsia="lt-LT"/>
        </w:rPr>
        <w:t xml:space="preserve"> spironolaktonu, eplerenonu).</w:t>
      </w:r>
    </w:p>
    <w:p w:rsidR="007F29CB" w:rsidRPr="00650D8D" w:rsidRDefault="007F29CB" w:rsidP="00650D8D">
      <w:pPr>
        <w:numPr>
          <w:ilvl w:val="12"/>
          <w:numId w:val="0"/>
        </w:numPr>
        <w:spacing w:after="0" w:line="240" w:lineRule="auto"/>
        <w:ind w:left="284"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Candesartan Ingen Pharma vartojimas su maistu ir gėrimais</w:t>
      </w:r>
    </w:p>
    <w:p w:rsidR="00650D8D" w:rsidRPr="00650D8D" w:rsidRDefault="00650D8D" w:rsidP="00650D8D">
      <w:pPr>
        <w:numPr>
          <w:ilvl w:val="12"/>
          <w:numId w:val="0"/>
        </w:numPr>
        <w:tabs>
          <w:tab w:val="left" w:pos="1290"/>
        </w:tabs>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Maistas neturi įtakos kandesartano absorbcijai (patekimui į organizmą).</w:t>
      </w:r>
    </w:p>
    <w:p w:rsidR="00650D8D" w:rsidRPr="00650D8D" w:rsidRDefault="00650D8D" w:rsidP="00650D8D">
      <w:pPr>
        <w:numPr>
          <w:ilvl w:val="12"/>
          <w:numId w:val="0"/>
        </w:numPr>
        <w:tabs>
          <w:tab w:val="left" w:pos="1290"/>
        </w:tabs>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Nėštumas ir žindymo laikotarpis</w:t>
      </w: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p>
    <w:p w:rsidR="00650D8D" w:rsidRPr="00650D8D" w:rsidRDefault="00650D8D" w:rsidP="00650D8D">
      <w:pPr>
        <w:numPr>
          <w:ilvl w:val="12"/>
          <w:numId w:val="0"/>
        </w:numPr>
        <w:spacing w:after="0" w:line="240" w:lineRule="auto"/>
        <w:ind w:right="-29"/>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Nėštumas</w:t>
      </w:r>
    </w:p>
    <w:p w:rsidR="00650D8D" w:rsidRPr="00650D8D" w:rsidRDefault="00650D8D" w:rsidP="00650D8D">
      <w:pPr>
        <w:numPr>
          <w:ilvl w:val="12"/>
          <w:numId w:val="0"/>
        </w:numPr>
        <w:spacing w:after="0" w:line="240" w:lineRule="auto"/>
        <w:ind w:right="-29"/>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Praneškite savo gydytojui, jei manote, jog esate (</w:t>
      </w:r>
      <w:r w:rsidRPr="00650D8D">
        <w:rPr>
          <w:rFonts w:ascii="Times New Roman" w:eastAsia="Calibri" w:hAnsi="Times New Roman" w:cs="Times New Roman"/>
          <w:u w:val="single"/>
          <w:lang w:val="lt-LT" w:eastAsia="lt-LT"/>
        </w:rPr>
        <w:t>arba galite tapti</w:t>
      </w:r>
      <w:r w:rsidRPr="00650D8D">
        <w:rPr>
          <w:rFonts w:ascii="Times New Roman" w:eastAsia="Calibri" w:hAnsi="Times New Roman" w:cs="Times New Roman"/>
          <w:lang w:val="lt-LT" w:eastAsia="lt-LT"/>
        </w:rPr>
        <w:t>) nėščia. Paprastai gydytojas Jums patars nutraukti Candesartan Ingen Pharma vartojimą iki pastojant arba kai sužinosite, jog esate nėščia, ir patars vietoje Candesartan Ingen Pharma vartoti kitą preparatą. Candesartan Ingen Pharma nerekomenduojamas esant ankstyvam nėštumui, ir neturi būti vartojamas, jei esate ilgiau nei 3 mėnesius nėščia, nes jis gali sukelti rimtą žalą Jūsų kūdikiui, jei bus vartojamas po trečiojo nėštumo mėnesio.</w:t>
      </w:r>
    </w:p>
    <w:p w:rsidR="00650D8D" w:rsidRPr="00650D8D" w:rsidRDefault="00650D8D" w:rsidP="00650D8D">
      <w:pPr>
        <w:numPr>
          <w:ilvl w:val="12"/>
          <w:numId w:val="0"/>
        </w:numPr>
        <w:spacing w:after="0" w:line="240" w:lineRule="auto"/>
        <w:ind w:right="-29"/>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9"/>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Žindymas</w:t>
      </w:r>
    </w:p>
    <w:p w:rsidR="00650D8D" w:rsidRPr="00650D8D" w:rsidRDefault="00650D8D" w:rsidP="00650D8D">
      <w:pPr>
        <w:numPr>
          <w:ilvl w:val="12"/>
          <w:numId w:val="0"/>
        </w:numPr>
        <w:spacing w:after="0" w:line="240" w:lineRule="auto"/>
        <w:ind w:right="-29"/>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lastRenderedPageBreak/>
        <w:t>Praneškite savo gydytojui, jei žindote arba ruošiatės pradėti žindyti. Candesartan Ingen Pharma nerekomenduojamas žindyvėms, ir Jūsų gydytojas gali parinkti kitokį gydymą, jei norite žindyti, ypač jei turite naujagimį ar neišnešiotą kūdikį.</w:t>
      </w: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p>
    <w:p w:rsidR="00650D8D" w:rsidRPr="00650D8D" w:rsidRDefault="00650D8D" w:rsidP="00650D8D">
      <w:pPr>
        <w:numPr>
          <w:ilvl w:val="12"/>
          <w:numId w:val="0"/>
        </w:numPr>
        <w:spacing w:after="0" w:line="240" w:lineRule="auto"/>
        <w:ind w:right="-2"/>
        <w:jc w:val="both"/>
        <w:outlineLvl w:val="0"/>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Poveikis gebėjimui vairuoti ir valdyti mechanizmus</w:t>
      </w:r>
    </w:p>
    <w:p w:rsidR="00650D8D" w:rsidRPr="00650D8D" w:rsidRDefault="00650D8D" w:rsidP="00650D8D">
      <w:pPr>
        <w:spacing w:after="0" w:line="240" w:lineRule="auto"/>
        <w:rPr>
          <w:rFonts w:ascii="Times New Roman" w:eastAsia="Calibri" w:hAnsi="Times New Roman" w:cs="Times New Roman"/>
          <w:lang w:val="lt-LT" w:eastAsia="hu-HU"/>
        </w:rPr>
      </w:pPr>
      <w:r w:rsidRPr="00650D8D">
        <w:rPr>
          <w:rFonts w:ascii="Times New Roman" w:eastAsia="Calibri" w:hAnsi="Times New Roman" w:cs="Times New Roman"/>
          <w:lang w:val="lt-LT" w:eastAsia="hu-HU"/>
        </w:rPr>
        <w:t>Candesartan Ingen Pharma poveikis gebėjimui vairuoti ir valdyti mechanizmus netirtas. Tačiau, atsižvelgiant į jo savybes, Candesartan Ingen Pharma neturėtų turėti jokios įtakos šiai veiklai. Vairuojant ar valdant mechanizmus reikia atminti, jog gydymo metu gali pasireikšti galvos svaigimas ar nuovargis.</w:t>
      </w: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Candesartan Ingen Pharma sudėt</w:t>
      </w:r>
      <w:r w:rsidR="00596B4C">
        <w:rPr>
          <w:rFonts w:ascii="Times New Roman" w:eastAsia="Calibri" w:hAnsi="Times New Roman" w:cs="Times New Roman"/>
          <w:b/>
          <w:bCs/>
          <w:lang w:val="lt-LT" w:eastAsia="lt-LT"/>
        </w:rPr>
        <w:t>yje yra laktozės monohidrato</w:t>
      </w:r>
    </w:p>
    <w:p w:rsidR="00650D8D" w:rsidRPr="00650D8D" w:rsidRDefault="00650D8D" w:rsidP="00650D8D">
      <w:pPr>
        <w:numPr>
          <w:ilvl w:val="12"/>
          <w:numId w:val="0"/>
        </w:num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Šio vaisto sudėtyje yra laktozės. Dėl to, jei gydytojas Jums yra sakęs, kad netoleruojate kokių nors angliavandenių, nevartokite Candesartan Ingen Pharma, prieš tai nepasitarę su savo gydytoju.</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8D285D">
      <w:pPr>
        <w:numPr>
          <w:ilvl w:val="0"/>
          <w:numId w:val="1"/>
        </w:numPr>
        <w:spacing w:after="0" w:line="240" w:lineRule="auto"/>
        <w:ind w:right="-2"/>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K</w:t>
      </w:r>
      <w:r w:rsidR="008D285D" w:rsidRPr="008D285D">
        <w:rPr>
          <w:rFonts w:ascii="Times New Roman" w:eastAsia="Calibri" w:hAnsi="Times New Roman" w:cs="Times New Roman"/>
          <w:b/>
          <w:bCs/>
          <w:lang w:val="lt-LT" w:eastAsia="lt-LT"/>
        </w:rPr>
        <w:t>aip vartoti Candesartan Ingen Pharma</w:t>
      </w:r>
    </w:p>
    <w:p w:rsidR="00650D8D" w:rsidRPr="00650D8D" w:rsidRDefault="00650D8D" w:rsidP="00650D8D">
      <w:p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Visada vartokite Candesartan Ingen Pharma tiksliai, kaip nurodė gydytojas. Jeigu abejojate, kreipkitės į gydytoją ar vaistininką.</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Dozavimas pacientams, kurių kraujospūdis aukštas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Rekomenduojama pradinė dozė ir įprasta palaikomoji dozė yra 8 mg kandesartano cileksetilo kartą per parą. Candesartan Ingen Pharma 8 mg tabletės yra tinkamos gydymo pradžiai. Dozė gali būti didinama iki 16 mg kandesartano cileksetilo kartą per parą (atitinkamai iki ½ tabletės Candesartan Ingen Pharma 32 mg, 1 tabletės Candesartan Ingen Pharma 16 mg arba 2 tablečių Candesartan Ingen Pharma 8 mg). Jei kraujospūdžio kontrolė yra nepakankama, dozė gali būti padidinta iki 16 mg kartą per parą, vėliau dozė gali būti toliau padidinta iki didžiausios 32 mg kandesartano cileksetilo kartą per parą (atitinkamai iki 1 tabletės Candesartan Ingen Pharma 32 mg arba 2 tablečių Candesartan Ingen Pharma 16 mg). Jei vartojant šią dozę kraujospūdžio kontrolės pasiekti nepavyko, Jūsų gydytojas turėtų apsvarstyti pakeisti Jūsų gydymą.</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Bet koks dozės suderinimas turi būti atliekamas remiantis pasiektu kraujospūdį mažinančiu poveikiu. Kraujospūdį mažinantis poveikis dažniausiai pasiekiamas per keturias savaites nuo gydymo pradžios.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Vartojimas senyviems pacientams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Senyviems pacientams pradinės dozės koreguoti nereikia.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Vartojimas pacientams, kuriems sumažėjęs cirkuliuojančio kraujo tūris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Pacientams, kuriems yra smarkaus kraujospūdžio kritimo rizika, pvz., pacientams, kuriems įtariamas cirkuliuojančio kraujo tūrio sumažėjimas, gydytojas gali apsvarstyti 4 mg kandesartano cileksetilo pradinę dozę (žr. skyrių „Specialių atsargumo priemonių reikia“).</w:t>
      </w:r>
    </w:p>
    <w:p w:rsidR="00650D8D" w:rsidRPr="00650D8D" w:rsidRDefault="00650D8D" w:rsidP="00650D8D">
      <w:pPr>
        <w:numPr>
          <w:ilvl w:val="12"/>
          <w:numId w:val="0"/>
        </w:numPr>
        <w:spacing w:after="0" w:line="240" w:lineRule="auto"/>
        <w:ind w:right="-2"/>
        <w:rPr>
          <w:rFonts w:ascii="Times New Roman" w:eastAsia="Calibri" w:hAnsi="Times New Roman" w:cs="Times New Roman"/>
          <w:i/>
          <w:iCs/>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Vartojimas pacientams, kuriems yra sutrikusi inkstų funkcija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Pacientams, kuriems yra sutrikusi inkstų funkcija ir tiems, kuriems reikalinga hemodializė, pradinė dozė yra 4 mg kandesartano cileksetilo. Dozė turi būti suderinta, remiantis pasiektu kraujospūdį mažinančiu poveikiu.</w:t>
      </w:r>
      <w:r w:rsidRPr="00650D8D" w:rsidDel="00AF713F">
        <w:rPr>
          <w:rFonts w:ascii="Times New Roman" w:eastAsia="Calibri" w:hAnsi="Times New Roman" w:cs="Times New Roman"/>
          <w:lang w:val="lt-LT" w:eastAsia="lt-LT"/>
        </w:rPr>
        <w:t xml:space="preserve"> </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Yra mažai patirties su pacientais su labai sunkiu inkstų funkcijos sutrikimu arba galutine inkstų ligos stadija (kreatinino klirensas &lt; 15 ml/min). Šiems pacientams kandesartano cileksetilo dozė turėtų būti kruopščiai suderinta atidžiai stebint kraujospūdį.</w:t>
      </w:r>
    </w:p>
    <w:p w:rsidR="00650D8D" w:rsidRPr="00650D8D" w:rsidRDefault="00650D8D" w:rsidP="00650D8D">
      <w:pPr>
        <w:numPr>
          <w:ilvl w:val="12"/>
          <w:numId w:val="0"/>
        </w:numPr>
        <w:tabs>
          <w:tab w:val="center" w:pos="4536"/>
        </w:tabs>
        <w:spacing w:after="0" w:line="240" w:lineRule="auto"/>
        <w:ind w:right="-2"/>
        <w:rPr>
          <w:rFonts w:ascii="Times New Roman" w:eastAsia="Calibri" w:hAnsi="Times New Roman" w:cs="Times New Roman"/>
          <w:i/>
          <w:iCs/>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Vartojimas pacientams, kuriems yra sutrikusi kepenų funkcija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Pacientams, turintiems nedidelį arba vidutinį kepenų funkcijos sutrikimą, rekomenduojama 4 mg kandesartano cileksetilo pradinė dozė vieną kartą per parą. Bet koks dozės suderinimas turi būti atliekamas, remiantis pasiektu kraujospūdį mažinančiu poveikiu.</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Vartojimas juodaodžiams (Afrikos ir Karibų regiono) pacientams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Afrikos ir Karibų regiono pacientams kandesartano kraujospūdį mažinantis poveikis yra mažiau pastebėtas nei ne Afrikos ir Karibų regiono pacientams. Dėl to Afrikos ir Karibų regiono pacientams </w:t>
      </w:r>
      <w:r w:rsidRPr="00650D8D">
        <w:rPr>
          <w:rFonts w:ascii="Times New Roman" w:eastAsia="Calibri" w:hAnsi="Times New Roman" w:cs="Times New Roman"/>
          <w:lang w:val="lt-LT" w:eastAsia="lt-LT"/>
        </w:rPr>
        <w:lastRenderedPageBreak/>
        <w:t>gali būti reikalingas kandesartano cileksetilo dozės padidinimas arba papildomas gydymas kitais preparatais.</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Dozavimas pacientams, sergantiems širdies nepakankamumu</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Įprasta rekomenduojama pradinė dozė yra 4 mg kandesartano cileksetilo vieną kartą per parą. Dozės didinimas iki planuojamos 32 mg dozės kartą per para – arba maksimalios paciento toleruojamos dozės – turi būti atliekamas palaipsniui, didinant dozę dvigubai mažiausiai 2 savaičių intervalais (žr. skyrių „Specialių atsargumo priemonių reikia“).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Specialios pacientų grupės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Pradinės dozės suderinimas nėra reikalingas senyvo amžiaus pacientams, pacientams su sumažėjusiu cirkuliuojančio kraujo tūriu, sutrikusia inkstų funkcija arba turintiems nedidelį ar vidutinį kepenų funkcijos sutrikimą.</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i/>
          <w:iCs/>
          <w:lang w:val="lt-LT" w:eastAsia="lt-LT"/>
        </w:rPr>
        <w:t>Vartojimo instrukcija ir gydymo trukmė</w:t>
      </w:r>
      <w:r w:rsidRPr="00650D8D">
        <w:rPr>
          <w:rFonts w:ascii="Times New Roman" w:eastAsia="Calibri" w:hAnsi="Times New Roman" w:cs="Times New Roman"/>
          <w:lang w:val="lt-LT" w:eastAsia="lt-LT"/>
        </w:rPr>
        <w:t>:</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Vartokite Candesartan Ingen Pharma kartą per parą valgydami arba nevalgę. Vartodami visada laikykitės šių nurodymų, kitaip Candesartan Ingen Pharma gali tinkamai neveikti. Vartokite Candesartan Ingen Pharma tiek laiko, kiek Jums paskyrė gydytojas.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Praneškite savo gydytojui ar vaistininkui, jei Jums atrodo, jog Candesartan Ingen Pharma poveikis yra per stiprus arba per silpnas.</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Pavartojus per didelę Candesartan Ingen Pharma dozę</w:t>
      </w:r>
    </w:p>
    <w:p w:rsidR="00650D8D" w:rsidRPr="00650D8D" w:rsidRDefault="00650D8D" w:rsidP="00650D8D">
      <w:pPr>
        <w:numPr>
          <w:ilvl w:val="12"/>
          <w:numId w:val="0"/>
        </w:num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Priklausomai nuo perdozavimo dydžio, gali pasireikšti šalutiniai poveikiai, kurių dažniausias – per didelis kraujospūdžio kritimas, dėl kurio gali pasireikšti svaigulys.</w:t>
      </w:r>
    </w:p>
    <w:p w:rsidR="00650D8D" w:rsidRPr="00650D8D" w:rsidRDefault="00650D8D" w:rsidP="00650D8D">
      <w:pPr>
        <w:numPr>
          <w:ilvl w:val="12"/>
          <w:numId w:val="0"/>
        </w:num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Nedelsdami pasikonsultuokite su gydytoju.</w:t>
      </w:r>
    </w:p>
    <w:p w:rsidR="00650D8D" w:rsidRPr="00650D8D" w:rsidRDefault="00650D8D" w:rsidP="00650D8D">
      <w:pPr>
        <w:numPr>
          <w:ilvl w:val="12"/>
          <w:numId w:val="0"/>
        </w:numPr>
        <w:spacing w:after="0" w:line="240" w:lineRule="auto"/>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Pamiršus pavartoti Candesartan Ingen Pharma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Jums reikėtų tęsti gydymą, kaip paskirta. Negalima vartoti dvigubos dozės, norint kompensuoti praleistą dozę. </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outlineLvl w:val="0"/>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Nustojus vartoti Candesartan Ingen Pharma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Jūsų kraujospūdis gali vėl padidėti. </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Jeigu kiltų daugiau klausimų dėl šio vaisto vartojimo, kreipkitės į gydytoją arba vaistininką.</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left="567" w:right="-2" w:hanging="567"/>
        <w:jc w:val="both"/>
        <w:rPr>
          <w:rFonts w:ascii="Times New Roman" w:eastAsia="Calibri" w:hAnsi="Times New Roman" w:cs="Times New Roman"/>
          <w:lang w:val="lt-LT" w:eastAsia="lt-LT"/>
        </w:rPr>
      </w:pPr>
      <w:r w:rsidRPr="00650D8D">
        <w:rPr>
          <w:rFonts w:ascii="Times New Roman" w:eastAsia="Calibri" w:hAnsi="Times New Roman" w:cs="Times New Roman"/>
          <w:b/>
          <w:bCs/>
          <w:lang w:val="lt-LT" w:eastAsia="lt-LT"/>
        </w:rPr>
        <w:t>4.</w:t>
      </w:r>
      <w:r w:rsidRPr="00650D8D">
        <w:rPr>
          <w:rFonts w:ascii="Times New Roman" w:eastAsia="Calibri" w:hAnsi="Times New Roman" w:cs="Times New Roman"/>
          <w:b/>
          <w:bCs/>
          <w:lang w:val="lt-LT" w:eastAsia="lt-LT"/>
        </w:rPr>
        <w:tab/>
      </w:r>
      <w:r w:rsidR="008D285D" w:rsidRPr="008D285D">
        <w:rPr>
          <w:rFonts w:ascii="Times New Roman" w:eastAsia="Calibri" w:hAnsi="Times New Roman" w:cs="Times New Roman"/>
          <w:b/>
          <w:bCs/>
          <w:lang w:val="lt-LT" w:eastAsia="lt-LT"/>
        </w:rPr>
        <w:t>Galimas šalutinis poveikis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9"/>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Candesartan Ingen Pharma, kaip ir visi kiti vaistai, gali sukelti šalutinį poveikį, nors jis pasireiškia ne visiems žmonėms.</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Įvertinant šalutinio poveikio reiškinius, </w:t>
      </w:r>
      <w:r w:rsidRPr="00650D8D">
        <w:rPr>
          <w:rFonts w:ascii="Times New Roman" w:eastAsia="Calibri" w:hAnsi="Times New Roman" w:cs="Times New Roman"/>
          <w:lang w:val="lt-LT"/>
        </w:rPr>
        <w:t>dažnis apibūdinamas taip</w:t>
      </w:r>
      <w:r w:rsidRPr="00650D8D">
        <w:rPr>
          <w:rFonts w:ascii="Times New Roman" w:eastAsia="Calibri" w:hAnsi="Times New Roman" w:cs="Times New Roman"/>
          <w:lang w:val="lt-LT" w:eastAsia="lt-LT"/>
        </w:rPr>
        <w:t>:</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Labai dažn</w:t>
      </w:r>
      <w:r w:rsidR="00A53C9F">
        <w:rPr>
          <w:rFonts w:ascii="Times New Roman" w:eastAsia="Calibri" w:hAnsi="Times New Roman" w:cs="Times New Roman"/>
          <w:lang w:val="lt-LT" w:eastAsia="lt-LT"/>
        </w:rPr>
        <w:t>as</w:t>
      </w:r>
      <w:r w:rsidRPr="00650D8D">
        <w:rPr>
          <w:rFonts w:ascii="Times New Roman" w:eastAsia="Calibri" w:hAnsi="Times New Roman" w:cs="Times New Roman"/>
          <w:lang w:val="lt-LT" w:eastAsia="lt-LT"/>
        </w:rPr>
        <w:t>: daugiau kaip 1 iš 10 gydytų pacientų</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Dažn</w:t>
      </w:r>
      <w:r w:rsidR="00A53C9F">
        <w:rPr>
          <w:rFonts w:ascii="Times New Roman" w:eastAsia="Calibri" w:hAnsi="Times New Roman" w:cs="Times New Roman"/>
          <w:lang w:val="lt-LT" w:eastAsia="lt-LT"/>
        </w:rPr>
        <w:t>as</w:t>
      </w:r>
      <w:r w:rsidRPr="00650D8D">
        <w:rPr>
          <w:rFonts w:ascii="Times New Roman" w:eastAsia="Calibri" w:hAnsi="Times New Roman" w:cs="Times New Roman"/>
          <w:lang w:val="lt-LT" w:eastAsia="lt-LT"/>
        </w:rPr>
        <w:t>: mažiau nei 1 iš 10, bet daugiau kaip 1 iš 100 gydytų pacientų</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Nedažn</w:t>
      </w:r>
      <w:r w:rsidR="00A53C9F">
        <w:rPr>
          <w:rFonts w:ascii="Times New Roman" w:eastAsia="Calibri" w:hAnsi="Times New Roman" w:cs="Times New Roman"/>
          <w:lang w:val="lt-LT" w:eastAsia="lt-LT"/>
        </w:rPr>
        <w:t>as</w:t>
      </w:r>
      <w:r w:rsidRPr="00650D8D">
        <w:rPr>
          <w:rFonts w:ascii="Times New Roman" w:eastAsia="Calibri" w:hAnsi="Times New Roman" w:cs="Times New Roman"/>
          <w:lang w:val="lt-LT" w:eastAsia="lt-LT"/>
        </w:rPr>
        <w:t>: mažiau nei 1 iš 100, bet daugiau kaip 1 iš 1 000 gydytų pacientų</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Ret</w:t>
      </w:r>
      <w:r w:rsidR="00A53C9F">
        <w:rPr>
          <w:rFonts w:ascii="Times New Roman" w:eastAsia="Calibri" w:hAnsi="Times New Roman" w:cs="Times New Roman"/>
          <w:lang w:val="lt-LT" w:eastAsia="lt-LT"/>
        </w:rPr>
        <w:t>as</w:t>
      </w:r>
      <w:r w:rsidRPr="00650D8D">
        <w:rPr>
          <w:rFonts w:ascii="Times New Roman" w:eastAsia="Calibri" w:hAnsi="Times New Roman" w:cs="Times New Roman"/>
          <w:lang w:val="lt-LT" w:eastAsia="lt-LT"/>
        </w:rPr>
        <w:t>: mažiau nei 1 iš 1 000, bet daugiau kaip 1 iš 10 000 gydytų pacientų</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Labai ret</w:t>
      </w:r>
      <w:r w:rsidR="00A53C9F">
        <w:rPr>
          <w:rFonts w:ascii="Times New Roman" w:eastAsia="Calibri" w:hAnsi="Times New Roman" w:cs="Times New Roman"/>
          <w:lang w:val="lt-LT" w:eastAsia="lt-LT"/>
        </w:rPr>
        <w:t>as</w:t>
      </w:r>
      <w:r w:rsidRPr="00650D8D">
        <w:rPr>
          <w:rFonts w:ascii="Times New Roman" w:eastAsia="Calibri" w:hAnsi="Times New Roman" w:cs="Times New Roman"/>
          <w:lang w:val="lt-LT" w:eastAsia="lt-LT"/>
        </w:rPr>
        <w:t>: mažiau nei 1 iš 10 000 gydytų pacientų, įskaitant pavienius atvejus</w:t>
      </w:r>
    </w:p>
    <w:p w:rsidR="00650D8D" w:rsidRPr="00650D8D" w:rsidRDefault="00650D8D" w:rsidP="00650D8D">
      <w:pPr>
        <w:numPr>
          <w:ilvl w:val="12"/>
          <w:numId w:val="0"/>
        </w:numPr>
        <w:tabs>
          <w:tab w:val="left" w:pos="1950"/>
        </w:tabs>
        <w:spacing w:after="0" w:line="240" w:lineRule="auto"/>
        <w:ind w:right="-2"/>
        <w:rPr>
          <w:rFonts w:ascii="Times New Roman" w:eastAsia="Calibri" w:hAnsi="Times New Roman" w:cs="Times New Roman"/>
          <w:lang w:val="lt-LT" w:eastAsia="lt-LT"/>
        </w:rPr>
      </w:pPr>
    </w:p>
    <w:p w:rsidR="00650D8D" w:rsidRPr="00650D8D" w:rsidRDefault="00650D8D" w:rsidP="00650D8D">
      <w:pPr>
        <w:tabs>
          <w:tab w:val="left" w:pos="6521"/>
        </w:tabs>
        <w:spacing w:after="0" w:line="240" w:lineRule="auto"/>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Nustokite vartoti Candesartan Ingen Pharma ir iškart kreipkitės medicininės pagalbos, jei Jums pasireiškė bet kuri iš išvardintų alerginių reakcijų:</w:t>
      </w:r>
    </w:p>
    <w:p w:rsidR="00650D8D" w:rsidRPr="00650D8D" w:rsidRDefault="00650D8D" w:rsidP="00650D8D">
      <w:pPr>
        <w:tabs>
          <w:tab w:val="left" w:pos="6521"/>
        </w:tabs>
        <w:spacing w:after="0" w:line="240" w:lineRule="auto"/>
        <w:rPr>
          <w:rFonts w:ascii="Times New Roman" w:eastAsia="Calibri" w:hAnsi="Times New Roman" w:cs="Times New Roman"/>
          <w:b/>
          <w:bCs/>
          <w:lang w:val="lt-LT" w:eastAsia="lt-LT"/>
        </w:rPr>
      </w:pPr>
    </w:p>
    <w:p w:rsidR="00650D8D" w:rsidRPr="00650D8D" w:rsidRDefault="00650D8D" w:rsidP="00650D8D">
      <w:pPr>
        <w:tabs>
          <w:tab w:val="left" w:pos="567"/>
          <w:tab w:val="left" w:pos="900"/>
        </w:tabs>
        <w:spacing w:after="0" w:line="240" w:lineRule="auto"/>
        <w:ind w:left="567"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pasunkėjęs kvėpavimas, be arba kartu su veido, lūpų, liežuvio ir (arba) gerklės tinimu,</w:t>
      </w:r>
    </w:p>
    <w:p w:rsidR="00650D8D" w:rsidRPr="00650D8D" w:rsidRDefault="00650D8D" w:rsidP="00650D8D">
      <w:pPr>
        <w:tabs>
          <w:tab w:val="left" w:pos="567"/>
          <w:tab w:val="left" w:pos="900"/>
        </w:tabs>
        <w:spacing w:after="0" w:line="240" w:lineRule="auto"/>
        <w:ind w:left="567"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veido, lūpų, liežuvio, ir (arba) gerklės tinimas, kuris gali pasunkinti rijimą,</w:t>
      </w:r>
    </w:p>
    <w:p w:rsidR="00650D8D" w:rsidRPr="00650D8D" w:rsidRDefault="00650D8D" w:rsidP="00650D8D">
      <w:pPr>
        <w:numPr>
          <w:ilvl w:val="0"/>
          <w:numId w:val="2"/>
        </w:numPr>
        <w:tabs>
          <w:tab w:val="left" w:pos="540"/>
          <w:tab w:val="left" w:pos="6521"/>
        </w:tabs>
        <w:spacing w:after="0" w:line="240" w:lineRule="auto"/>
        <w:ind w:left="567"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stiprus odos niežulys.</w:t>
      </w:r>
    </w:p>
    <w:p w:rsidR="00650D8D" w:rsidRPr="00650D8D" w:rsidRDefault="00650D8D" w:rsidP="00650D8D">
      <w:pPr>
        <w:tabs>
          <w:tab w:val="left" w:pos="6521"/>
        </w:tabs>
        <w:spacing w:after="0" w:line="240" w:lineRule="auto"/>
        <w:rPr>
          <w:rFonts w:ascii="Times New Roman" w:eastAsia="Calibri" w:hAnsi="Times New Roman" w:cs="Times New Roman"/>
          <w:lang w:val="lt-LT" w:eastAsia="lt-LT"/>
        </w:rPr>
      </w:pPr>
    </w:p>
    <w:p w:rsidR="00650D8D" w:rsidRPr="00650D8D" w:rsidRDefault="00650D8D" w:rsidP="00650D8D">
      <w:pPr>
        <w:tabs>
          <w:tab w:val="left" w:pos="6521"/>
        </w:tabs>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lastRenderedPageBreak/>
        <w:t>Candesartan Ingen Pharma gali sukelti baltųjų kraujo kūnelių skaičiaus sumažėjimą. Jūsų atsparumas infekcijai gali sumažėti ir jūs galite pajusti nuovargį, infekciją ar karščiavimą. Jei taip nutiko, susisiekite su savo gydytoju. Jūsų gydytojas gali retkarčiais atlikti kraujo tyrimus, norėdamas patikrinti, kokį poveikį Candesartan Ingen Pharma turėjo Jūsų kraujui (agranulocitozė).</w:t>
      </w:r>
    </w:p>
    <w:p w:rsidR="00650D8D" w:rsidRPr="00650D8D" w:rsidRDefault="00650D8D" w:rsidP="00650D8D">
      <w:pPr>
        <w:tabs>
          <w:tab w:val="left" w:pos="6521"/>
        </w:tabs>
        <w:spacing w:after="0" w:line="240" w:lineRule="auto"/>
        <w:rPr>
          <w:rFonts w:ascii="Times New Roman" w:eastAsia="Calibri" w:hAnsi="Times New Roman" w:cs="Times New Roman"/>
          <w:lang w:val="lt-LT" w:eastAsia="lt-LT"/>
        </w:rPr>
      </w:pPr>
    </w:p>
    <w:p w:rsidR="00650D8D" w:rsidRPr="00650D8D" w:rsidRDefault="00650D8D" w:rsidP="00650D8D">
      <w:pPr>
        <w:tabs>
          <w:tab w:val="left" w:pos="6521"/>
        </w:tabs>
        <w:spacing w:after="0" w:line="240" w:lineRule="auto"/>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Kiti galimi nepageidaujamo poveikio reiškiniai</w:t>
      </w:r>
    </w:p>
    <w:p w:rsidR="00650D8D" w:rsidRPr="00650D8D" w:rsidRDefault="00650D8D" w:rsidP="00650D8D">
      <w:pPr>
        <w:tabs>
          <w:tab w:val="left" w:pos="6521"/>
        </w:tabs>
        <w:spacing w:after="0" w:line="240" w:lineRule="auto"/>
        <w:rPr>
          <w:rFonts w:ascii="Times New Roman" w:eastAsia="Calibri" w:hAnsi="Times New Roman" w:cs="Times New Roman"/>
          <w:b/>
          <w:bCs/>
          <w:lang w:val="lt-LT" w:eastAsia="lt-LT"/>
        </w:rPr>
      </w:pPr>
    </w:p>
    <w:p w:rsidR="00650D8D" w:rsidRPr="00650D8D" w:rsidRDefault="00650D8D" w:rsidP="00650D8D">
      <w:pPr>
        <w:tabs>
          <w:tab w:val="left" w:pos="6521"/>
        </w:tabs>
        <w:spacing w:after="0" w:line="240" w:lineRule="auto"/>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Dažn</w:t>
      </w:r>
      <w:r w:rsidR="00196FC1">
        <w:rPr>
          <w:rFonts w:ascii="Times New Roman" w:eastAsia="Calibri" w:hAnsi="Times New Roman" w:cs="Times New Roman"/>
          <w:i/>
          <w:iCs/>
          <w:lang w:val="lt-LT" w:eastAsia="lt-LT"/>
        </w:rPr>
        <w:t>i</w:t>
      </w:r>
      <w:r w:rsidR="00A53C9F">
        <w:rPr>
          <w:rFonts w:ascii="Times New Roman" w:eastAsia="Calibri" w:hAnsi="Times New Roman" w:cs="Times New Roman"/>
          <w:i/>
          <w:iCs/>
          <w:lang w:val="lt-LT" w:eastAsia="lt-LT"/>
        </w:rPr>
        <w:t>s</w:t>
      </w:r>
      <w:r w:rsidRPr="00650D8D">
        <w:rPr>
          <w:rFonts w:ascii="Times New Roman" w:eastAsia="Calibri" w:hAnsi="Times New Roman" w:cs="Times New Roman"/>
          <w:i/>
          <w:iCs/>
          <w:lang w:val="lt-LT" w:eastAsia="lt-LT"/>
        </w:rPr>
        <w:t>:</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svaigulys ar galvos sukimasis;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galvos skausmas;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kvėpavimo takų infekcijos;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žemas kraujospūdis;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padidėjusi kalio koncentracija kraujyje;</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sutrikusi inkstų funkcija.</w:t>
      </w:r>
    </w:p>
    <w:p w:rsidR="00650D8D" w:rsidRPr="00650D8D" w:rsidRDefault="00650D8D" w:rsidP="00650D8D">
      <w:pPr>
        <w:tabs>
          <w:tab w:val="left" w:pos="6521"/>
        </w:tabs>
        <w:spacing w:after="0" w:line="240" w:lineRule="auto"/>
        <w:rPr>
          <w:rFonts w:ascii="Times New Roman" w:eastAsia="Calibri" w:hAnsi="Times New Roman" w:cs="Times New Roman"/>
          <w:i/>
          <w:iCs/>
          <w:lang w:val="lt-LT" w:eastAsia="lt-LT"/>
        </w:rPr>
      </w:pPr>
    </w:p>
    <w:p w:rsidR="00650D8D" w:rsidRPr="00650D8D" w:rsidRDefault="00650D8D" w:rsidP="00650D8D">
      <w:pPr>
        <w:tabs>
          <w:tab w:val="left" w:pos="6521"/>
        </w:tabs>
        <w:spacing w:after="0" w:line="240" w:lineRule="auto"/>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Labai ret</w:t>
      </w:r>
      <w:r w:rsidR="00196FC1">
        <w:rPr>
          <w:rFonts w:ascii="Times New Roman" w:eastAsia="Calibri" w:hAnsi="Times New Roman" w:cs="Times New Roman"/>
          <w:i/>
          <w:iCs/>
          <w:lang w:val="lt-LT" w:eastAsia="lt-LT"/>
        </w:rPr>
        <w:t>i</w:t>
      </w:r>
      <w:r w:rsidRPr="00650D8D">
        <w:rPr>
          <w:rFonts w:ascii="Times New Roman" w:eastAsia="Calibri" w:hAnsi="Times New Roman" w:cs="Times New Roman"/>
          <w:i/>
          <w:iCs/>
          <w:lang w:val="lt-LT" w:eastAsia="lt-LT"/>
        </w:rPr>
        <w:t>:</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baltųjų kraujo kūnelių skaičiaus sumažėjimas;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neutrofilų, granulocitų skaičiaus sumažėjimas ir išnykimas (agranulocitozė);</w:t>
      </w:r>
    </w:p>
    <w:p w:rsidR="00650D8D" w:rsidRPr="00650D8D" w:rsidRDefault="00650D8D" w:rsidP="00650D8D">
      <w:pPr>
        <w:numPr>
          <w:ilvl w:val="0"/>
          <w:numId w:val="4"/>
        </w:numPr>
        <w:tabs>
          <w:tab w:val="left" w:pos="567"/>
        </w:tabs>
        <w:spacing w:after="0" w:line="240" w:lineRule="auto"/>
        <w:ind w:left="567" w:right="-2" w:hanging="567"/>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padidėjusi kalio koncentracija kraujyje (nustatyta klinikinių tyrimų metu);</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sumažėjusi natrio koncentracija kraujyje;</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kosulys;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pykinimas;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padidėjęs kepenų fermentų aktyvumas;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kepenų funkcijos sutrikimai;</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kepenų uždegimas;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audinių tinimas, pvz., veido, lūpų, gerklės ir (arba) liežuvio (angioedema);</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odos išbėrimas;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dilgėlinė;</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niežulys;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nugaros skausmas;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sąnarių skausmas;</w:t>
      </w:r>
    </w:p>
    <w:p w:rsidR="00650D8D" w:rsidRPr="00650D8D" w:rsidRDefault="00650D8D" w:rsidP="00650D8D">
      <w:pPr>
        <w:numPr>
          <w:ilvl w:val="12"/>
          <w:numId w:val="0"/>
        </w:numPr>
        <w:tabs>
          <w:tab w:val="left" w:pos="567"/>
        </w:tabs>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raumenų skausmas;</w:t>
      </w:r>
    </w:p>
    <w:p w:rsidR="00650D8D" w:rsidRPr="00650D8D" w:rsidRDefault="00650D8D" w:rsidP="00945666">
      <w:pPr>
        <w:numPr>
          <w:ilvl w:val="12"/>
          <w:numId w:val="0"/>
        </w:numPr>
        <w:tabs>
          <w:tab w:val="left" w:pos="567"/>
        </w:tabs>
        <w:spacing w:after="0" w:line="240" w:lineRule="auto"/>
        <w:ind w:left="567" w:right="-2"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inkstų funkcijos sutrikimas, įskaitant inkstų nepakankamumą jautriems pacientams (žr. skyrių „</w:t>
      </w:r>
      <w:r w:rsidR="008D285D" w:rsidRPr="00196FC1">
        <w:rPr>
          <w:rFonts w:ascii="Times New Roman" w:eastAsia="Calibri" w:hAnsi="Times New Roman" w:cs="Times New Roman"/>
          <w:lang w:val="lt-LT" w:eastAsia="lt-LT"/>
        </w:rPr>
        <w:t>Įspėjimai ir atsargumo priemonės</w:t>
      </w:r>
      <w:r w:rsidRPr="00E132AB">
        <w:rPr>
          <w:rFonts w:ascii="Times New Roman" w:eastAsia="Calibri" w:hAnsi="Times New Roman" w:cs="Times New Roman"/>
          <w:lang w:val="lt-LT" w:eastAsia="lt-LT"/>
        </w:rPr>
        <w:t>“).</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8D285D" w:rsidRPr="008D285D" w:rsidRDefault="008D285D" w:rsidP="008D285D">
      <w:pPr>
        <w:numPr>
          <w:ilvl w:val="12"/>
          <w:numId w:val="0"/>
        </w:numPr>
        <w:spacing w:after="0" w:line="240" w:lineRule="auto"/>
        <w:ind w:right="-2"/>
        <w:jc w:val="both"/>
        <w:rPr>
          <w:rFonts w:ascii="Times New Roman" w:eastAsia="Calibri" w:hAnsi="Times New Roman" w:cs="Times New Roman"/>
          <w:b/>
          <w:lang w:val="lt-LT" w:eastAsia="lt-LT"/>
        </w:rPr>
      </w:pPr>
      <w:r w:rsidRPr="008D285D">
        <w:rPr>
          <w:rFonts w:ascii="Times New Roman" w:eastAsia="Calibri" w:hAnsi="Times New Roman" w:cs="Times New Roman"/>
          <w:b/>
          <w:lang w:val="lt-LT" w:eastAsia="lt-LT"/>
        </w:rPr>
        <w:t>Pranešimas apie šalutinį poveikį</w:t>
      </w:r>
    </w:p>
    <w:p w:rsidR="006D6F1C" w:rsidRPr="006D6F1C" w:rsidRDefault="006D6F1C" w:rsidP="006D6F1C">
      <w:pPr>
        <w:numPr>
          <w:ilvl w:val="12"/>
          <w:numId w:val="0"/>
        </w:numPr>
        <w:spacing w:after="0" w:line="240" w:lineRule="auto"/>
        <w:ind w:right="-2"/>
        <w:rPr>
          <w:rFonts w:ascii="Times New Roman" w:eastAsia="Calibri" w:hAnsi="Times New Roman" w:cs="Times New Roman"/>
          <w:lang w:val="lt-LT" w:eastAsia="lt-LT"/>
        </w:rPr>
      </w:pPr>
      <w:r w:rsidRPr="006D6F1C">
        <w:rPr>
          <w:rFonts w:ascii="Times New Roman" w:eastAsia="Calibri" w:hAnsi="Times New Roman" w:cs="Times New Roman"/>
          <w:lang w:val="lt-LT" w:eastAsia="lt-LT"/>
        </w:rPr>
        <w:t>Jeigu pasireiškė šalutinis poveikis, įskaitant šiame l</w:t>
      </w:r>
      <w:r>
        <w:rPr>
          <w:rFonts w:ascii="Times New Roman" w:eastAsia="Calibri" w:hAnsi="Times New Roman" w:cs="Times New Roman"/>
          <w:lang w:val="lt-LT" w:eastAsia="lt-LT"/>
        </w:rPr>
        <w:t xml:space="preserve">apelyje nenurodytą, pasakykite gydytojui arba </w:t>
      </w:r>
      <w:r w:rsidRPr="006D6F1C">
        <w:rPr>
          <w:rFonts w:ascii="Times New Roman" w:eastAsia="Calibri" w:hAnsi="Times New Roman" w:cs="Times New Roman"/>
          <w:lang w:val="lt-LT" w:eastAsia="lt-LT"/>
        </w:rPr>
        <w:t xml:space="preserve">vaistininkui. Apie šalutinį poveikį taip pat galite pranešti Valstybinei vaistų kontrolės tarnybai prie Lietuvos Respublikos sveikatos apsaugos ministerijos nemokamu telefonu 8 800 73568 arba užpildyti interneto svetainėje </w:t>
      </w:r>
      <w:hyperlink r:id="rId11" w:history="1">
        <w:r w:rsidRPr="006D6F1C">
          <w:rPr>
            <w:rStyle w:val="Hipersaitas"/>
            <w:rFonts w:ascii="Times New Roman" w:eastAsia="Calibri" w:hAnsi="Times New Roman" w:cs="Times New Roman"/>
            <w:lang w:val="lt-LT" w:eastAsia="lt-LT"/>
          </w:rPr>
          <w:t>www.vvkt.lt</w:t>
        </w:r>
      </w:hyperlink>
      <w:r w:rsidRPr="006D6F1C">
        <w:rPr>
          <w:rFonts w:ascii="Times New Roman" w:eastAsia="Calibri" w:hAnsi="Times New Roman" w:cs="Times New Roman"/>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6D6F1C">
          <w:rPr>
            <w:rStyle w:val="Hipersaitas"/>
            <w:rFonts w:ascii="Times New Roman" w:eastAsia="Calibri" w:hAnsi="Times New Roman" w:cs="Times New Roman"/>
            <w:lang w:val="lt-LT" w:eastAsia="lt-LT"/>
          </w:rPr>
          <w:t>NepageidaujamaR@vvkt.lt</w:t>
        </w:r>
      </w:hyperlink>
      <w:r w:rsidRPr="006D6F1C">
        <w:rPr>
          <w:rFonts w:ascii="Times New Roman" w:eastAsia="Calibri" w:hAnsi="Times New Roman" w:cs="Times New Roman"/>
          <w:lang w:val="lt-LT" w:eastAsia="lt-LT"/>
        </w:rPr>
        <w:t xml:space="preserve">, taip pat per Valstybinės vaistų kontrolės tarnybos prie Lietuvos Respublikos sveikatos apsaugos ministerijos interneto svetainę (adresu </w:t>
      </w:r>
      <w:hyperlink r:id="rId13" w:history="1">
        <w:r w:rsidRPr="006D6F1C">
          <w:rPr>
            <w:rStyle w:val="Hipersaitas"/>
            <w:rFonts w:ascii="Times New Roman" w:eastAsia="Calibri" w:hAnsi="Times New Roman" w:cs="Times New Roman"/>
            <w:lang w:val="lt-LT" w:eastAsia="lt-LT"/>
          </w:rPr>
          <w:t>http://www.vvkt.lt</w:t>
        </w:r>
      </w:hyperlink>
      <w:r w:rsidRPr="006D6F1C">
        <w:rPr>
          <w:rFonts w:ascii="Times New Roman" w:eastAsia="Calibri" w:hAnsi="Times New Roman" w:cs="Times New Roman"/>
          <w:lang w:val="lt-LT" w:eastAsia="lt-LT"/>
        </w:rPr>
        <w:t>). Pranešdami apie šalutinį poveikį galite mums padėti gauti daugiau informacijos apie šio vaisto saugumą.</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left="567" w:right="-2" w:hanging="567"/>
        <w:jc w:val="both"/>
        <w:rPr>
          <w:rFonts w:ascii="Times New Roman" w:eastAsia="Calibri" w:hAnsi="Times New Roman" w:cs="Times New Roman"/>
          <w:lang w:val="lt-LT" w:eastAsia="lt-LT"/>
        </w:rPr>
      </w:pPr>
      <w:r w:rsidRPr="00650D8D">
        <w:rPr>
          <w:rFonts w:ascii="Times New Roman" w:eastAsia="Calibri" w:hAnsi="Times New Roman" w:cs="Times New Roman"/>
          <w:b/>
          <w:bCs/>
          <w:lang w:val="lt-LT" w:eastAsia="lt-LT"/>
        </w:rPr>
        <w:t>5.</w:t>
      </w:r>
      <w:r w:rsidRPr="00650D8D">
        <w:rPr>
          <w:rFonts w:ascii="Times New Roman" w:eastAsia="Calibri" w:hAnsi="Times New Roman" w:cs="Times New Roman"/>
          <w:b/>
          <w:bCs/>
          <w:lang w:val="lt-LT" w:eastAsia="lt-LT"/>
        </w:rPr>
        <w:tab/>
        <w:t>K</w:t>
      </w:r>
      <w:r w:rsidR="008D285D" w:rsidRPr="008D285D">
        <w:rPr>
          <w:rFonts w:ascii="Times New Roman" w:eastAsia="Calibri" w:hAnsi="Times New Roman" w:cs="Times New Roman"/>
          <w:b/>
          <w:bCs/>
          <w:lang w:val="lt-LT" w:eastAsia="lt-LT"/>
        </w:rPr>
        <w:t>aip laikyti Candesartan Ingen Pharma</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A53C9F" w:rsidP="00650D8D">
      <w:pPr>
        <w:spacing w:after="0" w:line="240" w:lineRule="auto"/>
        <w:rPr>
          <w:rFonts w:ascii="Times New Roman" w:eastAsia="Calibri" w:hAnsi="Times New Roman" w:cs="Times New Roman"/>
          <w:lang w:val="lt-LT" w:eastAsia="lt-LT"/>
        </w:rPr>
      </w:pPr>
      <w:r w:rsidRPr="00A53C9F">
        <w:rPr>
          <w:rFonts w:ascii="Times New Roman" w:eastAsia="Calibri" w:hAnsi="Times New Roman" w:cs="Times New Roman"/>
          <w:lang w:val="lt-LT" w:eastAsia="lt-LT"/>
        </w:rPr>
        <w:t xml:space="preserve">Šį vaistą laikykite </w:t>
      </w:r>
      <w:r>
        <w:rPr>
          <w:rFonts w:ascii="Times New Roman" w:eastAsia="Calibri" w:hAnsi="Times New Roman" w:cs="Times New Roman"/>
          <w:lang w:val="lt-LT" w:eastAsia="lt-LT"/>
        </w:rPr>
        <w:t>vaikams</w:t>
      </w:r>
      <w:r w:rsidR="00650D8D" w:rsidRPr="00650D8D">
        <w:rPr>
          <w:rFonts w:ascii="Times New Roman" w:eastAsia="Calibri" w:hAnsi="Times New Roman" w:cs="Times New Roman"/>
          <w:lang w:val="lt-LT" w:eastAsia="lt-LT"/>
        </w:rPr>
        <w:t xml:space="preserve"> </w:t>
      </w:r>
      <w:r w:rsidRPr="00650D8D">
        <w:rPr>
          <w:rFonts w:ascii="Times New Roman" w:eastAsia="Calibri" w:hAnsi="Times New Roman" w:cs="Times New Roman"/>
          <w:lang w:val="lt-LT" w:eastAsia="lt-LT"/>
        </w:rPr>
        <w:t xml:space="preserve">nepastebimoje ir </w:t>
      </w:r>
      <w:r w:rsidR="00650D8D" w:rsidRPr="00650D8D">
        <w:rPr>
          <w:rFonts w:ascii="Times New Roman" w:eastAsia="Calibri" w:hAnsi="Times New Roman" w:cs="Times New Roman"/>
          <w:lang w:val="lt-LT" w:eastAsia="lt-LT"/>
        </w:rPr>
        <w:t>nepasiekiamoje vietoje.</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Ant dėžutės ir lizdinės plokštelės po „Tinka iki“ nurodytam tinkamumo laikui pasibaigus </w:t>
      </w:r>
      <w:r w:rsidR="00596B4C">
        <w:rPr>
          <w:rFonts w:ascii="Times New Roman" w:eastAsia="Calibri" w:hAnsi="Times New Roman" w:cs="Times New Roman"/>
          <w:lang w:val="lt-LT" w:eastAsia="lt-LT"/>
        </w:rPr>
        <w:t>šio vaisto</w:t>
      </w:r>
      <w:r w:rsidRPr="00650D8D">
        <w:rPr>
          <w:rFonts w:ascii="Times New Roman" w:eastAsia="Calibri" w:hAnsi="Times New Roman" w:cs="Times New Roman"/>
          <w:lang w:val="lt-LT" w:eastAsia="lt-LT"/>
        </w:rPr>
        <w:t xml:space="preserve"> vartoti negalima. Vaistas tinka vartoti iki paskutinės nurodyto mėnesio dienos.</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u w:val="single"/>
          <w:lang w:val="lt-LT"/>
        </w:rPr>
      </w:pPr>
      <w:r w:rsidRPr="00650D8D">
        <w:rPr>
          <w:rFonts w:ascii="Times New Roman" w:eastAsia="Calibri" w:hAnsi="Times New Roman" w:cs="Times New Roman"/>
          <w:u w:val="single"/>
          <w:lang w:val="lt-LT"/>
        </w:rPr>
        <w:t xml:space="preserve">Candesartan Ingen Pharma 4 mg ir 8 mg: </w:t>
      </w:r>
      <w:r w:rsidRPr="00650D8D">
        <w:rPr>
          <w:rFonts w:ascii="Times New Roman" w:eastAsia="Calibri" w:hAnsi="Times New Roman" w:cs="Times New Roman"/>
          <w:noProof/>
          <w:lang w:val="lt-LT"/>
        </w:rPr>
        <w:t>laikyti ne aukštesnėje kaip 25 </w:t>
      </w:r>
      <w:r w:rsidRPr="00650D8D">
        <w:rPr>
          <w:rFonts w:ascii="Times New Roman" w:eastAsia="Calibri" w:hAnsi="Times New Roman" w:cs="Times New Roman"/>
          <w:noProof/>
          <w:lang w:val="lt-LT"/>
        </w:rPr>
        <w:sym w:font="Symbol" w:char="F0B0"/>
      </w:r>
      <w:r w:rsidRPr="00650D8D">
        <w:rPr>
          <w:rFonts w:ascii="Times New Roman" w:eastAsia="Calibri" w:hAnsi="Times New Roman" w:cs="Times New Roman"/>
          <w:noProof/>
          <w:lang w:val="lt-LT"/>
        </w:rPr>
        <w:t>C temperatūroje.</w:t>
      </w: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u w:val="single"/>
          <w:lang w:val="lt-LT"/>
        </w:rPr>
        <w:t xml:space="preserve">Candesartan Ingen Pharma 16 mg ir 32 mg: </w:t>
      </w:r>
      <w:r w:rsidRPr="00650D8D">
        <w:rPr>
          <w:rFonts w:ascii="Times New Roman" w:eastAsia="Calibri" w:hAnsi="Times New Roman" w:cs="Times New Roman"/>
          <w:lang w:val="lt-LT" w:eastAsia="lt-LT"/>
        </w:rPr>
        <w:t>šiam vais</w:t>
      </w:r>
      <w:r w:rsidR="00596B4C">
        <w:rPr>
          <w:rFonts w:ascii="Times New Roman" w:eastAsia="Calibri" w:hAnsi="Times New Roman" w:cs="Times New Roman"/>
          <w:lang w:val="lt-LT" w:eastAsia="lt-LT"/>
        </w:rPr>
        <w:t>tui</w:t>
      </w:r>
      <w:r w:rsidRPr="00650D8D">
        <w:rPr>
          <w:rFonts w:ascii="Times New Roman" w:eastAsia="Calibri" w:hAnsi="Times New Roman" w:cs="Times New Roman"/>
          <w:lang w:val="lt-LT" w:eastAsia="lt-LT"/>
        </w:rPr>
        <w:t xml:space="preserve"> specialių laikymo sąlygų nereikia.</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Vaistų negalima </w:t>
      </w:r>
      <w:r w:rsidR="00A53C9F" w:rsidRPr="00A53C9F">
        <w:rPr>
          <w:rFonts w:ascii="Times New Roman" w:eastAsia="Calibri" w:hAnsi="Times New Roman" w:cs="Times New Roman"/>
          <w:lang w:val="lt-LT" w:eastAsia="lt-LT"/>
        </w:rPr>
        <w:t>išmesti</w:t>
      </w:r>
      <w:r w:rsidRPr="00650D8D">
        <w:rPr>
          <w:rFonts w:ascii="Times New Roman" w:eastAsia="Calibri" w:hAnsi="Times New Roman" w:cs="Times New Roman"/>
          <w:lang w:val="lt-LT" w:eastAsia="lt-LT"/>
        </w:rPr>
        <w:t xml:space="preserve"> į kanalizaciją arba su buitinėmis atliekomis. Kaip </w:t>
      </w:r>
      <w:r w:rsidR="00A53C9F" w:rsidRPr="00A53C9F">
        <w:rPr>
          <w:rFonts w:ascii="Times New Roman" w:eastAsia="Calibri" w:hAnsi="Times New Roman" w:cs="Times New Roman"/>
          <w:lang w:val="lt-LT" w:eastAsia="lt-LT"/>
        </w:rPr>
        <w:t>išmesti</w:t>
      </w:r>
      <w:r w:rsidRPr="00650D8D">
        <w:rPr>
          <w:rFonts w:ascii="Times New Roman" w:eastAsia="Calibri" w:hAnsi="Times New Roman" w:cs="Times New Roman"/>
          <w:lang w:val="lt-LT" w:eastAsia="lt-LT"/>
        </w:rPr>
        <w:t xml:space="preserve"> nereikalingus vaistus, klauskite vaistininko. Šios priemonės padės apsaugoti aplinką. </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tabs>
          <w:tab w:val="left" w:pos="567"/>
        </w:tabs>
        <w:spacing w:after="0" w:line="240" w:lineRule="auto"/>
        <w:ind w:right="-2"/>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6.</w:t>
      </w:r>
      <w:r w:rsidRPr="00650D8D">
        <w:rPr>
          <w:rFonts w:ascii="Times New Roman" w:eastAsia="Calibri" w:hAnsi="Times New Roman" w:cs="Times New Roman"/>
          <w:b/>
          <w:bCs/>
          <w:lang w:val="lt-LT" w:eastAsia="lt-LT"/>
        </w:rPr>
        <w:tab/>
      </w:r>
      <w:r w:rsidR="008D285D" w:rsidRPr="008D285D">
        <w:rPr>
          <w:rFonts w:ascii="Times New Roman" w:eastAsia="Calibri" w:hAnsi="Times New Roman" w:cs="Times New Roman"/>
          <w:b/>
          <w:bCs/>
          <w:lang w:val="lt-LT" w:eastAsia="lt-LT"/>
        </w:rPr>
        <w:t>Pakuotės turinys ir kita informacija</w:t>
      </w:r>
    </w:p>
    <w:p w:rsidR="00650D8D" w:rsidRPr="00650D8D" w:rsidRDefault="00650D8D" w:rsidP="00650D8D">
      <w:pPr>
        <w:numPr>
          <w:ilvl w:val="12"/>
          <w:numId w:val="0"/>
        </w:num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Candesartan Ingen Pharma sudėtis</w:t>
      </w:r>
    </w:p>
    <w:p w:rsidR="00650D8D" w:rsidRPr="00650D8D" w:rsidRDefault="00650D8D" w:rsidP="00650D8D">
      <w:pPr>
        <w:numPr>
          <w:ilvl w:val="12"/>
          <w:numId w:val="0"/>
        </w:numPr>
        <w:spacing w:after="0" w:line="240" w:lineRule="auto"/>
        <w:ind w:right="-2"/>
        <w:rPr>
          <w:rFonts w:ascii="Times New Roman" w:eastAsia="Calibri" w:hAnsi="Times New Roman" w:cs="Times New Roman"/>
          <w:u w:val="single"/>
          <w:lang w:val="lt-LT" w:eastAsia="lt-LT"/>
        </w:rPr>
      </w:pPr>
    </w:p>
    <w:p w:rsidR="00650D8D" w:rsidRPr="00650D8D" w:rsidRDefault="00650D8D" w:rsidP="00650D8D">
      <w:pPr>
        <w:tabs>
          <w:tab w:val="left" w:pos="567"/>
        </w:tabs>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Veiklioji medžiaga yra kandesartano cileksetilas.</w:t>
      </w:r>
    </w:p>
    <w:p w:rsidR="00650D8D" w:rsidRPr="00650D8D" w:rsidRDefault="00650D8D" w:rsidP="00650D8D">
      <w:pPr>
        <w:spacing w:after="0" w:line="240" w:lineRule="auto"/>
        <w:ind w:left="567"/>
        <w:rPr>
          <w:rFonts w:ascii="Times New Roman" w:eastAsia="Calibri" w:hAnsi="Times New Roman" w:cs="Times New Roman"/>
          <w:lang w:val="lt-LT"/>
        </w:rPr>
      </w:pPr>
      <w:r w:rsidRPr="00650D8D">
        <w:rPr>
          <w:rFonts w:ascii="Times New Roman" w:eastAsia="Calibri" w:hAnsi="Times New Roman" w:cs="Times New Roman"/>
          <w:lang w:val="lt-LT"/>
        </w:rPr>
        <w:t>Kiekvienoje Candesartan Ingen Pharma 4 mg tabletėje yra 4 mg kandesartano cileksetilo.</w:t>
      </w:r>
    </w:p>
    <w:p w:rsidR="00650D8D" w:rsidRPr="00650D8D" w:rsidRDefault="00650D8D" w:rsidP="00650D8D">
      <w:pPr>
        <w:spacing w:after="0" w:line="240" w:lineRule="auto"/>
        <w:ind w:left="567"/>
        <w:rPr>
          <w:rFonts w:ascii="Times New Roman" w:eastAsia="Calibri" w:hAnsi="Times New Roman" w:cs="Times New Roman"/>
          <w:lang w:val="lt-LT"/>
        </w:rPr>
      </w:pPr>
      <w:r w:rsidRPr="00650D8D">
        <w:rPr>
          <w:rFonts w:ascii="Times New Roman" w:eastAsia="Calibri" w:hAnsi="Times New Roman" w:cs="Times New Roman"/>
          <w:lang w:val="lt-LT"/>
        </w:rPr>
        <w:t>Kiekvienoje Candesartan Ingen Pharma 8 mg tabletėje yra 8 mg kandesartano cileksetilo.</w:t>
      </w:r>
    </w:p>
    <w:p w:rsidR="00650D8D" w:rsidRPr="00650D8D" w:rsidRDefault="00650D8D" w:rsidP="00650D8D">
      <w:pPr>
        <w:spacing w:after="0" w:line="240" w:lineRule="auto"/>
        <w:ind w:left="567"/>
        <w:rPr>
          <w:rFonts w:ascii="Times New Roman" w:eastAsia="Calibri" w:hAnsi="Times New Roman" w:cs="Times New Roman"/>
          <w:lang w:val="lt-LT"/>
        </w:rPr>
      </w:pPr>
      <w:r w:rsidRPr="00650D8D">
        <w:rPr>
          <w:rFonts w:ascii="Times New Roman" w:eastAsia="Calibri" w:hAnsi="Times New Roman" w:cs="Times New Roman"/>
          <w:lang w:val="lt-LT"/>
        </w:rPr>
        <w:t>Kiekvienoje Candesartan Ingen Pharma 16 mg tabletėje yra 16 mg kandesartano cileksetilo.</w:t>
      </w:r>
    </w:p>
    <w:p w:rsidR="00650D8D" w:rsidRPr="00650D8D" w:rsidRDefault="00650D8D" w:rsidP="00650D8D">
      <w:pPr>
        <w:spacing w:after="0" w:line="240" w:lineRule="auto"/>
        <w:ind w:left="567"/>
        <w:rPr>
          <w:rFonts w:ascii="Times New Roman" w:eastAsia="Calibri" w:hAnsi="Times New Roman" w:cs="Times New Roman"/>
          <w:lang w:val="lt-LT"/>
        </w:rPr>
      </w:pPr>
      <w:r w:rsidRPr="00650D8D">
        <w:rPr>
          <w:rFonts w:ascii="Times New Roman" w:eastAsia="Calibri" w:hAnsi="Times New Roman" w:cs="Times New Roman"/>
          <w:lang w:val="lt-LT"/>
        </w:rPr>
        <w:t>Kiekvienoje Candesartan Ingen Pharma 32 mg tabletėje yra 32 mg kandesartano cileksetilo.</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650D8D" w:rsidP="00650D8D">
      <w:pPr>
        <w:tabs>
          <w:tab w:val="left" w:pos="567"/>
        </w:tabs>
        <w:spacing w:after="0" w:line="240" w:lineRule="auto"/>
        <w:ind w:left="567" w:hanging="567"/>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w:t>
      </w:r>
      <w:r w:rsidRPr="00650D8D">
        <w:rPr>
          <w:rFonts w:ascii="Times New Roman" w:eastAsia="Calibri" w:hAnsi="Times New Roman" w:cs="Times New Roman"/>
          <w:lang w:val="lt-LT" w:eastAsia="lt-LT"/>
        </w:rPr>
        <w:tab/>
        <w:t>Pagalbinės medžiagos: dokuzato natrio druska, natrio laurilsulfatas, karmeliozės kalcio druska, pregelifikuotas kukurūzų krakmolas, hidroksipropilceliuliozė, laktozė monohidratas, magnio stearatas (E572), raudonasis geležies oksidas (E172) (tik 16 mg ir 32 mg tabletėse).</w:t>
      </w:r>
    </w:p>
    <w:p w:rsidR="00650D8D" w:rsidRPr="00650D8D" w:rsidRDefault="00650D8D" w:rsidP="00650D8D">
      <w:pPr>
        <w:spacing w:after="0" w:line="240" w:lineRule="auto"/>
        <w:ind w:right="-2"/>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rPr>
          <w:rFonts w:ascii="Times New Roman" w:eastAsia="Calibri" w:hAnsi="Times New Roman" w:cs="Times New Roman"/>
          <w:b/>
          <w:bCs/>
          <w:lang w:val="lt-LT" w:eastAsia="lt-LT"/>
        </w:rPr>
      </w:pPr>
      <w:r w:rsidRPr="00650D8D">
        <w:rPr>
          <w:rFonts w:ascii="Times New Roman" w:eastAsia="Calibri" w:hAnsi="Times New Roman" w:cs="Times New Roman"/>
          <w:b/>
          <w:bCs/>
          <w:lang w:val="lt-LT" w:eastAsia="lt-LT"/>
        </w:rPr>
        <w:t>Candesartan Ingen Pharma išvaizda ir kiekis pakuotėje</w:t>
      </w:r>
    </w:p>
    <w:p w:rsidR="00650D8D" w:rsidRPr="00650D8D" w:rsidRDefault="00650D8D" w:rsidP="00650D8D">
      <w:pPr>
        <w:spacing w:after="0" w:line="240" w:lineRule="auto"/>
        <w:ind w:left="567" w:hanging="567"/>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Candesartan Ingen Pharma 4 mg tiekiamas lizdinėmis plokštelėmis, kuriose yra 28 </w:t>
      </w:r>
      <w:r w:rsidRPr="00650D8D">
        <w:rPr>
          <w:rFonts w:ascii="Times New Roman" w:eastAsia="Calibri" w:hAnsi="Times New Roman" w:cs="Times New Roman"/>
          <w:lang w:val="lt-LT" w:eastAsia="de-DE"/>
        </w:rPr>
        <w:t>baltos</w:t>
      </w:r>
      <w:r w:rsidRPr="00650D8D">
        <w:rPr>
          <w:rFonts w:ascii="Times New Roman" w:eastAsia="Calibri" w:hAnsi="Times New Roman" w:cs="Times New Roman"/>
          <w:lang w:val="lt-LT" w:eastAsia="lt-LT"/>
        </w:rPr>
        <w:t xml:space="preserve">, apvalios, abipus išgaubtos tabletės, su žymomis </w:t>
      </w:r>
      <w:r w:rsidRPr="00650D8D">
        <w:rPr>
          <w:rFonts w:ascii="Times New Roman" w:eastAsia="Calibri" w:hAnsi="Times New Roman" w:cs="Times New Roman"/>
          <w:b/>
          <w:bCs/>
          <w:i/>
          <w:iCs/>
          <w:lang w:val="lt-LT" w:eastAsia="lt-LT"/>
        </w:rPr>
        <w:t>CC</w:t>
      </w:r>
      <w:r w:rsidRPr="00650D8D">
        <w:rPr>
          <w:rFonts w:ascii="Times New Roman" w:eastAsia="Calibri" w:hAnsi="Times New Roman" w:cs="Times New Roman"/>
          <w:i/>
          <w:iCs/>
          <w:lang w:val="lt-LT" w:eastAsia="lt-LT"/>
        </w:rPr>
        <w:t xml:space="preserve"> </w:t>
      </w:r>
      <w:r w:rsidRPr="00650D8D">
        <w:rPr>
          <w:rFonts w:ascii="Times New Roman" w:eastAsia="Calibri" w:hAnsi="Times New Roman" w:cs="Times New Roman"/>
          <w:lang w:val="lt-LT" w:eastAsia="lt-LT"/>
        </w:rPr>
        <w:t>vienoje pusėje</w:t>
      </w:r>
      <w:r w:rsidRPr="00650D8D">
        <w:rPr>
          <w:rFonts w:ascii="Times New Roman" w:eastAsia="Calibri" w:hAnsi="Times New Roman" w:cs="Times New Roman"/>
          <w:i/>
          <w:iCs/>
          <w:lang w:val="lt-LT" w:eastAsia="lt-LT"/>
        </w:rPr>
        <w:t xml:space="preserve"> </w:t>
      </w:r>
      <w:r w:rsidRPr="00650D8D">
        <w:rPr>
          <w:rFonts w:ascii="Times New Roman" w:eastAsia="Calibri" w:hAnsi="Times New Roman" w:cs="Times New Roman"/>
          <w:lang w:val="lt-LT" w:eastAsia="lt-LT"/>
        </w:rPr>
        <w:t xml:space="preserve">ir </w:t>
      </w:r>
      <w:r w:rsidRPr="00650D8D">
        <w:rPr>
          <w:rFonts w:ascii="Times New Roman" w:eastAsia="Calibri" w:hAnsi="Times New Roman" w:cs="Times New Roman"/>
          <w:b/>
          <w:bCs/>
          <w:i/>
          <w:iCs/>
          <w:lang w:val="lt-LT" w:eastAsia="lt-LT"/>
        </w:rPr>
        <w:t>04</w:t>
      </w:r>
      <w:r w:rsidRPr="00650D8D">
        <w:rPr>
          <w:rFonts w:ascii="Times New Roman" w:eastAsia="Calibri" w:hAnsi="Times New Roman" w:cs="Times New Roman"/>
          <w:lang w:val="lt-LT" w:eastAsia="lt-LT"/>
        </w:rPr>
        <w:t xml:space="preserve"> kitoje ir vagele iš abiejų pusių. </w:t>
      </w:r>
      <w:r w:rsidRPr="00650D8D">
        <w:rPr>
          <w:rFonts w:ascii="Times New Roman" w:eastAsia="Calibri" w:hAnsi="Times New Roman" w:cs="Times New Roman"/>
          <w:lang w:val="lt-LT"/>
        </w:rPr>
        <w:t>Storis: 3,4 ± 0,2 mm. Diametras: 6,7 ± 0,2 mm. Tabletę galima padalyti į  lygias d</w:t>
      </w:r>
      <w:r w:rsidR="00596B4C">
        <w:rPr>
          <w:rFonts w:ascii="Times New Roman" w:eastAsia="Calibri" w:hAnsi="Times New Roman" w:cs="Times New Roman"/>
          <w:lang w:val="lt-LT"/>
        </w:rPr>
        <w:t>ozes</w:t>
      </w:r>
      <w:r w:rsidRPr="00650D8D">
        <w:rPr>
          <w:rFonts w:ascii="Times New Roman" w:eastAsia="Calibri" w:hAnsi="Times New Roman" w:cs="Times New Roman"/>
          <w:lang w:val="lt-LT"/>
        </w:rPr>
        <w:t>.</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Candesartan Ingen Pharma 8 mg tiekiamas lizdinėmis plokštelėmis, kuriose yra 28 </w:t>
      </w:r>
      <w:r w:rsidRPr="00650D8D">
        <w:rPr>
          <w:rFonts w:ascii="Times New Roman" w:eastAsia="Calibri" w:hAnsi="Times New Roman" w:cs="Times New Roman"/>
          <w:lang w:val="lt-LT" w:eastAsia="de-DE"/>
        </w:rPr>
        <w:t>baltos</w:t>
      </w:r>
      <w:r w:rsidRPr="00650D8D">
        <w:rPr>
          <w:rFonts w:ascii="Times New Roman" w:eastAsia="Calibri" w:hAnsi="Times New Roman" w:cs="Times New Roman"/>
          <w:lang w:val="lt-LT" w:eastAsia="lt-LT"/>
        </w:rPr>
        <w:t xml:space="preserve">, apvalios, abipus išgaubtos tabletės, su žymomis </w:t>
      </w:r>
      <w:r w:rsidRPr="00650D8D">
        <w:rPr>
          <w:rFonts w:ascii="Times New Roman" w:eastAsia="Calibri" w:hAnsi="Times New Roman" w:cs="Times New Roman"/>
          <w:b/>
          <w:bCs/>
          <w:i/>
          <w:iCs/>
          <w:lang w:val="lt-LT" w:eastAsia="lt-LT"/>
        </w:rPr>
        <w:t>CC</w:t>
      </w:r>
      <w:r w:rsidRPr="00650D8D">
        <w:rPr>
          <w:rFonts w:ascii="Times New Roman" w:eastAsia="Calibri" w:hAnsi="Times New Roman" w:cs="Times New Roman"/>
          <w:i/>
          <w:iCs/>
          <w:lang w:val="lt-LT" w:eastAsia="lt-LT"/>
        </w:rPr>
        <w:t xml:space="preserve"> </w:t>
      </w:r>
      <w:r w:rsidRPr="00650D8D">
        <w:rPr>
          <w:rFonts w:ascii="Times New Roman" w:eastAsia="Calibri" w:hAnsi="Times New Roman" w:cs="Times New Roman"/>
          <w:lang w:val="lt-LT" w:eastAsia="lt-LT"/>
        </w:rPr>
        <w:t xml:space="preserve">vienoje pusėje ir </w:t>
      </w:r>
      <w:r w:rsidRPr="00650D8D">
        <w:rPr>
          <w:rFonts w:ascii="Times New Roman" w:eastAsia="Calibri" w:hAnsi="Times New Roman" w:cs="Times New Roman"/>
          <w:b/>
          <w:bCs/>
          <w:i/>
          <w:iCs/>
          <w:lang w:val="lt-LT" w:eastAsia="lt-LT"/>
        </w:rPr>
        <w:t>08</w:t>
      </w:r>
      <w:r w:rsidRPr="00650D8D">
        <w:rPr>
          <w:rFonts w:ascii="Times New Roman" w:eastAsia="Calibri" w:hAnsi="Times New Roman" w:cs="Times New Roman"/>
          <w:lang w:val="lt-LT" w:eastAsia="lt-LT"/>
        </w:rPr>
        <w:t xml:space="preserve"> kitoje ir vagele iš abiejų pusių. </w:t>
      </w:r>
      <w:r w:rsidRPr="00650D8D">
        <w:rPr>
          <w:rFonts w:ascii="Times New Roman" w:eastAsia="Calibri" w:hAnsi="Times New Roman" w:cs="Times New Roman"/>
          <w:lang w:val="lt-LT"/>
        </w:rPr>
        <w:t>Storis: 3,7 ± 0,2 mm. Diametras: 9,5 ± 0,2 mm. Tabletę galima padalyti į  lygias d</w:t>
      </w:r>
      <w:r w:rsidR="00596B4C">
        <w:rPr>
          <w:rFonts w:ascii="Times New Roman" w:eastAsia="Calibri" w:hAnsi="Times New Roman" w:cs="Times New Roman"/>
          <w:lang w:val="lt-LT"/>
        </w:rPr>
        <w:t>ozes</w:t>
      </w:r>
      <w:r w:rsidRPr="00650D8D">
        <w:rPr>
          <w:rFonts w:ascii="Times New Roman" w:eastAsia="Calibri" w:hAnsi="Times New Roman" w:cs="Times New Roman"/>
          <w:lang w:val="lt-LT"/>
        </w:rPr>
        <w:t>.</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Candesartan Ingen Pharma 16 mg tiekiamas lizdinėmis plokštelėmis, kuriose yra 28 rausvos, apvalios, abipus išgaubtos tabletės, su žymomis </w:t>
      </w:r>
      <w:r w:rsidRPr="00650D8D">
        <w:rPr>
          <w:rFonts w:ascii="Times New Roman" w:eastAsia="Calibri" w:hAnsi="Times New Roman" w:cs="Times New Roman"/>
          <w:b/>
          <w:bCs/>
          <w:i/>
          <w:iCs/>
          <w:lang w:val="lt-LT" w:eastAsia="lt-LT"/>
        </w:rPr>
        <w:t>CC</w:t>
      </w:r>
      <w:r w:rsidRPr="00650D8D">
        <w:rPr>
          <w:rFonts w:ascii="Times New Roman" w:eastAsia="Calibri" w:hAnsi="Times New Roman" w:cs="Times New Roman"/>
          <w:i/>
          <w:iCs/>
          <w:lang w:val="lt-LT" w:eastAsia="lt-LT"/>
        </w:rPr>
        <w:t xml:space="preserve"> </w:t>
      </w:r>
      <w:r w:rsidRPr="00650D8D">
        <w:rPr>
          <w:rFonts w:ascii="Times New Roman" w:eastAsia="Calibri" w:hAnsi="Times New Roman" w:cs="Times New Roman"/>
          <w:lang w:val="lt-LT" w:eastAsia="lt-LT"/>
        </w:rPr>
        <w:t xml:space="preserve">vienoje pusėje ir </w:t>
      </w:r>
      <w:r w:rsidRPr="00650D8D">
        <w:rPr>
          <w:rFonts w:ascii="Times New Roman" w:eastAsia="Calibri" w:hAnsi="Times New Roman" w:cs="Times New Roman"/>
          <w:b/>
          <w:bCs/>
          <w:i/>
          <w:iCs/>
          <w:lang w:val="lt-LT" w:eastAsia="lt-LT"/>
        </w:rPr>
        <w:t>16</w:t>
      </w:r>
      <w:r w:rsidRPr="00650D8D">
        <w:rPr>
          <w:rFonts w:ascii="Times New Roman" w:eastAsia="Calibri" w:hAnsi="Times New Roman" w:cs="Times New Roman"/>
          <w:b/>
          <w:bCs/>
          <w:lang w:val="lt-LT" w:eastAsia="lt-LT"/>
        </w:rPr>
        <w:t xml:space="preserve"> </w:t>
      </w:r>
      <w:r w:rsidRPr="00650D8D">
        <w:rPr>
          <w:rFonts w:ascii="Times New Roman" w:eastAsia="Calibri" w:hAnsi="Times New Roman" w:cs="Times New Roman"/>
          <w:lang w:val="lt-LT" w:eastAsia="lt-LT"/>
        </w:rPr>
        <w:t xml:space="preserve">kitoje ir vagele iš abiejų pusių. </w:t>
      </w:r>
      <w:r w:rsidRPr="00650D8D">
        <w:rPr>
          <w:rFonts w:ascii="Times New Roman" w:eastAsia="Calibri" w:hAnsi="Times New Roman" w:cs="Times New Roman"/>
          <w:lang w:val="lt-LT"/>
        </w:rPr>
        <w:t>Storis: 3,7 ± 0,2 mm. Diametras: 9,5 ± 0,2 mm. Tabletę galima padalyti į lygias d</w:t>
      </w:r>
      <w:r w:rsidR="00596B4C">
        <w:rPr>
          <w:rFonts w:ascii="Times New Roman" w:eastAsia="Calibri" w:hAnsi="Times New Roman" w:cs="Times New Roman"/>
          <w:lang w:val="lt-LT"/>
        </w:rPr>
        <w:t>ozes</w:t>
      </w:r>
      <w:r w:rsidRPr="00650D8D">
        <w:rPr>
          <w:rFonts w:ascii="Times New Roman" w:eastAsia="Calibri" w:hAnsi="Times New Roman" w:cs="Times New Roman"/>
          <w:lang w:val="lt-LT"/>
        </w:rPr>
        <w:t>.</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 xml:space="preserve">Candesartan Ingen Pharma 32 mg tiekiamas lizdinėmis plokštelėmis, kuriose yra 28 rausvos, elipsės formos, abipus išgaubtos tabletės, su žymomis </w:t>
      </w:r>
      <w:r w:rsidRPr="00650D8D">
        <w:rPr>
          <w:rFonts w:ascii="Times New Roman" w:eastAsia="Calibri" w:hAnsi="Times New Roman" w:cs="Times New Roman"/>
          <w:b/>
          <w:bCs/>
          <w:i/>
          <w:iCs/>
          <w:lang w:val="lt-LT" w:eastAsia="lt-LT"/>
        </w:rPr>
        <w:t>CC</w:t>
      </w:r>
      <w:r w:rsidRPr="00650D8D">
        <w:rPr>
          <w:rFonts w:ascii="Times New Roman" w:eastAsia="Calibri" w:hAnsi="Times New Roman" w:cs="Times New Roman"/>
          <w:i/>
          <w:iCs/>
          <w:lang w:val="lt-LT" w:eastAsia="lt-LT"/>
        </w:rPr>
        <w:t xml:space="preserve"> </w:t>
      </w:r>
      <w:r w:rsidRPr="00650D8D">
        <w:rPr>
          <w:rFonts w:ascii="Times New Roman" w:eastAsia="Calibri" w:hAnsi="Times New Roman" w:cs="Times New Roman"/>
          <w:lang w:val="lt-LT" w:eastAsia="lt-LT"/>
        </w:rPr>
        <w:t xml:space="preserve">ir </w:t>
      </w:r>
      <w:r w:rsidRPr="00650D8D">
        <w:rPr>
          <w:rFonts w:ascii="Times New Roman" w:eastAsia="Calibri" w:hAnsi="Times New Roman" w:cs="Times New Roman"/>
          <w:b/>
          <w:bCs/>
          <w:i/>
          <w:iCs/>
          <w:lang w:val="lt-LT" w:eastAsia="lt-LT"/>
        </w:rPr>
        <w:t>32</w:t>
      </w:r>
      <w:r w:rsidRPr="00650D8D">
        <w:rPr>
          <w:rFonts w:ascii="Times New Roman" w:eastAsia="Calibri" w:hAnsi="Times New Roman" w:cs="Times New Roman"/>
          <w:b/>
          <w:bCs/>
          <w:lang w:val="lt-LT" w:eastAsia="lt-LT"/>
        </w:rPr>
        <w:t xml:space="preserve"> </w:t>
      </w:r>
      <w:r w:rsidRPr="00650D8D">
        <w:rPr>
          <w:rFonts w:ascii="Times New Roman" w:eastAsia="Calibri" w:hAnsi="Times New Roman" w:cs="Times New Roman"/>
          <w:lang w:val="lt-LT" w:eastAsia="lt-LT"/>
        </w:rPr>
        <w:t xml:space="preserve">vienoje pusėje ir vagele iš abiejų pusių. </w:t>
      </w:r>
      <w:r w:rsidRPr="00650D8D">
        <w:rPr>
          <w:rFonts w:ascii="Times New Roman" w:eastAsia="Calibri" w:hAnsi="Times New Roman" w:cs="Times New Roman"/>
          <w:lang w:val="lt-LT"/>
        </w:rPr>
        <w:t>Storis: 5,1 ± 0,2 mm. Ilgis: 16,0 ± 0,2 mm. Tabletę galima padalyti į lygias d</w:t>
      </w:r>
      <w:r w:rsidR="00596B4C">
        <w:rPr>
          <w:rFonts w:ascii="Times New Roman" w:eastAsia="Calibri" w:hAnsi="Times New Roman" w:cs="Times New Roman"/>
          <w:lang w:val="lt-LT"/>
        </w:rPr>
        <w:t>ozes</w:t>
      </w:r>
      <w:r w:rsidRPr="00650D8D">
        <w:rPr>
          <w:rFonts w:ascii="Times New Roman" w:eastAsia="Calibri" w:hAnsi="Times New Roman" w:cs="Times New Roman"/>
          <w:lang w:val="lt-LT"/>
        </w:rPr>
        <w:t>.</w:t>
      </w:r>
    </w:p>
    <w:p w:rsidR="00650D8D" w:rsidRPr="00650D8D" w:rsidRDefault="00650D8D" w:rsidP="00650D8D">
      <w:pPr>
        <w:spacing w:after="0" w:line="240" w:lineRule="auto"/>
        <w:rPr>
          <w:rFonts w:ascii="Times New Roman" w:eastAsia="Calibri" w:hAnsi="Times New Roman" w:cs="Times New Roman"/>
          <w:lang w:val="lt-LT" w:eastAsia="lt-LT"/>
        </w:rPr>
      </w:pPr>
    </w:p>
    <w:p w:rsidR="00650D8D" w:rsidRPr="00650D8D" w:rsidRDefault="008D285D" w:rsidP="00650D8D">
      <w:pPr>
        <w:numPr>
          <w:ilvl w:val="12"/>
          <w:numId w:val="0"/>
        </w:numPr>
        <w:spacing w:after="0" w:line="240" w:lineRule="auto"/>
        <w:ind w:right="-2"/>
        <w:jc w:val="both"/>
        <w:rPr>
          <w:rFonts w:ascii="Times New Roman" w:eastAsia="Calibri" w:hAnsi="Times New Roman" w:cs="Times New Roman"/>
          <w:b/>
          <w:bCs/>
          <w:lang w:val="lt-LT" w:eastAsia="lt-LT"/>
        </w:rPr>
      </w:pPr>
      <w:r w:rsidRPr="008D285D">
        <w:rPr>
          <w:rFonts w:ascii="Times New Roman" w:eastAsia="Calibri" w:hAnsi="Times New Roman" w:cs="Times New Roman"/>
          <w:b/>
          <w:bCs/>
          <w:lang w:val="lt-LT" w:eastAsia="lt-LT"/>
        </w:rPr>
        <w:t>Registruotojas</w:t>
      </w:r>
      <w:r w:rsidR="00650D8D" w:rsidRPr="00650D8D">
        <w:rPr>
          <w:rFonts w:ascii="Times New Roman" w:eastAsia="Calibri" w:hAnsi="Times New Roman" w:cs="Times New Roman"/>
          <w:b/>
          <w:bCs/>
          <w:lang w:val="lt-LT" w:eastAsia="lt-LT"/>
        </w:rPr>
        <w:t xml:space="preserve"> ir gamintojas:</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8D285D" w:rsidP="00650D8D">
      <w:pPr>
        <w:spacing w:after="0" w:line="240" w:lineRule="auto"/>
        <w:ind w:left="567" w:hanging="567"/>
        <w:jc w:val="both"/>
        <w:rPr>
          <w:rFonts w:ascii="Times New Roman" w:eastAsia="Calibri" w:hAnsi="Times New Roman" w:cs="Times New Roman"/>
          <w:i/>
          <w:iCs/>
          <w:lang w:val="lt-LT" w:eastAsia="lt-LT"/>
        </w:rPr>
      </w:pPr>
      <w:r w:rsidRPr="008D285D">
        <w:rPr>
          <w:rFonts w:ascii="Times New Roman" w:eastAsia="Calibri" w:hAnsi="Times New Roman" w:cs="Times New Roman"/>
          <w:i/>
          <w:iCs/>
          <w:lang w:val="lt-LT" w:eastAsia="lt-LT"/>
        </w:rPr>
        <w:t>Registruotojas</w:t>
      </w:r>
      <w:r w:rsidR="00650D8D" w:rsidRPr="00650D8D">
        <w:rPr>
          <w:rFonts w:ascii="Times New Roman" w:eastAsia="Calibri" w:hAnsi="Times New Roman" w:cs="Times New Roman"/>
          <w:i/>
          <w:iCs/>
          <w:lang w:val="lt-LT" w:eastAsia="lt-LT"/>
        </w:rPr>
        <w:t>:</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SIA Ingen Pharma</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K. Ulmaņa gatve 119</w:t>
      </w:r>
    </w:p>
    <w:p w:rsidR="00650D8D" w:rsidRPr="00650D8D" w:rsidRDefault="00650D8D" w:rsidP="00650D8D">
      <w:pPr>
        <w:autoSpaceDE w:val="0"/>
        <w:autoSpaceDN w:val="0"/>
        <w:adjustRightInd w:val="0"/>
        <w:spacing w:after="0" w:line="240" w:lineRule="auto"/>
        <w:rPr>
          <w:rFonts w:ascii="Times New Roman" w:eastAsia="Calibri" w:hAnsi="Times New Roman" w:cs="Times New Roman"/>
          <w:color w:val="000000"/>
          <w:lang w:val="lt-LT"/>
        </w:rPr>
      </w:pPr>
      <w:r w:rsidRPr="00650D8D">
        <w:rPr>
          <w:rFonts w:ascii="Times New Roman" w:eastAsia="Calibri" w:hAnsi="Times New Roman" w:cs="Times New Roman"/>
          <w:lang w:val="lt-LT" w:eastAsia="lt-LT"/>
        </w:rPr>
        <w:t xml:space="preserve">LV-2167 </w:t>
      </w:r>
      <w:r w:rsidRPr="00650D8D">
        <w:rPr>
          <w:rFonts w:ascii="Times New Roman" w:eastAsia="Calibri" w:hAnsi="Times New Roman" w:cs="Times New Roman"/>
          <w:color w:val="000000"/>
          <w:lang w:val="lt-LT"/>
        </w:rPr>
        <w:t>Mārupe, Rīga</w:t>
      </w:r>
    </w:p>
    <w:p w:rsidR="00650D8D" w:rsidRPr="00650D8D" w:rsidRDefault="00650D8D" w:rsidP="00650D8D">
      <w:pPr>
        <w:spacing w:after="0" w:line="240" w:lineRule="auto"/>
        <w:rPr>
          <w:rFonts w:ascii="Times New Roman" w:eastAsia="Calibri" w:hAnsi="Times New Roman" w:cs="Times New Roman"/>
          <w:lang w:val="lt-LT"/>
        </w:rPr>
      </w:pPr>
      <w:r w:rsidRPr="00650D8D">
        <w:rPr>
          <w:rFonts w:ascii="Times New Roman" w:eastAsia="Calibri" w:hAnsi="Times New Roman" w:cs="Times New Roman"/>
          <w:lang w:val="lt-LT"/>
        </w:rPr>
        <w:t>Latvija</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i/>
          <w:iCs/>
          <w:lang w:val="lt-LT" w:eastAsia="lt-LT"/>
        </w:rPr>
      </w:pPr>
      <w:r w:rsidRPr="00650D8D">
        <w:rPr>
          <w:rFonts w:ascii="Times New Roman" w:eastAsia="Calibri" w:hAnsi="Times New Roman" w:cs="Times New Roman"/>
          <w:i/>
          <w:iCs/>
          <w:lang w:val="lt-LT" w:eastAsia="lt-LT"/>
        </w:rPr>
        <w:t>Gamintojas:</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Bluepharma-Indústria Farmaceutica, S.A.</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S. Martinho do Bispo</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Coimbra, 3045-016</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r w:rsidRPr="00650D8D">
        <w:rPr>
          <w:rFonts w:ascii="Times New Roman" w:eastAsia="Calibri" w:hAnsi="Times New Roman" w:cs="Times New Roman"/>
          <w:lang w:val="lt-LT" w:eastAsia="lt-LT"/>
        </w:rPr>
        <w:t>Portugalija</w:t>
      </w:r>
    </w:p>
    <w:p w:rsidR="00650D8D" w:rsidRPr="00650D8D" w:rsidRDefault="00650D8D" w:rsidP="00650D8D">
      <w:pPr>
        <w:numPr>
          <w:ilvl w:val="12"/>
          <w:numId w:val="0"/>
        </w:numPr>
        <w:spacing w:after="0" w:line="240" w:lineRule="auto"/>
        <w:ind w:right="-2"/>
        <w:jc w:val="both"/>
        <w:rPr>
          <w:rFonts w:ascii="Times New Roman" w:eastAsia="Calibri" w:hAnsi="Times New Roman" w:cs="Times New Roman"/>
          <w:lang w:val="lt-LT" w:eastAsia="lt-LT"/>
        </w:rPr>
      </w:pPr>
    </w:p>
    <w:p w:rsidR="00650D8D" w:rsidRPr="00650D8D" w:rsidRDefault="00650D8D" w:rsidP="00650D8D">
      <w:pPr>
        <w:spacing w:after="0" w:line="240" w:lineRule="auto"/>
        <w:rPr>
          <w:rFonts w:ascii="Times New Roman" w:eastAsia="Calibri" w:hAnsi="Times New Roman" w:cs="Times New Roman"/>
          <w:lang w:val="lt-LT" w:eastAsia="lt-LT"/>
        </w:rPr>
      </w:pPr>
      <w:r w:rsidRPr="00650D8D">
        <w:rPr>
          <w:rFonts w:ascii="Times New Roman" w:eastAsia="Calibri" w:hAnsi="Times New Roman" w:cs="Times New Roman"/>
          <w:b/>
          <w:bCs/>
          <w:lang w:val="lt-LT" w:eastAsia="lt-LT"/>
        </w:rPr>
        <w:t>Šis pakuotės lapelis paskutinį kartą p</w:t>
      </w:r>
      <w:r w:rsidR="00596B4C">
        <w:rPr>
          <w:rFonts w:ascii="Times New Roman" w:eastAsia="Calibri" w:hAnsi="Times New Roman" w:cs="Times New Roman"/>
          <w:b/>
          <w:bCs/>
          <w:lang w:val="lt-LT" w:eastAsia="lt-LT"/>
        </w:rPr>
        <w:t>eržiūrėtas</w:t>
      </w:r>
      <w:r w:rsidRPr="00650D8D">
        <w:rPr>
          <w:rFonts w:ascii="Times New Roman" w:eastAsia="Calibri" w:hAnsi="Times New Roman" w:cs="Times New Roman"/>
          <w:b/>
          <w:bCs/>
          <w:lang w:val="lt-LT" w:eastAsia="lt-LT"/>
        </w:rPr>
        <w:t xml:space="preserve"> </w:t>
      </w:r>
      <w:r w:rsidR="004D3673">
        <w:rPr>
          <w:rFonts w:ascii="Times New Roman" w:eastAsia="Calibri" w:hAnsi="Times New Roman" w:cs="Times New Roman"/>
          <w:b/>
          <w:bCs/>
          <w:lang w:val="lt-LT" w:eastAsia="lt-LT"/>
        </w:rPr>
        <w:t>2015-12-21</w:t>
      </w:r>
    </w:p>
    <w:p w:rsidR="00650D8D" w:rsidRPr="00650D8D" w:rsidRDefault="00650D8D" w:rsidP="00650D8D">
      <w:pPr>
        <w:spacing w:after="0" w:line="240" w:lineRule="auto"/>
        <w:rPr>
          <w:rFonts w:ascii="Times New Roman" w:eastAsia="Calibri" w:hAnsi="Times New Roman" w:cs="Times New Roman"/>
          <w:lang w:val="lt-LT" w:eastAsia="lt-LT"/>
        </w:rPr>
      </w:pPr>
    </w:p>
    <w:p w:rsidR="008D285D" w:rsidRPr="008D285D" w:rsidRDefault="008D285D" w:rsidP="008D285D">
      <w:pPr>
        <w:spacing w:after="0" w:line="240" w:lineRule="auto"/>
        <w:rPr>
          <w:rFonts w:ascii="Times New Roman" w:eastAsia="Calibri" w:hAnsi="Times New Roman" w:cs="Times New Roman"/>
          <w:lang w:val="lt-LT"/>
        </w:rPr>
      </w:pPr>
      <w:r w:rsidRPr="008D285D">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8D285D">
        <w:rPr>
          <w:rFonts w:ascii="Times New Roman" w:eastAsia="Calibri" w:hAnsi="Times New Roman" w:cs="Times New Roman"/>
          <w:i/>
          <w:lang w:val="lt-LT"/>
        </w:rPr>
        <w:t xml:space="preserve"> </w:t>
      </w:r>
      <w:hyperlink r:id="rId14" w:history="1">
        <w:r w:rsidRPr="008D285D">
          <w:rPr>
            <w:rStyle w:val="Hipersaitas"/>
            <w:rFonts w:ascii="Times New Roman" w:eastAsia="Calibri" w:hAnsi="Times New Roman" w:cs="Times New Roman"/>
            <w:lang w:val="lt-LT"/>
          </w:rPr>
          <w:t>http://www.vvkt.lt/</w:t>
        </w:r>
      </w:hyperlink>
      <w:r w:rsidRPr="008D285D">
        <w:rPr>
          <w:rFonts w:ascii="Times New Roman" w:eastAsia="Calibri" w:hAnsi="Times New Roman" w:cs="Times New Roman"/>
          <w:lang w:val="lt-LT"/>
        </w:rPr>
        <w:t>.</w:t>
      </w:r>
    </w:p>
    <w:p w:rsidR="001B57F5" w:rsidRPr="00B253F4" w:rsidRDefault="001B57F5" w:rsidP="00596B4C">
      <w:pPr>
        <w:spacing w:after="0" w:line="240" w:lineRule="auto"/>
        <w:rPr>
          <w:lang w:val="lt-LT"/>
        </w:rPr>
      </w:pPr>
      <w:bookmarkStart w:id="4" w:name="_GoBack"/>
      <w:bookmarkEnd w:id="4"/>
      <w:permStart w:id="668868060" w:edGrp="everyone"/>
      <w:permEnd w:id="668868060"/>
    </w:p>
    <w:sectPr w:rsidR="001B57F5" w:rsidRPr="00B253F4" w:rsidSect="00FC04EA">
      <w:footerReference w:type="default" r:id="rId1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E70" w:rsidRDefault="00C41E70">
      <w:pPr>
        <w:spacing w:after="0" w:line="240" w:lineRule="auto"/>
      </w:pPr>
      <w:r>
        <w:separator/>
      </w:r>
    </w:p>
  </w:endnote>
  <w:endnote w:type="continuationSeparator" w:id="0">
    <w:p w:rsidR="00C41E70" w:rsidRDefault="00C4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Italic">
    <w:altName w:val="MS Mincho"/>
    <w:panose1 w:val="00000000000000000000"/>
    <w:charset w:val="80"/>
    <w:family w:val="auto"/>
    <w:notTrueType/>
    <w:pitch w:val="default"/>
    <w:sig w:usb0="00000001" w:usb1="08070000" w:usb2="00000010" w:usb3="00000000" w:csb0="00020000" w:csb1="00000000"/>
  </w:font>
  <w:font w:name="Verdana,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65" w:rsidRDefault="00BB086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3673">
      <w:rPr>
        <w:rStyle w:val="Puslapionumeris"/>
        <w:noProof/>
      </w:rPr>
      <w:t>29</w:t>
    </w:r>
    <w:r>
      <w:rPr>
        <w:rStyle w:val="Puslapionumeris"/>
      </w:rPr>
      <w:fldChar w:fldCharType="end"/>
    </w:r>
  </w:p>
  <w:p w:rsidR="00BB0865" w:rsidRDefault="00BB086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E70" w:rsidRDefault="00C41E70">
      <w:pPr>
        <w:spacing w:after="0" w:line="240" w:lineRule="auto"/>
      </w:pPr>
      <w:r>
        <w:separator/>
      </w:r>
    </w:p>
  </w:footnote>
  <w:footnote w:type="continuationSeparator" w:id="0">
    <w:p w:rsidR="00C41E70" w:rsidRDefault="00C41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7204F"/>
    <w:multiLevelType w:val="hybridMultilevel"/>
    <w:tmpl w:val="D2CC82EC"/>
    <w:lvl w:ilvl="0" w:tplc="40F8F1AA">
      <w:numFmt w:val="bullet"/>
      <w:lvlText w:val="-"/>
      <w:lvlJc w:val="left"/>
      <w:pPr>
        <w:ind w:left="720" w:hanging="360"/>
      </w:pPr>
      <w:rPr>
        <w:rFonts w:ascii="Times New Roman" w:eastAsia="SimSun" w:hAnsi="Times New Roman"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
    <w:nsid w:val="58B8500A"/>
    <w:multiLevelType w:val="hybridMultilevel"/>
    <w:tmpl w:val="10D86FA8"/>
    <w:lvl w:ilvl="0" w:tplc="EF94C522">
      <w:start w:val="2"/>
      <w:numFmt w:val="bullet"/>
      <w:lvlText w:val="-"/>
      <w:lvlJc w:val="left"/>
      <w:pPr>
        <w:ind w:left="720" w:hanging="360"/>
      </w:pPr>
      <w:rPr>
        <w:rFonts w:ascii="Times New Roman" w:eastAsia="Times New Roman" w:hAnsi="Times New Roman"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
    <w:nsid w:val="698F66C9"/>
    <w:multiLevelType w:val="hybridMultilevel"/>
    <w:tmpl w:val="F322DFA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72FE5723"/>
    <w:multiLevelType w:val="hybridMultilevel"/>
    <w:tmpl w:val="BA947144"/>
    <w:lvl w:ilvl="0" w:tplc="507621C4">
      <w:numFmt w:val="bullet"/>
      <w:lvlText w:val="-"/>
      <w:lvlJc w:val="left"/>
      <w:pPr>
        <w:ind w:left="721" w:hanging="360"/>
      </w:pPr>
      <w:rPr>
        <w:rFonts w:ascii="Times New Roman" w:hAnsi="Times New Roman" w:cs="Times New Roman" w:hint="default"/>
        <w:color w:val="auto"/>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nsid w:val="7BFD592E"/>
    <w:multiLevelType w:val="hybridMultilevel"/>
    <w:tmpl w:val="194C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D2E306F"/>
    <w:multiLevelType w:val="hybridMultilevel"/>
    <w:tmpl w:val="9A2630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cumentProtection w:edit="readOnly" w:enforcement="1" w:cryptProviderType="rsaFull" w:cryptAlgorithmClass="hash" w:cryptAlgorithmType="typeAny" w:cryptAlgorithmSid="4" w:cryptSpinCount="100000" w:hash="dS3geWtIHoo1pXiePC2g+ThcpvA=" w:salt="1GwqQKn2W6SgAvpv6kaKG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8D"/>
    <w:rsid w:val="000015EB"/>
    <w:rsid w:val="00001D84"/>
    <w:rsid w:val="0000295B"/>
    <w:rsid w:val="000051CF"/>
    <w:rsid w:val="00011405"/>
    <w:rsid w:val="0001157D"/>
    <w:rsid w:val="00012FB0"/>
    <w:rsid w:val="0001318B"/>
    <w:rsid w:val="000168D2"/>
    <w:rsid w:val="00016EB3"/>
    <w:rsid w:val="00020C16"/>
    <w:rsid w:val="00021D0C"/>
    <w:rsid w:val="00023180"/>
    <w:rsid w:val="00024927"/>
    <w:rsid w:val="00025342"/>
    <w:rsid w:val="00026BD3"/>
    <w:rsid w:val="000319A9"/>
    <w:rsid w:val="0003507F"/>
    <w:rsid w:val="00035114"/>
    <w:rsid w:val="0003546C"/>
    <w:rsid w:val="00037CA7"/>
    <w:rsid w:val="00037E8B"/>
    <w:rsid w:val="00040393"/>
    <w:rsid w:val="0004133E"/>
    <w:rsid w:val="0004206F"/>
    <w:rsid w:val="00043289"/>
    <w:rsid w:val="00045D68"/>
    <w:rsid w:val="0004704E"/>
    <w:rsid w:val="0005162D"/>
    <w:rsid w:val="00053093"/>
    <w:rsid w:val="000530BB"/>
    <w:rsid w:val="00053718"/>
    <w:rsid w:val="000541DC"/>
    <w:rsid w:val="0005451F"/>
    <w:rsid w:val="00057E02"/>
    <w:rsid w:val="00060CC2"/>
    <w:rsid w:val="00063CB1"/>
    <w:rsid w:val="000666FE"/>
    <w:rsid w:val="00066A51"/>
    <w:rsid w:val="00067852"/>
    <w:rsid w:val="00072CEB"/>
    <w:rsid w:val="00072E37"/>
    <w:rsid w:val="0007347C"/>
    <w:rsid w:val="00073AFA"/>
    <w:rsid w:val="00081EBF"/>
    <w:rsid w:val="0008366E"/>
    <w:rsid w:val="00083D17"/>
    <w:rsid w:val="0008568E"/>
    <w:rsid w:val="000866E0"/>
    <w:rsid w:val="00086A1D"/>
    <w:rsid w:val="00086BE1"/>
    <w:rsid w:val="0009000F"/>
    <w:rsid w:val="000923E6"/>
    <w:rsid w:val="000928DC"/>
    <w:rsid w:val="00092CC7"/>
    <w:rsid w:val="00093A3F"/>
    <w:rsid w:val="00095F6D"/>
    <w:rsid w:val="00097B92"/>
    <w:rsid w:val="000A079E"/>
    <w:rsid w:val="000A3599"/>
    <w:rsid w:val="000A4C21"/>
    <w:rsid w:val="000A6823"/>
    <w:rsid w:val="000A7619"/>
    <w:rsid w:val="000B2630"/>
    <w:rsid w:val="000B34F7"/>
    <w:rsid w:val="000B66CE"/>
    <w:rsid w:val="000B6819"/>
    <w:rsid w:val="000B696E"/>
    <w:rsid w:val="000C04FC"/>
    <w:rsid w:val="000C09FC"/>
    <w:rsid w:val="000C494C"/>
    <w:rsid w:val="000C64F8"/>
    <w:rsid w:val="000C6E42"/>
    <w:rsid w:val="000C6FD5"/>
    <w:rsid w:val="000D4D5F"/>
    <w:rsid w:val="000D55AE"/>
    <w:rsid w:val="000D6F62"/>
    <w:rsid w:val="000E4FDB"/>
    <w:rsid w:val="000E731C"/>
    <w:rsid w:val="000E7E96"/>
    <w:rsid w:val="000F1262"/>
    <w:rsid w:val="000F140B"/>
    <w:rsid w:val="000F2772"/>
    <w:rsid w:val="000F2F9B"/>
    <w:rsid w:val="000F5714"/>
    <w:rsid w:val="000F6EB7"/>
    <w:rsid w:val="00101E55"/>
    <w:rsid w:val="001022DE"/>
    <w:rsid w:val="0010348F"/>
    <w:rsid w:val="00103C89"/>
    <w:rsid w:val="00103E99"/>
    <w:rsid w:val="0011228C"/>
    <w:rsid w:val="00112C66"/>
    <w:rsid w:val="00114830"/>
    <w:rsid w:val="001154BD"/>
    <w:rsid w:val="00117A0E"/>
    <w:rsid w:val="00121D6A"/>
    <w:rsid w:val="00122E5D"/>
    <w:rsid w:val="00126AE0"/>
    <w:rsid w:val="00127503"/>
    <w:rsid w:val="00127552"/>
    <w:rsid w:val="00132FF0"/>
    <w:rsid w:val="001332A2"/>
    <w:rsid w:val="00134A81"/>
    <w:rsid w:val="00134F9B"/>
    <w:rsid w:val="0013748F"/>
    <w:rsid w:val="0014009A"/>
    <w:rsid w:val="00140106"/>
    <w:rsid w:val="0014016F"/>
    <w:rsid w:val="001412BF"/>
    <w:rsid w:val="0014133E"/>
    <w:rsid w:val="00142A8D"/>
    <w:rsid w:val="00145378"/>
    <w:rsid w:val="001460EE"/>
    <w:rsid w:val="00146E7A"/>
    <w:rsid w:val="0014743D"/>
    <w:rsid w:val="00147B4C"/>
    <w:rsid w:val="00150CCD"/>
    <w:rsid w:val="001523B0"/>
    <w:rsid w:val="0015337D"/>
    <w:rsid w:val="0015543F"/>
    <w:rsid w:val="001630F0"/>
    <w:rsid w:val="00164E9B"/>
    <w:rsid w:val="00164F59"/>
    <w:rsid w:val="00165482"/>
    <w:rsid w:val="001668A3"/>
    <w:rsid w:val="0017158E"/>
    <w:rsid w:val="001720C0"/>
    <w:rsid w:val="001720CD"/>
    <w:rsid w:val="00173585"/>
    <w:rsid w:val="00174481"/>
    <w:rsid w:val="00182785"/>
    <w:rsid w:val="001830D2"/>
    <w:rsid w:val="00185B18"/>
    <w:rsid w:val="001862B1"/>
    <w:rsid w:val="001900E5"/>
    <w:rsid w:val="00190AFF"/>
    <w:rsid w:val="00190D08"/>
    <w:rsid w:val="00191AFE"/>
    <w:rsid w:val="00192DDB"/>
    <w:rsid w:val="00193844"/>
    <w:rsid w:val="0019503E"/>
    <w:rsid w:val="00195221"/>
    <w:rsid w:val="00196B08"/>
    <w:rsid w:val="00196FC1"/>
    <w:rsid w:val="001976A5"/>
    <w:rsid w:val="00197CAD"/>
    <w:rsid w:val="001A056F"/>
    <w:rsid w:val="001A45F2"/>
    <w:rsid w:val="001A4C36"/>
    <w:rsid w:val="001A5A42"/>
    <w:rsid w:val="001A5D02"/>
    <w:rsid w:val="001A6A10"/>
    <w:rsid w:val="001A6FAB"/>
    <w:rsid w:val="001B0A09"/>
    <w:rsid w:val="001B2747"/>
    <w:rsid w:val="001B3781"/>
    <w:rsid w:val="001B57AF"/>
    <w:rsid w:val="001B57F5"/>
    <w:rsid w:val="001B5A94"/>
    <w:rsid w:val="001B5E4C"/>
    <w:rsid w:val="001B7734"/>
    <w:rsid w:val="001C0BFC"/>
    <w:rsid w:val="001C0FB7"/>
    <w:rsid w:val="001C5CC4"/>
    <w:rsid w:val="001C7337"/>
    <w:rsid w:val="001D0E99"/>
    <w:rsid w:val="001D3BFB"/>
    <w:rsid w:val="001D4163"/>
    <w:rsid w:val="001D528D"/>
    <w:rsid w:val="001D55B1"/>
    <w:rsid w:val="001D7586"/>
    <w:rsid w:val="001D77A8"/>
    <w:rsid w:val="001D782D"/>
    <w:rsid w:val="001D78DB"/>
    <w:rsid w:val="001E211A"/>
    <w:rsid w:val="001E2CE5"/>
    <w:rsid w:val="001E4176"/>
    <w:rsid w:val="001E7D37"/>
    <w:rsid w:val="001F0795"/>
    <w:rsid w:val="001F0DD8"/>
    <w:rsid w:val="001F23A2"/>
    <w:rsid w:val="001F76DA"/>
    <w:rsid w:val="00200232"/>
    <w:rsid w:val="002003CA"/>
    <w:rsid w:val="00200A0B"/>
    <w:rsid w:val="00201700"/>
    <w:rsid w:val="00201DD2"/>
    <w:rsid w:val="0020335D"/>
    <w:rsid w:val="002040A8"/>
    <w:rsid w:val="002069D9"/>
    <w:rsid w:val="00206F29"/>
    <w:rsid w:val="0020766B"/>
    <w:rsid w:val="00211A53"/>
    <w:rsid w:val="00214CE8"/>
    <w:rsid w:val="002159BF"/>
    <w:rsid w:val="0021602E"/>
    <w:rsid w:val="002168B0"/>
    <w:rsid w:val="002170F2"/>
    <w:rsid w:val="0021760F"/>
    <w:rsid w:val="00217825"/>
    <w:rsid w:val="00217FE9"/>
    <w:rsid w:val="00220DB5"/>
    <w:rsid w:val="002210CB"/>
    <w:rsid w:val="00221E19"/>
    <w:rsid w:val="00222DF2"/>
    <w:rsid w:val="002252F5"/>
    <w:rsid w:val="00225547"/>
    <w:rsid w:val="0023208B"/>
    <w:rsid w:val="00233C26"/>
    <w:rsid w:val="002349F0"/>
    <w:rsid w:val="00236DA5"/>
    <w:rsid w:val="0024301B"/>
    <w:rsid w:val="002430F7"/>
    <w:rsid w:val="002437F8"/>
    <w:rsid w:val="002445E4"/>
    <w:rsid w:val="00247B5F"/>
    <w:rsid w:val="00247F7D"/>
    <w:rsid w:val="0025007C"/>
    <w:rsid w:val="00253F79"/>
    <w:rsid w:val="002541BE"/>
    <w:rsid w:val="00254BF8"/>
    <w:rsid w:val="00256221"/>
    <w:rsid w:val="00256B54"/>
    <w:rsid w:val="00256E8B"/>
    <w:rsid w:val="002606F1"/>
    <w:rsid w:val="002609DD"/>
    <w:rsid w:val="00260E92"/>
    <w:rsid w:val="002611CD"/>
    <w:rsid w:val="00261839"/>
    <w:rsid w:val="00261984"/>
    <w:rsid w:val="00261BFE"/>
    <w:rsid w:val="00264698"/>
    <w:rsid w:val="00266CB8"/>
    <w:rsid w:val="00267A5A"/>
    <w:rsid w:val="00271E41"/>
    <w:rsid w:val="00273A52"/>
    <w:rsid w:val="0027466A"/>
    <w:rsid w:val="002750F5"/>
    <w:rsid w:val="002752D5"/>
    <w:rsid w:val="0027645F"/>
    <w:rsid w:val="0028133F"/>
    <w:rsid w:val="00281BEE"/>
    <w:rsid w:val="00281CE1"/>
    <w:rsid w:val="00281DA5"/>
    <w:rsid w:val="002824C0"/>
    <w:rsid w:val="0028260A"/>
    <w:rsid w:val="00284E1D"/>
    <w:rsid w:val="00290572"/>
    <w:rsid w:val="00290C97"/>
    <w:rsid w:val="00292A15"/>
    <w:rsid w:val="00292AE4"/>
    <w:rsid w:val="00293345"/>
    <w:rsid w:val="00293B3E"/>
    <w:rsid w:val="00293B84"/>
    <w:rsid w:val="00293C69"/>
    <w:rsid w:val="00294111"/>
    <w:rsid w:val="0029453F"/>
    <w:rsid w:val="00294587"/>
    <w:rsid w:val="002963F7"/>
    <w:rsid w:val="00296BBC"/>
    <w:rsid w:val="002A030D"/>
    <w:rsid w:val="002A44D2"/>
    <w:rsid w:val="002A4F8F"/>
    <w:rsid w:val="002B3F83"/>
    <w:rsid w:val="002B4862"/>
    <w:rsid w:val="002C17CA"/>
    <w:rsid w:val="002C291A"/>
    <w:rsid w:val="002C3997"/>
    <w:rsid w:val="002C56C7"/>
    <w:rsid w:val="002C64F4"/>
    <w:rsid w:val="002C715B"/>
    <w:rsid w:val="002D1B50"/>
    <w:rsid w:val="002D1BF9"/>
    <w:rsid w:val="002D1DF2"/>
    <w:rsid w:val="002D773F"/>
    <w:rsid w:val="002E023C"/>
    <w:rsid w:val="002E06D4"/>
    <w:rsid w:val="002E27A9"/>
    <w:rsid w:val="002E3471"/>
    <w:rsid w:val="002E367C"/>
    <w:rsid w:val="002E4B6D"/>
    <w:rsid w:val="002E4DC0"/>
    <w:rsid w:val="002F0B3D"/>
    <w:rsid w:val="002F1565"/>
    <w:rsid w:val="002F16C7"/>
    <w:rsid w:val="002F2D4D"/>
    <w:rsid w:val="002F4D63"/>
    <w:rsid w:val="002F583B"/>
    <w:rsid w:val="002F5DAC"/>
    <w:rsid w:val="002F5EC5"/>
    <w:rsid w:val="002F65E5"/>
    <w:rsid w:val="002F7B8B"/>
    <w:rsid w:val="00300F34"/>
    <w:rsid w:val="00303D2B"/>
    <w:rsid w:val="0030606F"/>
    <w:rsid w:val="0030640F"/>
    <w:rsid w:val="0030796C"/>
    <w:rsid w:val="003134AF"/>
    <w:rsid w:val="0031564A"/>
    <w:rsid w:val="00316622"/>
    <w:rsid w:val="00316B74"/>
    <w:rsid w:val="00317C5A"/>
    <w:rsid w:val="003204CB"/>
    <w:rsid w:val="0032230A"/>
    <w:rsid w:val="00322DEB"/>
    <w:rsid w:val="003231B7"/>
    <w:rsid w:val="00323827"/>
    <w:rsid w:val="00323C27"/>
    <w:rsid w:val="00325B26"/>
    <w:rsid w:val="00326FCC"/>
    <w:rsid w:val="003310CC"/>
    <w:rsid w:val="0033130B"/>
    <w:rsid w:val="0033196F"/>
    <w:rsid w:val="00331F91"/>
    <w:rsid w:val="00336386"/>
    <w:rsid w:val="00341752"/>
    <w:rsid w:val="003439D1"/>
    <w:rsid w:val="00344C24"/>
    <w:rsid w:val="00350193"/>
    <w:rsid w:val="003522A5"/>
    <w:rsid w:val="0035331F"/>
    <w:rsid w:val="00355DBE"/>
    <w:rsid w:val="00356DB7"/>
    <w:rsid w:val="003572DF"/>
    <w:rsid w:val="00360680"/>
    <w:rsid w:val="003614F8"/>
    <w:rsid w:val="003621FF"/>
    <w:rsid w:val="003627DB"/>
    <w:rsid w:val="0036735B"/>
    <w:rsid w:val="00370DEA"/>
    <w:rsid w:val="003745B7"/>
    <w:rsid w:val="00375144"/>
    <w:rsid w:val="003761F0"/>
    <w:rsid w:val="00377200"/>
    <w:rsid w:val="00380325"/>
    <w:rsid w:val="00383C24"/>
    <w:rsid w:val="00386699"/>
    <w:rsid w:val="00386854"/>
    <w:rsid w:val="00392799"/>
    <w:rsid w:val="003941DC"/>
    <w:rsid w:val="003957AA"/>
    <w:rsid w:val="00397B2B"/>
    <w:rsid w:val="003A3041"/>
    <w:rsid w:val="003A33E1"/>
    <w:rsid w:val="003A41BF"/>
    <w:rsid w:val="003A4A46"/>
    <w:rsid w:val="003A4A9A"/>
    <w:rsid w:val="003A5BB8"/>
    <w:rsid w:val="003A5D42"/>
    <w:rsid w:val="003A656F"/>
    <w:rsid w:val="003A664A"/>
    <w:rsid w:val="003A73D2"/>
    <w:rsid w:val="003B0AB3"/>
    <w:rsid w:val="003B3B49"/>
    <w:rsid w:val="003B4092"/>
    <w:rsid w:val="003B4C00"/>
    <w:rsid w:val="003B50D3"/>
    <w:rsid w:val="003B77FC"/>
    <w:rsid w:val="003C09BA"/>
    <w:rsid w:val="003C0B29"/>
    <w:rsid w:val="003C2720"/>
    <w:rsid w:val="003C3983"/>
    <w:rsid w:val="003C39C2"/>
    <w:rsid w:val="003C41C6"/>
    <w:rsid w:val="003C4B72"/>
    <w:rsid w:val="003C5D8A"/>
    <w:rsid w:val="003C6737"/>
    <w:rsid w:val="003C6E12"/>
    <w:rsid w:val="003D1012"/>
    <w:rsid w:val="003D26E4"/>
    <w:rsid w:val="003D304F"/>
    <w:rsid w:val="003D3BEF"/>
    <w:rsid w:val="003D4128"/>
    <w:rsid w:val="003D503C"/>
    <w:rsid w:val="003E1921"/>
    <w:rsid w:val="003E1D10"/>
    <w:rsid w:val="003E2EA4"/>
    <w:rsid w:val="003E693E"/>
    <w:rsid w:val="003F471C"/>
    <w:rsid w:val="003F5EE4"/>
    <w:rsid w:val="003F73C7"/>
    <w:rsid w:val="003F7945"/>
    <w:rsid w:val="004007CE"/>
    <w:rsid w:val="00400800"/>
    <w:rsid w:val="00400FA6"/>
    <w:rsid w:val="0040193F"/>
    <w:rsid w:val="0040235C"/>
    <w:rsid w:val="00403012"/>
    <w:rsid w:val="00405D96"/>
    <w:rsid w:val="004066A1"/>
    <w:rsid w:val="00410890"/>
    <w:rsid w:val="00413A13"/>
    <w:rsid w:val="00413D0E"/>
    <w:rsid w:val="0041480C"/>
    <w:rsid w:val="00416EB0"/>
    <w:rsid w:val="00416FF5"/>
    <w:rsid w:val="00421C00"/>
    <w:rsid w:val="0042548C"/>
    <w:rsid w:val="004265B0"/>
    <w:rsid w:val="00430488"/>
    <w:rsid w:val="00430FFE"/>
    <w:rsid w:val="00431B53"/>
    <w:rsid w:val="004330C2"/>
    <w:rsid w:val="004357B0"/>
    <w:rsid w:val="0043669A"/>
    <w:rsid w:val="0043729D"/>
    <w:rsid w:val="004430BF"/>
    <w:rsid w:val="0044481F"/>
    <w:rsid w:val="00445D48"/>
    <w:rsid w:val="00445F46"/>
    <w:rsid w:val="00447F76"/>
    <w:rsid w:val="00453443"/>
    <w:rsid w:val="004536E2"/>
    <w:rsid w:val="004537BB"/>
    <w:rsid w:val="00454A75"/>
    <w:rsid w:val="00456191"/>
    <w:rsid w:val="00457412"/>
    <w:rsid w:val="00457DF4"/>
    <w:rsid w:val="00462748"/>
    <w:rsid w:val="00462ACD"/>
    <w:rsid w:val="004639EF"/>
    <w:rsid w:val="0047011B"/>
    <w:rsid w:val="00471485"/>
    <w:rsid w:val="00474243"/>
    <w:rsid w:val="004744D0"/>
    <w:rsid w:val="004747C6"/>
    <w:rsid w:val="00481855"/>
    <w:rsid w:val="0048441F"/>
    <w:rsid w:val="004854E5"/>
    <w:rsid w:val="00485A20"/>
    <w:rsid w:val="00487952"/>
    <w:rsid w:val="00490EEB"/>
    <w:rsid w:val="00491A17"/>
    <w:rsid w:val="00492AC1"/>
    <w:rsid w:val="00492CB9"/>
    <w:rsid w:val="0049423E"/>
    <w:rsid w:val="00495E17"/>
    <w:rsid w:val="00495F3D"/>
    <w:rsid w:val="00496AE2"/>
    <w:rsid w:val="00497781"/>
    <w:rsid w:val="004A4449"/>
    <w:rsid w:val="004A4512"/>
    <w:rsid w:val="004A79E6"/>
    <w:rsid w:val="004B308D"/>
    <w:rsid w:val="004B5F79"/>
    <w:rsid w:val="004B6263"/>
    <w:rsid w:val="004B64C5"/>
    <w:rsid w:val="004B71C2"/>
    <w:rsid w:val="004B75C4"/>
    <w:rsid w:val="004B764B"/>
    <w:rsid w:val="004C0154"/>
    <w:rsid w:val="004C2560"/>
    <w:rsid w:val="004C57C1"/>
    <w:rsid w:val="004D1D6C"/>
    <w:rsid w:val="004D1F5C"/>
    <w:rsid w:val="004D3002"/>
    <w:rsid w:val="004D342F"/>
    <w:rsid w:val="004D3673"/>
    <w:rsid w:val="004D64C6"/>
    <w:rsid w:val="004E02AB"/>
    <w:rsid w:val="004E1344"/>
    <w:rsid w:val="004E171A"/>
    <w:rsid w:val="004E1C19"/>
    <w:rsid w:val="004E21BE"/>
    <w:rsid w:val="004E4C33"/>
    <w:rsid w:val="004E4D60"/>
    <w:rsid w:val="004E699F"/>
    <w:rsid w:val="004F2383"/>
    <w:rsid w:val="004F32B3"/>
    <w:rsid w:val="004F32C6"/>
    <w:rsid w:val="004F33F5"/>
    <w:rsid w:val="004F3A6F"/>
    <w:rsid w:val="004F6D08"/>
    <w:rsid w:val="005003A3"/>
    <w:rsid w:val="00502D23"/>
    <w:rsid w:val="00505ADF"/>
    <w:rsid w:val="00506637"/>
    <w:rsid w:val="00506869"/>
    <w:rsid w:val="00511368"/>
    <w:rsid w:val="0051197C"/>
    <w:rsid w:val="00512B7F"/>
    <w:rsid w:val="005137DD"/>
    <w:rsid w:val="005138D6"/>
    <w:rsid w:val="0051396D"/>
    <w:rsid w:val="00513F74"/>
    <w:rsid w:val="005141BF"/>
    <w:rsid w:val="00515762"/>
    <w:rsid w:val="00517027"/>
    <w:rsid w:val="005175C9"/>
    <w:rsid w:val="00517D8C"/>
    <w:rsid w:val="005233DB"/>
    <w:rsid w:val="005279F9"/>
    <w:rsid w:val="005310AA"/>
    <w:rsid w:val="00532BDA"/>
    <w:rsid w:val="00533704"/>
    <w:rsid w:val="00536B85"/>
    <w:rsid w:val="00536D63"/>
    <w:rsid w:val="005423D4"/>
    <w:rsid w:val="00546742"/>
    <w:rsid w:val="00546E39"/>
    <w:rsid w:val="005472C2"/>
    <w:rsid w:val="00550099"/>
    <w:rsid w:val="005509B7"/>
    <w:rsid w:val="00551B18"/>
    <w:rsid w:val="00551BE9"/>
    <w:rsid w:val="00553EC0"/>
    <w:rsid w:val="0056103F"/>
    <w:rsid w:val="00562880"/>
    <w:rsid w:val="00563003"/>
    <w:rsid w:val="005643BB"/>
    <w:rsid w:val="00565856"/>
    <w:rsid w:val="00567892"/>
    <w:rsid w:val="00570D26"/>
    <w:rsid w:val="00571712"/>
    <w:rsid w:val="00571726"/>
    <w:rsid w:val="0057185A"/>
    <w:rsid w:val="0057216F"/>
    <w:rsid w:val="00572E0A"/>
    <w:rsid w:val="005731C5"/>
    <w:rsid w:val="005754D1"/>
    <w:rsid w:val="0057580C"/>
    <w:rsid w:val="005762F2"/>
    <w:rsid w:val="00577EDD"/>
    <w:rsid w:val="00584E47"/>
    <w:rsid w:val="0058701A"/>
    <w:rsid w:val="00591424"/>
    <w:rsid w:val="00591ECB"/>
    <w:rsid w:val="0059550E"/>
    <w:rsid w:val="00596B4C"/>
    <w:rsid w:val="00596FC0"/>
    <w:rsid w:val="005A02E0"/>
    <w:rsid w:val="005A07D7"/>
    <w:rsid w:val="005A2E46"/>
    <w:rsid w:val="005A3132"/>
    <w:rsid w:val="005A3DF5"/>
    <w:rsid w:val="005A6843"/>
    <w:rsid w:val="005A790C"/>
    <w:rsid w:val="005A7FE1"/>
    <w:rsid w:val="005B03D7"/>
    <w:rsid w:val="005B21F3"/>
    <w:rsid w:val="005B2BB7"/>
    <w:rsid w:val="005B2F71"/>
    <w:rsid w:val="005B4B6E"/>
    <w:rsid w:val="005B562A"/>
    <w:rsid w:val="005B5C3E"/>
    <w:rsid w:val="005B6146"/>
    <w:rsid w:val="005B6ACD"/>
    <w:rsid w:val="005B71AB"/>
    <w:rsid w:val="005B739C"/>
    <w:rsid w:val="005B7CA5"/>
    <w:rsid w:val="005C083E"/>
    <w:rsid w:val="005C0E21"/>
    <w:rsid w:val="005C1BA3"/>
    <w:rsid w:val="005C24F0"/>
    <w:rsid w:val="005C2551"/>
    <w:rsid w:val="005C2B21"/>
    <w:rsid w:val="005C4661"/>
    <w:rsid w:val="005C4905"/>
    <w:rsid w:val="005C5B9D"/>
    <w:rsid w:val="005C5D89"/>
    <w:rsid w:val="005C71D0"/>
    <w:rsid w:val="005D288A"/>
    <w:rsid w:val="005D2A9C"/>
    <w:rsid w:val="005D3C59"/>
    <w:rsid w:val="005D555A"/>
    <w:rsid w:val="005D7C7E"/>
    <w:rsid w:val="005E2175"/>
    <w:rsid w:val="005E2742"/>
    <w:rsid w:val="005E2F1A"/>
    <w:rsid w:val="005E2FEC"/>
    <w:rsid w:val="005E31E0"/>
    <w:rsid w:val="005E320A"/>
    <w:rsid w:val="005E3A95"/>
    <w:rsid w:val="005E4012"/>
    <w:rsid w:val="005E42DD"/>
    <w:rsid w:val="005E4CB5"/>
    <w:rsid w:val="005E4FBD"/>
    <w:rsid w:val="005E64D7"/>
    <w:rsid w:val="005F26B1"/>
    <w:rsid w:val="005F3610"/>
    <w:rsid w:val="005F4CBC"/>
    <w:rsid w:val="005F60A1"/>
    <w:rsid w:val="005F686C"/>
    <w:rsid w:val="00600138"/>
    <w:rsid w:val="00600B2F"/>
    <w:rsid w:val="006018CF"/>
    <w:rsid w:val="0060497F"/>
    <w:rsid w:val="00604ABD"/>
    <w:rsid w:val="00605140"/>
    <w:rsid w:val="006052DA"/>
    <w:rsid w:val="006058CD"/>
    <w:rsid w:val="00606CD8"/>
    <w:rsid w:val="006103EC"/>
    <w:rsid w:val="00610A49"/>
    <w:rsid w:val="00611714"/>
    <w:rsid w:val="00611F3B"/>
    <w:rsid w:val="00614006"/>
    <w:rsid w:val="00614833"/>
    <w:rsid w:val="00615B1F"/>
    <w:rsid w:val="00615B98"/>
    <w:rsid w:val="00615EE8"/>
    <w:rsid w:val="00622998"/>
    <w:rsid w:val="0062360C"/>
    <w:rsid w:val="006247EA"/>
    <w:rsid w:val="00624A2A"/>
    <w:rsid w:val="00626DFC"/>
    <w:rsid w:val="006279E0"/>
    <w:rsid w:val="00630662"/>
    <w:rsid w:val="00630DF0"/>
    <w:rsid w:val="006322F7"/>
    <w:rsid w:val="00633B8B"/>
    <w:rsid w:val="0063420F"/>
    <w:rsid w:val="00634D94"/>
    <w:rsid w:val="00635327"/>
    <w:rsid w:val="00635DCD"/>
    <w:rsid w:val="00640E4D"/>
    <w:rsid w:val="006424F6"/>
    <w:rsid w:val="006434B0"/>
    <w:rsid w:val="00643947"/>
    <w:rsid w:val="00643E17"/>
    <w:rsid w:val="00643FC4"/>
    <w:rsid w:val="00645185"/>
    <w:rsid w:val="0064732B"/>
    <w:rsid w:val="00650D8D"/>
    <w:rsid w:val="006524B6"/>
    <w:rsid w:val="00655398"/>
    <w:rsid w:val="00657E94"/>
    <w:rsid w:val="00661930"/>
    <w:rsid w:val="006620B1"/>
    <w:rsid w:val="00662D94"/>
    <w:rsid w:val="0066399B"/>
    <w:rsid w:val="0066454E"/>
    <w:rsid w:val="0066651E"/>
    <w:rsid w:val="00666CCE"/>
    <w:rsid w:val="006674E1"/>
    <w:rsid w:val="0066782D"/>
    <w:rsid w:val="0067140E"/>
    <w:rsid w:val="006724D6"/>
    <w:rsid w:val="0067258B"/>
    <w:rsid w:val="006732F4"/>
    <w:rsid w:val="00674CCE"/>
    <w:rsid w:val="00677A57"/>
    <w:rsid w:val="00681BF6"/>
    <w:rsid w:val="00681C29"/>
    <w:rsid w:val="006828AE"/>
    <w:rsid w:val="00685C12"/>
    <w:rsid w:val="0068788D"/>
    <w:rsid w:val="00687939"/>
    <w:rsid w:val="00690D54"/>
    <w:rsid w:val="00692C88"/>
    <w:rsid w:val="00692F02"/>
    <w:rsid w:val="006946EA"/>
    <w:rsid w:val="00696A99"/>
    <w:rsid w:val="006A0937"/>
    <w:rsid w:val="006A19CE"/>
    <w:rsid w:val="006A2AF4"/>
    <w:rsid w:val="006A361D"/>
    <w:rsid w:val="006A60FA"/>
    <w:rsid w:val="006A6BEC"/>
    <w:rsid w:val="006A71E7"/>
    <w:rsid w:val="006A7368"/>
    <w:rsid w:val="006A7DA0"/>
    <w:rsid w:val="006B0209"/>
    <w:rsid w:val="006B021E"/>
    <w:rsid w:val="006B0265"/>
    <w:rsid w:val="006B35D8"/>
    <w:rsid w:val="006B7154"/>
    <w:rsid w:val="006C2F44"/>
    <w:rsid w:val="006C4960"/>
    <w:rsid w:val="006C5ABC"/>
    <w:rsid w:val="006D0F2A"/>
    <w:rsid w:val="006D21AF"/>
    <w:rsid w:val="006D25E5"/>
    <w:rsid w:val="006D2BEA"/>
    <w:rsid w:val="006D345D"/>
    <w:rsid w:val="006D6F1C"/>
    <w:rsid w:val="006D745A"/>
    <w:rsid w:val="006E013B"/>
    <w:rsid w:val="006E0B34"/>
    <w:rsid w:val="006E13F0"/>
    <w:rsid w:val="006E2877"/>
    <w:rsid w:val="006E2B1B"/>
    <w:rsid w:val="006E350C"/>
    <w:rsid w:val="006E3B2C"/>
    <w:rsid w:val="006E4844"/>
    <w:rsid w:val="006E51CC"/>
    <w:rsid w:val="006E7537"/>
    <w:rsid w:val="006F0F5E"/>
    <w:rsid w:val="006F1560"/>
    <w:rsid w:val="006F1899"/>
    <w:rsid w:val="006F3B98"/>
    <w:rsid w:val="006F4E6E"/>
    <w:rsid w:val="006F6872"/>
    <w:rsid w:val="006F780C"/>
    <w:rsid w:val="006F7926"/>
    <w:rsid w:val="00700508"/>
    <w:rsid w:val="00701827"/>
    <w:rsid w:val="007041A2"/>
    <w:rsid w:val="007048D2"/>
    <w:rsid w:val="00706872"/>
    <w:rsid w:val="00720033"/>
    <w:rsid w:val="0072096C"/>
    <w:rsid w:val="007209C6"/>
    <w:rsid w:val="00721941"/>
    <w:rsid w:val="00721B5F"/>
    <w:rsid w:val="00722C9C"/>
    <w:rsid w:val="00723DA1"/>
    <w:rsid w:val="00725F82"/>
    <w:rsid w:val="007312A3"/>
    <w:rsid w:val="007318D6"/>
    <w:rsid w:val="00732B85"/>
    <w:rsid w:val="00732ECE"/>
    <w:rsid w:val="00733B31"/>
    <w:rsid w:val="00734B4B"/>
    <w:rsid w:val="00735780"/>
    <w:rsid w:val="00737813"/>
    <w:rsid w:val="00737912"/>
    <w:rsid w:val="00741C7B"/>
    <w:rsid w:val="0074499D"/>
    <w:rsid w:val="007452FF"/>
    <w:rsid w:val="007467FC"/>
    <w:rsid w:val="00746BDD"/>
    <w:rsid w:val="0074794D"/>
    <w:rsid w:val="00751939"/>
    <w:rsid w:val="007530FB"/>
    <w:rsid w:val="007540B2"/>
    <w:rsid w:val="00755313"/>
    <w:rsid w:val="00756033"/>
    <w:rsid w:val="00757D31"/>
    <w:rsid w:val="00760DDF"/>
    <w:rsid w:val="00761DAF"/>
    <w:rsid w:val="007626F6"/>
    <w:rsid w:val="00762BBC"/>
    <w:rsid w:val="00762F26"/>
    <w:rsid w:val="00763FC2"/>
    <w:rsid w:val="0076500D"/>
    <w:rsid w:val="0076560E"/>
    <w:rsid w:val="00766F6E"/>
    <w:rsid w:val="00767613"/>
    <w:rsid w:val="007703F1"/>
    <w:rsid w:val="00772FA0"/>
    <w:rsid w:val="007752CE"/>
    <w:rsid w:val="00777544"/>
    <w:rsid w:val="00777584"/>
    <w:rsid w:val="00777FB3"/>
    <w:rsid w:val="00781C36"/>
    <w:rsid w:val="007838F8"/>
    <w:rsid w:val="007839B4"/>
    <w:rsid w:val="00783A68"/>
    <w:rsid w:val="00784068"/>
    <w:rsid w:val="007849B6"/>
    <w:rsid w:val="00785F07"/>
    <w:rsid w:val="00787BD1"/>
    <w:rsid w:val="00790307"/>
    <w:rsid w:val="00792DCC"/>
    <w:rsid w:val="00792E3B"/>
    <w:rsid w:val="00795487"/>
    <w:rsid w:val="007A06D4"/>
    <w:rsid w:val="007A1048"/>
    <w:rsid w:val="007A47E0"/>
    <w:rsid w:val="007B132A"/>
    <w:rsid w:val="007B2998"/>
    <w:rsid w:val="007B4725"/>
    <w:rsid w:val="007B48DF"/>
    <w:rsid w:val="007B4BCE"/>
    <w:rsid w:val="007B5997"/>
    <w:rsid w:val="007C0C5C"/>
    <w:rsid w:val="007C1C2B"/>
    <w:rsid w:val="007C227E"/>
    <w:rsid w:val="007C271B"/>
    <w:rsid w:val="007C2775"/>
    <w:rsid w:val="007C38A0"/>
    <w:rsid w:val="007C73FC"/>
    <w:rsid w:val="007C7604"/>
    <w:rsid w:val="007C765F"/>
    <w:rsid w:val="007C7783"/>
    <w:rsid w:val="007D08CC"/>
    <w:rsid w:val="007D0BE5"/>
    <w:rsid w:val="007D1036"/>
    <w:rsid w:val="007D1C2A"/>
    <w:rsid w:val="007E5AC0"/>
    <w:rsid w:val="007E6E62"/>
    <w:rsid w:val="007E7570"/>
    <w:rsid w:val="007E7BDF"/>
    <w:rsid w:val="007F191F"/>
    <w:rsid w:val="007F29CB"/>
    <w:rsid w:val="007F7DF8"/>
    <w:rsid w:val="00800E78"/>
    <w:rsid w:val="00801887"/>
    <w:rsid w:val="00801B53"/>
    <w:rsid w:val="00804DC6"/>
    <w:rsid w:val="00805F23"/>
    <w:rsid w:val="008070F9"/>
    <w:rsid w:val="008106C8"/>
    <w:rsid w:val="00811643"/>
    <w:rsid w:val="0081166A"/>
    <w:rsid w:val="008122E4"/>
    <w:rsid w:val="0081250F"/>
    <w:rsid w:val="00812637"/>
    <w:rsid w:val="00813FCF"/>
    <w:rsid w:val="00814C44"/>
    <w:rsid w:val="0082294B"/>
    <w:rsid w:val="00823470"/>
    <w:rsid w:val="0082486D"/>
    <w:rsid w:val="00826F7D"/>
    <w:rsid w:val="00827000"/>
    <w:rsid w:val="0082763F"/>
    <w:rsid w:val="00827E54"/>
    <w:rsid w:val="0083142F"/>
    <w:rsid w:val="00831D1C"/>
    <w:rsid w:val="0083216D"/>
    <w:rsid w:val="00832840"/>
    <w:rsid w:val="008340BE"/>
    <w:rsid w:val="00835257"/>
    <w:rsid w:val="0083547B"/>
    <w:rsid w:val="00837E17"/>
    <w:rsid w:val="00840960"/>
    <w:rsid w:val="008414D8"/>
    <w:rsid w:val="008417BC"/>
    <w:rsid w:val="008425DC"/>
    <w:rsid w:val="008444E7"/>
    <w:rsid w:val="0084484D"/>
    <w:rsid w:val="00844CC1"/>
    <w:rsid w:val="00845FA5"/>
    <w:rsid w:val="0085005D"/>
    <w:rsid w:val="00850AA0"/>
    <w:rsid w:val="00850F54"/>
    <w:rsid w:val="00851CEF"/>
    <w:rsid w:val="008521F8"/>
    <w:rsid w:val="0085552A"/>
    <w:rsid w:val="0085585F"/>
    <w:rsid w:val="00856637"/>
    <w:rsid w:val="0085723D"/>
    <w:rsid w:val="00860276"/>
    <w:rsid w:val="00861D3A"/>
    <w:rsid w:val="00861D71"/>
    <w:rsid w:val="008628B1"/>
    <w:rsid w:val="008645A4"/>
    <w:rsid w:val="00865BE8"/>
    <w:rsid w:val="00872101"/>
    <w:rsid w:val="00872D7D"/>
    <w:rsid w:val="0087344F"/>
    <w:rsid w:val="0087505C"/>
    <w:rsid w:val="008758AA"/>
    <w:rsid w:val="00876336"/>
    <w:rsid w:val="00876370"/>
    <w:rsid w:val="00876C02"/>
    <w:rsid w:val="00877D4B"/>
    <w:rsid w:val="00877EC3"/>
    <w:rsid w:val="0088042D"/>
    <w:rsid w:val="008824B1"/>
    <w:rsid w:val="008840C9"/>
    <w:rsid w:val="00886086"/>
    <w:rsid w:val="0088749F"/>
    <w:rsid w:val="00890F95"/>
    <w:rsid w:val="00893EAC"/>
    <w:rsid w:val="00893FA1"/>
    <w:rsid w:val="00894573"/>
    <w:rsid w:val="008963BC"/>
    <w:rsid w:val="00896F87"/>
    <w:rsid w:val="008A127D"/>
    <w:rsid w:val="008A2C58"/>
    <w:rsid w:val="008A2E07"/>
    <w:rsid w:val="008A328F"/>
    <w:rsid w:val="008A589A"/>
    <w:rsid w:val="008B0388"/>
    <w:rsid w:val="008B16B0"/>
    <w:rsid w:val="008B2053"/>
    <w:rsid w:val="008B248A"/>
    <w:rsid w:val="008B53A2"/>
    <w:rsid w:val="008B55E6"/>
    <w:rsid w:val="008B6372"/>
    <w:rsid w:val="008B6BD1"/>
    <w:rsid w:val="008C0F9C"/>
    <w:rsid w:val="008C158B"/>
    <w:rsid w:val="008C204C"/>
    <w:rsid w:val="008C363D"/>
    <w:rsid w:val="008C39B8"/>
    <w:rsid w:val="008C44AC"/>
    <w:rsid w:val="008C4DB5"/>
    <w:rsid w:val="008C5942"/>
    <w:rsid w:val="008C6F15"/>
    <w:rsid w:val="008C716C"/>
    <w:rsid w:val="008D06D8"/>
    <w:rsid w:val="008D285D"/>
    <w:rsid w:val="008D29A5"/>
    <w:rsid w:val="008D34D7"/>
    <w:rsid w:val="008D6165"/>
    <w:rsid w:val="008D7953"/>
    <w:rsid w:val="008E368D"/>
    <w:rsid w:val="008E46C3"/>
    <w:rsid w:val="008E61DD"/>
    <w:rsid w:val="008E70DE"/>
    <w:rsid w:val="008F0151"/>
    <w:rsid w:val="008F1425"/>
    <w:rsid w:val="008F38B4"/>
    <w:rsid w:val="008F61B9"/>
    <w:rsid w:val="008F77CD"/>
    <w:rsid w:val="0090025A"/>
    <w:rsid w:val="00902237"/>
    <w:rsid w:val="0090232A"/>
    <w:rsid w:val="00903D4E"/>
    <w:rsid w:val="00904302"/>
    <w:rsid w:val="00904C8E"/>
    <w:rsid w:val="0091344E"/>
    <w:rsid w:val="0092222B"/>
    <w:rsid w:val="0092435A"/>
    <w:rsid w:val="00924A55"/>
    <w:rsid w:val="009251E1"/>
    <w:rsid w:val="00925DED"/>
    <w:rsid w:val="00927BC4"/>
    <w:rsid w:val="00927D46"/>
    <w:rsid w:val="00932007"/>
    <w:rsid w:val="009326DE"/>
    <w:rsid w:val="00933B41"/>
    <w:rsid w:val="009347F2"/>
    <w:rsid w:val="00934888"/>
    <w:rsid w:val="009353AB"/>
    <w:rsid w:val="00935AF5"/>
    <w:rsid w:val="009360BB"/>
    <w:rsid w:val="009403A1"/>
    <w:rsid w:val="00941229"/>
    <w:rsid w:val="00941312"/>
    <w:rsid w:val="00941EE7"/>
    <w:rsid w:val="00944B9D"/>
    <w:rsid w:val="00944EEF"/>
    <w:rsid w:val="00945666"/>
    <w:rsid w:val="0094615D"/>
    <w:rsid w:val="009466BB"/>
    <w:rsid w:val="00946D31"/>
    <w:rsid w:val="0095028F"/>
    <w:rsid w:val="00951E2E"/>
    <w:rsid w:val="00953283"/>
    <w:rsid w:val="00954434"/>
    <w:rsid w:val="009552A5"/>
    <w:rsid w:val="009552AB"/>
    <w:rsid w:val="00955F62"/>
    <w:rsid w:val="00956029"/>
    <w:rsid w:val="00960EA7"/>
    <w:rsid w:val="00962246"/>
    <w:rsid w:val="00962B20"/>
    <w:rsid w:val="0096741F"/>
    <w:rsid w:val="00967DB2"/>
    <w:rsid w:val="009732A5"/>
    <w:rsid w:val="00976925"/>
    <w:rsid w:val="00977FD7"/>
    <w:rsid w:val="00980D5B"/>
    <w:rsid w:val="00982277"/>
    <w:rsid w:val="00984287"/>
    <w:rsid w:val="009842CE"/>
    <w:rsid w:val="00991BFC"/>
    <w:rsid w:val="009944AA"/>
    <w:rsid w:val="00995072"/>
    <w:rsid w:val="0099567F"/>
    <w:rsid w:val="00996EE6"/>
    <w:rsid w:val="009976C9"/>
    <w:rsid w:val="009A074A"/>
    <w:rsid w:val="009A1AEE"/>
    <w:rsid w:val="009A4495"/>
    <w:rsid w:val="009A5A26"/>
    <w:rsid w:val="009B0CB8"/>
    <w:rsid w:val="009B0E9A"/>
    <w:rsid w:val="009B1CAD"/>
    <w:rsid w:val="009B21B4"/>
    <w:rsid w:val="009B2EBF"/>
    <w:rsid w:val="009B4496"/>
    <w:rsid w:val="009B44BD"/>
    <w:rsid w:val="009B654F"/>
    <w:rsid w:val="009C01C9"/>
    <w:rsid w:val="009C05AA"/>
    <w:rsid w:val="009C0C6A"/>
    <w:rsid w:val="009C0DA3"/>
    <w:rsid w:val="009C28B5"/>
    <w:rsid w:val="009C4CF8"/>
    <w:rsid w:val="009C72C2"/>
    <w:rsid w:val="009C78BF"/>
    <w:rsid w:val="009D111D"/>
    <w:rsid w:val="009D1FDB"/>
    <w:rsid w:val="009D2FCD"/>
    <w:rsid w:val="009D32B5"/>
    <w:rsid w:val="009D3D4C"/>
    <w:rsid w:val="009D4818"/>
    <w:rsid w:val="009D488F"/>
    <w:rsid w:val="009D58E0"/>
    <w:rsid w:val="009D65C9"/>
    <w:rsid w:val="009E2046"/>
    <w:rsid w:val="009E35CD"/>
    <w:rsid w:val="009E4094"/>
    <w:rsid w:val="009E40AD"/>
    <w:rsid w:val="009E4F00"/>
    <w:rsid w:val="009E4F57"/>
    <w:rsid w:val="009E5302"/>
    <w:rsid w:val="009E5D61"/>
    <w:rsid w:val="009F0841"/>
    <w:rsid w:val="009F08BD"/>
    <w:rsid w:val="009F13D8"/>
    <w:rsid w:val="009F208D"/>
    <w:rsid w:val="009F5A4E"/>
    <w:rsid w:val="00A00C13"/>
    <w:rsid w:val="00A0540D"/>
    <w:rsid w:val="00A06485"/>
    <w:rsid w:val="00A06494"/>
    <w:rsid w:val="00A07017"/>
    <w:rsid w:val="00A07145"/>
    <w:rsid w:val="00A11A7B"/>
    <w:rsid w:val="00A17FF8"/>
    <w:rsid w:val="00A2569C"/>
    <w:rsid w:val="00A30313"/>
    <w:rsid w:val="00A3220C"/>
    <w:rsid w:val="00A33C10"/>
    <w:rsid w:val="00A35F06"/>
    <w:rsid w:val="00A36367"/>
    <w:rsid w:val="00A37AF1"/>
    <w:rsid w:val="00A40CFF"/>
    <w:rsid w:val="00A41747"/>
    <w:rsid w:val="00A42C43"/>
    <w:rsid w:val="00A431A7"/>
    <w:rsid w:val="00A5026F"/>
    <w:rsid w:val="00A50631"/>
    <w:rsid w:val="00A525D3"/>
    <w:rsid w:val="00A52FCF"/>
    <w:rsid w:val="00A53C9F"/>
    <w:rsid w:val="00A559D5"/>
    <w:rsid w:val="00A56762"/>
    <w:rsid w:val="00A57B13"/>
    <w:rsid w:val="00A57D3F"/>
    <w:rsid w:val="00A60A82"/>
    <w:rsid w:val="00A60E42"/>
    <w:rsid w:val="00A61637"/>
    <w:rsid w:val="00A618FF"/>
    <w:rsid w:val="00A6513C"/>
    <w:rsid w:val="00A66A58"/>
    <w:rsid w:val="00A700F9"/>
    <w:rsid w:val="00A702CB"/>
    <w:rsid w:val="00A70475"/>
    <w:rsid w:val="00A708AA"/>
    <w:rsid w:val="00A728CE"/>
    <w:rsid w:val="00A72A26"/>
    <w:rsid w:val="00A72EAB"/>
    <w:rsid w:val="00A7675C"/>
    <w:rsid w:val="00A80637"/>
    <w:rsid w:val="00A854FA"/>
    <w:rsid w:val="00A86563"/>
    <w:rsid w:val="00A86FF0"/>
    <w:rsid w:val="00A906DA"/>
    <w:rsid w:val="00A975FF"/>
    <w:rsid w:val="00A97A53"/>
    <w:rsid w:val="00A97E39"/>
    <w:rsid w:val="00AA12BF"/>
    <w:rsid w:val="00AA2E28"/>
    <w:rsid w:val="00AA2E2F"/>
    <w:rsid w:val="00AA39B3"/>
    <w:rsid w:val="00AA528E"/>
    <w:rsid w:val="00AA5EBB"/>
    <w:rsid w:val="00AA64A8"/>
    <w:rsid w:val="00AA72C7"/>
    <w:rsid w:val="00AB05E0"/>
    <w:rsid w:val="00AB2226"/>
    <w:rsid w:val="00AB3BC4"/>
    <w:rsid w:val="00AB3F53"/>
    <w:rsid w:val="00AB5ACA"/>
    <w:rsid w:val="00AB618A"/>
    <w:rsid w:val="00AB7653"/>
    <w:rsid w:val="00AC141C"/>
    <w:rsid w:val="00AC15FA"/>
    <w:rsid w:val="00AC27EF"/>
    <w:rsid w:val="00AC5A7B"/>
    <w:rsid w:val="00AC5F92"/>
    <w:rsid w:val="00AC676F"/>
    <w:rsid w:val="00AC773D"/>
    <w:rsid w:val="00AC7FD5"/>
    <w:rsid w:val="00AD2CC7"/>
    <w:rsid w:val="00AD40ED"/>
    <w:rsid w:val="00AD6480"/>
    <w:rsid w:val="00AD6AC5"/>
    <w:rsid w:val="00AE33E4"/>
    <w:rsid w:val="00AE3C39"/>
    <w:rsid w:val="00AE5D31"/>
    <w:rsid w:val="00AE72DF"/>
    <w:rsid w:val="00AF03F6"/>
    <w:rsid w:val="00AF1264"/>
    <w:rsid w:val="00AF2473"/>
    <w:rsid w:val="00AF50FB"/>
    <w:rsid w:val="00AF6359"/>
    <w:rsid w:val="00AF6C69"/>
    <w:rsid w:val="00B004D3"/>
    <w:rsid w:val="00B01D6F"/>
    <w:rsid w:val="00B02AE0"/>
    <w:rsid w:val="00B02C81"/>
    <w:rsid w:val="00B05F2D"/>
    <w:rsid w:val="00B0764F"/>
    <w:rsid w:val="00B102B3"/>
    <w:rsid w:val="00B10328"/>
    <w:rsid w:val="00B117B4"/>
    <w:rsid w:val="00B14295"/>
    <w:rsid w:val="00B14C44"/>
    <w:rsid w:val="00B15D77"/>
    <w:rsid w:val="00B160C7"/>
    <w:rsid w:val="00B20350"/>
    <w:rsid w:val="00B211BE"/>
    <w:rsid w:val="00B22497"/>
    <w:rsid w:val="00B2471A"/>
    <w:rsid w:val="00B24AB3"/>
    <w:rsid w:val="00B24EDB"/>
    <w:rsid w:val="00B253F4"/>
    <w:rsid w:val="00B25F16"/>
    <w:rsid w:val="00B25F87"/>
    <w:rsid w:val="00B2727E"/>
    <w:rsid w:val="00B30ABB"/>
    <w:rsid w:val="00B3175B"/>
    <w:rsid w:val="00B3234C"/>
    <w:rsid w:val="00B3476F"/>
    <w:rsid w:val="00B34A91"/>
    <w:rsid w:val="00B428F8"/>
    <w:rsid w:val="00B435E7"/>
    <w:rsid w:val="00B4407B"/>
    <w:rsid w:val="00B441C5"/>
    <w:rsid w:val="00B4468F"/>
    <w:rsid w:val="00B4494A"/>
    <w:rsid w:val="00B4604D"/>
    <w:rsid w:val="00B4677A"/>
    <w:rsid w:val="00B47CDD"/>
    <w:rsid w:val="00B507D2"/>
    <w:rsid w:val="00B519D8"/>
    <w:rsid w:val="00B51D0C"/>
    <w:rsid w:val="00B5221A"/>
    <w:rsid w:val="00B534A8"/>
    <w:rsid w:val="00B55200"/>
    <w:rsid w:val="00B56A74"/>
    <w:rsid w:val="00B56E9F"/>
    <w:rsid w:val="00B639DB"/>
    <w:rsid w:val="00B64E1C"/>
    <w:rsid w:val="00B6670D"/>
    <w:rsid w:val="00B66BF6"/>
    <w:rsid w:val="00B71716"/>
    <w:rsid w:val="00B743CA"/>
    <w:rsid w:val="00B746FA"/>
    <w:rsid w:val="00B75871"/>
    <w:rsid w:val="00B76A16"/>
    <w:rsid w:val="00B778D8"/>
    <w:rsid w:val="00B77D72"/>
    <w:rsid w:val="00B77F61"/>
    <w:rsid w:val="00B80D5A"/>
    <w:rsid w:val="00B82746"/>
    <w:rsid w:val="00B82BF0"/>
    <w:rsid w:val="00B82CCD"/>
    <w:rsid w:val="00B838EF"/>
    <w:rsid w:val="00B8446D"/>
    <w:rsid w:val="00B858F4"/>
    <w:rsid w:val="00B8697D"/>
    <w:rsid w:val="00B86C64"/>
    <w:rsid w:val="00B87484"/>
    <w:rsid w:val="00B87934"/>
    <w:rsid w:val="00B958A9"/>
    <w:rsid w:val="00B960F8"/>
    <w:rsid w:val="00B96407"/>
    <w:rsid w:val="00B96A5C"/>
    <w:rsid w:val="00BA085C"/>
    <w:rsid w:val="00BA0F0D"/>
    <w:rsid w:val="00BA33B1"/>
    <w:rsid w:val="00BA4264"/>
    <w:rsid w:val="00BA65CE"/>
    <w:rsid w:val="00BA7030"/>
    <w:rsid w:val="00BB0865"/>
    <w:rsid w:val="00BB08DB"/>
    <w:rsid w:val="00BB2244"/>
    <w:rsid w:val="00BB24FB"/>
    <w:rsid w:val="00BB2C0A"/>
    <w:rsid w:val="00BB503D"/>
    <w:rsid w:val="00BB578C"/>
    <w:rsid w:val="00BB5BD6"/>
    <w:rsid w:val="00BC03CF"/>
    <w:rsid w:val="00BC19CA"/>
    <w:rsid w:val="00BC1AA5"/>
    <w:rsid w:val="00BC2F77"/>
    <w:rsid w:val="00BC6C04"/>
    <w:rsid w:val="00BD0AF9"/>
    <w:rsid w:val="00BD0D01"/>
    <w:rsid w:val="00BD1F9F"/>
    <w:rsid w:val="00BD245C"/>
    <w:rsid w:val="00BD27E1"/>
    <w:rsid w:val="00BD2C8E"/>
    <w:rsid w:val="00BD44E9"/>
    <w:rsid w:val="00BD5163"/>
    <w:rsid w:val="00BD69BB"/>
    <w:rsid w:val="00BD6D05"/>
    <w:rsid w:val="00BE3A15"/>
    <w:rsid w:val="00BE664A"/>
    <w:rsid w:val="00BE78D6"/>
    <w:rsid w:val="00BE7BE0"/>
    <w:rsid w:val="00BF33B6"/>
    <w:rsid w:val="00BF3C2A"/>
    <w:rsid w:val="00BF4B44"/>
    <w:rsid w:val="00BF4C3A"/>
    <w:rsid w:val="00BF54A5"/>
    <w:rsid w:val="00BF5D16"/>
    <w:rsid w:val="00BF6AF0"/>
    <w:rsid w:val="00BF71A3"/>
    <w:rsid w:val="00C003BA"/>
    <w:rsid w:val="00C01167"/>
    <w:rsid w:val="00C0157B"/>
    <w:rsid w:val="00C03826"/>
    <w:rsid w:val="00C03837"/>
    <w:rsid w:val="00C04B86"/>
    <w:rsid w:val="00C04C02"/>
    <w:rsid w:val="00C054B2"/>
    <w:rsid w:val="00C116DC"/>
    <w:rsid w:val="00C137BB"/>
    <w:rsid w:val="00C13F81"/>
    <w:rsid w:val="00C15587"/>
    <w:rsid w:val="00C16AA3"/>
    <w:rsid w:val="00C16BD2"/>
    <w:rsid w:val="00C16E5D"/>
    <w:rsid w:val="00C27B36"/>
    <w:rsid w:val="00C27CF8"/>
    <w:rsid w:val="00C31422"/>
    <w:rsid w:val="00C3169B"/>
    <w:rsid w:val="00C3218A"/>
    <w:rsid w:val="00C356CB"/>
    <w:rsid w:val="00C35BC0"/>
    <w:rsid w:val="00C37C10"/>
    <w:rsid w:val="00C406F0"/>
    <w:rsid w:val="00C41E70"/>
    <w:rsid w:val="00C42696"/>
    <w:rsid w:val="00C444D3"/>
    <w:rsid w:val="00C45A8F"/>
    <w:rsid w:val="00C47F56"/>
    <w:rsid w:val="00C50104"/>
    <w:rsid w:val="00C5167C"/>
    <w:rsid w:val="00C52668"/>
    <w:rsid w:val="00C53ADF"/>
    <w:rsid w:val="00C55AD8"/>
    <w:rsid w:val="00C55F26"/>
    <w:rsid w:val="00C569DB"/>
    <w:rsid w:val="00C56BAF"/>
    <w:rsid w:val="00C56D6A"/>
    <w:rsid w:val="00C56F1B"/>
    <w:rsid w:val="00C60DFE"/>
    <w:rsid w:val="00C60FF9"/>
    <w:rsid w:val="00C6180B"/>
    <w:rsid w:val="00C618BD"/>
    <w:rsid w:val="00C619D9"/>
    <w:rsid w:val="00C65600"/>
    <w:rsid w:val="00C66A94"/>
    <w:rsid w:val="00C722D7"/>
    <w:rsid w:val="00C72434"/>
    <w:rsid w:val="00C834E4"/>
    <w:rsid w:val="00C85B84"/>
    <w:rsid w:val="00C86158"/>
    <w:rsid w:val="00C867C3"/>
    <w:rsid w:val="00C87D9D"/>
    <w:rsid w:val="00C91887"/>
    <w:rsid w:val="00C92201"/>
    <w:rsid w:val="00C935F2"/>
    <w:rsid w:val="00C93826"/>
    <w:rsid w:val="00CA003E"/>
    <w:rsid w:val="00CA0315"/>
    <w:rsid w:val="00CA0BB0"/>
    <w:rsid w:val="00CA23DC"/>
    <w:rsid w:val="00CA489E"/>
    <w:rsid w:val="00CA62A9"/>
    <w:rsid w:val="00CB029B"/>
    <w:rsid w:val="00CB4B26"/>
    <w:rsid w:val="00CC083C"/>
    <w:rsid w:val="00CC0A59"/>
    <w:rsid w:val="00CC0F9D"/>
    <w:rsid w:val="00CC2371"/>
    <w:rsid w:val="00CC24EE"/>
    <w:rsid w:val="00CC38D8"/>
    <w:rsid w:val="00CC503A"/>
    <w:rsid w:val="00CC6058"/>
    <w:rsid w:val="00CC7226"/>
    <w:rsid w:val="00CD3B4D"/>
    <w:rsid w:val="00CD3D05"/>
    <w:rsid w:val="00CD6CCE"/>
    <w:rsid w:val="00CD72F4"/>
    <w:rsid w:val="00CE150D"/>
    <w:rsid w:val="00CE2A98"/>
    <w:rsid w:val="00CE2F90"/>
    <w:rsid w:val="00CE63C2"/>
    <w:rsid w:val="00CF1BF4"/>
    <w:rsid w:val="00CF246A"/>
    <w:rsid w:val="00CF613C"/>
    <w:rsid w:val="00CF64F8"/>
    <w:rsid w:val="00CF68EC"/>
    <w:rsid w:val="00CF77E9"/>
    <w:rsid w:val="00D021CB"/>
    <w:rsid w:val="00D03B16"/>
    <w:rsid w:val="00D042B8"/>
    <w:rsid w:val="00D04A8C"/>
    <w:rsid w:val="00D06FF8"/>
    <w:rsid w:val="00D071F0"/>
    <w:rsid w:val="00D11973"/>
    <w:rsid w:val="00D12CF3"/>
    <w:rsid w:val="00D12E6B"/>
    <w:rsid w:val="00D1323F"/>
    <w:rsid w:val="00D13EFB"/>
    <w:rsid w:val="00D15859"/>
    <w:rsid w:val="00D15AEE"/>
    <w:rsid w:val="00D1654F"/>
    <w:rsid w:val="00D1701E"/>
    <w:rsid w:val="00D17D3D"/>
    <w:rsid w:val="00D22AE4"/>
    <w:rsid w:val="00D244BB"/>
    <w:rsid w:val="00D24D19"/>
    <w:rsid w:val="00D30A71"/>
    <w:rsid w:val="00D32DA6"/>
    <w:rsid w:val="00D335FF"/>
    <w:rsid w:val="00D33667"/>
    <w:rsid w:val="00D339E1"/>
    <w:rsid w:val="00D34392"/>
    <w:rsid w:val="00D34869"/>
    <w:rsid w:val="00D349DB"/>
    <w:rsid w:val="00D354F6"/>
    <w:rsid w:val="00D37ED4"/>
    <w:rsid w:val="00D40DB7"/>
    <w:rsid w:val="00D41C2D"/>
    <w:rsid w:val="00D424C2"/>
    <w:rsid w:val="00D428D1"/>
    <w:rsid w:val="00D52062"/>
    <w:rsid w:val="00D523E7"/>
    <w:rsid w:val="00D52698"/>
    <w:rsid w:val="00D53DFE"/>
    <w:rsid w:val="00D53FCB"/>
    <w:rsid w:val="00D54059"/>
    <w:rsid w:val="00D555E3"/>
    <w:rsid w:val="00D5727C"/>
    <w:rsid w:val="00D57600"/>
    <w:rsid w:val="00D618E7"/>
    <w:rsid w:val="00D64A44"/>
    <w:rsid w:val="00D64F89"/>
    <w:rsid w:val="00D65B41"/>
    <w:rsid w:val="00D66F34"/>
    <w:rsid w:val="00D70E0E"/>
    <w:rsid w:val="00D71C8C"/>
    <w:rsid w:val="00D73E1D"/>
    <w:rsid w:val="00D76FF4"/>
    <w:rsid w:val="00D77984"/>
    <w:rsid w:val="00D804B0"/>
    <w:rsid w:val="00D805F7"/>
    <w:rsid w:val="00D81C25"/>
    <w:rsid w:val="00D82C75"/>
    <w:rsid w:val="00D856FE"/>
    <w:rsid w:val="00D85889"/>
    <w:rsid w:val="00D92909"/>
    <w:rsid w:val="00D9313E"/>
    <w:rsid w:val="00D93BB6"/>
    <w:rsid w:val="00D93C58"/>
    <w:rsid w:val="00D94D26"/>
    <w:rsid w:val="00D96678"/>
    <w:rsid w:val="00DA2903"/>
    <w:rsid w:val="00DA60CD"/>
    <w:rsid w:val="00DA6230"/>
    <w:rsid w:val="00DA7330"/>
    <w:rsid w:val="00DB06A8"/>
    <w:rsid w:val="00DB09CD"/>
    <w:rsid w:val="00DB36C6"/>
    <w:rsid w:val="00DB576C"/>
    <w:rsid w:val="00DB7CE6"/>
    <w:rsid w:val="00DC02D5"/>
    <w:rsid w:val="00DC06A9"/>
    <w:rsid w:val="00DC0862"/>
    <w:rsid w:val="00DC0D89"/>
    <w:rsid w:val="00DC2013"/>
    <w:rsid w:val="00DC568F"/>
    <w:rsid w:val="00DC6033"/>
    <w:rsid w:val="00DC655C"/>
    <w:rsid w:val="00DC6A23"/>
    <w:rsid w:val="00DC6D9C"/>
    <w:rsid w:val="00DD283E"/>
    <w:rsid w:val="00DD6026"/>
    <w:rsid w:val="00DD69B6"/>
    <w:rsid w:val="00DD75F7"/>
    <w:rsid w:val="00DE5D5A"/>
    <w:rsid w:val="00DE69D0"/>
    <w:rsid w:val="00DE6A58"/>
    <w:rsid w:val="00DF0169"/>
    <w:rsid w:val="00DF100F"/>
    <w:rsid w:val="00DF11A2"/>
    <w:rsid w:val="00DF11A4"/>
    <w:rsid w:val="00DF349A"/>
    <w:rsid w:val="00DF41D2"/>
    <w:rsid w:val="00DF6770"/>
    <w:rsid w:val="00DF6889"/>
    <w:rsid w:val="00DF73DA"/>
    <w:rsid w:val="00DF7896"/>
    <w:rsid w:val="00DF78EF"/>
    <w:rsid w:val="00E010B0"/>
    <w:rsid w:val="00E012FF"/>
    <w:rsid w:val="00E01B11"/>
    <w:rsid w:val="00E03BD1"/>
    <w:rsid w:val="00E046F4"/>
    <w:rsid w:val="00E04AF0"/>
    <w:rsid w:val="00E04F93"/>
    <w:rsid w:val="00E069A5"/>
    <w:rsid w:val="00E07A35"/>
    <w:rsid w:val="00E104D0"/>
    <w:rsid w:val="00E132AB"/>
    <w:rsid w:val="00E13B1A"/>
    <w:rsid w:val="00E1409F"/>
    <w:rsid w:val="00E14602"/>
    <w:rsid w:val="00E16324"/>
    <w:rsid w:val="00E16F55"/>
    <w:rsid w:val="00E20475"/>
    <w:rsid w:val="00E211FB"/>
    <w:rsid w:val="00E23967"/>
    <w:rsid w:val="00E2424B"/>
    <w:rsid w:val="00E249E3"/>
    <w:rsid w:val="00E25CDB"/>
    <w:rsid w:val="00E25DB8"/>
    <w:rsid w:val="00E266A2"/>
    <w:rsid w:val="00E26F1A"/>
    <w:rsid w:val="00E2714D"/>
    <w:rsid w:val="00E276DD"/>
    <w:rsid w:val="00E27D06"/>
    <w:rsid w:val="00E3042B"/>
    <w:rsid w:val="00E309F7"/>
    <w:rsid w:val="00E31086"/>
    <w:rsid w:val="00E338DA"/>
    <w:rsid w:val="00E33E61"/>
    <w:rsid w:val="00E34024"/>
    <w:rsid w:val="00E35570"/>
    <w:rsid w:val="00E37791"/>
    <w:rsid w:val="00E421BF"/>
    <w:rsid w:val="00E427E9"/>
    <w:rsid w:val="00E428B8"/>
    <w:rsid w:val="00E42E55"/>
    <w:rsid w:val="00E55D67"/>
    <w:rsid w:val="00E56EC4"/>
    <w:rsid w:val="00E6018E"/>
    <w:rsid w:val="00E60896"/>
    <w:rsid w:val="00E62098"/>
    <w:rsid w:val="00E6241B"/>
    <w:rsid w:val="00E631F6"/>
    <w:rsid w:val="00E637BA"/>
    <w:rsid w:val="00E64C4A"/>
    <w:rsid w:val="00E64E34"/>
    <w:rsid w:val="00E65AAD"/>
    <w:rsid w:val="00E71AC2"/>
    <w:rsid w:val="00E7307F"/>
    <w:rsid w:val="00E750E4"/>
    <w:rsid w:val="00E76CD4"/>
    <w:rsid w:val="00E778EF"/>
    <w:rsid w:val="00E77FBE"/>
    <w:rsid w:val="00E802AA"/>
    <w:rsid w:val="00E80C6E"/>
    <w:rsid w:val="00E8155B"/>
    <w:rsid w:val="00E81DB2"/>
    <w:rsid w:val="00E82C0C"/>
    <w:rsid w:val="00E84391"/>
    <w:rsid w:val="00E8790F"/>
    <w:rsid w:val="00E879F5"/>
    <w:rsid w:val="00E87F25"/>
    <w:rsid w:val="00E92D18"/>
    <w:rsid w:val="00E95676"/>
    <w:rsid w:val="00E97109"/>
    <w:rsid w:val="00E9719D"/>
    <w:rsid w:val="00EA16D8"/>
    <w:rsid w:val="00EA3677"/>
    <w:rsid w:val="00EA6027"/>
    <w:rsid w:val="00EA6FED"/>
    <w:rsid w:val="00EB0B04"/>
    <w:rsid w:val="00EB2265"/>
    <w:rsid w:val="00EB252F"/>
    <w:rsid w:val="00EB38E6"/>
    <w:rsid w:val="00EB3F8D"/>
    <w:rsid w:val="00EB476E"/>
    <w:rsid w:val="00EB4A79"/>
    <w:rsid w:val="00EB7538"/>
    <w:rsid w:val="00EC0815"/>
    <w:rsid w:val="00EC68AA"/>
    <w:rsid w:val="00EC738A"/>
    <w:rsid w:val="00ED042C"/>
    <w:rsid w:val="00ED23D7"/>
    <w:rsid w:val="00ED242D"/>
    <w:rsid w:val="00ED528E"/>
    <w:rsid w:val="00ED5F21"/>
    <w:rsid w:val="00ED7075"/>
    <w:rsid w:val="00EE3BDF"/>
    <w:rsid w:val="00EE5B41"/>
    <w:rsid w:val="00EF202E"/>
    <w:rsid w:val="00EF3A91"/>
    <w:rsid w:val="00EF476E"/>
    <w:rsid w:val="00EF4C18"/>
    <w:rsid w:val="00EF4E5E"/>
    <w:rsid w:val="00EF5181"/>
    <w:rsid w:val="00EF5239"/>
    <w:rsid w:val="00EF59ED"/>
    <w:rsid w:val="00EF6A59"/>
    <w:rsid w:val="00EF7302"/>
    <w:rsid w:val="00F012F5"/>
    <w:rsid w:val="00F01639"/>
    <w:rsid w:val="00F0470D"/>
    <w:rsid w:val="00F05E52"/>
    <w:rsid w:val="00F05E56"/>
    <w:rsid w:val="00F101A9"/>
    <w:rsid w:val="00F101B9"/>
    <w:rsid w:val="00F10D6A"/>
    <w:rsid w:val="00F10DAE"/>
    <w:rsid w:val="00F113D2"/>
    <w:rsid w:val="00F115AF"/>
    <w:rsid w:val="00F14403"/>
    <w:rsid w:val="00F14C83"/>
    <w:rsid w:val="00F14D04"/>
    <w:rsid w:val="00F15432"/>
    <w:rsid w:val="00F160D5"/>
    <w:rsid w:val="00F21712"/>
    <w:rsid w:val="00F22DD9"/>
    <w:rsid w:val="00F233D2"/>
    <w:rsid w:val="00F24331"/>
    <w:rsid w:val="00F24C1A"/>
    <w:rsid w:val="00F24EEC"/>
    <w:rsid w:val="00F25C50"/>
    <w:rsid w:val="00F30BA7"/>
    <w:rsid w:val="00F33366"/>
    <w:rsid w:val="00F34B26"/>
    <w:rsid w:val="00F34D83"/>
    <w:rsid w:val="00F368C4"/>
    <w:rsid w:val="00F36AD9"/>
    <w:rsid w:val="00F401FA"/>
    <w:rsid w:val="00F410B8"/>
    <w:rsid w:val="00F4112F"/>
    <w:rsid w:val="00F417CD"/>
    <w:rsid w:val="00F42F61"/>
    <w:rsid w:val="00F43579"/>
    <w:rsid w:val="00F46B34"/>
    <w:rsid w:val="00F46B4B"/>
    <w:rsid w:val="00F515F2"/>
    <w:rsid w:val="00F5261A"/>
    <w:rsid w:val="00F55017"/>
    <w:rsid w:val="00F556E1"/>
    <w:rsid w:val="00F559A3"/>
    <w:rsid w:val="00F55CB6"/>
    <w:rsid w:val="00F56009"/>
    <w:rsid w:val="00F56C52"/>
    <w:rsid w:val="00F62CBA"/>
    <w:rsid w:val="00F66D1D"/>
    <w:rsid w:val="00F67496"/>
    <w:rsid w:val="00F70893"/>
    <w:rsid w:val="00F72E02"/>
    <w:rsid w:val="00F7486B"/>
    <w:rsid w:val="00F76DA9"/>
    <w:rsid w:val="00F8067F"/>
    <w:rsid w:val="00F8331E"/>
    <w:rsid w:val="00F83871"/>
    <w:rsid w:val="00F845DF"/>
    <w:rsid w:val="00F8775B"/>
    <w:rsid w:val="00F87D4E"/>
    <w:rsid w:val="00F90125"/>
    <w:rsid w:val="00F90C06"/>
    <w:rsid w:val="00F9138A"/>
    <w:rsid w:val="00F91509"/>
    <w:rsid w:val="00F921FB"/>
    <w:rsid w:val="00F94643"/>
    <w:rsid w:val="00F94B1B"/>
    <w:rsid w:val="00FA29C2"/>
    <w:rsid w:val="00FA3749"/>
    <w:rsid w:val="00FA4303"/>
    <w:rsid w:val="00FA49AE"/>
    <w:rsid w:val="00FA7723"/>
    <w:rsid w:val="00FB1668"/>
    <w:rsid w:val="00FB1FED"/>
    <w:rsid w:val="00FB2F14"/>
    <w:rsid w:val="00FB2F6A"/>
    <w:rsid w:val="00FB6BBC"/>
    <w:rsid w:val="00FB7059"/>
    <w:rsid w:val="00FB7600"/>
    <w:rsid w:val="00FC04EA"/>
    <w:rsid w:val="00FC1B34"/>
    <w:rsid w:val="00FC3B40"/>
    <w:rsid w:val="00FC46C5"/>
    <w:rsid w:val="00FC6887"/>
    <w:rsid w:val="00FD0345"/>
    <w:rsid w:val="00FD04F4"/>
    <w:rsid w:val="00FD1E5D"/>
    <w:rsid w:val="00FD39B8"/>
    <w:rsid w:val="00FD3AB6"/>
    <w:rsid w:val="00FE05D9"/>
    <w:rsid w:val="00FE0A16"/>
    <w:rsid w:val="00FE0D66"/>
    <w:rsid w:val="00FE0F82"/>
    <w:rsid w:val="00FE1261"/>
    <w:rsid w:val="00FE29B8"/>
    <w:rsid w:val="00FE301F"/>
    <w:rsid w:val="00FE333C"/>
    <w:rsid w:val="00FE3952"/>
    <w:rsid w:val="00FE479E"/>
    <w:rsid w:val="00FE49FA"/>
    <w:rsid w:val="00FE4BDF"/>
    <w:rsid w:val="00FE5906"/>
    <w:rsid w:val="00FE60DA"/>
    <w:rsid w:val="00FE7224"/>
    <w:rsid w:val="00FF1D60"/>
    <w:rsid w:val="00FF3E72"/>
    <w:rsid w:val="00FF41E0"/>
    <w:rsid w:val="00FF4C6F"/>
    <w:rsid w:val="00FF4E7B"/>
    <w:rsid w:val="00FF55A3"/>
    <w:rsid w:val="00FF71E3"/>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50D8D"/>
    <w:pPr>
      <w:keepNext/>
      <w:spacing w:before="240" w:after="60" w:line="276" w:lineRule="auto"/>
      <w:outlineLvl w:val="0"/>
    </w:pPr>
    <w:rPr>
      <w:rFonts w:ascii="Cambria" w:eastAsia="Times New Roman" w:hAnsi="Cambria" w:cs="Times New Roman"/>
      <w:b/>
      <w:bCs/>
      <w:kern w:val="32"/>
      <w:sz w:val="32"/>
      <w:szCs w:val="32"/>
    </w:rPr>
  </w:style>
  <w:style w:type="paragraph" w:styleId="Antrat2">
    <w:name w:val="heading 2"/>
    <w:basedOn w:val="prastasis"/>
    <w:next w:val="prastasis"/>
    <w:link w:val="Antrat2Diagrama"/>
    <w:uiPriority w:val="9"/>
    <w:semiHidden/>
    <w:unhideWhenUsed/>
    <w:qFormat/>
    <w:rsid w:val="00650D8D"/>
    <w:pPr>
      <w:keepNext/>
      <w:spacing w:before="240" w:after="60" w:line="276" w:lineRule="auto"/>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iPriority w:val="9"/>
    <w:semiHidden/>
    <w:unhideWhenUsed/>
    <w:qFormat/>
    <w:rsid w:val="00650D8D"/>
    <w:pPr>
      <w:keepNext/>
      <w:spacing w:before="240" w:after="60" w:line="276" w:lineRule="auto"/>
      <w:outlineLvl w:val="2"/>
    </w:pPr>
    <w:rPr>
      <w:rFonts w:ascii="Cambria" w:eastAsia="Times New Roman" w:hAnsi="Cambria"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0D8D"/>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
    <w:semiHidden/>
    <w:rsid w:val="00650D8D"/>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
    <w:semiHidden/>
    <w:rsid w:val="00650D8D"/>
    <w:rPr>
      <w:rFonts w:ascii="Cambria" w:eastAsia="Times New Roman" w:hAnsi="Cambria" w:cs="Times New Roman"/>
      <w:b/>
      <w:bCs/>
      <w:sz w:val="26"/>
      <w:szCs w:val="26"/>
    </w:rPr>
  </w:style>
  <w:style w:type="numbering" w:customStyle="1" w:styleId="NoList1">
    <w:name w:val="No List1"/>
    <w:next w:val="Sraonra"/>
    <w:uiPriority w:val="99"/>
    <w:semiHidden/>
    <w:unhideWhenUsed/>
    <w:rsid w:val="00650D8D"/>
  </w:style>
  <w:style w:type="paragraph" w:styleId="Porat">
    <w:name w:val="footer"/>
    <w:basedOn w:val="prastasis"/>
    <w:link w:val="PoratDiagrama"/>
    <w:rsid w:val="00650D8D"/>
    <w:pPr>
      <w:tabs>
        <w:tab w:val="center" w:pos="4153"/>
        <w:tab w:val="right" w:pos="8306"/>
      </w:tabs>
      <w:spacing w:after="0" w:line="240" w:lineRule="auto"/>
    </w:pPr>
    <w:rPr>
      <w:rFonts w:ascii="Times New Roman" w:eastAsia="Calibri" w:hAnsi="Times New Roman" w:cs="Times New Roman"/>
      <w:lang w:val="lt-LT"/>
    </w:rPr>
  </w:style>
  <w:style w:type="character" w:customStyle="1" w:styleId="PoratDiagrama">
    <w:name w:val="Poraštė Diagrama"/>
    <w:basedOn w:val="Numatytasispastraiposriftas"/>
    <w:link w:val="Porat"/>
    <w:rsid w:val="00650D8D"/>
    <w:rPr>
      <w:rFonts w:ascii="Times New Roman" w:eastAsia="Calibri" w:hAnsi="Times New Roman" w:cs="Times New Roman"/>
      <w:lang w:val="lt-LT"/>
    </w:rPr>
  </w:style>
  <w:style w:type="character" w:styleId="Puslapionumeris">
    <w:name w:val="page number"/>
    <w:rsid w:val="00650D8D"/>
  </w:style>
  <w:style w:type="character" w:styleId="Hipersaitas">
    <w:name w:val="Hyperlink"/>
    <w:rsid w:val="00650D8D"/>
    <w:rPr>
      <w:color w:val="0000FF"/>
      <w:u w:val="single"/>
    </w:rPr>
  </w:style>
  <w:style w:type="paragraph" w:customStyle="1" w:styleId="BTEMEASMCA">
    <w:name w:val="BT EMEA_SMCA"/>
    <w:basedOn w:val="prastasis"/>
    <w:link w:val="BTEMEASMCAChar"/>
    <w:autoRedefine/>
    <w:rsid w:val="00650D8D"/>
    <w:pPr>
      <w:spacing w:after="0" w:line="240" w:lineRule="auto"/>
    </w:pPr>
    <w:rPr>
      <w:rFonts w:ascii="Times New Roman" w:eastAsia="Calibri" w:hAnsi="Times New Roman" w:cs="Times New Roman"/>
      <w:noProof/>
      <w:lang w:val="lt-LT"/>
    </w:rPr>
  </w:style>
  <w:style w:type="paragraph" w:customStyle="1" w:styleId="BTuEMEASMCA">
    <w:name w:val="BT(u) EMEA_SMCA"/>
    <w:basedOn w:val="prastasis"/>
    <w:autoRedefine/>
    <w:rsid w:val="00650D8D"/>
    <w:pPr>
      <w:spacing w:after="0" w:line="240" w:lineRule="auto"/>
    </w:pPr>
    <w:rPr>
      <w:rFonts w:ascii="Times New Roman" w:eastAsia="Calibri" w:hAnsi="Times New Roman" w:cs="Times New Roman"/>
      <w:u w:val="single"/>
      <w:lang w:val="lt-LT"/>
    </w:rPr>
  </w:style>
  <w:style w:type="paragraph" w:customStyle="1" w:styleId="TTEMEASMCA">
    <w:name w:val="TT EMEA_SMCA"/>
    <w:basedOn w:val="Antrat1"/>
    <w:link w:val="TTEMEASMCAChar"/>
    <w:autoRedefine/>
    <w:rsid w:val="00650D8D"/>
    <w:pPr>
      <w:keepNext w:val="0"/>
      <w:tabs>
        <w:tab w:val="left" w:pos="567"/>
      </w:tabs>
      <w:spacing w:before="0" w:after="0" w:line="240" w:lineRule="auto"/>
      <w:ind w:left="567" w:hanging="567"/>
      <w:jc w:val="center"/>
    </w:pPr>
    <w:rPr>
      <w:rFonts w:ascii="Times New Roman" w:eastAsia="Calibri" w:hAnsi="Times New Roman"/>
      <w:caps/>
      <w:kern w:val="0"/>
      <w:sz w:val="22"/>
      <w:szCs w:val="22"/>
      <w:lang w:eastAsia="lt-LT"/>
    </w:rPr>
  </w:style>
  <w:style w:type="character" w:customStyle="1" w:styleId="TTEMEASMCAChar">
    <w:name w:val="TT EMEA_SMCA Char"/>
    <w:link w:val="TTEMEASMCA"/>
    <w:locked/>
    <w:rsid w:val="00650D8D"/>
    <w:rPr>
      <w:rFonts w:ascii="Times New Roman" w:eastAsia="Calibri" w:hAnsi="Times New Roman" w:cs="Times New Roman"/>
      <w:b/>
      <w:bCs/>
      <w:caps/>
      <w:lang w:eastAsia="lt-LT"/>
    </w:rPr>
  </w:style>
  <w:style w:type="paragraph" w:customStyle="1" w:styleId="BTAnIIEMEASMCA">
    <w:name w:val="BT(AnII) EMEA_SMCA"/>
    <w:basedOn w:val="Debesliotekstas"/>
    <w:autoRedefine/>
    <w:rsid w:val="00650D8D"/>
    <w:pPr>
      <w:tabs>
        <w:tab w:val="left" w:pos="1701"/>
      </w:tabs>
      <w:ind w:left="1701" w:hanging="567"/>
    </w:pPr>
    <w:rPr>
      <w:rFonts w:ascii="Times New Roman" w:hAnsi="Times New Roman" w:cs="Times New Roman"/>
      <w:b/>
      <w:bCs/>
      <w:sz w:val="22"/>
      <w:szCs w:val="22"/>
      <w:lang w:val="en-GB" w:eastAsia="lt-LT"/>
    </w:rPr>
  </w:style>
  <w:style w:type="character" w:customStyle="1" w:styleId="BTEMEASMCAChar">
    <w:name w:val="BT EMEA_SMCA Char"/>
    <w:link w:val="BTEMEASMCA"/>
    <w:locked/>
    <w:rsid w:val="00650D8D"/>
    <w:rPr>
      <w:rFonts w:ascii="Times New Roman" w:eastAsia="Calibri" w:hAnsi="Times New Roman" w:cs="Times New Roman"/>
      <w:noProof/>
      <w:lang w:val="lt-LT"/>
    </w:rPr>
  </w:style>
  <w:style w:type="paragraph" w:customStyle="1" w:styleId="PI-1EMEASMCA">
    <w:name w:val="PI-1 EMEA_SMCA"/>
    <w:basedOn w:val="Antrat2"/>
    <w:autoRedefine/>
    <w:rsid w:val="00650D8D"/>
    <w:pPr>
      <w:tabs>
        <w:tab w:val="left" w:pos="567"/>
      </w:tabs>
      <w:spacing w:before="0" w:after="0" w:line="240" w:lineRule="auto"/>
      <w:ind w:left="567" w:hanging="567"/>
    </w:pPr>
    <w:rPr>
      <w:rFonts w:ascii="Times New Roman" w:eastAsia="Calibri" w:hAnsi="Times New Roman"/>
      <w:i w:val="0"/>
      <w:iCs w:val="0"/>
      <w:sz w:val="22"/>
      <w:szCs w:val="22"/>
      <w:lang w:val="lt-LT" w:eastAsia="lt-LT"/>
    </w:rPr>
  </w:style>
  <w:style w:type="paragraph" w:customStyle="1" w:styleId="PI-2EMEASMCA">
    <w:name w:val="PI-2 EMEA_SMCA"/>
    <w:basedOn w:val="Antrat3"/>
    <w:autoRedefine/>
    <w:rsid w:val="00650D8D"/>
    <w:pPr>
      <w:keepLines/>
      <w:tabs>
        <w:tab w:val="left" w:pos="567"/>
      </w:tabs>
      <w:spacing w:before="0" w:after="0" w:line="240" w:lineRule="auto"/>
      <w:ind w:left="567" w:hanging="567"/>
    </w:pPr>
    <w:rPr>
      <w:rFonts w:ascii="Times New Roman" w:eastAsia="Calibri" w:hAnsi="Times New Roman"/>
      <w:kern w:val="28"/>
      <w:sz w:val="22"/>
      <w:szCs w:val="22"/>
      <w:lang w:val="lt-LT"/>
    </w:rPr>
  </w:style>
  <w:style w:type="paragraph" w:styleId="Antrats">
    <w:name w:val="header"/>
    <w:basedOn w:val="prastasis"/>
    <w:link w:val="AntratsDiagrama"/>
    <w:semiHidden/>
    <w:rsid w:val="00650D8D"/>
    <w:pPr>
      <w:tabs>
        <w:tab w:val="center" w:pos="4819"/>
        <w:tab w:val="right" w:pos="9638"/>
      </w:tabs>
      <w:spacing w:after="0" w:line="240" w:lineRule="auto"/>
    </w:pPr>
    <w:rPr>
      <w:rFonts w:ascii="Times New Roman" w:eastAsia="Calibri" w:hAnsi="Times New Roman" w:cs="Times New Roman"/>
      <w:lang w:val="lt-LT"/>
    </w:rPr>
  </w:style>
  <w:style w:type="character" w:customStyle="1" w:styleId="AntratsDiagrama">
    <w:name w:val="Antraštės Diagrama"/>
    <w:basedOn w:val="Numatytasispastraiposriftas"/>
    <w:link w:val="Antrats"/>
    <w:semiHidden/>
    <w:rsid w:val="00650D8D"/>
    <w:rPr>
      <w:rFonts w:ascii="Times New Roman" w:eastAsia="Calibri" w:hAnsi="Times New Roman" w:cs="Times New Roman"/>
      <w:lang w:val="lt-LT"/>
    </w:rPr>
  </w:style>
  <w:style w:type="paragraph" w:customStyle="1" w:styleId="Sraopastraipa1">
    <w:name w:val="Sąrao pastraipa1"/>
    <w:basedOn w:val="prastasis"/>
    <w:rsid w:val="00650D8D"/>
    <w:pPr>
      <w:spacing w:after="0" w:line="240" w:lineRule="auto"/>
      <w:ind w:left="720"/>
    </w:pPr>
    <w:rPr>
      <w:rFonts w:ascii="Times New Roman" w:eastAsia="Calibri" w:hAnsi="Times New Roman" w:cs="Times New Roman"/>
      <w:lang w:val="lt-LT"/>
    </w:rPr>
  </w:style>
  <w:style w:type="paragraph" w:customStyle="1" w:styleId="Sraopastraipa10">
    <w:name w:val="Sąrašo pastraipa1"/>
    <w:basedOn w:val="prastasis"/>
    <w:rsid w:val="00650D8D"/>
    <w:pPr>
      <w:spacing w:after="0" w:line="240" w:lineRule="auto"/>
      <w:ind w:left="720"/>
    </w:pPr>
    <w:rPr>
      <w:rFonts w:ascii="Times New Roman" w:eastAsia="Calibri" w:hAnsi="Times New Roman" w:cs="Times New Roman"/>
      <w:lang w:val="lt-LT"/>
    </w:rPr>
  </w:style>
  <w:style w:type="paragraph" w:styleId="Debesliotekstas">
    <w:name w:val="Balloon Text"/>
    <w:basedOn w:val="prastasis"/>
    <w:link w:val="DebesliotekstasDiagrama"/>
    <w:uiPriority w:val="99"/>
    <w:semiHidden/>
    <w:unhideWhenUsed/>
    <w:rsid w:val="00650D8D"/>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650D8D"/>
    <w:rPr>
      <w:rFonts w:ascii="Tahoma" w:eastAsia="Calibri" w:hAnsi="Tahoma" w:cs="Tahoma"/>
      <w:sz w:val="16"/>
      <w:szCs w:val="16"/>
    </w:rPr>
  </w:style>
  <w:style w:type="paragraph" w:styleId="Sraopastraipa">
    <w:name w:val="List Paragraph"/>
    <w:basedOn w:val="prastasis"/>
    <w:uiPriority w:val="34"/>
    <w:qFormat/>
    <w:rsid w:val="006E13F0"/>
    <w:pPr>
      <w:ind w:left="720"/>
      <w:contextualSpacing/>
    </w:pPr>
  </w:style>
  <w:style w:type="character" w:styleId="Komentaronuoroda">
    <w:name w:val="annotation reference"/>
    <w:basedOn w:val="Numatytasispastraiposriftas"/>
    <w:uiPriority w:val="99"/>
    <w:semiHidden/>
    <w:unhideWhenUsed/>
    <w:rsid w:val="00945666"/>
    <w:rPr>
      <w:sz w:val="16"/>
      <w:szCs w:val="16"/>
    </w:rPr>
  </w:style>
  <w:style w:type="paragraph" w:styleId="Komentarotekstas">
    <w:name w:val="annotation text"/>
    <w:basedOn w:val="prastasis"/>
    <w:link w:val="KomentarotekstasDiagrama"/>
    <w:uiPriority w:val="99"/>
    <w:semiHidden/>
    <w:unhideWhenUsed/>
    <w:rsid w:val="009456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5666"/>
    <w:rPr>
      <w:sz w:val="20"/>
      <w:szCs w:val="20"/>
    </w:rPr>
  </w:style>
  <w:style w:type="paragraph" w:styleId="Komentarotema">
    <w:name w:val="annotation subject"/>
    <w:basedOn w:val="Komentarotekstas"/>
    <w:next w:val="Komentarotekstas"/>
    <w:link w:val="KomentarotemaDiagrama"/>
    <w:uiPriority w:val="99"/>
    <w:semiHidden/>
    <w:unhideWhenUsed/>
    <w:rsid w:val="00945666"/>
    <w:rPr>
      <w:b/>
      <w:bCs/>
    </w:rPr>
  </w:style>
  <w:style w:type="character" w:customStyle="1" w:styleId="KomentarotemaDiagrama">
    <w:name w:val="Komentaro tema Diagrama"/>
    <w:basedOn w:val="KomentarotekstasDiagrama"/>
    <w:link w:val="Komentarotema"/>
    <w:uiPriority w:val="99"/>
    <w:semiHidden/>
    <w:rsid w:val="009456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50D8D"/>
    <w:pPr>
      <w:keepNext/>
      <w:spacing w:before="240" w:after="60" w:line="276" w:lineRule="auto"/>
      <w:outlineLvl w:val="0"/>
    </w:pPr>
    <w:rPr>
      <w:rFonts w:ascii="Cambria" w:eastAsia="Times New Roman" w:hAnsi="Cambria" w:cs="Times New Roman"/>
      <w:b/>
      <w:bCs/>
      <w:kern w:val="32"/>
      <w:sz w:val="32"/>
      <w:szCs w:val="32"/>
    </w:rPr>
  </w:style>
  <w:style w:type="paragraph" w:styleId="Antrat2">
    <w:name w:val="heading 2"/>
    <w:basedOn w:val="prastasis"/>
    <w:next w:val="prastasis"/>
    <w:link w:val="Antrat2Diagrama"/>
    <w:uiPriority w:val="9"/>
    <w:semiHidden/>
    <w:unhideWhenUsed/>
    <w:qFormat/>
    <w:rsid w:val="00650D8D"/>
    <w:pPr>
      <w:keepNext/>
      <w:spacing w:before="240" w:after="60" w:line="276" w:lineRule="auto"/>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iPriority w:val="9"/>
    <w:semiHidden/>
    <w:unhideWhenUsed/>
    <w:qFormat/>
    <w:rsid w:val="00650D8D"/>
    <w:pPr>
      <w:keepNext/>
      <w:spacing w:before="240" w:after="60" w:line="276" w:lineRule="auto"/>
      <w:outlineLvl w:val="2"/>
    </w:pPr>
    <w:rPr>
      <w:rFonts w:ascii="Cambria" w:eastAsia="Times New Roman" w:hAnsi="Cambria"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0D8D"/>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
    <w:semiHidden/>
    <w:rsid w:val="00650D8D"/>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
    <w:semiHidden/>
    <w:rsid w:val="00650D8D"/>
    <w:rPr>
      <w:rFonts w:ascii="Cambria" w:eastAsia="Times New Roman" w:hAnsi="Cambria" w:cs="Times New Roman"/>
      <w:b/>
      <w:bCs/>
      <w:sz w:val="26"/>
      <w:szCs w:val="26"/>
    </w:rPr>
  </w:style>
  <w:style w:type="numbering" w:customStyle="1" w:styleId="NoList1">
    <w:name w:val="No List1"/>
    <w:next w:val="Sraonra"/>
    <w:uiPriority w:val="99"/>
    <w:semiHidden/>
    <w:unhideWhenUsed/>
    <w:rsid w:val="00650D8D"/>
  </w:style>
  <w:style w:type="paragraph" w:styleId="Porat">
    <w:name w:val="footer"/>
    <w:basedOn w:val="prastasis"/>
    <w:link w:val="PoratDiagrama"/>
    <w:rsid w:val="00650D8D"/>
    <w:pPr>
      <w:tabs>
        <w:tab w:val="center" w:pos="4153"/>
        <w:tab w:val="right" w:pos="8306"/>
      </w:tabs>
      <w:spacing w:after="0" w:line="240" w:lineRule="auto"/>
    </w:pPr>
    <w:rPr>
      <w:rFonts w:ascii="Times New Roman" w:eastAsia="Calibri" w:hAnsi="Times New Roman" w:cs="Times New Roman"/>
      <w:lang w:val="lt-LT"/>
    </w:rPr>
  </w:style>
  <w:style w:type="character" w:customStyle="1" w:styleId="PoratDiagrama">
    <w:name w:val="Poraštė Diagrama"/>
    <w:basedOn w:val="Numatytasispastraiposriftas"/>
    <w:link w:val="Porat"/>
    <w:rsid w:val="00650D8D"/>
    <w:rPr>
      <w:rFonts w:ascii="Times New Roman" w:eastAsia="Calibri" w:hAnsi="Times New Roman" w:cs="Times New Roman"/>
      <w:lang w:val="lt-LT"/>
    </w:rPr>
  </w:style>
  <w:style w:type="character" w:styleId="Puslapionumeris">
    <w:name w:val="page number"/>
    <w:rsid w:val="00650D8D"/>
  </w:style>
  <w:style w:type="character" w:styleId="Hipersaitas">
    <w:name w:val="Hyperlink"/>
    <w:rsid w:val="00650D8D"/>
    <w:rPr>
      <w:color w:val="0000FF"/>
      <w:u w:val="single"/>
    </w:rPr>
  </w:style>
  <w:style w:type="paragraph" w:customStyle="1" w:styleId="BTEMEASMCA">
    <w:name w:val="BT EMEA_SMCA"/>
    <w:basedOn w:val="prastasis"/>
    <w:link w:val="BTEMEASMCAChar"/>
    <w:autoRedefine/>
    <w:rsid w:val="00650D8D"/>
    <w:pPr>
      <w:spacing w:after="0" w:line="240" w:lineRule="auto"/>
    </w:pPr>
    <w:rPr>
      <w:rFonts w:ascii="Times New Roman" w:eastAsia="Calibri" w:hAnsi="Times New Roman" w:cs="Times New Roman"/>
      <w:noProof/>
      <w:lang w:val="lt-LT"/>
    </w:rPr>
  </w:style>
  <w:style w:type="paragraph" w:customStyle="1" w:styleId="BTuEMEASMCA">
    <w:name w:val="BT(u) EMEA_SMCA"/>
    <w:basedOn w:val="prastasis"/>
    <w:autoRedefine/>
    <w:rsid w:val="00650D8D"/>
    <w:pPr>
      <w:spacing w:after="0" w:line="240" w:lineRule="auto"/>
    </w:pPr>
    <w:rPr>
      <w:rFonts w:ascii="Times New Roman" w:eastAsia="Calibri" w:hAnsi="Times New Roman" w:cs="Times New Roman"/>
      <w:u w:val="single"/>
      <w:lang w:val="lt-LT"/>
    </w:rPr>
  </w:style>
  <w:style w:type="paragraph" w:customStyle="1" w:styleId="TTEMEASMCA">
    <w:name w:val="TT EMEA_SMCA"/>
    <w:basedOn w:val="Antrat1"/>
    <w:link w:val="TTEMEASMCAChar"/>
    <w:autoRedefine/>
    <w:rsid w:val="00650D8D"/>
    <w:pPr>
      <w:keepNext w:val="0"/>
      <w:tabs>
        <w:tab w:val="left" w:pos="567"/>
      </w:tabs>
      <w:spacing w:before="0" w:after="0" w:line="240" w:lineRule="auto"/>
      <w:ind w:left="567" w:hanging="567"/>
      <w:jc w:val="center"/>
    </w:pPr>
    <w:rPr>
      <w:rFonts w:ascii="Times New Roman" w:eastAsia="Calibri" w:hAnsi="Times New Roman"/>
      <w:caps/>
      <w:kern w:val="0"/>
      <w:sz w:val="22"/>
      <w:szCs w:val="22"/>
      <w:lang w:eastAsia="lt-LT"/>
    </w:rPr>
  </w:style>
  <w:style w:type="character" w:customStyle="1" w:styleId="TTEMEASMCAChar">
    <w:name w:val="TT EMEA_SMCA Char"/>
    <w:link w:val="TTEMEASMCA"/>
    <w:locked/>
    <w:rsid w:val="00650D8D"/>
    <w:rPr>
      <w:rFonts w:ascii="Times New Roman" w:eastAsia="Calibri" w:hAnsi="Times New Roman" w:cs="Times New Roman"/>
      <w:b/>
      <w:bCs/>
      <w:caps/>
      <w:lang w:eastAsia="lt-LT"/>
    </w:rPr>
  </w:style>
  <w:style w:type="paragraph" w:customStyle="1" w:styleId="BTAnIIEMEASMCA">
    <w:name w:val="BT(AnII) EMEA_SMCA"/>
    <w:basedOn w:val="Debesliotekstas"/>
    <w:autoRedefine/>
    <w:rsid w:val="00650D8D"/>
    <w:pPr>
      <w:tabs>
        <w:tab w:val="left" w:pos="1701"/>
      </w:tabs>
      <w:ind w:left="1701" w:hanging="567"/>
    </w:pPr>
    <w:rPr>
      <w:rFonts w:ascii="Times New Roman" w:hAnsi="Times New Roman" w:cs="Times New Roman"/>
      <w:b/>
      <w:bCs/>
      <w:sz w:val="22"/>
      <w:szCs w:val="22"/>
      <w:lang w:val="en-GB" w:eastAsia="lt-LT"/>
    </w:rPr>
  </w:style>
  <w:style w:type="character" w:customStyle="1" w:styleId="BTEMEASMCAChar">
    <w:name w:val="BT EMEA_SMCA Char"/>
    <w:link w:val="BTEMEASMCA"/>
    <w:locked/>
    <w:rsid w:val="00650D8D"/>
    <w:rPr>
      <w:rFonts w:ascii="Times New Roman" w:eastAsia="Calibri" w:hAnsi="Times New Roman" w:cs="Times New Roman"/>
      <w:noProof/>
      <w:lang w:val="lt-LT"/>
    </w:rPr>
  </w:style>
  <w:style w:type="paragraph" w:customStyle="1" w:styleId="PI-1EMEASMCA">
    <w:name w:val="PI-1 EMEA_SMCA"/>
    <w:basedOn w:val="Antrat2"/>
    <w:autoRedefine/>
    <w:rsid w:val="00650D8D"/>
    <w:pPr>
      <w:tabs>
        <w:tab w:val="left" w:pos="567"/>
      </w:tabs>
      <w:spacing w:before="0" w:after="0" w:line="240" w:lineRule="auto"/>
      <w:ind w:left="567" w:hanging="567"/>
    </w:pPr>
    <w:rPr>
      <w:rFonts w:ascii="Times New Roman" w:eastAsia="Calibri" w:hAnsi="Times New Roman"/>
      <w:i w:val="0"/>
      <w:iCs w:val="0"/>
      <w:sz w:val="22"/>
      <w:szCs w:val="22"/>
      <w:lang w:val="lt-LT" w:eastAsia="lt-LT"/>
    </w:rPr>
  </w:style>
  <w:style w:type="paragraph" w:customStyle="1" w:styleId="PI-2EMEASMCA">
    <w:name w:val="PI-2 EMEA_SMCA"/>
    <w:basedOn w:val="Antrat3"/>
    <w:autoRedefine/>
    <w:rsid w:val="00650D8D"/>
    <w:pPr>
      <w:keepLines/>
      <w:tabs>
        <w:tab w:val="left" w:pos="567"/>
      </w:tabs>
      <w:spacing w:before="0" w:after="0" w:line="240" w:lineRule="auto"/>
      <w:ind w:left="567" w:hanging="567"/>
    </w:pPr>
    <w:rPr>
      <w:rFonts w:ascii="Times New Roman" w:eastAsia="Calibri" w:hAnsi="Times New Roman"/>
      <w:kern w:val="28"/>
      <w:sz w:val="22"/>
      <w:szCs w:val="22"/>
      <w:lang w:val="lt-LT"/>
    </w:rPr>
  </w:style>
  <w:style w:type="paragraph" w:styleId="Antrats">
    <w:name w:val="header"/>
    <w:basedOn w:val="prastasis"/>
    <w:link w:val="AntratsDiagrama"/>
    <w:semiHidden/>
    <w:rsid w:val="00650D8D"/>
    <w:pPr>
      <w:tabs>
        <w:tab w:val="center" w:pos="4819"/>
        <w:tab w:val="right" w:pos="9638"/>
      </w:tabs>
      <w:spacing w:after="0" w:line="240" w:lineRule="auto"/>
    </w:pPr>
    <w:rPr>
      <w:rFonts w:ascii="Times New Roman" w:eastAsia="Calibri" w:hAnsi="Times New Roman" w:cs="Times New Roman"/>
      <w:lang w:val="lt-LT"/>
    </w:rPr>
  </w:style>
  <w:style w:type="character" w:customStyle="1" w:styleId="AntratsDiagrama">
    <w:name w:val="Antraštės Diagrama"/>
    <w:basedOn w:val="Numatytasispastraiposriftas"/>
    <w:link w:val="Antrats"/>
    <w:semiHidden/>
    <w:rsid w:val="00650D8D"/>
    <w:rPr>
      <w:rFonts w:ascii="Times New Roman" w:eastAsia="Calibri" w:hAnsi="Times New Roman" w:cs="Times New Roman"/>
      <w:lang w:val="lt-LT"/>
    </w:rPr>
  </w:style>
  <w:style w:type="paragraph" w:customStyle="1" w:styleId="Sraopastraipa1">
    <w:name w:val="Sąrao pastraipa1"/>
    <w:basedOn w:val="prastasis"/>
    <w:rsid w:val="00650D8D"/>
    <w:pPr>
      <w:spacing w:after="0" w:line="240" w:lineRule="auto"/>
      <w:ind w:left="720"/>
    </w:pPr>
    <w:rPr>
      <w:rFonts w:ascii="Times New Roman" w:eastAsia="Calibri" w:hAnsi="Times New Roman" w:cs="Times New Roman"/>
      <w:lang w:val="lt-LT"/>
    </w:rPr>
  </w:style>
  <w:style w:type="paragraph" w:customStyle="1" w:styleId="Sraopastraipa10">
    <w:name w:val="Sąrašo pastraipa1"/>
    <w:basedOn w:val="prastasis"/>
    <w:rsid w:val="00650D8D"/>
    <w:pPr>
      <w:spacing w:after="0" w:line="240" w:lineRule="auto"/>
      <w:ind w:left="720"/>
    </w:pPr>
    <w:rPr>
      <w:rFonts w:ascii="Times New Roman" w:eastAsia="Calibri" w:hAnsi="Times New Roman" w:cs="Times New Roman"/>
      <w:lang w:val="lt-LT"/>
    </w:rPr>
  </w:style>
  <w:style w:type="paragraph" w:styleId="Debesliotekstas">
    <w:name w:val="Balloon Text"/>
    <w:basedOn w:val="prastasis"/>
    <w:link w:val="DebesliotekstasDiagrama"/>
    <w:uiPriority w:val="99"/>
    <w:semiHidden/>
    <w:unhideWhenUsed/>
    <w:rsid w:val="00650D8D"/>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650D8D"/>
    <w:rPr>
      <w:rFonts w:ascii="Tahoma" w:eastAsia="Calibri" w:hAnsi="Tahoma" w:cs="Tahoma"/>
      <w:sz w:val="16"/>
      <w:szCs w:val="16"/>
    </w:rPr>
  </w:style>
  <w:style w:type="paragraph" w:styleId="Sraopastraipa">
    <w:name w:val="List Paragraph"/>
    <w:basedOn w:val="prastasis"/>
    <w:uiPriority w:val="34"/>
    <w:qFormat/>
    <w:rsid w:val="006E13F0"/>
    <w:pPr>
      <w:ind w:left="720"/>
      <w:contextualSpacing/>
    </w:pPr>
  </w:style>
  <w:style w:type="character" w:styleId="Komentaronuoroda">
    <w:name w:val="annotation reference"/>
    <w:basedOn w:val="Numatytasispastraiposriftas"/>
    <w:uiPriority w:val="99"/>
    <w:semiHidden/>
    <w:unhideWhenUsed/>
    <w:rsid w:val="00945666"/>
    <w:rPr>
      <w:sz w:val="16"/>
      <w:szCs w:val="16"/>
    </w:rPr>
  </w:style>
  <w:style w:type="paragraph" w:styleId="Komentarotekstas">
    <w:name w:val="annotation text"/>
    <w:basedOn w:val="prastasis"/>
    <w:link w:val="KomentarotekstasDiagrama"/>
    <w:uiPriority w:val="99"/>
    <w:semiHidden/>
    <w:unhideWhenUsed/>
    <w:rsid w:val="009456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5666"/>
    <w:rPr>
      <w:sz w:val="20"/>
      <w:szCs w:val="20"/>
    </w:rPr>
  </w:style>
  <w:style w:type="paragraph" w:styleId="Komentarotema">
    <w:name w:val="annotation subject"/>
    <w:basedOn w:val="Komentarotekstas"/>
    <w:next w:val="Komentarotekstas"/>
    <w:link w:val="KomentarotemaDiagrama"/>
    <w:uiPriority w:val="99"/>
    <w:semiHidden/>
    <w:unhideWhenUsed/>
    <w:rsid w:val="00945666"/>
    <w:rPr>
      <w:b/>
      <w:bCs/>
    </w:rPr>
  </w:style>
  <w:style w:type="character" w:customStyle="1" w:styleId="KomentarotemaDiagrama">
    <w:name w:val="Komentaro tema Diagrama"/>
    <w:basedOn w:val="KomentarotekstasDiagrama"/>
    <w:link w:val="Komentarotema"/>
    <w:uiPriority w:val="99"/>
    <w:semiHidden/>
    <w:rsid w:val="009456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44614</Words>
  <Characters>25431</Characters>
  <Application>Microsoft Office Word</Application>
  <DocSecurity>8</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Ausrine</dc:creator>
  <cp:lastModifiedBy>Albina Burkauskaitė</cp:lastModifiedBy>
  <cp:revision>3</cp:revision>
  <dcterms:created xsi:type="dcterms:W3CDTF">2015-12-22T06:21:00Z</dcterms:created>
  <dcterms:modified xsi:type="dcterms:W3CDTF">2015-12-22T06:22:00Z</dcterms:modified>
</cp:coreProperties>
</file>