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bookmarkStart w:id="0" w:name="_Toc129243138"/>
      <w:bookmarkStart w:id="1" w:name="_Toc129243263"/>
      <w:r w:rsidRPr="00884EED">
        <w:rPr>
          <w:rFonts w:ascii="Times New Roman" w:eastAsia="Times New Roman" w:hAnsi="Times New Roman" w:cs="Times New Roman"/>
          <w:b/>
        </w:rPr>
        <w:t xml:space="preserve">Pakuotės lapelis: informacija </w:t>
      </w:r>
      <w:bookmarkEnd w:id="0"/>
      <w:bookmarkEnd w:id="1"/>
      <w:r>
        <w:rPr>
          <w:rFonts w:ascii="Times New Roman" w:eastAsia="Times New Roman" w:hAnsi="Times New Roman" w:cs="Times New Roman"/>
          <w:b/>
        </w:rPr>
        <w:t>pacientui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 </w:t>
      </w:r>
      <w:smartTag w:uri="urn:schemas-microsoft-com:office:smarttags" w:element="metricconverter">
        <w:smartTagPr>
          <w:attr w:name="ProductID" w:val="2 g"/>
        </w:smartTagPr>
        <w:r w:rsidRPr="00884EED">
          <w:rPr>
            <w:rFonts w:ascii="Times New Roman" w:eastAsia="Times New Roman" w:hAnsi="Times New Roman" w:cs="Times New Roman"/>
            <w:b/>
          </w:rPr>
          <w:t>2 g</w:t>
        </w:r>
      </w:smartTag>
      <w:r w:rsidRPr="00884EED">
        <w:rPr>
          <w:rFonts w:ascii="Times New Roman" w:eastAsia="Times New Roman" w:hAnsi="Times New Roman" w:cs="Times New Roman"/>
          <w:b/>
        </w:rPr>
        <w:t xml:space="preserve"> milteliai infuziniam tirpalui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Pr="00884EED">
        <w:rPr>
          <w:rFonts w:ascii="Times New Roman" w:eastAsia="Times New Roman" w:hAnsi="Times New Roman" w:cs="Times New Roman"/>
        </w:rPr>
        <w:t>eftriaksonas</w:t>
      </w:r>
      <w:proofErr w:type="spellEnd"/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84EED">
        <w:rPr>
          <w:rFonts w:ascii="Times New Roman" w:eastAsia="Calibri" w:hAnsi="Times New Roman" w:cs="Times New Roman"/>
          <w:b/>
        </w:rPr>
        <w:t>Atidžiai perskaitykite visą šį lapelį, prieš pradėdami vartoti vaistą,</w:t>
      </w:r>
      <w:r w:rsidRPr="00884EED">
        <w:rPr>
          <w:rFonts w:ascii="Times New Roman" w:eastAsia="Calibri" w:hAnsi="Times New Roman" w:cs="Times New Roman"/>
          <w:b/>
          <w:noProof/>
        </w:rPr>
        <w:t xml:space="preserve"> nes jame pateikiama Jums svarbi informacija</w:t>
      </w:r>
      <w:r w:rsidRPr="00884EED">
        <w:rPr>
          <w:rFonts w:ascii="Times New Roman" w:eastAsia="Calibri" w:hAnsi="Times New Roman" w:cs="Times New Roman"/>
          <w:b/>
        </w:rPr>
        <w:t>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84EED">
        <w:rPr>
          <w:rFonts w:ascii="Times New Roman" w:eastAsia="Calibri" w:hAnsi="Times New Roman" w:cs="Times New Roman"/>
          <w:noProof/>
        </w:rPr>
        <w:t>-</w:t>
      </w:r>
      <w:r w:rsidRPr="00884EED">
        <w:rPr>
          <w:rFonts w:ascii="Times New Roman" w:eastAsia="Calibri" w:hAnsi="Times New Roman" w:cs="Times New Roman"/>
          <w:noProof/>
        </w:rPr>
        <w:tab/>
        <w:t>Neišmeskite šio lapelio, nes vėl gali prireikti jį perskaityti.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84EED">
        <w:rPr>
          <w:rFonts w:ascii="Times New Roman" w:eastAsia="Calibri" w:hAnsi="Times New Roman" w:cs="Times New Roman"/>
          <w:noProof/>
        </w:rPr>
        <w:t>-</w:t>
      </w:r>
      <w:r w:rsidRPr="00884EED">
        <w:rPr>
          <w:rFonts w:ascii="Times New Roman" w:eastAsia="Calibri" w:hAnsi="Times New Roman" w:cs="Times New Roman"/>
          <w:noProof/>
        </w:rPr>
        <w:tab/>
        <w:t>Jeigu kiltų daugiau klausimų, kreipkitės į gydytoją, vaistininką arba slaugytoją.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84EED">
        <w:rPr>
          <w:rFonts w:ascii="Times New Roman" w:eastAsia="Calibri" w:hAnsi="Times New Roman" w:cs="Times New Roman"/>
          <w:noProof/>
        </w:rPr>
        <w:t>-</w:t>
      </w:r>
      <w:r w:rsidRPr="00884EED">
        <w:rPr>
          <w:rFonts w:ascii="Times New Roman" w:eastAsia="Calibri" w:hAnsi="Times New Roman" w:cs="Times New Roman"/>
          <w:noProof/>
        </w:rPr>
        <w:tab/>
        <w:t>Šis vaistas skirtas tik Jums, todėl kitiems žmonėms jo duoti negalima. Vaistas gali jiems pakenkti (net tiems, kurių ligos požymiai yra tokie patys kaip Jūsų).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84EED">
        <w:rPr>
          <w:rFonts w:ascii="Times New Roman" w:eastAsia="Calibri" w:hAnsi="Times New Roman" w:cs="Times New Roman"/>
          <w:noProof/>
        </w:rPr>
        <w:t>-</w:t>
      </w:r>
      <w:r w:rsidRPr="00884EED">
        <w:rPr>
          <w:rFonts w:ascii="Times New Roman" w:eastAsia="Calibri" w:hAnsi="Times New Roman" w:cs="Times New Roman"/>
          <w:noProof/>
        </w:rPr>
        <w:tab/>
        <w:t>Jeigu pasireiškė šalutinis poveikis (net jei šiame lapelyje nenurodytas), kreipkitės į gydytoją</w:t>
      </w:r>
      <w:r>
        <w:rPr>
          <w:rFonts w:ascii="Times New Roman" w:eastAsia="Calibri" w:hAnsi="Times New Roman" w:cs="Times New Roman"/>
          <w:noProof/>
        </w:rPr>
        <w:t>,</w:t>
      </w:r>
      <w:r w:rsidRPr="00884EED">
        <w:rPr>
          <w:rFonts w:ascii="Times New Roman" w:eastAsia="Calibri" w:hAnsi="Times New Roman" w:cs="Times New Roman"/>
          <w:noProof/>
        </w:rPr>
        <w:t xml:space="preserve"> vaistininką</w:t>
      </w:r>
      <w:r>
        <w:rPr>
          <w:rFonts w:ascii="Times New Roman" w:eastAsia="Calibri" w:hAnsi="Times New Roman" w:cs="Times New Roman"/>
          <w:noProof/>
        </w:rPr>
        <w:t xml:space="preserve"> arba slaugytoją</w:t>
      </w:r>
      <w:r w:rsidRPr="00884EED">
        <w:rPr>
          <w:rFonts w:ascii="Times New Roman" w:eastAsia="Calibri" w:hAnsi="Times New Roman" w:cs="Times New Roman"/>
          <w:noProof/>
        </w:rPr>
        <w:t>. Žr. 4 skyrių.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Default="00DB6982" w:rsidP="00DB698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84EED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1.</w:t>
      </w:r>
      <w:r w:rsidRPr="00884EED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</w:t>
      </w:r>
      <w:r w:rsidRPr="001B02B6"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ir kam jis vartojamas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2.</w:t>
      </w:r>
      <w:r w:rsidRPr="00884EED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</w:t>
      </w:r>
    </w:p>
    <w:p w:rsidR="00DB6982" w:rsidRPr="00884EED" w:rsidRDefault="00DB6982" w:rsidP="00DB6982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3.</w:t>
      </w:r>
      <w:r w:rsidRPr="00884EED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</w:t>
      </w:r>
    </w:p>
    <w:p w:rsidR="00DB6982" w:rsidRPr="00884EED" w:rsidRDefault="00DB6982" w:rsidP="00DB6982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4.</w:t>
      </w:r>
      <w:r w:rsidRPr="00884EED">
        <w:rPr>
          <w:rFonts w:ascii="Times New Roman" w:eastAsia="Times New Roman" w:hAnsi="Times New Roman" w:cs="Times New Roman"/>
        </w:rPr>
        <w:tab/>
        <w:t>Galimas šalutinis poveikis</w:t>
      </w:r>
    </w:p>
    <w:p w:rsidR="00DB6982" w:rsidRPr="00884EED" w:rsidRDefault="00DB6982" w:rsidP="00DB6982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5.</w:t>
      </w:r>
      <w:r w:rsidRPr="00884EED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</w:t>
      </w:r>
    </w:p>
    <w:p w:rsidR="00DB6982" w:rsidRPr="00884EED" w:rsidRDefault="00DB6982" w:rsidP="00DB6982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6.</w:t>
      </w:r>
      <w:r w:rsidRPr="00884EED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884EED">
        <w:rPr>
          <w:rFonts w:ascii="Times New Roman" w:eastAsia="Times New Roman" w:hAnsi="Times New Roman" w:cs="Times New Roman"/>
          <w:b/>
        </w:rPr>
        <w:t>1.</w:t>
      </w:r>
      <w:r w:rsidRPr="00884EED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 ir kam jis vartojamas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 yra antibiotikas, skiriamas suaugusiesiems ir vaikams (įskaitant naujagimius). Jis veikia naikindamas infekciją sukeliančias bakterijas. Jis priklauso antibiotikų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 xml:space="preserve">grupei, kuri vadinama </w:t>
      </w:r>
      <w:proofErr w:type="spellStart"/>
      <w:r w:rsidRPr="00884EED">
        <w:rPr>
          <w:rFonts w:ascii="Times New Roman" w:eastAsia="Times New Roman" w:hAnsi="Times New Roman" w:cs="Times New Roman"/>
        </w:rPr>
        <w:t>cefalosporinais</w:t>
      </w:r>
      <w:proofErr w:type="spellEnd"/>
      <w:r w:rsidRPr="00884EED"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 vartojamas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gydymui</w:t>
      </w:r>
      <w:r>
        <w:rPr>
          <w:rFonts w:ascii="Times New Roman" w:eastAsia="Times New Roman" w:hAnsi="Times New Roman" w:cs="Times New Roman"/>
        </w:rPr>
        <w:t>,</w:t>
      </w:r>
      <w:r w:rsidRPr="00884EED">
        <w:rPr>
          <w:rFonts w:ascii="Times New Roman" w:eastAsia="Times New Roman" w:hAnsi="Times New Roman" w:cs="Times New Roman"/>
        </w:rPr>
        <w:t xml:space="preserve"> jei yra:</w:t>
      </w:r>
    </w:p>
    <w:p w:rsidR="00DB6982" w:rsidRPr="00884EED" w:rsidRDefault="00DB6982" w:rsidP="00DB6982">
      <w:pPr>
        <w:numPr>
          <w:ilvl w:val="1"/>
          <w:numId w:val="24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smegenų infekcija (meningitas);</w:t>
      </w:r>
    </w:p>
    <w:p w:rsidR="00DB6982" w:rsidRPr="00884EED" w:rsidRDefault="00DB6982" w:rsidP="00DB6982">
      <w:pPr>
        <w:numPr>
          <w:ilvl w:val="1"/>
          <w:numId w:val="24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plaučių infekcija;</w:t>
      </w:r>
    </w:p>
    <w:p w:rsidR="00DB6982" w:rsidRPr="00884EED" w:rsidRDefault="00DB6982" w:rsidP="00DB6982">
      <w:pPr>
        <w:numPr>
          <w:ilvl w:val="1"/>
          <w:numId w:val="24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vidurinės ausies infekcija;</w:t>
      </w:r>
    </w:p>
    <w:p w:rsidR="00DB6982" w:rsidRPr="00884EED" w:rsidRDefault="00DB6982" w:rsidP="00DB6982">
      <w:pPr>
        <w:numPr>
          <w:ilvl w:val="1"/>
          <w:numId w:val="24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pilvo ertmės ir pilvo sienos infekcija (peritonitas);</w:t>
      </w:r>
    </w:p>
    <w:p w:rsidR="00DB6982" w:rsidRPr="00884EED" w:rsidRDefault="00DB6982" w:rsidP="00DB6982">
      <w:pPr>
        <w:numPr>
          <w:ilvl w:val="1"/>
          <w:numId w:val="24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šlapimo takų ir inkstų infekcija;</w:t>
      </w:r>
    </w:p>
    <w:p w:rsidR="00DB6982" w:rsidRPr="00884EED" w:rsidRDefault="00DB6982" w:rsidP="00DB6982">
      <w:pPr>
        <w:numPr>
          <w:ilvl w:val="1"/>
          <w:numId w:val="24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kaulų ir sąnarių infekcija;</w:t>
      </w:r>
    </w:p>
    <w:p w:rsidR="00DB6982" w:rsidRPr="00884EED" w:rsidRDefault="00DB6982" w:rsidP="00DB6982">
      <w:pPr>
        <w:numPr>
          <w:ilvl w:val="1"/>
          <w:numId w:val="24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odos ir minkštųjų audinių infekcija;</w:t>
      </w:r>
    </w:p>
    <w:p w:rsidR="00DB6982" w:rsidRPr="00884EED" w:rsidRDefault="00DB6982" w:rsidP="00DB6982">
      <w:pPr>
        <w:numPr>
          <w:ilvl w:val="1"/>
          <w:numId w:val="24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kraujo infekcija;</w:t>
      </w:r>
    </w:p>
    <w:p w:rsidR="00DB6982" w:rsidRPr="00884EED" w:rsidRDefault="00DB6982" w:rsidP="00DB6982">
      <w:pPr>
        <w:numPr>
          <w:ilvl w:val="1"/>
          <w:numId w:val="24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širdies infekcija.</w:t>
      </w:r>
    </w:p>
    <w:p w:rsidR="00DB6982" w:rsidRPr="00884EED" w:rsidRDefault="00DB6982" w:rsidP="00DB6982">
      <w:pPr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Vaistas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gali būti skiriamas:</w:t>
      </w:r>
    </w:p>
    <w:p w:rsidR="00DB6982" w:rsidRPr="00884EED" w:rsidRDefault="00DB6982" w:rsidP="00DB6982">
      <w:pPr>
        <w:numPr>
          <w:ilvl w:val="1"/>
          <w:numId w:val="2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gydyti tam tikras lytiškai plintančias infekcijas (gonorėją ir sifilį);</w:t>
      </w:r>
    </w:p>
    <w:p w:rsidR="00DB6982" w:rsidRPr="00884EED" w:rsidRDefault="00DB6982" w:rsidP="00DB6982">
      <w:pPr>
        <w:numPr>
          <w:ilvl w:val="1"/>
          <w:numId w:val="2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gydyti pacientus, kuriems yra sumažėjęs baltųjų kraujo ląstelių skaičius (</w:t>
      </w:r>
      <w:proofErr w:type="spellStart"/>
      <w:r w:rsidRPr="00884EED">
        <w:rPr>
          <w:rFonts w:ascii="Times New Roman" w:eastAsia="Times New Roman" w:hAnsi="Times New Roman" w:cs="Times New Roman"/>
        </w:rPr>
        <w:t>neutropenija</w:t>
      </w:r>
      <w:proofErr w:type="spellEnd"/>
      <w:r w:rsidRPr="00884EED">
        <w:rPr>
          <w:rFonts w:ascii="Times New Roman" w:eastAsia="Times New Roman" w:hAnsi="Times New Roman" w:cs="Times New Roman"/>
        </w:rPr>
        <w:t>) ir kurie karščiuoja dėl bakterinės infekcijos;</w:t>
      </w:r>
    </w:p>
    <w:p w:rsidR="00DB6982" w:rsidRPr="00884EED" w:rsidRDefault="00DB6982" w:rsidP="00DB6982">
      <w:pPr>
        <w:numPr>
          <w:ilvl w:val="1"/>
          <w:numId w:val="2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gydyti krūtinės ląstos infekcijas lėtiniu bronchitu sergantiems suaugusies</w:t>
      </w:r>
      <w:r>
        <w:rPr>
          <w:rFonts w:ascii="Times New Roman" w:eastAsia="Times New Roman" w:hAnsi="Times New Roman" w:cs="Times New Roman"/>
        </w:rPr>
        <w:t>ie</w:t>
      </w:r>
      <w:r w:rsidRPr="00884EED">
        <w:rPr>
          <w:rFonts w:ascii="Times New Roman" w:eastAsia="Times New Roman" w:hAnsi="Times New Roman" w:cs="Times New Roman"/>
        </w:rPr>
        <w:t>ms;</w:t>
      </w:r>
    </w:p>
    <w:p w:rsidR="00DB6982" w:rsidRPr="00884EED" w:rsidRDefault="00DB6982" w:rsidP="00DB6982">
      <w:pPr>
        <w:numPr>
          <w:ilvl w:val="1"/>
          <w:numId w:val="2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gydyti </w:t>
      </w:r>
      <w:proofErr w:type="spellStart"/>
      <w:r w:rsidRPr="00884EED">
        <w:rPr>
          <w:rFonts w:ascii="Times New Roman" w:eastAsia="Times New Roman" w:hAnsi="Times New Roman" w:cs="Times New Roman"/>
        </w:rPr>
        <w:t>Laimo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ligą (sukeltą erkės įkandimo) suaugusies</w:t>
      </w:r>
      <w:r>
        <w:rPr>
          <w:rFonts w:ascii="Times New Roman" w:eastAsia="Times New Roman" w:hAnsi="Times New Roman" w:cs="Times New Roman"/>
        </w:rPr>
        <w:t>ie</w:t>
      </w:r>
      <w:r w:rsidRPr="00884EED">
        <w:rPr>
          <w:rFonts w:ascii="Times New Roman" w:eastAsia="Times New Roman" w:hAnsi="Times New Roman" w:cs="Times New Roman"/>
        </w:rPr>
        <w:t>ms ir vaikams, įskaitant naujagimius nuo 15 parų;</w:t>
      </w:r>
    </w:p>
    <w:p w:rsidR="00DB6982" w:rsidRPr="00884EED" w:rsidRDefault="00DB6982" w:rsidP="00DB6982">
      <w:pPr>
        <w:numPr>
          <w:ilvl w:val="1"/>
          <w:numId w:val="2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siekiant išvengti infekcijos operacijos metu.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884EED">
        <w:rPr>
          <w:rFonts w:ascii="Times New Roman" w:eastAsia="Times New Roman" w:hAnsi="Times New Roman" w:cs="Times New Roman"/>
          <w:b/>
        </w:rPr>
        <w:t>2.</w:t>
      </w:r>
      <w:r w:rsidRPr="00884EED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</w:rPr>
      </w:pP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 </w:t>
      </w:r>
      <w:r w:rsidRPr="00884EED">
        <w:rPr>
          <w:rFonts w:ascii="Times New Roman" w:eastAsia="Times New Roman" w:hAnsi="Times New Roman" w:cs="Times New Roman"/>
          <w:b/>
          <w:bCs/>
        </w:rPr>
        <w:t>vartoti negalima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DB6982" w:rsidRPr="00884EED" w:rsidRDefault="00DB6982" w:rsidP="00DB698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 w:rsidRPr="00884EED">
        <w:rPr>
          <w:rFonts w:ascii="Times New Roman" w:eastAsia="Times New Roman" w:hAnsi="Times New Roman" w:cs="Times New Roman"/>
        </w:rPr>
        <w:t xml:space="preserve">eigu yra alergija </w:t>
      </w:r>
      <w:proofErr w:type="spellStart"/>
      <w:r w:rsidRPr="00884EED">
        <w:rPr>
          <w:rFonts w:ascii="Times New Roman" w:eastAsia="Times New Roman" w:hAnsi="Times New Roman" w:cs="Times New Roman"/>
        </w:rPr>
        <w:t>ceftriaksonui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arba bet kuriai pagalbinei šio vaisto medžiagai (jos išvardytos 6 skyriuje)</w:t>
      </w:r>
      <w:r>
        <w:rPr>
          <w:rFonts w:ascii="Times New Roman" w:eastAsia="Times New Roman" w:hAnsi="Times New Roman" w:cs="Times New Roman"/>
        </w:rPr>
        <w:t>;</w:t>
      </w:r>
    </w:p>
    <w:p w:rsidR="00DB6982" w:rsidRPr="00884EED" w:rsidRDefault="00DB6982" w:rsidP="00DB698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Jums buvo pasireiškusi sunki arba ūmi alerginė reakcija į antibiotikus</w:t>
      </w:r>
      <w:r w:rsidRPr="00884EED"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 xml:space="preserve">(pvz., </w:t>
      </w:r>
      <w:proofErr w:type="spellStart"/>
      <w:r w:rsidRPr="00884EED">
        <w:rPr>
          <w:rFonts w:ascii="Times New Roman" w:eastAsia="Times New Roman" w:hAnsi="Times New Roman" w:cs="Times New Roman"/>
        </w:rPr>
        <w:t>cefalosporin</w:t>
      </w:r>
      <w:r>
        <w:rPr>
          <w:rFonts w:ascii="Times New Roman" w:eastAsia="Times New Roman" w:hAnsi="Times New Roman" w:cs="Times New Roman"/>
        </w:rPr>
        <w:t>us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4EED">
        <w:rPr>
          <w:rFonts w:ascii="Times New Roman" w:eastAsia="Times New Roman" w:hAnsi="Times New Roman" w:cs="Times New Roman"/>
        </w:rPr>
        <w:t>karbapenem</w:t>
      </w:r>
      <w:r>
        <w:rPr>
          <w:rFonts w:ascii="Times New Roman" w:eastAsia="Times New Roman" w:hAnsi="Times New Roman" w:cs="Times New Roman"/>
        </w:rPr>
        <w:t>us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884EED">
        <w:rPr>
          <w:rFonts w:ascii="Times New Roman" w:eastAsia="Times New Roman" w:hAnsi="Times New Roman" w:cs="Times New Roman"/>
        </w:rPr>
        <w:t>monobaktam</w:t>
      </w:r>
      <w:r>
        <w:rPr>
          <w:rFonts w:ascii="Times New Roman" w:eastAsia="Times New Roman" w:hAnsi="Times New Roman" w:cs="Times New Roman"/>
        </w:rPr>
        <w:t>us</w:t>
      </w:r>
      <w:proofErr w:type="spellEnd"/>
      <w:r w:rsidRPr="00884EED">
        <w:rPr>
          <w:rFonts w:ascii="Times New Roman" w:eastAsia="Times New Roman" w:hAnsi="Times New Roman" w:cs="Times New Roman"/>
        </w:rPr>
        <w:t>). Požymiai: ūmus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 xml:space="preserve">gerklės ar veido </w:t>
      </w:r>
      <w:r>
        <w:rPr>
          <w:rFonts w:ascii="Times New Roman" w:eastAsia="Times New Roman" w:hAnsi="Times New Roman" w:cs="Times New Roman"/>
        </w:rPr>
        <w:t>pabr</w:t>
      </w:r>
      <w:r w:rsidRPr="00884EE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k</w:t>
      </w:r>
      <w:r w:rsidRPr="00884EED">
        <w:rPr>
          <w:rFonts w:ascii="Times New Roman" w:eastAsia="Times New Roman" w:hAnsi="Times New Roman" w:cs="Times New Roman"/>
        </w:rPr>
        <w:t>imas, dėl kurio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 xml:space="preserve">gali </w:t>
      </w:r>
      <w:r w:rsidRPr="00884EED">
        <w:rPr>
          <w:rFonts w:ascii="Times New Roman" w:eastAsia="Times New Roman" w:hAnsi="Times New Roman" w:cs="Times New Roman"/>
        </w:rPr>
        <w:lastRenderedPageBreak/>
        <w:t xml:space="preserve">būti sunku kvėpuoti ar ryti, ūmus rankų, pėdų ar kulkšnių </w:t>
      </w:r>
      <w:r>
        <w:rPr>
          <w:rFonts w:ascii="Times New Roman" w:eastAsia="Times New Roman" w:hAnsi="Times New Roman" w:cs="Times New Roman"/>
        </w:rPr>
        <w:t>pabr</w:t>
      </w:r>
      <w:r w:rsidRPr="00884EE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k</w:t>
      </w:r>
      <w:r w:rsidRPr="00884EED">
        <w:rPr>
          <w:rFonts w:ascii="Times New Roman" w:eastAsia="Times New Roman" w:hAnsi="Times New Roman" w:cs="Times New Roman"/>
        </w:rPr>
        <w:t>imas ir ūmus,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 xml:space="preserve">greitai plintantis </w:t>
      </w:r>
      <w:r>
        <w:rPr>
          <w:rFonts w:ascii="Times New Roman" w:eastAsia="Times New Roman" w:hAnsi="Times New Roman" w:cs="Times New Roman"/>
        </w:rPr>
        <w:t>iš</w:t>
      </w:r>
      <w:r w:rsidRPr="00884EED">
        <w:rPr>
          <w:rFonts w:ascii="Times New Roman" w:eastAsia="Times New Roman" w:hAnsi="Times New Roman" w:cs="Times New Roman"/>
        </w:rPr>
        <w:t>bėrimas</w:t>
      </w:r>
      <w:r>
        <w:rPr>
          <w:rFonts w:ascii="Times New Roman" w:eastAsia="Times New Roman" w:hAnsi="Times New Roman" w:cs="Times New Roman"/>
        </w:rPr>
        <w:t>;</w:t>
      </w:r>
    </w:p>
    <w:p w:rsidR="00DB6982" w:rsidRPr="00884EED" w:rsidRDefault="00DB6982" w:rsidP="00DB6982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Pr="00884EED">
        <w:rPr>
          <w:rFonts w:ascii="Times New Roman" w:eastAsia="Times New Roman" w:hAnsi="Times New Roman" w:cs="Times New Roman"/>
        </w:rPr>
        <w:t xml:space="preserve">sate alergiškas </w:t>
      </w:r>
      <w:proofErr w:type="spellStart"/>
      <w:r w:rsidRPr="00884EED">
        <w:rPr>
          <w:rFonts w:ascii="Times New Roman" w:eastAsia="Times New Roman" w:hAnsi="Times New Roman" w:cs="Times New Roman"/>
        </w:rPr>
        <w:t>lidokainui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 Jums bus leidžiamas į raumenis.</w:t>
      </w:r>
    </w:p>
    <w:p w:rsidR="00DB6982" w:rsidRPr="00884EED" w:rsidRDefault="00DB6982" w:rsidP="00DB698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1B02B6">
        <w:rPr>
          <w:rFonts w:ascii="Times New Roman" w:eastAsia="Times New Roman" w:hAnsi="Times New Roman" w:cs="Times New Roman"/>
        </w:rPr>
        <w:t>Ceftriaxone</w:t>
      </w:r>
      <w:proofErr w:type="spellEnd"/>
      <w:r w:rsidRPr="001B02B6">
        <w:rPr>
          <w:rFonts w:ascii="Times New Roman" w:eastAsia="Times New Roman" w:hAnsi="Times New Roman" w:cs="Times New Roman"/>
        </w:rPr>
        <w:t xml:space="preserve"> Kabi </w:t>
      </w:r>
      <w:r w:rsidRPr="001B02B6">
        <w:rPr>
          <w:rFonts w:ascii="Times New Roman" w:eastAsia="Times New Roman" w:hAnsi="Times New Roman" w:cs="Times New Roman"/>
          <w:bCs/>
        </w:rPr>
        <w:t>vartoti naujagimiams draudžiama</w:t>
      </w:r>
      <w:r>
        <w:rPr>
          <w:rFonts w:ascii="Times New Roman" w:eastAsia="Times New Roman" w:hAnsi="Times New Roman" w:cs="Times New Roman"/>
          <w:bCs/>
        </w:rPr>
        <w:t>, jeigu</w:t>
      </w:r>
      <w:r w:rsidRPr="001B02B6">
        <w:rPr>
          <w:rFonts w:ascii="Times New Roman" w:eastAsia="Times New Roman" w:hAnsi="Times New Roman" w:cs="Times New Roman"/>
          <w:bCs/>
        </w:rPr>
        <w:t>:</w:t>
      </w:r>
    </w:p>
    <w:p w:rsidR="00DB6982" w:rsidRPr="00884EED" w:rsidRDefault="00DB6982" w:rsidP="00DB698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naujagimis neišnešiotas;</w:t>
      </w:r>
    </w:p>
    <w:p w:rsidR="00DB6982" w:rsidRPr="00884EED" w:rsidRDefault="00DB6982" w:rsidP="00DB698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naujagimiui (iki 28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>parų) yra tam tikrų kraujo sistemos sutrikimų ar gelta (pageltusi oda ar akių odena (baltymas)</w:t>
      </w:r>
      <w:r>
        <w:rPr>
          <w:rFonts w:ascii="Times New Roman" w:eastAsia="Times New Roman" w:hAnsi="Times New Roman" w:cs="Times New Roman"/>
        </w:rPr>
        <w:t>)</w:t>
      </w:r>
      <w:r w:rsidRPr="00884EE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 xml:space="preserve">arba jam į veną bus </w:t>
      </w:r>
      <w:r>
        <w:rPr>
          <w:rFonts w:ascii="Times New Roman" w:eastAsia="Times New Roman" w:hAnsi="Times New Roman" w:cs="Times New Roman"/>
        </w:rPr>
        <w:t>le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dž</w:t>
      </w:r>
      <w:r w:rsidRPr="00884EED">
        <w:rPr>
          <w:rFonts w:ascii="Times New Roman" w:eastAsia="Times New Roman" w:hAnsi="Times New Roman" w:cs="Times New Roman"/>
        </w:rPr>
        <w:t>iama kalcio turin</w:t>
      </w:r>
      <w:r>
        <w:rPr>
          <w:rFonts w:ascii="Times New Roman" w:eastAsia="Times New Roman" w:hAnsi="Times New Roman" w:cs="Times New Roman"/>
        </w:rPr>
        <w:t>č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o</w:t>
      </w:r>
      <w:r w:rsidRPr="00884E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vaisto</w:t>
      </w:r>
      <w:r w:rsidRPr="00884EED"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884EED">
        <w:rPr>
          <w:rFonts w:ascii="Times New Roman" w:eastAsia="Times New Roman" w:hAnsi="Times New Roman" w:cs="Times New Roman"/>
          <w:b/>
          <w:bCs/>
          <w:lang w:eastAsia="lt-LT"/>
        </w:rPr>
        <w:t>Įspėjimai ir atsargumo priemonės</w:t>
      </w:r>
    </w:p>
    <w:p w:rsidR="00DB6982" w:rsidRPr="00884EED" w:rsidRDefault="00DB6982" w:rsidP="00DB698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Pasitarkite su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gydytoju, vaistininku arba slaugytoj</w:t>
      </w:r>
      <w:r>
        <w:rPr>
          <w:rFonts w:ascii="Times New Roman" w:eastAsia="Times New Roman" w:hAnsi="Times New Roman" w:cs="Times New Roman"/>
        </w:rPr>
        <w:t>u</w:t>
      </w:r>
      <w:r w:rsidRPr="00884EED">
        <w:rPr>
          <w:rFonts w:ascii="Times New Roman" w:eastAsia="Times New Roman" w:hAnsi="Times New Roman" w:cs="Times New Roman"/>
        </w:rPr>
        <w:t xml:space="preserve">, prieš pradėdami vartoti </w:t>
      </w: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Kabi, jeigu:</w:t>
      </w:r>
    </w:p>
    <w:p w:rsidR="00DB6982" w:rsidRPr="00884EED" w:rsidRDefault="00DB6982" w:rsidP="00DB698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su injekcija ar infuzija Jums neseniai buvo su</w:t>
      </w:r>
      <w:r>
        <w:rPr>
          <w:rFonts w:ascii="Times New Roman" w:eastAsia="Times New Roman" w:hAnsi="Times New Roman" w:cs="Times New Roman"/>
        </w:rPr>
        <w:t>le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884EED">
        <w:rPr>
          <w:rFonts w:ascii="Times New Roman" w:eastAsia="Times New Roman" w:hAnsi="Times New Roman" w:cs="Times New Roman"/>
        </w:rPr>
        <w:t xml:space="preserve">ta arba ketinama </w:t>
      </w:r>
      <w:r>
        <w:rPr>
          <w:rFonts w:ascii="Times New Roman" w:eastAsia="Times New Roman" w:hAnsi="Times New Roman" w:cs="Times New Roman"/>
        </w:rPr>
        <w:t>le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884EED">
        <w:rPr>
          <w:rFonts w:ascii="Times New Roman" w:eastAsia="Times New Roman" w:hAnsi="Times New Roman" w:cs="Times New Roman"/>
        </w:rPr>
        <w:t>ti kalcio</w:t>
      </w:r>
      <w:r>
        <w:rPr>
          <w:rFonts w:ascii="Times New Roman" w:eastAsia="Times New Roman" w:hAnsi="Times New Roman" w:cs="Times New Roman"/>
        </w:rPr>
        <w:t xml:space="preserve"> turinčių vaistų</w:t>
      </w:r>
      <w:r w:rsidRPr="00884EED">
        <w:rPr>
          <w:rFonts w:ascii="Times New Roman" w:eastAsia="Times New Roman" w:hAnsi="Times New Roman" w:cs="Times New Roman"/>
        </w:rPr>
        <w:t>;</w:t>
      </w:r>
    </w:p>
    <w:p w:rsidR="00DB6982" w:rsidRPr="00884EED" w:rsidRDefault="00DB6982" w:rsidP="00DB698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neseniai po antibiotikų vartojimo viduriavote</w:t>
      </w:r>
      <w:r>
        <w:rPr>
          <w:rFonts w:ascii="Times New Roman" w:eastAsia="Times New Roman" w:hAnsi="Times New Roman" w:cs="Times New Roman"/>
        </w:rPr>
        <w:t>,</w:t>
      </w:r>
      <w:r w:rsidRPr="00884EED">
        <w:rPr>
          <w:rFonts w:ascii="Times New Roman" w:eastAsia="Times New Roman" w:hAnsi="Times New Roman" w:cs="Times New Roman"/>
        </w:rPr>
        <w:t xml:space="preserve"> Jums yra buvę </w:t>
      </w:r>
      <w:r>
        <w:rPr>
          <w:rFonts w:ascii="Times New Roman" w:eastAsia="Times New Roman" w:hAnsi="Times New Roman" w:cs="Times New Roman"/>
        </w:rPr>
        <w:t>sut</w:t>
      </w:r>
      <w:r w:rsidRPr="00884EED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iki</w:t>
      </w:r>
      <w:r w:rsidRPr="00884EED">
        <w:rPr>
          <w:rFonts w:ascii="Times New Roman" w:eastAsia="Times New Roman" w:hAnsi="Times New Roman" w:cs="Times New Roman"/>
        </w:rPr>
        <w:t>mų, susijusių su žarnynu (ypač jei buvo pasireiškęs kolitas, t.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>y. žarn</w:t>
      </w:r>
      <w:r>
        <w:rPr>
          <w:rFonts w:ascii="Times New Roman" w:eastAsia="Times New Roman" w:hAnsi="Times New Roman" w:cs="Times New Roman"/>
        </w:rPr>
        <w:t>yn</w:t>
      </w:r>
      <w:r w:rsidRPr="00884EED">
        <w:rPr>
          <w:rFonts w:ascii="Times New Roman" w:eastAsia="Times New Roman" w:hAnsi="Times New Roman" w:cs="Times New Roman"/>
        </w:rPr>
        <w:t>o uždegimas);</w:t>
      </w:r>
    </w:p>
    <w:p w:rsidR="00DB6982" w:rsidRPr="00884EED" w:rsidRDefault="00DB6982" w:rsidP="00DB698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turite kepenų ar inkstų veiklos sutrikimų</w:t>
      </w:r>
      <w:r>
        <w:rPr>
          <w:rFonts w:ascii="Times New Roman" w:eastAsia="Times New Roman" w:hAnsi="Times New Roman" w:cs="Times New Roman"/>
        </w:rPr>
        <w:t xml:space="preserve"> </w:t>
      </w:r>
      <w:r w:rsidRPr="00FC02BB">
        <w:rPr>
          <w:rFonts w:ascii="Times New Roman" w:eastAsia="Times New Roman" w:hAnsi="Times New Roman" w:cs="Times New Roman"/>
        </w:rPr>
        <w:t>(žr. 4 skyrių)</w:t>
      </w:r>
      <w:r w:rsidRPr="00884EED">
        <w:rPr>
          <w:rFonts w:ascii="Times New Roman" w:eastAsia="Times New Roman" w:hAnsi="Times New Roman" w:cs="Times New Roman"/>
        </w:rPr>
        <w:t>;</w:t>
      </w:r>
    </w:p>
    <w:p w:rsidR="00DB6982" w:rsidRPr="00884EED" w:rsidRDefault="00DB6982" w:rsidP="00DB698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Jūsų tulžies pūslėje ar inkstuose yra akmenų;</w:t>
      </w:r>
    </w:p>
    <w:p w:rsidR="00DB6982" w:rsidRPr="00884EED" w:rsidRDefault="00DB6982" w:rsidP="00DB6982">
      <w:pPr>
        <w:numPr>
          <w:ilvl w:val="0"/>
          <w:numId w:val="28"/>
        </w:numPr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sergate kitomis ligomis, pvz., hemolizine anemija (raudonųjų kraujo kūnelių sumažėjimas, dėl k</w:t>
      </w:r>
      <w:r>
        <w:rPr>
          <w:rFonts w:ascii="Times New Roman" w:eastAsia="Times New Roman" w:hAnsi="Times New Roman" w:cs="Times New Roman"/>
        </w:rPr>
        <w:t>uri</w:t>
      </w:r>
      <w:r w:rsidRPr="00884EED">
        <w:rPr>
          <w:rFonts w:ascii="Times New Roman" w:eastAsia="Times New Roman" w:hAnsi="Times New Roman" w:cs="Times New Roman"/>
        </w:rPr>
        <w:t>o Jūsų oda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gali šiek tiek pagelsti, atsirasti silpnumas ar dusulys);</w:t>
      </w:r>
    </w:p>
    <w:p w:rsidR="00DB6982" w:rsidRDefault="00DB6982" w:rsidP="00DB698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laikotės mažo natrio kiekio dietos</w:t>
      </w:r>
      <w:r>
        <w:rPr>
          <w:rFonts w:ascii="Times New Roman" w:eastAsia="Times New Roman" w:hAnsi="Times New Roman" w:cs="Times New Roman"/>
        </w:rPr>
        <w:t>;</w:t>
      </w:r>
    </w:p>
    <w:p w:rsidR="00DB6982" w:rsidRPr="00884EED" w:rsidRDefault="00DB6982" w:rsidP="00DB698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Jums pasireiškia ar anksčiau yra pasireiškę kurių nors iš šių simptomų kombinacija: išbėrimas, paraudusi oda, pūslės ant lūpų, akių ar burnos, odos lupimasis, didelė kūno temperatūra, į gripą panašūs simptomai, padidėjęs kepenų fermentų aktyvumas, kurį rodo kraujo tyrimai, tam tikros rūšies baltųjų kraujo ląstelių kiekio padidėjimas (</w:t>
      </w:r>
      <w:proofErr w:type="spellStart"/>
      <w:r>
        <w:rPr>
          <w:rFonts w:ascii="Times New Roman" w:eastAsia="Times New Roman" w:hAnsi="Times New Roman" w:cs="Times New Roman"/>
        </w:rPr>
        <w:t>eozinofilija</w:t>
      </w:r>
      <w:proofErr w:type="spellEnd"/>
      <w:r>
        <w:rPr>
          <w:rFonts w:ascii="Times New Roman" w:eastAsia="Times New Roman" w:hAnsi="Times New Roman" w:cs="Times New Roman"/>
        </w:rPr>
        <w:t>) ir padidėję limfmazgiai (tai sunkų odos reakcijų požymiai, taip pat žr. 4 skyrių „Galimas šalutinis poveikis“)</w:t>
      </w:r>
      <w:r w:rsidRPr="00884EED"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1B02B6">
        <w:rPr>
          <w:rFonts w:ascii="Times New Roman" w:eastAsia="Times New Roman" w:hAnsi="Times New Roman" w:cs="Times New Roman"/>
          <w:i/>
        </w:rPr>
        <w:t>Jei reikia atlikti kraujo ar šlapimo tyrimą</w:t>
      </w: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Jei jums ilgą laiką skiriama </w:t>
      </w: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Kabi, reikia reguliariai atlikti kraujo tyrimus. </w:t>
      </w: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 xml:space="preserve">gali keisti kai kurių gliukozės koncentracijos tyrimų šlapime ir kraujo tyrimo, vadinamo </w:t>
      </w:r>
      <w:proofErr w:type="spellStart"/>
      <w:r w:rsidRPr="00884EED">
        <w:rPr>
          <w:rFonts w:ascii="Times New Roman" w:eastAsia="Times New Roman" w:hAnsi="Times New Roman" w:cs="Times New Roman"/>
        </w:rPr>
        <w:t>Kumbso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mėgini</w:t>
      </w:r>
      <w:r>
        <w:rPr>
          <w:rFonts w:ascii="Times New Roman" w:eastAsia="Times New Roman" w:hAnsi="Times New Roman" w:cs="Times New Roman"/>
        </w:rPr>
        <w:t>u</w:t>
      </w:r>
      <w:r w:rsidRPr="00884EED">
        <w:rPr>
          <w:rFonts w:ascii="Times New Roman" w:eastAsia="Times New Roman" w:hAnsi="Times New Roman" w:cs="Times New Roman"/>
        </w:rPr>
        <w:t>, rezultatus. Jei jums atliekami tyrimai:</w:t>
      </w:r>
    </w:p>
    <w:p w:rsidR="00DB6982" w:rsidRPr="00521084" w:rsidRDefault="00DB6982" w:rsidP="00DB6982">
      <w:pPr>
        <w:pStyle w:val="Sraopastraip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/>
        </w:rPr>
      </w:pPr>
      <w:proofErr w:type="spellStart"/>
      <w:proofErr w:type="gramStart"/>
      <w:r w:rsidRPr="00521084">
        <w:rPr>
          <w:rFonts w:ascii="Times New Roman" w:eastAsia="Times New Roman" w:hAnsi="Times New Roman"/>
        </w:rPr>
        <w:t>informuokite</w:t>
      </w:r>
      <w:proofErr w:type="spellEnd"/>
      <w:proofErr w:type="gramEnd"/>
      <w:r w:rsidRPr="00521084">
        <w:rPr>
          <w:rFonts w:ascii="Times New Roman" w:eastAsia="Times New Roman" w:hAnsi="Times New Roman"/>
        </w:rPr>
        <w:t xml:space="preserve"> </w:t>
      </w:r>
      <w:proofErr w:type="spellStart"/>
      <w:r w:rsidRPr="00521084">
        <w:rPr>
          <w:rFonts w:ascii="Times New Roman" w:eastAsia="Times New Roman" w:hAnsi="Times New Roman"/>
        </w:rPr>
        <w:t>mėginį</w:t>
      </w:r>
      <w:proofErr w:type="spellEnd"/>
      <w:r w:rsidRPr="00521084">
        <w:rPr>
          <w:rFonts w:ascii="Times New Roman" w:eastAsia="Times New Roman" w:hAnsi="Times New Roman"/>
        </w:rPr>
        <w:t xml:space="preserve"> </w:t>
      </w:r>
      <w:proofErr w:type="spellStart"/>
      <w:r w:rsidRPr="00521084">
        <w:rPr>
          <w:rFonts w:ascii="Times New Roman" w:eastAsia="Times New Roman" w:hAnsi="Times New Roman"/>
        </w:rPr>
        <w:t>imantį</w:t>
      </w:r>
      <w:proofErr w:type="spellEnd"/>
      <w:r w:rsidRPr="00521084">
        <w:rPr>
          <w:rFonts w:ascii="Times New Roman" w:eastAsia="Times New Roman" w:hAnsi="Times New Roman"/>
        </w:rPr>
        <w:t xml:space="preserve"> </w:t>
      </w:r>
      <w:proofErr w:type="spellStart"/>
      <w:r w:rsidRPr="00521084">
        <w:rPr>
          <w:rFonts w:ascii="Times New Roman" w:eastAsia="Times New Roman" w:hAnsi="Times New Roman"/>
        </w:rPr>
        <w:t>asmenį</w:t>
      </w:r>
      <w:proofErr w:type="spellEnd"/>
      <w:r w:rsidRPr="00521084">
        <w:rPr>
          <w:rFonts w:ascii="Times New Roman" w:eastAsia="Times New Roman" w:hAnsi="Times New Roman"/>
        </w:rPr>
        <w:t xml:space="preserve">, </w:t>
      </w:r>
      <w:proofErr w:type="spellStart"/>
      <w:r w:rsidRPr="00521084">
        <w:rPr>
          <w:rFonts w:ascii="Times New Roman" w:eastAsia="Times New Roman" w:hAnsi="Times New Roman"/>
        </w:rPr>
        <w:t>kad</w:t>
      </w:r>
      <w:proofErr w:type="spellEnd"/>
      <w:r w:rsidRPr="00521084">
        <w:rPr>
          <w:rFonts w:ascii="Times New Roman" w:eastAsia="Times New Roman" w:hAnsi="Times New Roman"/>
        </w:rPr>
        <w:t xml:space="preserve"> </w:t>
      </w:r>
      <w:proofErr w:type="spellStart"/>
      <w:r w:rsidRPr="00521084">
        <w:rPr>
          <w:rFonts w:ascii="Times New Roman" w:eastAsia="Times New Roman" w:hAnsi="Times New Roman"/>
        </w:rPr>
        <w:t>vartojote</w:t>
      </w:r>
      <w:proofErr w:type="spellEnd"/>
      <w:r w:rsidRPr="00521084">
        <w:rPr>
          <w:rFonts w:ascii="Times New Roman" w:eastAsia="Times New Roman" w:hAnsi="Times New Roman"/>
        </w:rPr>
        <w:t xml:space="preserve"> Ceftriaxone </w:t>
      </w:r>
      <w:proofErr w:type="spellStart"/>
      <w:r w:rsidRPr="00521084">
        <w:rPr>
          <w:rFonts w:ascii="Times New Roman" w:eastAsia="Times New Roman" w:hAnsi="Times New Roman"/>
        </w:rPr>
        <w:t>Kabi</w:t>
      </w:r>
      <w:proofErr w:type="spellEnd"/>
      <w:r w:rsidRPr="00521084">
        <w:rPr>
          <w:rFonts w:ascii="Times New Roman" w:eastAsia="Times New Roman" w:hAnsi="Times New Roman"/>
        </w:rPr>
        <w:t>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Jei sergate cukriniu diabetu arba reikia stebėti gliukozės kiekį kraujyje, Jūs negalite naudoti tam tikrų gliukozės kiekio kraujyje stebėjimo sistemų, kuriomis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vartojimo metu gliukozės kiekis kraujyje yra nustatomas neteisingai. Jei Jūs naudojate tokią sistemą, peržiūrėkite naudojimo instrukcijas ir apie tai pasakykite gydytojui, vaistininkui arba slaugytojui. Gali reikėti naudoti alternatyvų tyrimo metodą.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84EED">
        <w:rPr>
          <w:rFonts w:ascii="Times New Roman" w:eastAsia="Times New Roman" w:hAnsi="Times New Roman" w:cs="Times New Roman"/>
          <w:b/>
        </w:rPr>
        <w:t>Vaikams</w:t>
      </w: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Prieš vaikui skiriant </w:t>
      </w: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Kabi, pasitarkite su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gydytoju, vaistininku ar slaugytoj</w:t>
      </w:r>
      <w:r>
        <w:rPr>
          <w:rFonts w:ascii="Times New Roman" w:eastAsia="Times New Roman" w:hAnsi="Times New Roman" w:cs="Times New Roman"/>
        </w:rPr>
        <w:t>u</w:t>
      </w:r>
      <w:r w:rsidRPr="00884EED">
        <w:rPr>
          <w:rFonts w:ascii="Times New Roman" w:eastAsia="Times New Roman" w:hAnsi="Times New Roman" w:cs="Times New Roman"/>
        </w:rPr>
        <w:t>, jei:</w:t>
      </w:r>
    </w:p>
    <w:p w:rsidR="00DB6982" w:rsidRPr="00884EED" w:rsidRDefault="00DB6982" w:rsidP="00DB6982">
      <w:pPr>
        <w:numPr>
          <w:ilvl w:val="1"/>
          <w:numId w:val="31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jam ar jai neseniai į veną buvo </w:t>
      </w:r>
      <w:r>
        <w:rPr>
          <w:rFonts w:ascii="Times New Roman" w:eastAsia="Times New Roman" w:hAnsi="Times New Roman" w:cs="Times New Roman"/>
        </w:rPr>
        <w:t>le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884EED">
        <w:rPr>
          <w:rFonts w:ascii="Times New Roman" w:eastAsia="Times New Roman" w:hAnsi="Times New Roman" w:cs="Times New Roman"/>
        </w:rPr>
        <w:t xml:space="preserve">ta ar bus </w:t>
      </w:r>
      <w:r>
        <w:rPr>
          <w:rFonts w:ascii="Times New Roman" w:eastAsia="Times New Roman" w:hAnsi="Times New Roman" w:cs="Times New Roman"/>
        </w:rPr>
        <w:t>le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dž</w:t>
      </w:r>
      <w:r w:rsidRPr="00884EED">
        <w:rPr>
          <w:rFonts w:ascii="Times New Roman" w:eastAsia="Times New Roman" w:hAnsi="Times New Roman" w:cs="Times New Roman"/>
        </w:rPr>
        <w:t>iama kalcio turin</w:t>
      </w:r>
      <w:r>
        <w:rPr>
          <w:rFonts w:ascii="Times New Roman" w:eastAsia="Times New Roman" w:hAnsi="Times New Roman" w:cs="Times New Roman"/>
        </w:rPr>
        <w:t>č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o</w:t>
      </w:r>
      <w:r w:rsidRPr="00884E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vaisto</w:t>
      </w:r>
      <w:r w:rsidRPr="00884EED"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Ypač svarbu pasakyti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gydytojui, jeigu Jūs vartojate:</w:t>
      </w:r>
    </w:p>
    <w:p w:rsidR="00DB6982" w:rsidRPr="00884EED" w:rsidRDefault="00DB6982" w:rsidP="00DB6982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antibiotik</w:t>
      </w:r>
      <w:r>
        <w:rPr>
          <w:rFonts w:ascii="Times New Roman" w:eastAsia="Times New Roman" w:hAnsi="Times New Roman" w:cs="Times New Roman"/>
        </w:rPr>
        <w:t>ų</w:t>
      </w:r>
      <w:r w:rsidRPr="00884EED">
        <w:rPr>
          <w:rFonts w:ascii="Times New Roman" w:eastAsia="Times New Roman" w:hAnsi="Times New Roman" w:cs="Times New Roman"/>
        </w:rPr>
        <w:t>, vadinam</w:t>
      </w:r>
      <w:r>
        <w:rPr>
          <w:rFonts w:ascii="Times New Roman" w:eastAsia="Times New Roman" w:hAnsi="Times New Roman" w:cs="Times New Roman"/>
        </w:rPr>
        <w:t>ų</w:t>
      </w:r>
      <w:r w:rsidRPr="00884E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aminoglikozidais</w:t>
      </w:r>
      <w:proofErr w:type="spellEnd"/>
      <w:r w:rsidRPr="00884EED">
        <w:rPr>
          <w:rFonts w:ascii="Times New Roman" w:eastAsia="Times New Roman" w:hAnsi="Times New Roman" w:cs="Times New Roman"/>
        </w:rPr>
        <w:t>;</w:t>
      </w:r>
    </w:p>
    <w:p w:rsidR="00DB6982" w:rsidRPr="00884EED" w:rsidRDefault="00DB6982" w:rsidP="00DB6982">
      <w:pPr>
        <w:numPr>
          <w:ilvl w:val="1"/>
          <w:numId w:val="3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antibiotik</w:t>
      </w:r>
      <w:r>
        <w:rPr>
          <w:rFonts w:ascii="Times New Roman" w:eastAsia="Times New Roman" w:hAnsi="Times New Roman" w:cs="Times New Roman"/>
        </w:rPr>
        <w:t>o</w:t>
      </w:r>
      <w:r w:rsidRPr="00884EED">
        <w:rPr>
          <w:rFonts w:ascii="Times New Roman" w:eastAsia="Times New Roman" w:hAnsi="Times New Roman" w:cs="Times New Roman"/>
        </w:rPr>
        <w:t>, vadinam</w:t>
      </w:r>
      <w:r>
        <w:rPr>
          <w:rFonts w:ascii="Times New Roman" w:eastAsia="Times New Roman" w:hAnsi="Times New Roman" w:cs="Times New Roman"/>
        </w:rPr>
        <w:t>o</w:t>
      </w:r>
      <w:r w:rsidRPr="00884E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chloramfenikoliu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(vartojamas gydant infekcijas, ypač akių).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884EED">
        <w:rPr>
          <w:rFonts w:ascii="Times New Roman" w:eastAsia="Times New Roman" w:hAnsi="Times New Roman" w:cs="Times New Roman"/>
          <w:b/>
          <w:bCs/>
          <w:lang w:eastAsia="lt-LT"/>
        </w:rPr>
        <w:t>Nėštumas, žindymo laikotarpis ir vaisingumas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Jeigu esate nėščia, žindote kūdikį, manote, kad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 xml:space="preserve">galbūt esate nėščia, arba planuojate pastoti, </w:t>
      </w:r>
      <w:r>
        <w:rPr>
          <w:rFonts w:ascii="Times New Roman" w:eastAsia="Times New Roman" w:hAnsi="Times New Roman" w:cs="Times New Roman"/>
        </w:rPr>
        <w:t xml:space="preserve">tai </w:t>
      </w:r>
      <w:r w:rsidRPr="00884EED">
        <w:rPr>
          <w:rFonts w:ascii="Times New Roman" w:eastAsia="Times New Roman" w:hAnsi="Times New Roman" w:cs="Times New Roman"/>
        </w:rPr>
        <w:t>prieš vartodama šį vaistą</w:t>
      </w:r>
      <w:r>
        <w:rPr>
          <w:rFonts w:ascii="Times New Roman" w:eastAsia="Times New Roman" w:hAnsi="Times New Roman" w:cs="Times New Roman"/>
        </w:rPr>
        <w:t>,</w:t>
      </w:r>
      <w:r w:rsidRPr="00884EED">
        <w:rPr>
          <w:rFonts w:ascii="Times New Roman" w:eastAsia="Times New Roman" w:hAnsi="Times New Roman" w:cs="Times New Roman"/>
        </w:rPr>
        <w:t xml:space="preserve"> pasitarkite su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gydytoju arba vaistininku.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</w:rPr>
      </w:pP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 xml:space="preserve">Gydytojas įvertins Jūsų gydymo </w:t>
      </w: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 naudą ir riziką kūdikiui.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884EED">
        <w:rPr>
          <w:rFonts w:ascii="Times New Roman" w:eastAsia="Times New Roman" w:hAnsi="Times New Roman" w:cs="Times New Roman"/>
          <w:b/>
          <w:bCs/>
          <w:lang w:eastAsia="lt-LT"/>
        </w:rPr>
        <w:t>Vairavimas ir mechanizmų valdymas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Ceftriaxone</w:t>
      </w:r>
      <w:proofErr w:type="spellEnd"/>
      <w:r>
        <w:rPr>
          <w:rFonts w:ascii="Times New Roman" w:eastAsia="Times New Roman" w:hAnsi="Times New Roman" w:cs="Times New Roman"/>
        </w:rPr>
        <w:t xml:space="preserve"> Kabi gali sukelti svaigulį. </w:t>
      </w:r>
      <w:r w:rsidRPr="00884EED">
        <w:rPr>
          <w:rFonts w:ascii="Times New Roman" w:eastAsia="Times New Roman" w:hAnsi="Times New Roman" w:cs="Times New Roman"/>
        </w:rPr>
        <w:t>Jei jaučiatės apsvaigę, nevairuokite ir nenaudokite įrankių ar mechanizmų. Jei pasireiškia šie simptomai, pasitarkite su gydytoju.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884EED">
        <w:rPr>
          <w:rFonts w:ascii="Times New Roman" w:eastAsia="Times New Roman" w:hAnsi="Times New Roman" w:cs="Times New Roman"/>
          <w:b/>
          <w:bCs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  <w:bCs/>
        </w:rPr>
        <w:t xml:space="preserve"> Kabi sudėtyje yra natrio</w:t>
      </w:r>
    </w:p>
    <w:p w:rsidR="00DB6982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4770C">
        <w:rPr>
          <w:rFonts w:ascii="Times New Roman" w:eastAsia="Times New Roman" w:hAnsi="Times New Roman" w:cs="Times New Roman"/>
        </w:rPr>
        <w:t>Kiekviename</w:t>
      </w:r>
      <w:r>
        <w:rPr>
          <w:rFonts w:ascii="Times New Roman" w:eastAsia="Times New Roman" w:hAnsi="Times New Roman" w:cs="Times New Roman"/>
        </w:rPr>
        <w:t xml:space="preserve"> </w:t>
      </w:r>
      <w:r w:rsidRPr="0034770C">
        <w:rPr>
          <w:rFonts w:ascii="Times New Roman" w:eastAsia="Times New Roman" w:hAnsi="Times New Roman" w:cs="Times New Roman"/>
        </w:rPr>
        <w:t>šio vaisto</w:t>
      </w:r>
      <w:r>
        <w:rPr>
          <w:rFonts w:ascii="Times New Roman" w:eastAsia="Times New Roman" w:hAnsi="Times New Roman" w:cs="Times New Roman"/>
        </w:rPr>
        <w:t xml:space="preserve"> flakone</w:t>
      </w:r>
      <w:r w:rsidRPr="0034770C">
        <w:rPr>
          <w:rFonts w:ascii="Times New Roman" w:eastAsia="Times New Roman" w:hAnsi="Times New Roman" w:cs="Times New Roman"/>
        </w:rPr>
        <w:t xml:space="preserve"> yra </w:t>
      </w:r>
      <w:r>
        <w:rPr>
          <w:rFonts w:ascii="Times New Roman" w:eastAsia="Times New Roman" w:hAnsi="Times New Roman" w:cs="Times New Roman"/>
          <w:lang w:val="en-US"/>
        </w:rPr>
        <w:t>164,6</w:t>
      </w:r>
      <w:r>
        <w:rPr>
          <w:rFonts w:ascii="Times New Roman" w:eastAsia="Times New Roman" w:hAnsi="Times New Roman" w:cs="Times New Roman"/>
        </w:rPr>
        <w:t> </w:t>
      </w:r>
      <w:r w:rsidRPr="0034770C">
        <w:rPr>
          <w:rFonts w:ascii="Times New Roman" w:eastAsia="Times New Roman" w:hAnsi="Times New Roman" w:cs="Times New Roman"/>
        </w:rPr>
        <w:t>mg</w:t>
      </w:r>
      <w:r>
        <w:rPr>
          <w:rFonts w:ascii="Times New Roman" w:eastAsia="Times New Roman" w:hAnsi="Times New Roman" w:cs="Times New Roman"/>
        </w:rPr>
        <w:t xml:space="preserve"> </w:t>
      </w:r>
      <w:r w:rsidRPr="0034770C">
        <w:rPr>
          <w:rFonts w:ascii="Times New Roman" w:eastAsia="Times New Roman" w:hAnsi="Times New Roman" w:cs="Times New Roman"/>
        </w:rPr>
        <w:t>natrio (valgomosios druskos sudedamosios dalies).</w:t>
      </w:r>
      <w:r>
        <w:rPr>
          <w:rFonts w:ascii="Times New Roman" w:eastAsia="Times New Roman" w:hAnsi="Times New Roman" w:cs="Times New Roman"/>
        </w:rPr>
        <w:t xml:space="preserve"> </w:t>
      </w:r>
      <w:r w:rsidRPr="0034770C">
        <w:rPr>
          <w:rFonts w:ascii="Times New Roman" w:eastAsia="Times New Roman" w:hAnsi="Times New Roman" w:cs="Times New Roman"/>
        </w:rPr>
        <w:t xml:space="preserve">Tai atitinka </w:t>
      </w:r>
      <w:r>
        <w:rPr>
          <w:rFonts w:ascii="Times New Roman" w:eastAsia="Times New Roman" w:hAnsi="Times New Roman" w:cs="Times New Roman"/>
        </w:rPr>
        <w:t>8,2 </w:t>
      </w:r>
      <w:r w:rsidRPr="0034770C">
        <w:rPr>
          <w:rFonts w:ascii="Times New Roman" w:eastAsia="Times New Roman" w:hAnsi="Times New Roman" w:cs="Times New Roman"/>
        </w:rPr>
        <w:t>% didžiausios rekomenduojamos</w:t>
      </w:r>
      <w:r>
        <w:rPr>
          <w:rFonts w:ascii="Times New Roman" w:eastAsia="Times New Roman" w:hAnsi="Times New Roman" w:cs="Times New Roman"/>
        </w:rPr>
        <w:t xml:space="preserve"> </w:t>
      </w:r>
      <w:r w:rsidRPr="0034770C">
        <w:rPr>
          <w:rFonts w:ascii="Times New Roman" w:eastAsia="Times New Roman" w:hAnsi="Times New Roman" w:cs="Times New Roman"/>
        </w:rPr>
        <w:t>natrio paros normos suaugusiesiems.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884EED">
        <w:rPr>
          <w:rFonts w:ascii="Times New Roman" w:eastAsia="Times New Roman" w:hAnsi="Times New Roman" w:cs="Times New Roman"/>
          <w:b/>
        </w:rPr>
        <w:t>3.</w:t>
      </w:r>
      <w:r w:rsidRPr="00884EED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 paprastai skiria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gydytojas arba slaugytoja</w:t>
      </w:r>
      <w:r>
        <w:rPr>
          <w:rFonts w:ascii="Times New Roman" w:eastAsia="Calibri" w:hAnsi="Times New Roman" w:cs="Times New Roman"/>
        </w:rPr>
        <w:t>s</w:t>
      </w:r>
      <w:r w:rsidRPr="00884EED">
        <w:rPr>
          <w:rFonts w:ascii="Times New Roman" w:eastAsia="Calibri" w:hAnsi="Times New Roman" w:cs="Times New Roman"/>
        </w:rPr>
        <w:t>. Jis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 xml:space="preserve">gali būti skiriamas lašeline (infuzija į veną) arba injekcija tiesiogiai į veną ar raumenį. </w:t>
      </w: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 paruošia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gydytojas, vaistininkas arba slaugytoja</w:t>
      </w:r>
      <w:r>
        <w:rPr>
          <w:rFonts w:ascii="Times New Roman" w:eastAsia="Calibri" w:hAnsi="Times New Roman" w:cs="Times New Roman"/>
        </w:rPr>
        <w:t>s</w:t>
      </w:r>
      <w:r w:rsidRPr="00884EED">
        <w:rPr>
          <w:rFonts w:ascii="Times New Roman" w:eastAsia="Calibri" w:hAnsi="Times New Roman" w:cs="Times New Roman"/>
        </w:rPr>
        <w:t>. Vaistas nėra maišomas ar skiriamas kartu su injekcijomis, kurių sudėtyje yra kalcio.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1B02B6">
        <w:rPr>
          <w:rFonts w:ascii="Times New Roman" w:eastAsia="Calibri" w:hAnsi="Times New Roman" w:cs="Times New Roman"/>
          <w:bCs/>
          <w:i/>
        </w:rPr>
        <w:t>Įprastinė dozė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 xml:space="preserve">Gydytojas nustatys Jums tinkamą </w:t>
      </w: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 dozę. Dozė priklauso nuo infekcijos sunkumo ir tipo</w:t>
      </w:r>
      <w:r>
        <w:rPr>
          <w:rFonts w:ascii="Times New Roman" w:eastAsia="Calibri" w:hAnsi="Times New Roman" w:cs="Times New Roman"/>
        </w:rPr>
        <w:t>,</w:t>
      </w:r>
      <w:r w:rsidRPr="00884EED">
        <w:rPr>
          <w:rFonts w:ascii="Times New Roman" w:eastAsia="Calibri" w:hAnsi="Times New Roman" w:cs="Times New Roman"/>
        </w:rPr>
        <w:t xml:space="preserve"> nuo to, ar vartojate kitų antibiotikų</w:t>
      </w:r>
      <w:r>
        <w:rPr>
          <w:rFonts w:ascii="Times New Roman" w:eastAsia="Calibri" w:hAnsi="Times New Roman" w:cs="Times New Roman"/>
        </w:rPr>
        <w:t>,</w:t>
      </w:r>
      <w:r w:rsidRPr="00884EED">
        <w:rPr>
          <w:rFonts w:ascii="Times New Roman" w:eastAsia="Calibri" w:hAnsi="Times New Roman" w:cs="Times New Roman"/>
        </w:rPr>
        <w:t xml:space="preserve"> nuo svorio ir amžiaus</w:t>
      </w:r>
      <w:r>
        <w:rPr>
          <w:rFonts w:ascii="Times New Roman" w:eastAsia="Calibri" w:hAnsi="Times New Roman" w:cs="Times New Roman"/>
        </w:rPr>
        <w:t>,</w:t>
      </w:r>
      <w:r w:rsidRPr="00884EED">
        <w:rPr>
          <w:rFonts w:ascii="Times New Roman" w:eastAsia="Calibri" w:hAnsi="Times New Roman" w:cs="Times New Roman"/>
        </w:rPr>
        <w:t xml:space="preserve"> nuo inkstų ir kepenų funkcijos. </w:t>
      </w:r>
      <w:r>
        <w:rPr>
          <w:rFonts w:ascii="Times New Roman" w:eastAsia="Calibri" w:hAnsi="Times New Roman" w:cs="Times New Roman"/>
        </w:rPr>
        <w:t>Par</w:t>
      </w:r>
      <w:r w:rsidRPr="00884EED">
        <w:rPr>
          <w:rFonts w:ascii="Times New Roman" w:eastAsia="Calibri" w:hAnsi="Times New Roman" w:cs="Times New Roman"/>
        </w:rPr>
        <w:t xml:space="preserve">ų ar savaičių skaičius, kurį bus skiriamas </w:t>
      </w: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Kabi, priklauso nuo infekcijos, kuria sergate, rūšies.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B6982" w:rsidRPr="001B02B6" w:rsidRDefault="00DB6982" w:rsidP="00DB698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1B02B6">
        <w:rPr>
          <w:rFonts w:ascii="Times New Roman" w:eastAsia="Calibri" w:hAnsi="Times New Roman" w:cs="Times New Roman"/>
          <w:bCs/>
          <w:i/>
        </w:rPr>
        <w:t>Suaugusie</w:t>
      </w:r>
      <w:r>
        <w:rPr>
          <w:rFonts w:ascii="Times New Roman" w:eastAsia="Calibri" w:hAnsi="Times New Roman" w:cs="Times New Roman"/>
          <w:bCs/>
          <w:i/>
        </w:rPr>
        <w:t>s</w:t>
      </w:r>
      <w:r w:rsidRPr="001B02B6">
        <w:rPr>
          <w:rFonts w:ascii="Times New Roman" w:eastAsia="Calibri" w:hAnsi="Times New Roman" w:cs="Times New Roman"/>
          <w:bCs/>
          <w:i/>
        </w:rPr>
        <w:t>i</w:t>
      </w:r>
      <w:r>
        <w:rPr>
          <w:rFonts w:ascii="Times New Roman" w:eastAsia="Calibri" w:hAnsi="Times New Roman" w:cs="Times New Roman"/>
          <w:bCs/>
          <w:i/>
        </w:rPr>
        <w:t>ems</w:t>
      </w:r>
      <w:r w:rsidRPr="001B02B6">
        <w:rPr>
          <w:rFonts w:ascii="Times New Roman" w:eastAsia="Calibri" w:hAnsi="Times New Roman" w:cs="Times New Roman"/>
          <w:bCs/>
          <w:i/>
        </w:rPr>
        <w:t>, senyvi</w:t>
      </w:r>
      <w:r>
        <w:rPr>
          <w:rFonts w:ascii="Times New Roman" w:eastAsia="Calibri" w:hAnsi="Times New Roman" w:cs="Times New Roman"/>
          <w:bCs/>
          <w:i/>
        </w:rPr>
        <w:t>em</w:t>
      </w:r>
      <w:r w:rsidRPr="001B02B6">
        <w:rPr>
          <w:rFonts w:ascii="Times New Roman" w:eastAsia="Calibri" w:hAnsi="Times New Roman" w:cs="Times New Roman"/>
          <w:bCs/>
          <w:i/>
        </w:rPr>
        <w:t xml:space="preserve">s </w:t>
      </w:r>
      <w:r>
        <w:rPr>
          <w:rFonts w:ascii="Times New Roman" w:eastAsia="Calibri" w:hAnsi="Times New Roman" w:cs="Times New Roman"/>
          <w:bCs/>
          <w:i/>
        </w:rPr>
        <w:t>pacie</w:t>
      </w:r>
      <w:r w:rsidRPr="001B02B6">
        <w:rPr>
          <w:rFonts w:ascii="Times New Roman" w:eastAsia="Calibri" w:hAnsi="Times New Roman" w:cs="Times New Roman"/>
          <w:bCs/>
          <w:i/>
        </w:rPr>
        <w:t>n</w:t>
      </w:r>
      <w:r>
        <w:rPr>
          <w:rFonts w:ascii="Times New Roman" w:eastAsia="Calibri" w:hAnsi="Times New Roman" w:cs="Times New Roman"/>
          <w:bCs/>
          <w:i/>
        </w:rPr>
        <w:t>tam</w:t>
      </w:r>
      <w:r w:rsidRPr="001B02B6">
        <w:rPr>
          <w:rFonts w:ascii="Times New Roman" w:eastAsia="Calibri" w:hAnsi="Times New Roman" w:cs="Times New Roman"/>
          <w:bCs/>
          <w:i/>
        </w:rPr>
        <w:t>s ir 12 metų ar vyresni</w:t>
      </w:r>
      <w:r>
        <w:rPr>
          <w:rFonts w:ascii="Times New Roman" w:eastAsia="Calibri" w:hAnsi="Times New Roman" w:cs="Times New Roman"/>
          <w:bCs/>
          <w:i/>
        </w:rPr>
        <w:t>ems</w:t>
      </w:r>
      <w:r w:rsidRPr="001B02B6">
        <w:rPr>
          <w:rFonts w:ascii="Times New Roman" w:eastAsia="Calibri" w:hAnsi="Times New Roman" w:cs="Times New Roman"/>
          <w:bCs/>
          <w:i/>
        </w:rPr>
        <w:t xml:space="preserve"> vaika</w:t>
      </w:r>
      <w:r>
        <w:rPr>
          <w:rFonts w:ascii="Times New Roman" w:eastAsia="Calibri" w:hAnsi="Times New Roman" w:cs="Times New Roman"/>
          <w:bCs/>
          <w:i/>
        </w:rPr>
        <w:t>ms</w:t>
      </w:r>
      <w:r w:rsidRPr="001B02B6">
        <w:rPr>
          <w:rFonts w:ascii="Times New Roman" w:eastAsia="Calibri" w:hAnsi="Times New Roman" w:cs="Times New Roman"/>
          <w:bCs/>
          <w:i/>
        </w:rPr>
        <w:t>, sveriant</w:t>
      </w:r>
      <w:r>
        <w:rPr>
          <w:rFonts w:ascii="Times New Roman" w:eastAsia="Calibri" w:hAnsi="Times New Roman" w:cs="Times New Roman"/>
          <w:bCs/>
          <w:i/>
        </w:rPr>
        <w:t>iem</w:t>
      </w:r>
      <w:r w:rsidRPr="001B02B6">
        <w:rPr>
          <w:rFonts w:ascii="Times New Roman" w:eastAsia="Calibri" w:hAnsi="Times New Roman" w:cs="Times New Roman"/>
          <w:bCs/>
          <w:i/>
        </w:rPr>
        <w:t>s 50</w:t>
      </w:r>
      <w:r>
        <w:rPr>
          <w:rFonts w:ascii="Times New Roman" w:eastAsia="Calibri" w:hAnsi="Times New Roman" w:cs="Times New Roman"/>
          <w:bCs/>
          <w:i/>
        </w:rPr>
        <w:t> </w:t>
      </w:r>
      <w:r w:rsidRPr="001B02B6">
        <w:rPr>
          <w:rFonts w:ascii="Times New Roman" w:eastAsia="Calibri" w:hAnsi="Times New Roman" w:cs="Times New Roman"/>
          <w:bCs/>
          <w:i/>
        </w:rPr>
        <w:t>kg arba daugiau</w:t>
      </w:r>
    </w:p>
    <w:p w:rsidR="00DB6982" w:rsidRPr="00884EED" w:rsidRDefault="00DB6982" w:rsidP="00DB6982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  <w:color w:val="000000"/>
        </w:rPr>
        <w:t>–</w:t>
      </w:r>
      <w:r w:rsidRPr="00884EED">
        <w:rPr>
          <w:rFonts w:ascii="Times New Roman" w:eastAsia="Calibri" w:hAnsi="Times New Roman" w:cs="Times New Roman"/>
        </w:rPr>
        <w:t>2 g per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parą priklausomai nuo infekcijos sunkumo ir tipo. Jei sergate sunkia infekcija,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gydytojas skirs didesnę dozę (iki 4 g kartą per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 xml:space="preserve">parą). Jeigu Jūsų paros dozė yra didesnė </w:t>
      </w:r>
      <w:r>
        <w:rPr>
          <w:rFonts w:ascii="Times New Roman" w:eastAsia="Calibri" w:hAnsi="Times New Roman" w:cs="Times New Roman"/>
        </w:rPr>
        <w:t>ka</w:t>
      </w:r>
      <w:r w:rsidRPr="00884EED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p</w:t>
      </w:r>
      <w:r w:rsidRPr="00884EED">
        <w:rPr>
          <w:rFonts w:ascii="Times New Roman" w:eastAsia="Calibri" w:hAnsi="Times New Roman" w:cs="Times New Roman"/>
        </w:rPr>
        <w:t xml:space="preserve"> 2 g, ją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galima suvartoti kaip vieną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dozę arba per du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kartus.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1B02B6">
        <w:rPr>
          <w:rFonts w:ascii="Times New Roman" w:eastAsia="Calibri" w:hAnsi="Times New Roman" w:cs="Times New Roman"/>
          <w:bCs/>
          <w:i/>
        </w:rPr>
        <w:t>Naujagimia</w:t>
      </w:r>
      <w:r>
        <w:rPr>
          <w:rFonts w:ascii="Times New Roman" w:eastAsia="Calibri" w:hAnsi="Times New Roman" w:cs="Times New Roman"/>
          <w:bCs/>
          <w:i/>
        </w:rPr>
        <w:t>ms</w:t>
      </w:r>
      <w:r w:rsidRPr="001B02B6">
        <w:rPr>
          <w:rFonts w:ascii="Times New Roman" w:eastAsia="Calibri" w:hAnsi="Times New Roman" w:cs="Times New Roman"/>
          <w:bCs/>
          <w:i/>
        </w:rPr>
        <w:t>, kūdikia</w:t>
      </w:r>
      <w:r>
        <w:rPr>
          <w:rFonts w:ascii="Times New Roman" w:eastAsia="Calibri" w:hAnsi="Times New Roman" w:cs="Times New Roman"/>
          <w:bCs/>
          <w:i/>
        </w:rPr>
        <w:t>ms</w:t>
      </w:r>
      <w:r w:rsidRPr="001B02B6">
        <w:rPr>
          <w:rFonts w:ascii="Times New Roman" w:eastAsia="Calibri" w:hAnsi="Times New Roman" w:cs="Times New Roman"/>
          <w:bCs/>
          <w:i/>
        </w:rPr>
        <w:t xml:space="preserve"> ir vaika</w:t>
      </w:r>
      <w:r>
        <w:rPr>
          <w:rFonts w:ascii="Times New Roman" w:eastAsia="Calibri" w:hAnsi="Times New Roman" w:cs="Times New Roman"/>
          <w:bCs/>
          <w:i/>
        </w:rPr>
        <w:t>ms</w:t>
      </w:r>
      <w:r w:rsidRPr="001B02B6">
        <w:rPr>
          <w:rFonts w:ascii="Times New Roman" w:eastAsia="Calibri" w:hAnsi="Times New Roman" w:cs="Times New Roman"/>
          <w:bCs/>
          <w:i/>
        </w:rPr>
        <w:t xml:space="preserve"> (nuo 15</w:t>
      </w:r>
      <w:r>
        <w:rPr>
          <w:rFonts w:ascii="Times New Roman" w:eastAsia="Calibri" w:hAnsi="Times New Roman" w:cs="Times New Roman"/>
          <w:bCs/>
          <w:i/>
        </w:rPr>
        <w:t> </w:t>
      </w:r>
      <w:r w:rsidRPr="001B02B6">
        <w:rPr>
          <w:rFonts w:ascii="Times New Roman" w:eastAsia="Calibri" w:hAnsi="Times New Roman" w:cs="Times New Roman"/>
          <w:bCs/>
          <w:i/>
        </w:rPr>
        <w:t>parų iki 12 met</w:t>
      </w:r>
      <w:r>
        <w:rPr>
          <w:rFonts w:ascii="Times New Roman" w:eastAsia="Calibri" w:hAnsi="Times New Roman" w:cs="Times New Roman"/>
          <w:bCs/>
          <w:i/>
        </w:rPr>
        <w:t>ų</w:t>
      </w:r>
      <w:r w:rsidRPr="001B02B6">
        <w:rPr>
          <w:rFonts w:ascii="Times New Roman" w:eastAsia="Calibri" w:hAnsi="Times New Roman" w:cs="Times New Roman"/>
          <w:bCs/>
          <w:i/>
        </w:rPr>
        <w:t>), sveriant</w:t>
      </w:r>
      <w:r>
        <w:rPr>
          <w:rFonts w:ascii="Times New Roman" w:eastAsia="Calibri" w:hAnsi="Times New Roman" w:cs="Times New Roman"/>
          <w:bCs/>
          <w:i/>
        </w:rPr>
        <w:t>iem</w:t>
      </w:r>
      <w:r w:rsidRPr="001B02B6">
        <w:rPr>
          <w:rFonts w:ascii="Times New Roman" w:eastAsia="Calibri" w:hAnsi="Times New Roman" w:cs="Times New Roman"/>
          <w:bCs/>
          <w:i/>
        </w:rPr>
        <w:t xml:space="preserve">s mažiau </w:t>
      </w:r>
      <w:r>
        <w:rPr>
          <w:rFonts w:ascii="Times New Roman" w:eastAsia="Calibri" w:hAnsi="Times New Roman" w:cs="Times New Roman"/>
          <w:bCs/>
          <w:i/>
        </w:rPr>
        <w:t>ka</w:t>
      </w:r>
      <w:r w:rsidRPr="001B02B6">
        <w:rPr>
          <w:rFonts w:ascii="Times New Roman" w:eastAsia="Calibri" w:hAnsi="Times New Roman" w:cs="Times New Roman"/>
          <w:bCs/>
          <w:i/>
        </w:rPr>
        <w:t>i</w:t>
      </w:r>
      <w:r>
        <w:rPr>
          <w:rFonts w:ascii="Times New Roman" w:eastAsia="Calibri" w:hAnsi="Times New Roman" w:cs="Times New Roman"/>
          <w:bCs/>
          <w:i/>
        </w:rPr>
        <w:t>p</w:t>
      </w:r>
      <w:r w:rsidRPr="001B02B6">
        <w:rPr>
          <w:rFonts w:ascii="Times New Roman" w:eastAsia="Calibri" w:hAnsi="Times New Roman" w:cs="Times New Roman"/>
          <w:bCs/>
          <w:i/>
        </w:rPr>
        <w:t xml:space="preserve"> 50 kg</w:t>
      </w:r>
    </w:p>
    <w:p w:rsidR="00DB6982" w:rsidRPr="00884EED" w:rsidRDefault="00DB6982" w:rsidP="00DB6982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50</w:t>
      </w:r>
      <w:r>
        <w:rPr>
          <w:rFonts w:ascii="Times New Roman" w:eastAsia="Calibri" w:hAnsi="Times New Roman" w:cs="Times New Roman"/>
          <w:color w:val="000000"/>
        </w:rPr>
        <w:t>–</w:t>
      </w:r>
      <w:r w:rsidRPr="00884EED">
        <w:rPr>
          <w:rFonts w:ascii="Times New Roman" w:eastAsia="Calibri" w:hAnsi="Times New Roman" w:cs="Times New Roman"/>
        </w:rPr>
        <w:t xml:space="preserve">80 mg </w:t>
      </w: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 kiekvienam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kilogramui vaiko kūno masės kartą per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 xml:space="preserve">parą priklausomai nuo infekcijos sunkumo ir tipo. Jei </w:t>
      </w:r>
      <w:r>
        <w:rPr>
          <w:rFonts w:ascii="Times New Roman" w:eastAsia="Calibri" w:hAnsi="Times New Roman" w:cs="Times New Roman"/>
        </w:rPr>
        <w:t xml:space="preserve">vaikas </w:t>
      </w:r>
      <w:r w:rsidRPr="00884EED">
        <w:rPr>
          <w:rFonts w:ascii="Times New Roman" w:eastAsia="Calibri" w:hAnsi="Times New Roman" w:cs="Times New Roman"/>
        </w:rPr>
        <w:t>serga sunkia infekcija,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gydytojas skirs didesnę dozę (iki 100 mg kiekvienam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kilogramui kūno masės, iš viso iki 4 g kartą per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 xml:space="preserve">parą). Jeigu </w:t>
      </w:r>
      <w:r>
        <w:rPr>
          <w:rFonts w:ascii="Times New Roman" w:eastAsia="Calibri" w:hAnsi="Times New Roman" w:cs="Times New Roman"/>
        </w:rPr>
        <w:t>vaiko</w:t>
      </w:r>
      <w:r w:rsidRPr="00884EED">
        <w:rPr>
          <w:rFonts w:ascii="Times New Roman" w:eastAsia="Calibri" w:hAnsi="Times New Roman" w:cs="Times New Roman"/>
        </w:rPr>
        <w:t xml:space="preserve"> paros dozė yra didesnė </w:t>
      </w:r>
      <w:r>
        <w:rPr>
          <w:rFonts w:ascii="Times New Roman" w:eastAsia="Calibri" w:hAnsi="Times New Roman" w:cs="Times New Roman"/>
        </w:rPr>
        <w:t>ka</w:t>
      </w:r>
      <w:r w:rsidRPr="00884EED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p</w:t>
      </w:r>
      <w:r w:rsidRPr="00884EED">
        <w:rPr>
          <w:rFonts w:ascii="Times New Roman" w:eastAsia="Calibri" w:hAnsi="Times New Roman" w:cs="Times New Roman"/>
        </w:rPr>
        <w:t xml:space="preserve"> 2 g, ją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galima suvartoti kaip vieną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dozę arba per du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kartus.</w:t>
      </w:r>
    </w:p>
    <w:p w:rsidR="00DB6982" w:rsidRPr="001B02B6" w:rsidRDefault="00DB6982" w:rsidP="00DB6982">
      <w:pPr>
        <w:pStyle w:val="Sraopastraipa"/>
        <w:numPr>
          <w:ilvl w:val="0"/>
          <w:numId w:val="34"/>
        </w:numPr>
        <w:spacing w:after="0" w:line="240" w:lineRule="auto"/>
        <w:ind w:left="567" w:right="-1" w:hanging="567"/>
        <w:rPr>
          <w:rFonts w:ascii="Times New Roman" w:eastAsia="Times New Roman" w:hAnsi="Times New Roman"/>
          <w:lang w:eastAsia="lt-LT"/>
        </w:rPr>
      </w:pPr>
      <w:r w:rsidRPr="001B02B6">
        <w:rPr>
          <w:rFonts w:ascii="Times New Roman" w:hAnsi="Times New Roman"/>
        </w:rPr>
        <w:t xml:space="preserve">50 kg </w:t>
      </w:r>
      <w:proofErr w:type="spellStart"/>
      <w:r w:rsidRPr="001B02B6">
        <w:rPr>
          <w:rFonts w:ascii="Times New Roman" w:hAnsi="Times New Roman"/>
        </w:rPr>
        <w:t>ir</w:t>
      </w:r>
      <w:proofErr w:type="spellEnd"/>
      <w:r w:rsidRPr="001B02B6">
        <w:rPr>
          <w:rFonts w:ascii="Times New Roman" w:hAnsi="Times New Roman"/>
        </w:rPr>
        <w:t xml:space="preserve"> </w:t>
      </w:r>
      <w:proofErr w:type="spellStart"/>
      <w:r w:rsidRPr="001B02B6">
        <w:rPr>
          <w:rFonts w:ascii="Times New Roman" w:hAnsi="Times New Roman"/>
        </w:rPr>
        <w:t>daugiau</w:t>
      </w:r>
      <w:proofErr w:type="spellEnd"/>
      <w:r w:rsidRPr="001B02B6">
        <w:rPr>
          <w:rFonts w:ascii="Times New Roman" w:hAnsi="Times New Roman"/>
        </w:rPr>
        <w:t xml:space="preserve"> </w:t>
      </w:r>
      <w:proofErr w:type="spellStart"/>
      <w:r w:rsidRPr="001B02B6">
        <w:rPr>
          <w:rFonts w:ascii="Times New Roman" w:hAnsi="Times New Roman"/>
        </w:rPr>
        <w:t>sveriantiems</w:t>
      </w:r>
      <w:proofErr w:type="spellEnd"/>
      <w:r w:rsidRPr="001B02B6">
        <w:rPr>
          <w:rFonts w:ascii="Times New Roman" w:hAnsi="Times New Roman"/>
        </w:rPr>
        <w:t xml:space="preserve"> </w:t>
      </w:r>
      <w:proofErr w:type="spellStart"/>
      <w:r w:rsidRPr="001B02B6">
        <w:rPr>
          <w:rFonts w:ascii="Times New Roman" w:hAnsi="Times New Roman"/>
        </w:rPr>
        <w:t>vaikams</w:t>
      </w:r>
      <w:proofErr w:type="spellEnd"/>
      <w:r w:rsidRPr="001B02B6">
        <w:rPr>
          <w:rFonts w:ascii="Times New Roman" w:hAnsi="Times New Roman"/>
        </w:rPr>
        <w:t xml:space="preserve"> </w:t>
      </w:r>
      <w:proofErr w:type="spellStart"/>
      <w:r w:rsidRPr="001B02B6">
        <w:rPr>
          <w:rFonts w:ascii="Times New Roman" w:hAnsi="Times New Roman"/>
        </w:rPr>
        <w:t>turi</w:t>
      </w:r>
      <w:proofErr w:type="spellEnd"/>
      <w:r w:rsidRPr="001B02B6">
        <w:rPr>
          <w:rFonts w:ascii="Times New Roman" w:hAnsi="Times New Roman"/>
        </w:rPr>
        <w:t xml:space="preserve"> </w:t>
      </w:r>
      <w:proofErr w:type="spellStart"/>
      <w:r w:rsidRPr="001B02B6">
        <w:rPr>
          <w:rFonts w:ascii="Times New Roman" w:hAnsi="Times New Roman"/>
        </w:rPr>
        <w:t>būti</w:t>
      </w:r>
      <w:proofErr w:type="spellEnd"/>
      <w:r w:rsidRPr="001B02B6">
        <w:rPr>
          <w:rFonts w:ascii="Times New Roman" w:hAnsi="Times New Roman"/>
        </w:rPr>
        <w:t xml:space="preserve"> </w:t>
      </w:r>
      <w:proofErr w:type="spellStart"/>
      <w:r w:rsidRPr="001B02B6">
        <w:rPr>
          <w:rFonts w:ascii="Times New Roman" w:hAnsi="Times New Roman"/>
        </w:rPr>
        <w:t>skiriama</w:t>
      </w:r>
      <w:proofErr w:type="spellEnd"/>
      <w:r w:rsidRPr="001B02B6">
        <w:rPr>
          <w:rFonts w:ascii="Times New Roman" w:hAnsi="Times New Roman"/>
        </w:rPr>
        <w:t xml:space="preserve"> </w:t>
      </w:r>
      <w:proofErr w:type="spellStart"/>
      <w:r w:rsidRPr="001B02B6">
        <w:rPr>
          <w:rFonts w:ascii="Times New Roman" w:hAnsi="Times New Roman"/>
        </w:rPr>
        <w:t>įprastinė</w:t>
      </w:r>
      <w:proofErr w:type="spellEnd"/>
      <w:r w:rsidRPr="001B02B6">
        <w:rPr>
          <w:rFonts w:ascii="Times New Roman" w:hAnsi="Times New Roman"/>
        </w:rPr>
        <w:t xml:space="preserve"> </w:t>
      </w:r>
      <w:proofErr w:type="spellStart"/>
      <w:r w:rsidRPr="001B02B6">
        <w:rPr>
          <w:rFonts w:ascii="Times New Roman" w:hAnsi="Times New Roman"/>
        </w:rPr>
        <w:t>suaugusiojo</w:t>
      </w:r>
      <w:proofErr w:type="spellEnd"/>
      <w:r w:rsidRPr="001B02B6">
        <w:rPr>
          <w:rFonts w:ascii="Times New Roman" w:hAnsi="Times New Roman"/>
        </w:rPr>
        <w:t xml:space="preserve"> </w:t>
      </w:r>
      <w:proofErr w:type="spellStart"/>
      <w:r w:rsidRPr="001B02B6">
        <w:rPr>
          <w:rFonts w:ascii="Times New Roman" w:hAnsi="Times New Roman"/>
        </w:rPr>
        <w:t>dozė</w:t>
      </w:r>
      <w:proofErr w:type="spellEnd"/>
      <w:r w:rsidRPr="001B02B6">
        <w:rPr>
          <w:rFonts w:ascii="Times New Roman" w:hAnsi="Times New Roman"/>
        </w:rPr>
        <w:t>.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1B02B6">
        <w:rPr>
          <w:rFonts w:ascii="Times New Roman" w:eastAsia="Calibri" w:hAnsi="Times New Roman" w:cs="Times New Roman"/>
          <w:bCs/>
          <w:i/>
        </w:rPr>
        <w:t>Naujagimia</w:t>
      </w:r>
      <w:r>
        <w:rPr>
          <w:rFonts w:ascii="Times New Roman" w:eastAsia="Calibri" w:hAnsi="Times New Roman" w:cs="Times New Roman"/>
          <w:bCs/>
          <w:i/>
        </w:rPr>
        <w:t>ms</w:t>
      </w:r>
      <w:r w:rsidRPr="001B02B6">
        <w:rPr>
          <w:rFonts w:ascii="Times New Roman" w:eastAsia="Calibri" w:hAnsi="Times New Roman" w:cs="Times New Roman"/>
          <w:bCs/>
          <w:i/>
        </w:rPr>
        <w:t xml:space="preserve"> (0</w:t>
      </w:r>
      <w:r>
        <w:rPr>
          <w:rFonts w:ascii="Times New Roman" w:eastAsia="Calibri" w:hAnsi="Times New Roman" w:cs="Times New Roman"/>
          <w:color w:val="000000"/>
        </w:rPr>
        <w:t>–</w:t>
      </w:r>
      <w:r w:rsidRPr="001B02B6">
        <w:rPr>
          <w:rFonts w:ascii="Times New Roman" w:eastAsia="Calibri" w:hAnsi="Times New Roman" w:cs="Times New Roman"/>
          <w:bCs/>
          <w:i/>
        </w:rPr>
        <w:t>14</w:t>
      </w:r>
      <w:r>
        <w:rPr>
          <w:rFonts w:ascii="Times New Roman" w:eastAsia="Calibri" w:hAnsi="Times New Roman" w:cs="Times New Roman"/>
          <w:bCs/>
          <w:i/>
        </w:rPr>
        <w:t> </w:t>
      </w:r>
      <w:r w:rsidRPr="001B02B6">
        <w:rPr>
          <w:rFonts w:ascii="Times New Roman" w:eastAsia="Calibri" w:hAnsi="Times New Roman" w:cs="Times New Roman"/>
          <w:bCs/>
          <w:i/>
        </w:rPr>
        <w:t>parų)</w:t>
      </w:r>
    </w:p>
    <w:p w:rsidR="00DB6982" w:rsidRPr="00884EED" w:rsidRDefault="00DB6982" w:rsidP="00DB6982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  <w:color w:val="000000"/>
        </w:rPr>
        <w:t>–</w:t>
      </w:r>
      <w:r w:rsidRPr="00884EED">
        <w:rPr>
          <w:rFonts w:ascii="Times New Roman" w:eastAsia="Calibri" w:hAnsi="Times New Roman" w:cs="Times New Roman"/>
        </w:rPr>
        <w:t xml:space="preserve">50 mg </w:t>
      </w: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 kiekvienam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kilogramui naujagimio kūno masės kartą per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parą priklausomai nuo infekcijos sunkumo ir tipo.</w:t>
      </w:r>
    </w:p>
    <w:p w:rsidR="00DB6982" w:rsidRPr="00884EED" w:rsidRDefault="00DB6982" w:rsidP="00DB6982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Didžiausia paros dozė negali viršyti 50 mg kiekvienam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kilogramui naujagimio kūno masės.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1B02B6">
        <w:rPr>
          <w:rFonts w:ascii="Times New Roman" w:eastAsia="Calibri" w:hAnsi="Times New Roman" w:cs="Times New Roman"/>
          <w:bCs/>
          <w:i/>
        </w:rPr>
        <w:t>Asmen</w:t>
      </w:r>
      <w:r>
        <w:rPr>
          <w:rFonts w:ascii="Times New Roman" w:eastAsia="Calibri" w:hAnsi="Times New Roman" w:cs="Times New Roman"/>
          <w:bCs/>
          <w:i/>
        </w:rPr>
        <w:t>im</w:t>
      </w:r>
      <w:r w:rsidRPr="001B02B6">
        <w:rPr>
          <w:rFonts w:ascii="Times New Roman" w:eastAsia="Calibri" w:hAnsi="Times New Roman" w:cs="Times New Roman"/>
          <w:bCs/>
          <w:i/>
        </w:rPr>
        <w:t>s, kuriems yra kepenų ir inkstų veiklos sutrikimų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Jums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gali būti skiriama kitokia nei įprastinė dozė. Jūsų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 xml:space="preserve">gydytojas nuspręs, kokio kiekio </w:t>
      </w: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 reikia, ir atidžiai stebės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gydymo procesą, tai priklauso nuo kepenų ir inkstų ligos sunkumo.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  <w:b/>
          <w:bCs/>
        </w:rPr>
        <w:t xml:space="preserve">Ką daryti pavartojus per didelę </w:t>
      </w:r>
      <w:proofErr w:type="spellStart"/>
      <w:r w:rsidRPr="00884EED">
        <w:rPr>
          <w:rFonts w:ascii="Times New Roman" w:eastAsia="Calibri" w:hAnsi="Times New Roman" w:cs="Times New Roman"/>
          <w:b/>
          <w:bCs/>
        </w:rPr>
        <w:t>Ceftriaxone</w:t>
      </w:r>
      <w:proofErr w:type="spellEnd"/>
      <w:r w:rsidRPr="00884EED">
        <w:rPr>
          <w:rFonts w:ascii="Times New Roman" w:eastAsia="Calibri" w:hAnsi="Times New Roman" w:cs="Times New Roman"/>
          <w:b/>
          <w:bCs/>
        </w:rPr>
        <w:t xml:space="preserve"> Kabi dozę?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Jei dėl klaidos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gavote didesnį vaisto kiekį, nei buvo išrašyta, iš karto susisiekite su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gydytoju arba artimiausios ligoninės personalu.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  <w:b/>
          <w:bCs/>
        </w:rPr>
        <w:t xml:space="preserve">Pamiršus pavartoti </w:t>
      </w:r>
      <w:proofErr w:type="spellStart"/>
      <w:r w:rsidRPr="00884EED">
        <w:rPr>
          <w:rFonts w:ascii="Times New Roman" w:eastAsia="Calibri" w:hAnsi="Times New Roman" w:cs="Times New Roman"/>
          <w:b/>
          <w:bCs/>
        </w:rPr>
        <w:t>Ceftriaxone</w:t>
      </w:r>
      <w:proofErr w:type="spellEnd"/>
      <w:r w:rsidRPr="00884EED">
        <w:rPr>
          <w:rFonts w:ascii="Times New Roman" w:eastAsia="Calibri" w:hAnsi="Times New Roman" w:cs="Times New Roman"/>
          <w:b/>
          <w:bCs/>
        </w:rPr>
        <w:t xml:space="preserve"> Kabi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Jei užmiršote su</w:t>
      </w:r>
      <w:r>
        <w:rPr>
          <w:rFonts w:ascii="Times New Roman" w:eastAsia="Calibri" w:hAnsi="Times New Roman" w:cs="Times New Roman"/>
        </w:rPr>
        <w:t>le</w:t>
      </w:r>
      <w:r w:rsidRPr="00884EED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s</w:t>
      </w:r>
      <w:r w:rsidRPr="00884EED">
        <w:rPr>
          <w:rFonts w:ascii="Times New Roman" w:eastAsia="Calibri" w:hAnsi="Times New Roman" w:cs="Times New Roman"/>
        </w:rPr>
        <w:t>ti injekciją, padarykite tai kuo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greičiau. Tačiau jei netrukus bus laikas kitai injekcijai, praleiskite injekciją, kurią užmiršote su</w:t>
      </w:r>
      <w:r>
        <w:rPr>
          <w:rFonts w:ascii="Times New Roman" w:eastAsia="Calibri" w:hAnsi="Times New Roman" w:cs="Times New Roman"/>
        </w:rPr>
        <w:t>le</w:t>
      </w:r>
      <w:r w:rsidRPr="00884EED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s</w:t>
      </w:r>
      <w:r w:rsidRPr="00884EED">
        <w:rPr>
          <w:rFonts w:ascii="Times New Roman" w:eastAsia="Calibri" w:hAnsi="Times New Roman" w:cs="Times New Roman"/>
        </w:rPr>
        <w:t>ti. Negalima vartoti dvigubos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dozės norint kompensuoti praleistą dozę (dviejų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injekcijų tuo pačiu metu).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  <w:b/>
          <w:bCs/>
        </w:rPr>
        <w:t xml:space="preserve">Nustojus vartoti </w:t>
      </w:r>
      <w:proofErr w:type="spellStart"/>
      <w:r w:rsidRPr="00884EED">
        <w:rPr>
          <w:rFonts w:ascii="Times New Roman" w:eastAsia="Calibri" w:hAnsi="Times New Roman" w:cs="Times New Roman"/>
          <w:b/>
          <w:bCs/>
        </w:rPr>
        <w:t>Ceftriaxone</w:t>
      </w:r>
      <w:proofErr w:type="spellEnd"/>
      <w:r w:rsidRPr="00884EED">
        <w:rPr>
          <w:rFonts w:ascii="Times New Roman" w:eastAsia="Calibri" w:hAnsi="Times New Roman" w:cs="Times New Roman"/>
          <w:b/>
          <w:bCs/>
        </w:rPr>
        <w:t xml:space="preserve"> Kabi</w:t>
      </w:r>
    </w:p>
    <w:p w:rsidR="00DB6982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Nenutraukite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 xml:space="preserve">gydymo </w:t>
      </w: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 tol, kol to nenurodys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gydytojas.</w:t>
      </w:r>
    </w:p>
    <w:p w:rsidR="00DB6982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Jei turite daugiau klausimų dėl šio vaisto vartojimo, kreipkitės į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gydytoją arba slaugytoją.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84EED">
        <w:rPr>
          <w:rFonts w:ascii="Times New Roman" w:eastAsia="Times New Roman" w:hAnsi="Times New Roman" w:cs="Times New Roman"/>
          <w:b/>
          <w:caps/>
        </w:rPr>
        <w:t>4.</w:t>
      </w:r>
      <w:r w:rsidRPr="00884EED">
        <w:rPr>
          <w:rFonts w:ascii="Times New Roman" w:eastAsia="Times New Roman" w:hAnsi="Times New Roman" w:cs="Times New Roman"/>
          <w:b/>
          <w:caps/>
        </w:rPr>
        <w:tab/>
      </w:r>
      <w:r w:rsidRPr="00884EED">
        <w:rPr>
          <w:rFonts w:ascii="Times New Roman" w:eastAsia="Times New Roman" w:hAnsi="Times New Roman" w:cs="Times New Roman"/>
          <w:b/>
        </w:rPr>
        <w:t>Galimas šalutinis poveikis</w:t>
      </w:r>
    </w:p>
    <w:p w:rsidR="00DB6982" w:rsidRPr="00884EED" w:rsidRDefault="00DB6982" w:rsidP="00DB6982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DB6982" w:rsidRPr="00884EED" w:rsidRDefault="00DB6982" w:rsidP="00DB6982">
      <w:pPr>
        <w:numPr>
          <w:ilvl w:val="12"/>
          <w:numId w:val="0"/>
        </w:num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caps/>
        </w:rPr>
      </w:pPr>
      <w:r w:rsidRPr="00884EED">
        <w:rPr>
          <w:rFonts w:ascii="Times New Roman" w:eastAsia="Times New Roman" w:hAnsi="Times New Roman" w:cs="Times New Roman"/>
          <w:caps/>
        </w:rPr>
        <w:t>Š</w:t>
      </w:r>
      <w:r w:rsidRPr="00884EED">
        <w:rPr>
          <w:rFonts w:ascii="Times New Roman" w:eastAsia="Times New Roman" w:hAnsi="Times New Roman" w:cs="Times New Roman"/>
        </w:rPr>
        <w:t>is vaistas, kaip ir visi kiti, gali sukelti šalutinį poveikį, nors jis pasireiškia ne visiems žmonėms.</w:t>
      </w:r>
    </w:p>
    <w:p w:rsidR="00DB6982" w:rsidRPr="00884EED" w:rsidRDefault="00DB6982" w:rsidP="00DB6982">
      <w:pPr>
        <w:numPr>
          <w:ilvl w:val="12"/>
          <w:numId w:val="0"/>
        </w:numPr>
        <w:tabs>
          <w:tab w:val="left" w:pos="0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lastRenderedPageBreak/>
        <w:t>Vartojant š</w:t>
      </w:r>
      <w:r>
        <w:rPr>
          <w:rFonts w:ascii="Times New Roman" w:eastAsia="Times New Roman" w:hAnsi="Times New Roman" w:cs="Times New Roman"/>
        </w:rPr>
        <w:t>io</w:t>
      </w:r>
      <w:r w:rsidRPr="00884EED">
        <w:rPr>
          <w:rFonts w:ascii="Times New Roman" w:eastAsia="Times New Roman" w:hAnsi="Times New Roman" w:cs="Times New Roman"/>
        </w:rPr>
        <w:t xml:space="preserve"> vaist</w:t>
      </w:r>
      <w:r>
        <w:rPr>
          <w:rFonts w:ascii="Times New Roman" w:eastAsia="Times New Roman" w:hAnsi="Times New Roman" w:cs="Times New Roman"/>
        </w:rPr>
        <w:t>o</w:t>
      </w:r>
      <w:r w:rsidRPr="00884EED">
        <w:rPr>
          <w:rFonts w:ascii="Times New Roman" w:eastAsia="Times New Roman" w:hAnsi="Times New Roman" w:cs="Times New Roman"/>
        </w:rPr>
        <w:t>, gali pasireikšti toliau išvardytas šalutinis poveikis.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1B02B6">
        <w:rPr>
          <w:rFonts w:ascii="Times New Roman" w:eastAsia="Times New Roman" w:hAnsi="Times New Roman" w:cs="Times New Roman"/>
          <w:i/>
        </w:rPr>
        <w:t>Sunkios alerginės reakcijos</w:t>
      </w:r>
      <w:r w:rsidRPr="001B02B6">
        <w:rPr>
          <w:rFonts w:ascii="Times New Roman" w:eastAsia="Times New Roman" w:hAnsi="Times New Roman" w:cs="Times New Roman"/>
          <w:bCs/>
          <w:i/>
        </w:rPr>
        <w:t xml:space="preserve"> (dažnis nežinomas, t.</w:t>
      </w:r>
      <w:r>
        <w:rPr>
          <w:rFonts w:ascii="Times New Roman" w:eastAsia="Times New Roman" w:hAnsi="Times New Roman" w:cs="Times New Roman"/>
          <w:bCs/>
          <w:i/>
        </w:rPr>
        <w:t> </w:t>
      </w:r>
      <w:r w:rsidRPr="001B02B6">
        <w:rPr>
          <w:rFonts w:ascii="Times New Roman" w:eastAsia="Times New Roman" w:hAnsi="Times New Roman" w:cs="Times New Roman"/>
          <w:bCs/>
          <w:i/>
        </w:rPr>
        <w:t>y. negali būti apskaičiuotas pagal turimus duomenis)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Jei Jums pasireiškė sunki alerginė reakcija, nedelsdami kreipkitės į gydytoją.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Galimi požymiai yra:</w:t>
      </w:r>
    </w:p>
    <w:p w:rsidR="00DB6982" w:rsidRPr="00521084" w:rsidRDefault="00DB6982" w:rsidP="00DB6982">
      <w:pPr>
        <w:pStyle w:val="Sraopastraipa"/>
        <w:numPr>
          <w:ilvl w:val="2"/>
          <w:numId w:val="3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521084">
        <w:rPr>
          <w:rFonts w:ascii="Times New Roman" w:eastAsia="Times New Roman" w:hAnsi="Times New Roman"/>
          <w:lang w:val="lt-LT"/>
        </w:rPr>
        <w:t>staigus veido, gerklės, lūpų ar burnos pabrinkimas, dėl kurio gali pasunkėti kvėpavimas ar rijimas;</w:t>
      </w:r>
    </w:p>
    <w:p w:rsidR="00DB6982" w:rsidRPr="00521084" w:rsidRDefault="00DB6982" w:rsidP="00DB6982">
      <w:pPr>
        <w:pStyle w:val="Sraopastraipa"/>
        <w:numPr>
          <w:ilvl w:val="2"/>
          <w:numId w:val="3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proofErr w:type="spellStart"/>
      <w:proofErr w:type="gramStart"/>
      <w:r w:rsidRPr="00521084">
        <w:rPr>
          <w:rFonts w:ascii="Times New Roman" w:eastAsia="Times New Roman" w:hAnsi="Times New Roman"/>
        </w:rPr>
        <w:t>staigus</w:t>
      </w:r>
      <w:proofErr w:type="spellEnd"/>
      <w:proofErr w:type="gramEnd"/>
      <w:r w:rsidRPr="00521084">
        <w:rPr>
          <w:rFonts w:ascii="Times New Roman" w:eastAsia="Times New Roman" w:hAnsi="Times New Roman"/>
        </w:rPr>
        <w:t xml:space="preserve"> </w:t>
      </w:r>
      <w:proofErr w:type="spellStart"/>
      <w:r w:rsidRPr="00521084">
        <w:rPr>
          <w:rFonts w:ascii="Times New Roman" w:eastAsia="Times New Roman" w:hAnsi="Times New Roman"/>
        </w:rPr>
        <w:t>plaštakų</w:t>
      </w:r>
      <w:proofErr w:type="spellEnd"/>
      <w:r w:rsidRPr="00521084">
        <w:rPr>
          <w:rFonts w:ascii="Times New Roman" w:eastAsia="Times New Roman" w:hAnsi="Times New Roman"/>
        </w:rPr>
        <w:t xml:space="preserve">, </w:t>
      </w:r>
      <w:proofErr w:type="spellStart"/>
      <w:r w:rsidRPr="00521084">
        <w:rPr>
          <w:rFonts w:ascii="Times New Roman" w:eastAsia="Times New Roman" w:hAnsi="Times New Roman"/>
        </w:rPr>
        <w:t>pėd</w:t>
      </w:r>
      <w:r>
        <w:rPr>
          <w:rFonts w:ascii="Times New Roman" w:eastAsia="Times New Roman" w:hAnsi="Times New Roman"/>
        </w:rPr>
        <w:t>ų</w:t>
      </w:r>
      <w:proofErr w:type="spellEnd"/>
      <w:r w:rsidRPr="00521084">
        <w:rPr>
          <w:rFonts w:ascii="Times New Roman" w:eastAsia="Times New Roman" w:hAnsi="Times New Roman"/>
        </w:rPr>
        <w:t xml:space="preserve"> </w:t>
      </w:r>
      <w:proofErr w:type="spellStart"/>
      <w:r w:rsidRPr="00521084">
        <w:rPr>
          <w:rFonts w:ascii="Times New Roman" w:eastAsia="Times New Roman" w:hAnsi="Times New Roman"/>
        </w:rPr>
        <w:t>ir</w:t>
      </w:r>
      <w:proofErr w:type="spellEnd"/>
      <w:r w:rsidRPr="00521084">
        <w:rPr>
          <w:rFonts w:ascii="Times New Roman" w:eastAsia="Times New Roman" w:hAnsi="Times New Roman"/>
        </w:rPr>
        <w:t xml:space="preserve"> </w:t>
      </w:r>
      <w:proofErr w:type="spellStart"/>
      <w:r w:rsidRPr="00521084">
        <w:rPr>
          <w:rFonts w:ascii="Times New Roman" w:eastAsia="Times New Roman" w:hAnsi="Times New Roman"/>
        </w:rPr>
        <w:t>kulkšnių</w:t>
      </w:r>
      <w:proofErr w:type="spellEnd"/>
      <w:r w:rsidRPr="00521084">
        <w:rPr>
          <w:rFonts w:ascii="Times New Roman" w:eastAsia="Times New Roman" w:hAnsi="Times New Roman"/>
        </w:rPr>
        <w:t xml:space="preserve"> </w:t>
      </w:r>
      <w:proofErr w:type="spellStart"/>
      <w:r w:rsidRPr="00521084">
        <w:rPr>
          <w:rFonts w:ascii="Times New Roman" w:eastAsia="Times New Roman" w:hAnsi="Times New Roman"/>
        </w:rPr>
        <w:t>pabrinkimas</w:t>
      </w:r>
      <w:proofErr w:type="spellEnd"/>
      <w:r w:rsidRPr="00521084">
        <w:rPr>
          <w:rFonts w:ascii="Times New Roman" w:eastAsia="Times New Roman" w:hAnsi="Times New Roman"/>
        </w:rPr>
        <w:t>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1B02B6">
        <w:rPr>
          <w:rFonts w:ascii="Times New Roman" w:eastAsia="Times New Roman" w:hAnsi="Times New Roman" w:cs="Times New Roman"/>
          <w:i/>
        </w:rPr>
        <w:t>Sunk</w:t>
      </w:r>
      <w:r>
        <w:rPr>
          <w:rFonts w:ascii="Times New Roman" w:eastAsia="Times New Roman" w:hAnsi="Times New Roman" w:cs="Times New Roman"/>
          <w:i/>
        </w:rPr>
        <w:t>io</w:t>
      </w:r>
      <w:r w:rsidRPr="001B02B6">
        <w:rPr>
          <w:rFonts w:ascii="Times New Roman" w:eastAsia="Times New Roman" w:hAnsi="Times New Roman" w:cs="Times New Roman"/>
          <w:i/>
        </w:rPr>
        <w:t>s odos r</w:t>
      </w:r>
      <w:r>
        <w:rPr>
          <w:rFonts w:ascii="Times New Roman" w:eastAsia="Times New Roman" w:hAnsi="Times New Roman" w:cs="Times New Roman"/>
          <w:i/>
        </w:rPr>
        <w:t>eakc</w:t>
      </w:r>
      <w:r w:rsidRPr="001B02B6"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</w:rPr>
        <w:t>jos</w:t>
      </w:r>
      <w:r w:rsidRPr="001B02B6">
        <w:rPr>
          <w:rFonts w:ascii="Times New Roman" w:eastAsia="Times New Roman" w:hAnsi="Times New Roman" w:cs="Times New Roman"/>
          <w:i/>
        </w:rPr>
        <w:t xml:space="preserve"> (dažnis nežinomas, t.</w:t>
      </w:r>
      <w:r>
        <w:rPr>
          <w:rFonts w:ascii="Times New Roman" w:eastAsia="Times New Roman" w:hAnsi="Times New Roman" w:cs="Times New Roman"/>
          <w:i/>
        </w:rPr>
        <w:t> </w:t>
      </w:r>
      <w:r w:rsidRPr="001B02B6">
        <w:rPr>
          <w:rFonts w:ascii="Times New Roman" w:eastAsia="Times New Roman" w:hAnsi="Times New Roman" w:cs="Times New Roman"/>
          <w:i/>
        </w:rPr>
        <w:t>y. negali būti apskaičiuotas pagal turimus duomenis)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Jei Jums pasireiškė sunk</w:t>
      </w:r>
      <w:r>
        <w:rPr>
          <w:rFonts w:ascii="Times New Roman" w:eastAsia="Times New Roman" w:hAnsi="Times New Roman" w:cs="Times New Roman"/>
        </w:rPr>
        <w:t>i</w:t>
      </w:r>
      <w:r w:rsidRPr="00884EED">
        <w:rPr>
          <w:rFonts w:ascii="Times New Roman" w:eastAsia="Times New Roman" w:hAnsi="Times New Roman" w:cs="Times New Roman"/>
        </w:rPr>
        <w:t xml:space="preserve"> odos r</w:t>
      </w:r>
      <w:r>
        <w:rPr>
          <w:rFonts w:ascii="Times New Roman" w:eastAsia="Times New Roman" w:hAnsi="Times New Roman" w:cs="Times New Roman"/>
        </w:rPr>
        <w:t>eakc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j</w:t>
      </w:r>
      <w:r w:rsidRPr="00884EED">
        <w:rPr>
          <w:rFonts w:ascii="Times New Roman" w:eastAsia="Times New Roman" w:hAnsi="Times New Roman" w:cs="Times New Roman"/>
        </w:rPr>
        <w:t>a, nedelsdami kreipkitės į gydytoją.</w:t>
      </w:r>
    </w:p>
    <w:p w:rsidR="00DB6982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Galimi požymiai yra</w:t>
      </w:r>
      <w:r>
        <w:rPr>
          <w:rFonts w:ascii="Times New Roman" w:eastAsia="Times New Roman" w:hAnsi="Times New Roman" w:cs="Times New Roman"/>
        </w:rPr>
        <w:t>:</w:t>
      </w:r>
    </w:p>
    <w:p w:rsidR="00DB6982" w:rsidRPr="00521084" w:rsidRDefault="00DB6982" w:rsidP="00DB6982">
      <w:pPr>
        <w:pStyle w:val="Sraopastraipa"/>
        <w:numPr>
          <w:ilvl w:val="0"/>
          <w:numId w:val="3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1B02B6">
        <w:rPr>
          <w:rFonts w:ascii="Times New Roman" w:eastAsia="Times New Roman" w:hAnsi="Times New Roman"/>
          <w:lang w:val="lt-LT"/>
        </w:rPr>
        <w:t>Greitai progresuojantis sunkus odos išbėrimas su odos pūslėmis ar lupimusi (pūslių gali atsirasti ir burnoje)</w:t>
      </w:r>
      <w:r>
        <w:rPr>
          <w:rFonts w:ascii="Times New Roman" w:eastAsia="Times New Roman" w:hAnsi="Times New Roman"/>
          <w:lang w:val="lt-LT"/>
        </w:rPr>
        <w:t xml:space="preserve"> </w:t>
      </w:r>
      <w:r w:rsidRPr="001B02B6">
        <w:rPr>
          <w:rFonts w:ascii="Times New Roman" w:eastAsia="Times New Roman" w:hAnsi="Times New Roman"/>
          <w:lang w:val="lt-LT"/>
        </w:rPr>
        <w:t>(</w:t>
      </w:r>
      <w:proofErr w:type="spellStart"/>
      <w:r w:rsidRPr="001B02B6">
        <w:rPr>
          <w:rFonts w:ascii="Times New Roman" w:eastAsia="Times New Roman" w:hAnsi="Times New Roman"/>
          <w:lang w:val="lt-LT"/>
        </w:rPr>
        <w:t>Stivenso</w:t>
      </w:r>
      <w:proofErr w:type="spellEnd"/>
      <w:r w:rsidRPr="001B02B6">
        <w:rPr>
          <w:rFonts w:ascii="Times New Roman" w:eastAsia="Times New Roman" w:hAnsi="Times New Roman"/>
          <w:lang w:val="lt-LT"/>
        </w:rPr>
        <w:noBreakHyphen/>
        <w:t xml:space="preserve">Džonsono sindromas ir toksinė epidermio </w:t>
      </w:r>
      <w:proofErr w:type="spellStart"/>
      <w:r w:rsidRPr="001B02B6">
        <w:rPr>
          <w:rFonts w:ascii="Times New Roman" w:eastAsia="Times New Roman" w:hAnsi="Times New Roman"/>
          <w:lang w:val="lt-LT"/>
        </w:rPr>
        <w:t>nekrolizė</w:t>
      </w:r>
      <w:proofErr w:type="spellEnd"/>
      <w:r w:rsidRPr="001B02B6">
        <w:rPr>
          <w:rFonts w:ascii="Times New Roman" w:eastAsia="Times New Roman" w:hAnsi="Times New Roman"/>
          <w:lang w:val="lt-LT"/>
        </w:rPr>
        <w:t>, kurie taip pat žinomi kaip SDS ir TEN).</w:t>
      </w:r>
    </w:p>
    <w:p w:rsidR="00DB6982" w:rsidRPr="001B02B6" w:rsidRDefault="00DB6982" w:rsidP="00DB6982">
      <w:pPr>
        <w:pStyle w:val="Sraopastraipa"/>
        <w:numPr>
          <w:ilvl w:val="0"/>
          <w:numId w:val="38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lang w:val="lt-LT"/>
        </w:rPr>
      </w:pPr>
      <w:r w:rsidRPr="001B02B6">
        <w:rPr>
          <w:rFonts w:ascii="Times New Roman" w:eastAsia="Times New Roman" w:hAnsi="Times New Roman"/>
          <w:lang w:val="lt-LT"/>
        </w:rPr>
        <w:t>Bet kurių iš šių simptomų kombinacija: plačiai išplitęs išbėrimas, didelė kūno temperatūra, kepenų ferm</w:t>
      </w:r>
      <w:r>
        <w:rPr>
          <w:rFonts w:ascii="Times New Roman" w:eastAsia="Times New Roman" w:hAnsi="Times New Roman"/>
          <w:lang w:val="lt-LT"/>
        </w:rPr>
        <w:t>e</w:t>
      </w:r>
      <w:r w:rsidRPr="001B02B6">
        <w:rPr>
          <w:rFonts w:ascii="Times New Roman" w:eastAsia="Times New Roman" w:hAnsi="Times New Roman"/>
          <w:lang w:val="lt-LT"/>
        </w:rPr>
        <w:t>ntų aktyvumo padidėjimas, kraujo sutrikimai (</w:t>
      </w:r>
      <w:proofErr w:type="spellStart"/>
      <w:r w:rsidRPr="001B02B6">
        <w:rPr>
          <w:rFonts w:ascii="Times New Roman" w:eastAsia="Times New Roman" w:hAnsi="Times New Roman"/>
          <w:lang w:val="lt-LT"/>
        </w:rPr>
        <w:t>eozinofilija</w:t>
      </w:r>
      <w:proofErr w:type="spellEnd"/>
      <w:r w:rsidRPr="001B02B6">
        <w:rPr>
          <w:rFonts w:ascii="Times New Roman" w:eastAsia="Times New Roman" w:hAnsi="Times New Roman"/>
          <w:lang w:val="lt-LT"/>
        </w:rPr>
        <w:t xml:space="preserve">), padidėję limfmazgiai ir kitų kūno organų įtraukimas (reakcija į vaistą su </w:t>
      </w:r>
      <w:proofErr w:type="spellStart"/>
      <w:r w:rsidRPr="001B02B6">
        <w:rPr>
          <w:rFonts w:ascii="Times New Roman" w:eastAsia="Times New Roman" w:hAnsi="Times New Roman"/>
          <w:lang w:val="lt-LT"/>
        </w:rPr>
        <w:t>eozinofilija</w:t>
      </w:r>
      <w:proofErr w:type="spellEnd"/>
      <w:r w:rsidRPr="001B02B6">
        <w:rPr>
          <w:rFonts w:ascii="Times New Roman" w:eastAsia="Times New Roman" w:hAnsi="Times New Roman"/>
          <w:lang w:val="lt-LT"/>
        </w:rPr>
        <w:t xml:space="preserve"> ir sisteminiais simptomais, kuri yra žinoma kaip RVESS ar padidėjusio jautrumo vaistui sindromas).</w:t>
      </w:r>
    </w:p>
    <w:p w:rsidR="00DB6982" w:rsidRPr="00521084" w:rsidRDefault="00DB6982" w:rsidP="00DB6982">
      <w:pPr>
        <w:pStyle w:val="Sraopastraipa"/>
        <w:numPr>
          <w:ilvl w:val="0"/>
          <w:numId w:val="3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proofErr w:type="spellStart"/>
      <w:r w:rsidRPr="00521084">
        <w:rPr>
          <w:rFonts w:ascii="Times New Roman" w:eastAsia="Times New Roman" w:hAnsi="Times New Roman"/>
          <w:lang w:val="lt-LT"/>
        </w:rPr>
        <w:t>Jarišo</w:t>
      </w:r>
      <w:r w:rsidRPr="00521084">
        <w:rPr>
          <w:rFonts w:ascii="Times New Roman" w:eastAsia="Times New Roman" w:hAnsi="Times New Roman"/>
          <w:lang w:val="lt-LT"/>
        </w:rPr>
        <w:noBreakHyphen/>
        <w:t>Heksheimerio</w:t>
      </w:r>
      <w:proofErr w:type="spellEnd"/>
      <w:r w:rsidRPr="00521084">
        <w:rPr>
          <w:rFonts w:ascii="Times New Roman" w:eastAsia="Times New Roman" w:hAnsi="Times New Roman"/>
          <w:lang w:val="lt-LT"/>
        </w:rPr>
        <w:t xml:space="preserve"> reakcija, kuri sukelia karščiavimą, </w:t>
      </w:r>
      <w:proofErr w:type="spellStart"/>
      <w:r w:rsidRPr="00521084">
        <w:rPr>
          <w:rFonts w:ascii="Times New Roman" w:eastAsia="Times New Roman" w:hAnsi="Times New Roman"/>
          <w:lang w:val="lt-LT"/>
        </w:rPr>
        <w:t>šaltkrėtį</w:t>
      </w:r>
      <w:proofErr w:type="spellEnd"/>
      <w:r w:rsidRPr="00521084">
        <w:rPr>
          <w:rFonts w:ascii="Times New Roman" w:eastAsia="Times New Roman" w:hAnsi="Times New Roman"/>
          <w:lang w:val="lt-LT"/>
        </w:rPr>
        <w:t xml:space="preserve">, galvos skausmą, raumenų skausmą ir odos išbėrimą, kurie paprastai yra save ribojantys. Tai greitai pasireiškia pradėjus gydyti </w:t>
      </w:r>
      <w:proofErr w:type="spellStart"/>
      <w:r w:rsidRPr="00521084">
        <w:rPr>
          <w:rFonts w:ascii="Times New Roman" w:eastAsia="Times New Roman" w:hAnsi="Times New Roman"/>
          <w:lang w:val="lt-LT"/>
        </w:rPr>
        <w:t>Ceftriaxone</w:t>
      </w:r>
      <w:proofErr w:type="spellEnd"/>
      <w:r w:rsidRPr="00521084">
        <w:rPr>
          <w:rFonts w:ascii="Times New Roman" w:eastAsia="Times New Roman" w:hAnsi="Times New Roman"/>
          <w:lang w:val="lt-LT"/>
        </w:rPr>
        <w:t xml:space="preserve"> Kabi spirochetų sukeltas infekcijas, tokias kaip </w:t>
      </w:r>
      <w:proofErr w:type="spellStart"/>
      <w:r w:rsidRPr="00521084">
        <w:rPr>
          <w:rFonts w:ascii="Times New Roman" w:eastAsia="Times New Roman" w:hAnsi="Times New Roman"/>
          <w:lang w:val="lt-LT"/>
        </w:rPr>
        <w:t>Laimo</w:t>
      </w:r>
      <w:proofErr w:type="spellEnd"/>
      <w:r w:rsidRPr="00521084">
        <w:rPr>
          <w:rFonts w:ascii="Times New Roman" w:eastAsia="Times New Roman" w:hAnsi="Times New Roman"/>
          <w:lang w:val="lt-LT"/>
        </w:rPr>
        <w:t xml:space="preserve"> ligą.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B02B6">
        <w:rPr>
          <w:rFonts w:ascii="Times New Roman" w:eastAsia="Times New Roman" w:hAnsi="Times New Roman" w:cs="Times New Roman"/>
          <w:b/>
          <w:bCs/>
        </w:rPr>
        <w:t>Kitas galimas šalutinis poveikis</w:t>
      </w: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84EED">
        <w:rPr>
          <w:rFonts w:ascii="Times New Roman" w:eastAsia="Times New Roman" w:hAnsi="Times New Roman" w:cs="Times New Roman"/>
          <w:b/>
          <w:bCs/>
        </w:rPr>
        <w:t>Dažn</w:t>
      </w:r>
      <w:r>
        <w:rPr>
          <w:rFonts w:ascii="Times New Roman" w:eastAsia="Times New Roman" w:hAnsi="Times New Roman" w:cs="Times New Roman"/>
          <w:b/>
          <w:bCs/>
        </w:rPr>
        <w:t>as</w:t>
      </w:r>
      <w:r w:rsidRPr="001B02B6">
        <w:rPr>
          <w:rFonts w:ascii="Times New Roman" w:eastAsia="Times New Roman" w:hAnsi="Times New Roman" w:cs="Times New Roman"/>
          <w:bCs/>
        </w:rPr>
        <w:t xml:space="preserve"> </w:t>
      </w:r>
      <w:r w:rsidRPr="001B02B6">
        <w:rPr>
          <w:rFonts w:ascii="Times New Roman" w:eastAsia="Times New Roman" w:hAnsi="Times New Roman" w:cs="Times New Roman"/>
          <w:bCs/>
          <w:i/>
        </w:rPr>
        <w:t xml:space="preserve">(gali pasireikšti </w:t>
      </w:r>
      <w:r>
        <w:rPr>
          <w:rFonts w:ascii="Times New Roman" w:eastAsia="Times New Roman" w:hAnsi="Times New Roman" w:cs="Times New Roman"/>
          <w:bCs/>
          <w:i/>
        </w:rPr>
        <w:t>reč</w:t>
      </w:r>
      <w:r w:rsidRPr="001B02B6">
        <w:rPr>
          <w:rFonts w:ascii="Times New Roman" w:eastAsia="Times New Roman" w:hAnsi="Times New Roman" w:cs="Times New Roman"/>
          <w:bCs/>
          <w:i/>
        </w:rPr>
        <w:t xml:space="preserve">iau </w:t>
      </w:r>
      <w:r>
        <w:rPr>
          <w:rFonts w:ascii="Times New Roman" w:eastAsia="Times New Roman" w:hAnsi="Times New Roman" w:cs="Times New Roman"/>
          <w:bCs/>
          <w:i/>
        </w:rPr>
        <w:t>kaip</w:t>
      </w:r>
      <w:r w:rsidRPr="001B02B6">
        <w:rPr>
          <w:rFonts w:ascii="Times New Roman" w:eastAsia="Times New Roman" w:hAnsi="Times New Roman" w:cs="Times New Roman"/>
          <w:bCs/>
          <w:i/>
        </w:rPr>
        <w:t xml:space="preserve"> 1 iš 10</w:t>
      </w:r>
      <w:r>
        <w:rPr>
          <w:rFonts w:ascii="Times New Roman" w:eastAsia="Times New Roman" w:hAnsi="Times New Roman" w:cs="Times New Roman"/>
          <w:bCs/>
          <w:i/>
        </w:rPr>
        <w:t> pacie</w:t>
      </w:r>
      <w:r w:rsidRPr="001B02B6">
        <w:rPr>
          <w:rFonts w:ascii="Times New Roman" w:eastAsia="Times New Roman" w:hAnsi="Times New Roman" w:cs="Times New Roman"/>
          <w:bCs/>
          <w:i/>
        </w:rPr>
        <w:t>n</w:t>
      </w:r>
      <w:r>
        <w:rPr>
          <w:rFonts w:ascii="Times New Roman" w:eastAsia="Times New Roman" w:hAnsi="Times New Roman" w:cs="Times New Roman"/>
          <w:bCs/>
          <w:i/>
        </w:rPr>
        <w:t>t</w:t>
      </w:r>
      <w:r w:rsidRPr="001B02B6">
        <w:rPr>
          <w:rFonts w:ascii="Times New Roman" w:eastAsia="Times New Roman" w:hAnsi="Times New Roman" w:cs="Times New Roman"/>
          <w:bCs/>
          <w:i/>
        </w:rPr>
        <w:t>ų)</w:t>
      </w:r>
    </w:p>
    <w:p w:rsidR="00DB6982" w:rsidRPr="00884EED" w:rsidRDefault="00DB6982" w:rsidP="00DB698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 xml:space="preserve">Baltųjų kraujo ląstelių pokyčiai (pvz., leukocitų skaičiaus sumažėjimas ir </w:t>
      </w:r>
      <w:proofErr w:type="spellStart"/>
      <w:r w:rsidRPr="00884EED">
        <w:rPr>
          <w:rFonts w:ascii="Times New Roman" w:eastAsia="Calibri" w:hAnsi="Times New Roman" w:cs="Times New Roman"/>
        </w:rPr>
        <w:t>eozinofilų</w:t>
      </w:r>
      <w:proofErr w:type="spellEnd"/>
      <w:r w:rsidRPr="00884EED">
        <w:rPr>
          <w:rFonts w:ascii="Times New Roman" w:eastAsia="Calibri" w:hAnsi="Times New Roman" w:cs="Times New Roman"/>
        </w:rPr>
        <w:t xml:space="preserve"> skaičiaus padidėjimas) ir trombocitų pokyčiai (trombocitų skaičiaus sumažėjimas)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Tuštinimasis beformėmis išmatomis ar viduriavimas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Kraujo tyrimų, kurie rodo kepenų funkciją, pokyčiai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Iš</w:t>
      </w:r>
      <w:r w:rsidRPr="00884EED">
        <w:rPr>
          <w:rFonts w:ascii="Times New Roman" w:eastAsia="Calibri" w:hAnsi="Times New Roman" w:cs="Times New Roman"/>
        </w:rPr>
        <w:t>bėrimas.</w:t>
      </w:r>
    </w:p>
    <w:p w:rsidR="00DB6982" w:rsidRPr="00884EED" w:rsidRDefault="00DB6982" w:rsidP="00DB6982">
      <w:pPr>
        <w:numPr>
          <w:ilvl w:val="1"/>
          <w:numId w:val="0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84EED">
        <w:rPr>
          <w:rFonts w:ascii="Times New Roman" w:eastAsia="Times New Roman" w:hAnsi="Times New Roman" w:cs="Times New Roman"/>
          <w:b/>
          <w:bCs/>
        </w:rPr>
        <w:t>Nedažn</w:t>
      </w:r>
      <w:r>
        <w:rPr>
          <w:rFonts w:ascii="Times New Roman" w:eastAsia="Times New Roman" w:hAnsi="Times New Roman" w:cs="Times New Roman"/>
          <w:b/>
          <w:bCs/>
        </w:rPr>
        <w:t>as</w:t>
      </w:r>
      <w:r w:rsidRPr="001B02B6">
        <w:rPr>
          <w:rFonts w:ascii="Times New Roman" w:eastAsia="Times New Roman" w:hAnsi="Times New Roman" w:cs="Times New Roman"/>
          <w:bCs/>
        </w:rPr>
        <w:t xml:space="preserve"> </w:t>
      </w:r>
      <w:r w:rsidRPr="001B02B6">
        <w:rPr>
          <w:rFonts w:ascii="Times New Roman" w:eastAsia="Times New Roman" w:hAnsi="Times New Roman" w:cs="Times New Roman"/>
          <w:bCs/>
          <w:i/>
        </w:rPr>
        <w:t xml:space="preserve">(gali pasireikšti </w:t>
      </w:r>
      <w:r>
        <w:rPr>
          <w:rFonts w:ascii="Times New Roman" w:eastAsia="Times New Roman" w:hAnsi="Times New Roman" w:cs="Times New Roman"/>
          <w:bCs/>
          <w:i/>
        </w:rPr>
        <w:t>reč</w:t>
      </w:r>
      <w:r w:rsidRPr="001B02B6">
        <w:rPr>
          <w:rFonts w:ascii="Times New Roman" w:eastAsia="Times New Roman" w:hAnsi="Times New Roman" w:cs="Times New Roman"/>
          <w:bCs/>
          <w:i/>
        </w:rPr>
        <w:t xml:space="preserve">iau </w:t>
      </w:r>
      <w:r>
        <w:rPr>
          <w:rFonts w:ascii="Times New Roman" w:eastAsia="Times New Roman" w:hAnsi="Times New Roman" w:cs="Times New Roman"/>
          <w:bCs/>
          <w:i/>
        </w:rPr>
        <w:t>kaip</w:t>
      </w:r>
      <w:r w:rsidRPr="001B02B6">
        <w:rPr>
          <w:rFonts w:ascii="Times New Roman" w:eastAsia="Times New Roman" w:hAnsi="Times New Roman" w:cs="Times New Roman"/>
          <w:bCs/>
          <w:i/>
        </w:rPr>
        <w:t xml:space="preserve"> 1 iš 100</w:t>
      </w:r>
      <w:r>
        <w:rPr>
          <w:rFonts w:ascii="Times New Roman" w:eastAsia="Times New Roman" w:hAnsi="Times New Roman" w:cs="Times New Roman"/>
          <w:bCs/>
          <w:i/>
        </w:rPr>
        <w:t> pacie</w:t>
      </w:r>
      <w:r w:rsidRPr="001B02B6">
        <w:rPr>
          <w:rFonts w:ascii="Times New Roman" w:eastAsia="Times New Roman" w:hAnsi="Times New Roman" w:cs="Times New Roman"/>
          <w:bCs/>
          <w:i/>
        </w:rPr>
        <w:t>n</w:t>
      </w:r>
      <w:r>
        <w:rPr>
          <w:rFonts w:ascii="Times New Roman" w:eastAsia="Times New Roman" w:hAnsi="Times New Roman" w:cs="Times New Roman"/>
          <w:bCs/>
          <w:i/>
        </w:rPr>
        <w:t>t</w:t>
      </w:r>
      <w:r w:rsidRPr="001B02B6">
        <w:rPr>
          <w:rFonts w:ascii="Times New Roman" w:eastAsia="Times New Roman" w:hAnsi="Times New Roman" w:cs="Times New Roman"/>
          <w:bCs/>
          <w:i/>
        </w:rPr>
        <w:t>ų)</w:t>
      </w:r>
    </w:p>
    <w:p w:rsidR="00DB6982" w:rsidRPr="00884EED" w:rsidRDefault="00DB6982" w:rsidP="00DB698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Grybelinės infekcijos (pvz., pienligė)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Baltųjų kraujo ląstelių skaičiaus sumažėjimas (</w:t>
      </w:r>
      <w:proofErr w:type="spellStart"/>
      <w:r w:rsidRPr="00884EED">
        <w:rPr>
          <w:rFonts w:ascii="Times New Roman" w:eastAsia="Calibri" w:hAnsi="Times New Roman" w:cs="Times New Roman"/>
        </w:rPr>
        <w:t>granuliocitopenija</w:t>
      </w:r>
      <w:proofErr w:type="spellEnd"/>
      <w:r w:rsidRPr="00884EED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Raudonųjų kraujo ląstelių skaičiaus sumažėjimas (anemija)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Kraujo krešėjimo sutrikimai. Tai apima tokius simptomus: lengvai atsirandančios kraujosr</w:t>
      </w:r>
      <w:r>
        <w:rPr>
          <w:rFonts w:ascii="Times New Roman" w:eastAsia="Calibri" w:hAnsi="Times New Roman" w:cs="Times New Roman"/>
        </w:rPr>
        <w:t>u</w:t>
      </w:r>
      <w:r w:rsidRPr="00884EED">
        <w:rPr>
          <w:rFonts w:ascii="Times New Roman" w:eastAsia="Calibri" w:hAnsi="Times New Roman" w:cs="Times New Roman"/>
        </w:rPr>
        <w:t>vos ir sąnarių skausmas bei patinimas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Galvos skausmas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Svaig</w:t>
      </w:r>
      <w:r>
        <w:rPr>
          <w:rFonts w:ascii="Times New Roman" w:eastAsia="Calibri" w:hAnsi="Times New Roman" w:cs="Times New Roman"/>
        </w:rPr>
        <w:t>uly</w:t>
      </w:r>
      <w:r w:rsidRPr="00884EED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Pykinim</w:t>
      </w:r>
      <w:r w:rsidRPr="00884EED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>s</w:t>
      </w:r>
      <w:r w:rsidRPr="00884EED">
        <w:rPr>
          <w:rFonts w:ascii="Times New Roman" w:eastAsia="Calibri" w:hAnsi="Times New Roman" w:cs="Times New Roman"/>
        </w:rPr>
        <w:t xml:space="preserve"> a</w:t>
      </w:r>
      <w:r>
        <w:rPr>
          <w:rFonts w:ascii="Times New Roman" w:eastAsia="Calibri" w:hAnsi="Times New Roman" w:cs="Times New Roman"/>
        </w:rPr>
        <w:t xml:space="preserve">r </w:t>
      </w:r>
      <w:r w:rsidRPr="00884EED">
        <w:rPr>
          <w:rFonts w:ascii="Times New Roman" w:eastAsia="Calibri" w:hAnsi="Times New Roman" w:cs="Times New Roman"/>
        </w:rPr>
        <w:t>v</w:t>
      </w:r>
      <w:r>
        <w:rPr>
          <w:rFonts w:ascii="Times New Roman" w:eastAsia="Calibri" w:hAnsi="Times New Roman" w:cs="Times New Roman"/>
        </w:rPr>
        <w:t>ėm</w:t>
      </w:r>
      <w:r w:rsidRPr="00884EED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m</w:t>
      </w:r>
      <w:r w:rsidRPr="00884EED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>s.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Niež</w:t>
      </w:r>
      <w:r>
        <w:rPr>
          <w:rFonts w:ascii="Times New Roman" w:eastAsia="Calibri" w:hAnsi="Times New Roman" w:cs="Times New Roman"/>
        </w:rPr>
        <w:t>ėjima</w:t>
      </w:r>
      <w:r w:rsidRPr="00884EED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 xml:space="preserve">Skausmas ir deginimo </w:t>
      </w:r>
      <w:r>
        <w:rPr>
          <w:rFonts w:ascii="Times New Roman" w:eastAsia="Calibri" w:hAnsi="Times New Roman" w:cs="Times New Roman"/>
        </w:rPr>
        <w:t>po</w:t>
      </w:r>
      <w:r w:rsidRPr="00884EED">
        <w:rPr>
          <w:rFonts w:ascii="Times New Roman" w:eastAsia="Calibri" w:hAnsi="Times New Roman" w:cs="Times New Roman"/>
        </w:rPr>
        <w:t>j</w:t>
      </w:r>
      <w:r>
        <w:rPr>
          <w:rFonts w:ascii="Times New Roman" w:eastAsia="Calibri" w:hAnsi="Times New Roman" w:cs="Times New Roman"/>
        </w:rPr>
        <w:t>ūti</w:t>
      </w:r>
      <w:r w:rsidRPr="00884EED">
        <w:rPr>
          <w:rFonts w:ascii="Times New Roman" w:eastAsia="Calibri" w:hAnsi="Times New Roman" w:cs="Times New Roman"/>
        </w:rPr>
        <w:t xml:space="preserve">s </w:t>
      </w:r>
      <w:r>
        <w:rPr>
          <w:rFonts w:ascii="Times New Roman" w:eastAsia="Calibri" w:hAnsi="Times New Roman" w:cs="Times New Roman"/>
        </w:rPr>
        <w:t xml:space="preserve">išilgai </w:t>
      </w:r>
      <w:r w:rsidRPr="00884EED">
        <w:rPr>
          <w:rFonts w:ascii="Times New Roman" w:eastAsia="Calibri" w:hAnsi="Times New Roman" w:cs="Times New Roman"/>
        </w:rPr>
        <w:t>veno</w:t>
      </w:r>
      <w:r>
        <w:rPr>
          <w:rFonts w:ascii="Times New Roman" w:eastAsia="Calibri" w:hAnsi="Times New Roman" w:cs="Times New Roman"/>
        </w:rPr>
        <w:t>s</w:t>
      </w:r>
      <w:r w:rsidRPr="00884EED">
        <w:rPr>
          <w:rFonts w:ascii="Times New Roman" w:eastAsia="Calibri" w:hAnsi="Times New Roman" w:cs="Times New Roman"/>
        </w:rPr>
        <w:t xml:space="preserve">, į kurią buvo </w:t>
      </w:r>
      <w:r>
        <w:rPr>
          <w:rFonts w:ascii="Times New Roman" w:eastAsia="Calibri" w:hAnsi="Times New Roman" w:cs="Times New Roman"/>
        </w:rPr>
        <w:t>le</w:t>
      </w:r>
      <w:r w:rsidRPr="00884EED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s</w:t>
      </w:r>
      <w:r w:rsidRPr="00884EED">
        <w:rPr>
          <w:rFonts w:ascii="Times New Roman" w:eastAsia="Calibri" w:hAnsi="Times New Roman" w:cs="Times New Roman"/>
        </w:rPr>
        <w:t xml:space="preserve">ta </w:t>
      </w:r>
      <w:proofErr w:type="spellStart"/>
      <w:r w:rsidRPr="00884EED">
        <w:rPr>
          <w:rFonts w:ascii="Times New Roman" w:eastAsia="Calibri" w:hAnsi="Times New Roman" w:cs="Times New Roman"/>
        </w:rPr>
        <w:t>Ceftriaxone</w:t>
      </w:r>
      <w:proofErr w:type="spellEnd"/>
      <w:r w:rsidRPr="00884EED">
        <w:rPr>
          <w:rFonts w:ascii="Times New Roman" w:eastAsia="Calibri" w:hAnsi="Times New Roman" w:cs="Times New Roman"/>
        </w:rPr>
        <w:t xml:space="preserve"> Kabi</w:t>
      </w:r>
      <w:r>
        <w:rPr>
          <w:rFonts w:ascii="Times New Roman" w:eastAsia="Calibri" w:hAnsi="Times New Roman" w:cs="Times New Roman"/>
        </w:rPr>
        <w:t>,</w:t>
      </w:r>
      <w:r w:rsidRPr="00884EED">
        <w:rPr>
          <w:rFonts w:ascii="Times New Roman" w:eastAsia="Calibri" w:hAnsi="Times New Roman" w:cs="Times New Roman"/>
        </w:rPr>
        <w:t xml:space="preserve"> skausmas injekcijos vietoje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Didelė</w:t>
      </w:r>
      <w:r w:rsidRPr="00884EED">
        <w:rPr>
          <w:rFonts w:ascii="Times New Roman" w:eastAsia="Calibri" w:hAnsi="Times New Roman" w:cs="Times New Roman"/>
        </w:rPr>
        <w:t xml:space="preserve"> kūno temperatūra (karščiavimas)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 xml:space="preserve">Nenormalūs inkstų funkcijos tyrimų rezultatai (padidėjusi </w:t>
      </w:r>
      <w:proofErr w:type="spellStart"/>
      <w:r w:rsidRPr="00884EED">
        <w:rPr>
          <w:rFonts w:ascii="Times New Roman" w:eastAsia="Calibri" w:hAnsi="Times New Roman" w:cs="Times New Roman"/>
        </w:rPr>
        <w:t>kreatinino</w:t>
      </w:r>
      <w:proofErr w:type="spellEnd"/>
      <w:r w:rsidRPr="00884EED">
        <w:rPr>
          <w:rFonts w:ascii="Times New Roman" w:eastAsia="Calibri" w:hAnsi="Times New Roman" w:cs="Times New Roman"/>
        </w:rPr>
        <w:t xml:space="preserve"> koncentracija serume).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84EED">
        <w:rPr>
          <w:rFonts w:ascii="Times New Roman" w:eastAsia="Times New Roman" w:hAnsi="Times New Roman" w:cs="Times New Roman"/>
          <w:b/>
          <w:bCs/>
        </w:rPr>
        <w:t>Ret</w:t>
      </w:r>
      <w:r>
        <w:rPr>
          <w:rFonts w:ascii="Times New Roman" w:eastAsia="Times New Roman" w:hAnsi="Times New Roman" w:cs="Times New Roman"/>
          <w:b/>
          <w:bCs/>
        </w:rPr>
        <w:t>as</w:t>
      </w:r>
      <w:r w:rsidRPr="001B02B6">
        <w:rPr>
          <w:rFonts w:ascii="Times New Roman" w:eastAsia="Times New Roman" w:hAnsi="Times New Roman" w:cs="Times New Roman"/>
          <w:bCs/>
        </w:rPr>
        <w:t xml:space="preserve"> </w:t>
      </w:r>
      <w:r w:rsidRPr="001B02B6">
        <w:rPr>
          <w:rFonts w:ascii="Times New Roman" w:eastAsia="Times New Roman" w:hAnsi="Times New Roman" w:cs="Times New Roman"/>
          <w:bCs/>
          <w:i/>
        </w:rPr>
        <w:t xml:space="preserve">(gali pasireikšti </w:t>
      </w:r>
      <w:r>
        <w:rPr>
          <w:rFonts w:ascii="Times New Roman" w:eastAsia="Times New Roman" w:hAnsi="Times New Roman" w:cs="Times New Roman"/>
          <w:bCs/>
          <w:i/>
        </w:rPr>
        <w:t>r</w:t>
      </w:r>
      <w:r w:rsidRPr="001B02B6">
        <w:rPr>
          <w:rFonts w:ascii="Times New Roman" w:eastAsia="Times New Roman" w:hAnsi="Times New Roman" w:cs="Times New Roman"/>
          <w:bCs/>
          <w:i/>
        </w:rPr>
        <w:t>e</w:t>
      </w:r>
      <w:r>
        <w:rPr>
          <w:rFonts w:ascii="Times New Roman" w:eastAsia="Times New Roman" w:hAnsi="Times New Roman" w:cs="Times New Roman"/>
          <w:bCs/>
          <w:i/>
        </w:rPr>
        <w:t>čia</w:t>
      </w:r>
      <w:r w:rsidRPr="001B02B6">
        <w:rPr>
          <w:rFonts w:ascii="Times New Roman" w:eastAsia="Times New Roman" w:hAnsi="Times New Roman" w:cs="Times New Roman"/>
          <w:bCs/>
          <w:i/>
        </w:rPr>
        <w:t>u</w:t>
      </w:r>
      <w:r>
        <w:rPr>
          <w:rFonts w:ascii="Times New Roman" w:eastAsia="Times New Roman" w:hAnsi="Times New Roman" w:cs="Times New Roman"/>
          <w:bCs/>
          <w:i/>
        </w:rPr>
        <w:t xml:space="preserve"> kaip</w:t>
      </w:r>
      <w:r w:rsidRPr="001B02B6">
        <w:rPr>
          <w:rFonts w:ascii="Times New Roman" w:eastAsia="Times New Roman" w:hAnsi="Times New Roman" w:cs="Times New Roman"/>
          <w:bCs/>
          <w:i/>
        </w:rPr>
        <w:t xml:space="preserve"> 1 iš 1000</w:t>
      </w:r>
      <w:r>
        <w:rPr>
          <w:rFonts w:ascii="Times New Roman" w:eastAsia="Times New Roman" w:hAnsi="Times New Roman" w:cs="Times New Roman"/>
          <w:bCs/>
          <w:i/>
        </w:rPr>
        <w:t> pacie</w:t>
      </w:r>
      <w:r w:rsidRPr="001B02B6">
        <w:rPr>
          <w:rFonts w:ascii="Times New Roman" w:eastAsia="Times New Roman" w:hAnsi="Times New Roman" w:cs="Times New Roman"/>
          <w:bCs/>
          <w:i/>
        </w:rPr>
        <w:t>n</w:t>
      </w:r>
      <w:r>
        <w:rPr>
          <w:rFonts w:ascii="Times New Roman" w:eastAsia="Times New Roman" w:hAnsi="Times New Roman" w:cs="Times New Roman"/>
          <w:bCs/>
          <w:i/>
        </w:rPr>
        <w:t>t</w:t>
      </w:r>
      <w:r w:rsidRPr="001B02B6">
        <w:rPr>
          <w:rFonts w:ascii="Times New Roman" w:eastAsia="Times New Roman" w:hAnsi="Times New Roman" w:cs="Times New Roman"/>
          <w:bCs/>
          <w:i/>
        </w:rPr>
        <w:t>ų)</w:t>
      </w:r>
    </w:p>
    <w:p w:rsidR="00DB6982" w:rsidRPr="00884EED" w:rsidRDefault="00DB6982" w:rsidP="00DB698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Storosios žarnos uždegimas. Tai apima tokius simptomus: viduriavimas, dažnai su kraujo ar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gleivių priemaiša, pilvo skausmas ir karščiavimas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Sunkumas kvėpuoti (</w:t>
      </w:r>
      <w:proofErr w:type="spellStart"/>
      <w:r w:rsidRPr="00884EED">
        <w:rPr>
          <w:rFonts w:ascii="Times New Roman" w:eastAsia="Calibri" w:hAnsi="Times New Roman" w:cs="Times New Roman"/>
        </w:rPr>
        <w:t>bronchospazmas</w:t>
      </w:r>
      <w:proofErr w:type="spellEnd"/>
      <w:r w:rsidRPr="00884EED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Niežtintis </w:t>
      </w:r>
      <w:r w:rsidRPr="00884EED">
        <w:rPr>
          <w:rFonts w:ascii="Times New Roman" w:eastAsia="Calibri" w:hAnsi="Times New Roman" w:cs="Times New Roman"/>
        </w:rPr>
        <w:t>išbėrimas (dilgėlinė), kuris</w:t>
      </w:r>
      <w:r>
        <w:rPr>
          <w:rFonts w:ascii="Times New Roman" w:eastAsia="Calibri" w:hAnsi="Times New Roman" w:cs="Times New Roman"/>
        </w:rPr>
        <w:t xml:space="preserve"> </w:t>
      </w:r>
      <w:r w:rsidRPr="00884EED">
        <w:rPr>
          <w:rFonts w:ascii="Times New Roman" w:eastAsia="Calibri" w:hAnsi="Times New Roman" w:cs="Times New Roman"/>
        </w:rPr>
        <w:t>gali dengti didelį kūno plotą, niežėjimas ir pa</w:t>
      </w:r>
      <w:r>
        <w:rPr>
          <w:rFonts w:ascii="Times New Roman" w:eastAsia="Calibri" w:hAnsi="Times New Roman" w:cs="Times New Roman"/>
        </w:rPr>
        <w:t>br</w:t>
      </w:r>
      <w:r w:rsidRPr="00884EED">
        <w:rPr>
          <w:rFonts w:ascii="Times New Roman" w:eastAsia="Calibri" w:hAnsi="Times New Roman" w:cs="Times New Roman"/>
        </w:rPr>
        <w:t>in</w:t>
      </w:r>
      <w:r>
        <w:rPr>
          <w:rFonts w:ascii="Times New Roman" w:eastAsia="Calibri" w:hAnsi="Times New Roman" w:cs="Times New Roman"/>
        </w:rPr>
        <w:t>k</w:t>
      </w:r>
      <w:r w:rsidRPr="00884EED">
        <w:rPr>
          <w:rFonts w:ascii="Times New Roman" w:eastAsia="Calibri" w:hAnsi="Times New Roman" w:cs="Times New Roman"/>
        </w:rPr>
        <w:t>imas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Kraujas ar gliukozė šlapime</w:t>
      </w:r>
      <w:r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Edema (skysčių susikaupimas)</w:t>
      </w:r>
      <w:r>
        <w:rPr>
          <w:rFonts w:ascii="Times New Roman" w:eastAsia="Calibri" w:hAnsi="Times New Roman" w:cs="Times New Roman"/>
        </w:rPr>
        <w:t>.</w:t>
      </w:r>
    </w:p>
    <w:p w:rsidR="00DB6982" w:rsidRDefault="00DB6982" w:rsidP="00DB6982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Calibri" w:hAnsi="Times New Roman" w:cs="Times New Roman"/>
        </w:rPr>
      </w:pPr>
      <w:proofErr w:type="spellStart"/>
      <w:r w:rsidRPr="00884EED">
        <w:rPr>
          <w:rFonts w:ascii="Times New Roman" w:eastAsia="Calibri" w:hAnsi="Times New Roman" w:cs="Times New Roman"/>
        </w:rPr>
        <w:t>Šaltkrėtis</w:t>
      </w:r>
      <w:proofErr w:type="spellEnd"/>
      <w:r w:rsidRPr="00884EED">
        <w:rPr>
          <w:rFonts w:ascii="Times New Roman" w:eastAsia="Calibri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Calibri" w:hAnsi="Times New Roman" w:cs="Times New Roman"/>
        </w:rPr>
      </w:pPr>
      <w:r w:rsidRPr="00FC02BB">
        <w:rPr>
          <w:rFonts w:ascii="Times New Roman" w:eastAsia="Calibri" w:hAnsi="Times New Roman" w:cs="Times New Roman"/>
        </w:rPr>
        <w:t xml:space="preserve">Gydymas </w:t>
      </w:r>
      <w:proofErr w:type="spellStart"/>
      <w:r w:rsidRPr="00FC02BB">
        <w:rPr>
          <w:rFonts w:ascii="Times New Roman" w:eastAsia="Calibri" w:hAnsi="Times New Roman" w:cs="Times New Roman"/>
        </w:rPr>
        <w:t>ceftriaksonu</w:t>
      </w:r>
      <w:proofErr w:type="spellEnd"/>
      <w:r w:rsidRPr="00FC02BB">
        <w:rPr>
          <w:rFonts w:ascii="Times New Roman" w:eastAsia="Calibri" w:hAnsi="Times New Roman" w:cs="Times New Roman"/>
        </w:rPr>
        <w:t>, ypač senyviems pacientams, kuriems yra sunkių kepenų funkcijos arba nervų sistemos sutrikimų, retai gali sukelti sąmonės sutrikimą, neįprastus judesius, susijaudinimą ir</w:t>
      </w:r>
      <w:r>
        <w:rPr>
          <w:rFonts w:ascii="Times New Roman" w:eastAsia="Calibri" w:hAnsi="Times New Roman" w:cs="Times New Roman"/>
        </w:rPr>
        <w:t xml:space="preserve"> </w:t>
      </w:r>
      <w:r w:rsidRPr="00FC02BB">
        <w:rPr>
          <w:rFonts w:ascii="Times New Roman" w:eastAsia="Calibri" w:hAnsi="Times New Roman" w:cs="Times New Roman"/>
        </w:rPr>
        <w:t>traukulius.</w:t>
      </w:r>
    </w:p>
    <w:p w:rsidR="00DB6982" w:rsidRPr="00884EED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</w:rPr>
      </w:pPr>
      <w:r w:rsidRPr="00884EED">
        <w:rPr>
          <w:rFonts w:ascii="Times New Roman" w:eastAsia="Times New Roman" w:hAnsi="Times New Roman" w:cs="Times New Roman"/>
          <w:b/>
          <w:bCs/>
        </w:rPr>
        <w:t>Dažnis nežinomas</w:t>
      </w:r>
      <w:r w:rsidRPr="001B02B6">
        <w:rPr>
          <w:rFonts w:ascii="Times New Roman" w:eastAsia="Times New Roman" w:hAnsi="Times New Roman" w:cs="Times New Roman"/>
          <w:bCs/>
        </w:rPr>
        <w:t xml:space="preserve"> </w:t>
      </w:r>
      <w:r w:rsidRPr="001B02B6">
        <w:rPr>
          <w:rFonts w:ascii="Times New Roman" w:eastAsia="Times New Roman" w:hAnsi="Times New Roman" w:cs="Times New Roman"/>
          <w:bCs/>
          <w:i/>
        </w:rPr>
        <w:t>(negali būti apskaičiuotas pagal turimus duomenis)</w:t>
      </w:r>
    </w:p>
    <w:p w:rsidR="00DB6982" w:rsidRPr="00884EED" w:rsidRDefault="00DB6982" w:rsidP="00DB6982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Antrinė infekcija,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galinti nereaguoti į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gydymą anksčiau paskirtu antibiotiku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Anemijos forma, kuriai esant yra raudonosios kraujo ląstelės (hemolizinė anemija)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Didelis baltųjų kraujo ląstelių skaičiaus sumažėjimas (</w:t>
      </w:r>
      <w:proofErr w:type="spellStart"/>
      <w:r w:rsidRPr="00884EED">
        <w:rPr>
          <w:rFonts w:ascii="Times New Roman" w:eastAsia="Times New Roman" w:hAnsi="Times New Roman" w:cs="Times New Roman"/>
        </w:rPr>
        <w:t>agranuliocitozė</w:t>
      </w:r>
      <w:proofErr w:type="spellEnd"/>
      <w:r w:rsidRPr="00884EED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Traukuliai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Svaigimas (sukimosi pojūtis)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Kasos uždegimas (pankreatitas). Tai apima tokius simptomus: stiprus pilvo skausmas, plintantis į nugarą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Burnos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gleivinės uždegimas (stomatitas)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Liežuvio uždegimas (glositas). Tai apima tokius simptomus: liežuvio pa</w:t>
      </w:r>
      <w:r>
        <w:rPr>
          <w:rFonts w:ascii="Times New Roman" w:eastAsia="Times New Roman" w:hAnsi="Times New Roman" w:cs="Times New Roman"/>
        </w:rPr>
        <w:t>br</w:t>
      </w:r>
      <w:r w:rsidRPr="00884EE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k</w:t>
      </w:r>
      <w:r w:rsidRPr="00884EED">
        <w:rPr>
          <w:rFonts w:ascii="Times New Roman" w:eastAsia="Times New Roman" w:hAnsi="Times New Roman" w:cs="Times New Roman"/>
        </w:rPr>
        <w:t>imas, paraudimas ir skausmas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Tulžies pūslės</w:t>
      </w:r>
      <w:r w:rsidRPr="00E867DF">
        <w:rPr>
          <w:rFonts w:ascii="Times New Roman" w:eastAsia="Times New Roman" w:hAnsi="Times New Roman" w:cs="Times New Roman"/>
        </w:rPr>
        <w:t xml:space="preserve"> </w:t>
      </w:r>
      <w:r w:rsidRPr="00E753FB">
        <w:rPr>
          <w:rFonts w:ascii="Times New Roman" w:eastAsia="Times New Roman" w:hAnsi="Times New Roman" w:cs="Times New Roman"/>
        </w:rPr>
        <w:t>ir (arba) kepenų</w:t>
      </w:r>
      <w:r w:rsidRPr="00884EED">
        <w:rPr>
          <w:rFonts w:ascii="Times New Roman" w:eastAsia="Times New Roman" w:hAnsi="Times New Roman" w:cs="Times New Roman"/>
        </w:rPr>
        <w:t xml:space="preserve"> veiklos sutrikimai, kurie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gali sukelti skausmą</w:t>
      </w:r>
      <w:r>
        <w:rPr>
          <w:rFonts w:ascii="Times New Roman" w:eastAsia="Times New Roman" w:hAnsi="Times New Roman" w:cs="Times New Roman"/>
        </w:rPr>
        <w:t>,</w:t>
      </w:r>
      <w:r w:rsidRPr="00884E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pykinim</w:t>
      </w:r>
      <w:r w:rsidRPr="00884EED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, </w:t>
      </w:r>
      <w:r w:rsidRPr="00884EED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ėm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m</w:t>
      </w:r>
      <w:r w:rsidRPr="00884EED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, </w:t>
      </w:r>
      <w:r w:rsidRPr="00122A59">
        <w:rPr>
          <w:rFonts w:ascii="Times New Roman" w:eastAsia="Times New Roman" w:hAnsi="Times New Roman" w:cs="Times New Roman"/>
        </w:rPr>
        <w:t>odos pageltimą, niežulį, neįprastai tamsų šlapimą ir balkšvos spalvos išmatas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Neurologinis sutrikimas,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 xml:space="preserve">galintis </w:t>
      </w:r>
      <w:r>
        <w:rPr>
          <w:rFonts w:ascii="Times New Roman" w:eastAsia="Times New Roman" w:hAnsi="Times New Roman" w:cs="Times New Roman"/>
        </w:rPr>
        <w:t>p</w:t>
      </w:r>
      <w:r w:rsidRPr="00884EED">
        <w:rPr>
          <w:rFonts w:ascii="Times New Roman" w:eastAsia="Times New Roman" w:hAnsi="Times New Roman" w:cs="Times New Roman"/>
        </w:rPr>
        <w:t>asir</w:t>
      </w:r>
      <w:r>
        <w:rPr>
          <w:rFonts w:ascii="Times New Roman" w:eastAsia="Times New Roman" w:hAnsi="Times New Roman" w:cs="Times New Roman"/>
        </w:rPr>
        <w:t>eikš</w:t>
      </w:r>
      <w:r w:rsidRPr="00884EED">
        <w:rPr>
          <w:rFonts w:ascii="Times New Roman" w:eastAsia="Times New Roman" w:hAnsi="Times New Roman" w:cs="Times New Roman"/>
        </w:rPr>
        <w:t>ti naujagimiams, kuriems pasireiškė sunki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gelta (</w:t>
      </w:r>
      <w:r>
        <w:rPr>
          <w:rFonts w:ascii="Times New Roman" w:eastAsia="Times New Roman" w:hAnsi="Times New Roman" w:cs="Times New Roman"/>
        </w:rPr>
        <w:t>b</w:t>
      </w:r>
      <w:r w:rsidRPr="00163D7B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a</w:t>
      </w:r>
      <w:r w:rsidRPr="00163D7B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duol</w:t>
      </w:r>
      <w:r w:rsidRPr="00163D7B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ų g</w:t>
      </w:r>
      <w:r w:rsidRPr="00163D7B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lta</w:t>
      </w:r>
      <w:r w:rsidRPr="00884EED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Inkstų sutrikimai, kuriuos sukėlė kalcio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druskų nuosėdos.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Gali būti jaučiamas skausmas šlapinantis ar sumažėjęs šlapimo kiekis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Klaidingai teigiamas </w:t>
      </w:r>
      <w:proofErr w:type="spellStart"/>
      <w:r w:rsidRPr="00884EED">
        <w:rPr>
          <w:rFonts w:ascii="Times New Roman" w:eastAsia="Times New Roman" w:hAnsi="Times New Roman" w:cs="Times New Roman"/>
        </w:rPr>
        <w:t>Kumbso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testo rezultatas (kai kuriems kraujo sutrikimams tirti naudojamas testas)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Klaidingai teigiami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galaktozemijos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(per didelio angliavandenio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galaktozės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kiekio kraujyje susidarymo) tyrimo duomenys</w:t>
      </w:r>
      <w:r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numPr>
          <w:ilvl w:val="1"/>
          <w:numId w:val="45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gali veikti kai kurių rūšių gliukozės kiekio kraujo serume nustatymo tyrimus – pasitarkite su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gydytoju.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884EED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</w:rPr>
      </w:pPr>
      <w:r w:rsidRPr="00884EED">
        <w:rPr>
          <w:rFonts w:ascii="Times New Roman" w:eastAsia="Times New Roman" w:hAnsi="Times New Roman" w:cs="Times New Roman"/>
          <w:noProof/>
          <w:snapToGrid w:val="0"/>
        </w:rPr>
        <w:t xml:space="preserve">Jeigu pasireiškė šalutinis poveikis, įskaitant šiame lapelyje nenurodytą, pasakykite gydytojui, vaistininkui arba </w:t>
      </w:r>
      <w:r w:rsidRPr="00884EED">
        <w:rPr>
          <w:rFonts w:ascii="Times New Roman" w:eastAsia="Times New Roman" w:hAnsi="Times New Roman" w:cs="Times New Roman"/>
          <w:snapToGrid w:val="0"/>
        </w:rPr>
        <w:t>slaugytojui.</w:t>
      </w:r>
      <w:r w:rsidRPr="00884EED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884EED">
        <w:rPr>
          <w:rFonts w:ascii="Times New Roman" w:eastAsia="Calibri" w:hAnsi="Times New Roman" w:cs="Times New Roman"/>
        </w:rPr>
        <w:t>Apie šalutinį poveikį taip pat galite pranešti Valstybinei vaistų kontrolės tarnybai prie Lietuvos Respublikos sveikatos apsaugos ministerijos nemokamu t</w:t>
      </w:r>
      <w:r w:rsidRPr="00884EED">
        <w:rPr>
          <w:rFonts w:ascii="Times New Roman" w:eastAsia="Calibri" w:hAnsi="Times New Roman" w:cs="Times New Roman"/>
          <w:lang w:eastAsia="zh-CN"/>
        </w:rPr>
        <w:t>elefonu 8</w:t>
      </w:r>
      <w:r>
        <w:rPr>
          <w:rFonts w:ascii="Times New Roman" w:eastAsia="Calibri" w:hAnsi="Times New Roman" w:cs="Times New Roman"/>
          <w:lang w:eastAsia="zh-CN"/>
        </w:rPr>
        <w:t> </w:t>
      </w:r>
      <w:r w:rsidRPr="00884EED">
        <w:rPr>
          <w:rFonts w:ascii="Times New Roman" w:eastAsia="Calibri" w:hAnsi="Times New Roman" w:cs="Times New Roman"/>
          <w:lang w:eastAsia="zh-CN"/>
        </w:rPr>
        <w:t>800</w:t>
      </w:r>
      <w:r>
        <w:rPr>
          <w:rFonts w:ascii="Times New Roman" w:eastAsia="Calibri" w:hAnsi="Times New Roman" w:cs="Times New Roman"/>
          <w:lang w:eastAsia="zh-CN"/>
        </w:rPr>
        <w:t> </w:t>
      </w:r>
      <w:r w:rsidRPr="00884EED">
        <w:rPr>
          <w:rFonts w:ascii="Times New Roman" w:eastAsia="Calibri" w:hAnsi="Times New Roman" w:cs="Times New Roman"/>
          <w:lang w:eastAsia="zh-CN"/>
        </w:rPr>
        <w:t>73568</w:t>
      </w:r>
      <w:r w:rsidRPr="00884EED">
        <w:rPr>
          <w:rFonts w:ascii="Times New Roman" w:eastAsia="Calibri" w:hAnsi="Times New Roman" w:cs="Times New Roman"/>
        </w:rPr>
        <w:t xml:space="preserve"> arba užpildyti interneto svetainėje </w:t>
      </w:r>
      <w:hyperlink r:id="rId5" w:history="1">
        <w:r w:rsidRPr="00884EED">
          <w:rPr>
            <w:rFonts w:ascii="Times New Roman" w:eastAsia="SimSun" w:hAnsi="Times New Roman" w:cs="Times New Roman"/>
            <w:color w:val="0000FF"/>
            <w:u w:val="single"/>
          </w:rPr>
          <w:t>www.vvkt.lt</w:t>
        </w:r>
      </w:hyperlink>
      <w:r w:rsidRPr="00884EED">
        <w:rPr>
          <w:rFonts w:ascii="Times New Roman" w:eastAsia="Calibri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g.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139A, LT</w:t>
      </w:r>
      <w:r>
        <w:rPr>
          <w:rFonts w:ascii="Times New Roman" w:eastAsia="Calibri" w:hAnsi="Times New Roman" w:cs="Times New Roman"/>
        </w:rPr>
        <w:noBreakHyphen/>
      </w:r>
      <w:r w:rsidRPr="00884EED">
        <w:rPr>
          <w:rFonts w:ascii="Times New Roman" w:eastAsia="Calibri" w:hAnsi="Times New Roman" w:cs="Times New Roman"/>
        </w:rPr>
        <w:t>09120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 xml:space="preserve">Vilnius), </w:t>
      </w:r>
      <w:r w:rsidRPr="00884EED">
        <w:rPr>
          <w:rFonts w:ascii="Times New Roman" w:eastAsia="Calibri" w:hAnsi="Times New Roman" w:cs="Times New Roman"/>
          <w:lang w:eastAsia="zh-CN"/>
        </w:rPr>
        <w:t xml:space="preserve">nemokamu </w:t>
      </w:r>
      <w:r w:rsidRPr="00884EED">
        <w:rPr>
          <w:rFonts w:ascii="Times New Roman" w:eastAsia="Calibri" w:hAnsi="Times New Roman" w:cs="Times New Roman"/>
        </w:rPr>
        <w:t>fakso numeriu 8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800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>20131</w:t>
      </w:r>
      <w:r w:rsidRPr="00884EED">
        <w:rPr>
          <w:rFonts w:ascii="Times New Roman" w:eastAsia="Calibri" w:hAnsi="Times New Roman" w:cs="Times New Roman"/>
          <w:lang w:eastAsia="zh-CN"/>
        </w:rPr>
        <w:t xml:space="preserve">, </w:t>
      </w:r>
      <w:r w:rsidRPr="00884EED">
        <w:rPr>
          <w:rFonts w:ascii="Times New Roman" w:eastAsia="Calibri" w:hAnsi="Times New Roman" w:cs="Times New Roman"/>
        </w:rPr>
        <w:t>el.</w:t>
      </w:r>
      <w:r>
        <w:rPr>
          <w:rFonts w:ascii="Times New Roman" w:eastAsia="Calibri" w:hAnsi="Times New Roman" w:cs="Times New Roman"/>
        </w:rPr>
        <w:t> </w:t>
      </w:r>
      <w:r w:rsidRPr="00884EED">
        <w:rPr>
          <w:rFonts w:ascii="Times New Roman" w:eastAsia="Calibri" w:hAnsi="Times New Roman" w:cs="Times New Roman"/>
        </w:rPr>
        <w:t xml:space="preserve">paštu </w:t>
      </w:r>
      <w:hyperlink r:id="rId6" w:history="1">
        <w:r w:rsidRPr="00884EED">
          <w:rPr>
            <w:rFonts w:ascii="Times New Roman" w:eastAsia="SimSun" w:hAnsi="Times New Roman" w:cs="Times New Roman"/>
            <w:color w:val="0000FF"/>
            <w:u w:val="single"/>
          </w:rPr>
          <w:t>NepageidaujamaR@vvkt.lt</w:t>
        </w:r>
      </w:hyperlink>
      <w:r w:rsidRPr="00884EED">
        <w:rPr>
          <w:rFonts w:ascii="Times New Roman" w:eastAsia="Calibri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884EED">
          <w:rPr>
            <w:rFonts w:ascii="Times New Roman" w:eastAsia="SimSun" w:hAnsi="Times New Roman" w:cs="Times New Roman"/>
            <w:color w:val="0000FF"/>
            <w:u w:val="single"/>
          </w:rPr>
          <w:t>http://www.vvkt.lt</w:t>
        </w:r>
      </w:hyperlink>
      <w:r w:rsidRPr="00884EED">
        <w:rPr>
          <w:rFonts w:ascii="Times New Roman" w:eastAsia="Calibri" w:hAnsi="Times New Roman" w:cs="Times New Roman"/>
        </w:rPr>
        <w:t>). Pranešdami apie šalutinį poveikį galite mums padėti gauti daugiau informacijos apie šio vaisto saugumą.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84EED">
        <w:rPr>
          <w:rFonts w:ascii="Times New Roman" w:eastAsia="Times New Roman" w:hAnsi="Times New Roman" w:cs="Times New Roman"/>
          <w:b/>
          <w:caps/>
        </w:rPr>
        <w:t>5.</w:t>
      </w:r>
      <w:r w:rsidRPr="00884EED">
        <w:rPr>
          <w:rFonts w:ascii="Times New Roman" w:eastAsia="Times New Roman" w:hAnsi="Times New Roman" w:cs="Times New Roman"/>
          <w:b/>
          <w:caps/>
        </w:rPr>
        <w:tab/>
      </w:r>
      <w:r w:rsidRPr="00884EED">
        <w:rPr>
          <w:rFonts w:ascii="Times New Roman" w:eastAsia="Times New Roman" w:hAnsi="Times New Roman" w:cs="Times New Roman"/>
          <w:b/>
        </w:rPr>
        <w:t xml:space="preserve">Kaip laikyti </w:t>
      </w: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Ant </w:t>
      </w:r>
      <w:r>
        <w:rPr>
          <w:rFonts w:ascii="Times New Roman" w:eastAsia="Times New Roman" w:hAnsi="Times New Roman" w:cs="Times New Roman"/>
        </w:rPr>
        <w:t>etiketės</w:t>
      </w:r>
      <w:r w:rsidRPr="00884EED">
        <w:rPr>
          <w:rFonts w:ascii="Times New Roman" w:eastAsia="Times New Roman" w:hAnsi="Times New Roman" w:cs="Times New Roman"/>
        </w:rPr>
        <w:t xml:space="preserve"> po „EXP“ nurodytam tinkamumo laikui pasibaigus, šio vaisto vartoti negalima. Vaistas tinkamas vartoti iki paskutinės nurodyto mėnesio dienos.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Flakoną laikyti išorinėje dėžutėje, kad</w:t>
      </w:r>
      <w:r>
        <w:rPr>
          <w:rFonts w:ascii="Times New Roman" w:eastAsia="Times New Roman" w:hAnsi="Times New Roman" w:cs="Times New Roman"/>
        </w:rPr>
        <w:t xml:space="preserve"> vaistas</w:t>
      </w:r>
      <w:r w:rsidRPr="00884EED">
        <w:rPr>
          <w:rFonts w:ascii="Times New Roman" w:eastAsia="Times New Roman" w:hAnsi="Times New Roman" w:cs="Times New Roman"/>
        </w:rPr>
        <w:t xml:space="preserve"> būtų apsaugotas nuo šviesos.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miltelius ištirpinus ir paruošus tirpalą, jį reikia vartoti nedelsiant. Vis dėlto tirpalą galima laikyti 25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>°C temperatūroje 12 valandų, o 2–8 </w:t>
      </w:r>
      <w:r w:rsidRPr="00884EED">
        <w:rPr>
          <w:rFonts w:ascii="Times New Roman" w:eastAsia="Times New Roman" w:hAnsi="Times New Roman" w:cs="Times New Roman"/>
        </w:rPr>
        <w:sym w:font="Symbol" w:char="F0B0"/>
      </w:r>
      <w:r w:rsidRPr="00884EED">
        <w:rPr>
          <w:rFonts w:ascii="Times New Roman" w:eastAsia="Times New Roman" w:hAnsi="Times New Roman" w:cs="Times New Roman"/>
        </w:rPr>
        <w:t>C temperatūroje – 2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>paras.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Pastebėjus, kad </w:t>
      </w:r>
      <w:r w:rsidRPr="00884EED">
        <w:rPr>
          <w:rFonts w:ascii="Times New Roman" w:eastAsia="Times New Roman" w:hAnsi="Times New Roman" w:cs="Times New Roman"/>
        </w:rPr>
        <w:t>tirpalas drumstas</w:t>
      </w:r>
      <w:r>
        <w:rPr>
          <w:rFonts w:ascii="Times New Roman" w:eastAsia="Times New Roman" w:hAnsi="Times New Roman" w:cs="Times New Roman"/>
        </w:rPr>
        <w:t>, šio vaisto</w:t>
      </w:r>
      <w:r w:rsidRPr="00884EED">
        <w:rPr>
          <w:rFonts w:ascii="Times New Roman" w:eastAsia="Times New Roman" w:hAnsi="Times New Roman" w:cs="Times New Roman"/>
        </w:rPr>
        <w:t xml:space="preserve"> vartoti negalima. Tirpalas turi būti visiškai skaidrus. Nesuvartotą tirpalą reikia išpilti.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</w:p>
    <w:p w:rsidR="00DB6982" w:rsidRPr="00884EED" w:rsidRDefault="00DB6982" w:rsidP="00DB6982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884EED">
        <w:rPr>
          <w:rFonts w:ascii="Times New Roman" w:eastAsia="Times New Roman" w:hAnsi="Times New Roman" w:cs="Times New Roman"/>
          <w:b/>
        </w:rPr>
        <w:lastRenderedPageBreak/>
        <w:t>6.</w:t>
      </w:r>
      <w:r w:rsidRPr="00884EED">
        <w:rPr>
          <w:rFonts w:ascii="Times New Roman" w:eastAsia="Times New Roman" w:hAnsi="Times New Roman" w:cs="Times New Roman"/>
        </w:rPr>
        <w:tab/>
      </w:r>
      <w:r w:rsidRPr="00884EED">
        <w:rPr>
          <w:rFonts w:ascii="Times New Roman" w:eastAsia="Times New Roman" w:hAnsi="Times New Roman" w:cs="Times New Roman"/>
          <w:b/>
        </w:rPr>
        <w:t>Pakuotės turinys ir kita informacija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 sudėtis</w:t>
      </w:r>
    </w:p>
    <w:p w:rsidR="00DB6982" w:rsidRPr="00884EED" w:rsidRDefault="00DB6982" w:rsidP="00DB69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natrio druska, atitinkanti </w:t>
      </w:r>
      <w:smartTag w:uri="urn:schemas-microsoft-com:office:smarttags" w:element="metricconverter">
        <w:smartTagPr>
          <w:attr w:name="ProductID" w:val="2 g"/>
        </w:smartTagPr>
        <w:r w:rsidRPr="00884EED">
          <w:rPr>
            <w:rFonts w:ascii="Times New Roman" w:eastAsia="Times New Roman" w:hAnsi="Times New Roman" w:cs="Times New Roman"/>
          </w:rPr>
          <w:t>2 g</w:t>
        </w:r>
      </w:smartTag>
      <w:r w:rsidRPr="00884E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. 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 išvaizda ir kiekis pakuotėje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Tirpalas yra bespalvis ar šiek tiek gelsvas.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 </w:t>
      </w:r>
      <w:r>
        <w:rPr>
          <w:rFonts w:ascii="Times New Roman" w:eastAsia="Times New Roman" w:hAnsi="Times New Roman" w:cs="Times New Roman"/>
        </w:rPr>
        <w:t xml:space="preserve">2 g </w:t>
      </w:r>
      <w:r w:rsidRPr="00884EED">
        <w:rPr>
          <w:rFonts w:ascii="Times New Roman" w:eastAsia="Times New Roman" w:hAnsi="Times New Roman" w:cs="Times New Roman"/>
        </w:rPr>
        <w:t>milteliai infuziniam tirpalui tiekiami pakuotėmis po 5, 7 ar 10 stiklo flakonų, užkimštų gumos kamščiais ir užspaustų aliuminio dangteliais. Gali būti tiekiamos ne visų dydžių pakuotės.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884EED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:rsidR="00DB6982" w:rsidRPr="00884EED" w:rsidRDefault="00DB6982" w:rsidP="00DB6982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B6982" w:rsidRPr="00884EED" w:rsidRDefault="00DB6982" w:rsidP="00DB6982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  <w:r w:rsidRPr="00884EED">
        <w:rPr>
          <w:rFonts w:ascii="Times New Roman" w:eastAsia="Times New Roman" w:hAnsi="Times New Roman" w:cs="Times New Roman"/>
          <w:bCs/>
          <w:i/>
          <w:lang w:eastAsia="lt-LT"/>
        </w:rPr>
        <w:t>Registruotojas</w:t>
      </w:r>
    </w:p>
    <w:p w:rsidR="00DB6982" w:rsidRPr="00884EED" w:rsidRDefault="00DB6982" w:rsidP="00DB6982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84EED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884EED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884EED">
        <w:rPr>
          <w:rFonts w:ascii="Times New Roman" w:eastAsia="Times New Roman" w:hAnsi="Times New Roman" w:cs="Times New Roman"/>
          <w:lang w:eastAsia="lt-LT"/>
        </w:rPr>
        <w:t>Polska</w:t>
      </w:r>
      <w:proofErr w:type="spellEnd"/>
      <w:r w:rsidRPr="00884EED">
        <w:rPr>
          <w:rFonts w:ascii="Times New Roman" w:eastAsia="Times New Roman" w:hAnsi="Times New Roman" w:cs="Times New Roman"/>
          <w:lang w:eastAsia="lt-LT"/>
        </w:rPr>
        <w:t xml:space="preserve"> Sp.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84EED">
        <w:rPr>
          <w:rFonts w:ascii="Times New Roman" w:eastAsia="Times New Roman" w:hAnsi="Times New Roman" w:cs="Times New Roman"/>
          <w:lang w:eastAsia="lt-LT"/>
        </w:rPr>
        <w:t>z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  <w:lang w:eastAsia="lt-LT"/>
        </w:rPr>
        <w:t>o.o</w:t>
      </w:r>
      <w:proofErr w:type="spellEnd"/>
      <w:r w:rsidRPr="00884EED">
        <w:rPr>
          <w:rFonts w:ascii="Times New Roman" w:eastAsia="Times New Roman" w:hAnsi="Times New Roman" w:cs="Times New Roman"/>
          <w:lang w:eastAsia="lt-LT"/>
        </w:rPr>
        <w:t>.</w:t>
      </w:r>
    </w:p>
    <w:p w:rsidR="00DB6982" w:rsidRPr="00884EED" w:rsidRDefault="00DB6982" w:rsidP="00DB6982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84EED">
        <w:rPr>
          <w:rFonts w:ascii="Times New Roman" w:eastAsia="Times New Roman" w:hAnsi="Times New Roman" w:cs="Times New Roman"/>
          <w:lang w:eastAsia="lt-LT"/>
        </w:rPr>
        <w:t>Al.</w:t>
      </w:r>
      <w:r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884EED">
        <w:rPr>
          <w:rFonts w:ascii="Times New Roman" w:eastAsia="Times New Roman" w:hAnsi="Times New Roman" w:cs="Times New Roman"/>
          <w:lang w:eastAsia="lt-LT"/>
        </w:rPr>
        <w:t>Jerozolimskie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 </w:t>
      </w:r>
      <w:r w:rsidRPr="00884EED">
        <w:rPr>
          <w:rFonts w:ascii="Times New Roman" w:eastAsia="Times New Roman" w:hAnsi="Times New Roman" w:cs="Times New Roman"/>
          <w:lang w:eastAsia="lt-LT"/>
        </w:rPr>
        <w:t>134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84EED">
        <w:rPr>
          <w:rFonts w:ascii="Times New Roman" w:eastAsia="Times New Roman" w:hAnsi="Times New Roman" w:cs="Times New Roman"/>
          <w:lang w:eastAsia="lt-LT"/>
        </w:rPr>
        <w:t>02</w:t>
      </w:r>
      <w:r>
        <w:rPr>
          <w:rFonts w:ascii="Times New Roman" w:eastAsia="Times New Roman" w:hAnsi="Times New Roman" w:cs="Times New Roman"/>
          <w:lang w:eastAsia="lt-LT"/>
        </w:rPr>
        <w:noBreakHyphen/>
      </w:r>
      <w:r w:rsidRPr="00884EED">
        <w:rPr>
          <w:rFonts w:ascii="Times New Roman" w:eastAsia="Times New Roman" w:hAnsi="Times New Roman" w:cs="Times New Roman"/>
          <w:lang w:eastAsia="lt-LT"/>
        </w:rPr>
        <w:t>305</w:t>
      </w:r>
      <w:r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884EED">
        <w:rPr>
          <w:rFonts w:ascii="Times New Roman" w:eastAsia="Times New Roman" w:hAnsi="Times New Roman" w:cs="Times New Roman"/>
          <w:lang w:eastAsia="lt-LT"/>
        </w:rPr>
        <w:t>Warszawa</w:t>
      </w:r>
      <w:proofErr w:type="spellEnd"/>
    </w:p>
    <w:p w:rsidR="00DB6982" w:rsidRPr="00884EED" w:rsidRDefault="00DB6982" w:rsidP="00DB69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84EED">
        <w:rPr>
          <w:rFonts w:ascii="Times New Roman" w:eastAsia="Times New Roman" w:hAnsi="Times New Roman" w:cs="Times New Roman"/>
          <w:lang w:eastAsia="lt-LT"/>
        </w:rPr>
        <w:t>Lenkija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  <w:r w:rsidRPr="00884EED">
        <w:rPr>
          <w:rFonts w:ascii="Times New Roman" w:eastAsia="Times New Roman" w:hAnsi="Times New Roman" w:cs="Times New Roman"/>
          <w:i/>
        </w:rPr>
        <w:t>Gamintojas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884EED">
        <w:rPr>
          <w:rFonts w:ascii="Times New Roman" w:eastAsia="Times New Roman" w:hAnsi="Times New Roman" w:cs="Times New Roman"/>
        </w:rPr>
        <w:t>Labesfal</w:t>
      </w:r>
      <w:r>
        <w:rPr>
          <w:rFonts w:ascii="Times New Roman" w:eastAsia="Times New Roman" w:hAnsi="Times New Roman" w:cs="Times New Roman"/>
        </w:rPr>
        <w:noBreakHyphen/>
      </w:r>
      <w:r w:rsidRPr="00884EED">
        <w:rPr>
          <w:rFonts w:ascii="Times New Roman" w:eastAsia="Times New Roman" w:hAnsi="Times New Roman" w:cs="Times New Roman"/>
        </w:rPr>
        <w:t>Laboratorios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Almiro</w:t>
      </w:r>
      <w:proofErr w:type="spellEnd"/>
      <w:r w:rsidRPr="00884EED">
        <w:rPr>
          <w:rFonts w:ascii="Times New Roman" w:eastAsia="Times New Roman" w:hAnsi="Times New Roman" w:cs="Times New Roman"/>
        </w:rPr>
        <w:t>, S.A.</w:t>
      </w: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Zona </w:t>
      </w:r>
      <w:proofErr w:type="spellStart"/>
      <w:r w:rsidRPr="00884EED">
        <w:rPr>
          <w:rFonts w:ascii="Times New Roman" w:eastAsia="Times New Roman" w:hAnsi="Times New Roman" w:cs="Times New Roman"/>
        </w:rPr>
        <w:t>Industrial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do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Lagedo</w:t>
      </w:r>
      <w:proofErr w:type="spellEnd"/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3465</w:t>
      </w:r>
      <w:r>
        <w:rPr>
          <w:rFonts w:ascii="Times New Roman" w:eastAsia="Times New Roman" w:hAnsi="Times New Roman" w:cs="Times New Roman"/>
        </w:rPr>
        <w:noBreakHyphen/>
      </w:r>
      <w:r w:rsidRPr="00884EED">
        <w:rPr>
          <w:rFonts w:ascii="Times New Roman" w:eastAsia="Times New Roman" w:hAnsi="Times New Roman" w:cs="Times New Roman"/>
        </w:rPr>
        <w:t xml:space="preserve">157 Santiago de </w:t>
      </w:r>
      <w:proofErr w:type="spellStart"/>
      <w:r w:rsidRPr="00884EED">
        <w:rPr>
          <w:rFonts w:ascii="Times New Roman" w:eastAsia="Times New Roman" w:hAnsi="Times New Roman" w:cs="Times New Roman"/>
        </w:rPr>
        <w:t>Besteiros</w:t>
      </w:r>
      <w:proofErr w:type="spellEnd"/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Portugalija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Jeigu apie šį vaistą norite sužinoti daugiau, kreipkitės į vietinį registruotojo atstovą.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DC6487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6487">
        <w:rPr>
          <w:rFonts w:ascii="Times New Roman" w:eastAsia="Times New Roman" w:hAnsi="Times New Roman" w:cs="Times New Roman"/>
        </w:rPr>
        <w:t>UAB „</w:t>
      </w:r>
      <w:proofErr w:type="spellStart"/>
      <w:r w:rsidRPr="00DC6487">
        <w:rPr>
          <w:rFonts w:ascii="Times New Roman" w:eastAsia="Times New Roman" w:hAnsi="Times New Roman" w:cs="Times New Roman"/>
        </w:rPr>
        <w:t>Fresenius</w:t>
      </w:r>
      <w:proofErr w:type="spellEnd"/>
      <w:r w:rsidRPr="00DC6487">
        <w:rPr>
          <w:rFonts w:ascii="Times New Roman" w:eastAsia="Times New Roman" w:hAnsi="Times New Roman" w:cs="Times New Roman"/>
        </w:rPr>
        <w:t xml:space="preserve"> Kabi Baltics“</w:t>
      </w:r>
    </w:p>
    <w:p w:rsidR="00DB6982" w:rsidRPr="00125898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25898">
        <w:rPr>
          <w:rFonts w:ascii="Times New Roman" w:eastAsia="Times New Roman" w:hAnsi="Times New Roman" w:cs="Times New Roman"/>
        </w:rPr>
        <w:t>J. Basanavičiaus</w:t>
      </w:r>
      <w:r>
        <w:rPr>
          <w:rFonts w:ascii="Times New Roman" w:eastAsia="Times New Roman" w:hAnsi="Times New Roman" w:cs="Times New Roman"/>
        </w:rPr>
        <w:t> </w:t>
      </w:r>
      <w:r w:rsidRPr="00125898">
        <w:rPr>
          <w:rFonts w:ascii="Times New Roman" w:eastAsia="Times New Roman" w:hAnsi="Times New Roman" w:cs="Times New Roman"/>
        </w:rPr>
        <w:t>g.</w:t>
      </w:r>
      <w:r>
        <w:rPr>
          <w:rFonts w:ascii="Times New Roman" w:eastAsia="Times New Roman" w:hAnsi="Times New Roman" w:cs="Times New Roman"/>
        </w:rPr>
        <w:t> </w:t>
      </w:r>
      <w:r w:rsidRPr="00125898">
        <w:rPr>
          <w:rFonts w:ascii="Times New Roman" w:eastAsia="Times New Roman" w:hAnsi="Times New Roman" w:cs="Times New Roman"/>
        </w:rPr>
        <w:t>26</w:t>
      </w:r>
    </w:p>
    <w:p w:rsidR="00DB6982" w:rsidRPr="00DC6487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03244 </w:t>
      </w:r>
      <w:r w:rsidRPr="00125898">
        <w:rPr>
          <w:rFonts w:ascii="Times New Roman" w:eastAsia="Times New Roman" w:hAnsi="Times New Roman" w:cs="Times New Roman"/>
        </w:rPr>
        <w:t>Vilnius</w:t>
      </w:r>
    </w:p>
    <w:p w:rsidR="00DB6982" w:rsidRPr="00DC6487" w:rsidRDefault="00DB6982" w:rsidP="00DB6982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6487">
        <w:rPr>
          <w:rFonts w:ascii="Times New Roman" w:eastAsia="Times New Roman" w:hAnsi="Times New Roman" w:cs="Times New Roman"/>
        </w:rPr>
        <w:t>Tel.</w:t>
      </w:r>
      <w:r>
        <w:rPr>
          <w:rFonts w:ascii="Times New Roman" w:eastAsia="Times New Roman" w:hAnsi="Times New Roman" w:cs="Times New Roman"/>
        </w:rPr>
        <w:t>:</w:t>
      </w:r>
      <w:r w:rsidRPr="00DC6487">
        <w:rPr>
          <w:rFonts w:ascii="Times New Roman" w:eastAsia="Times New Roman" w:hAnsi="Times New Roman" w:cs="Times New Roman"/>
        </w:rPr>
        <w:t xml:space="preserve"> </w:t>
      </w:r>
      <w:r w:rsidRPr="00125898">
        <w:rPr>
          <w:rFonts w:ascii="Times New Roman" w:eastAsia="Times New Roman" w:hAnsi="Times New Roman" w:cs="Times New Roman"/>
        </w:rPr>
        <w:t>+370</w:t>
      </w:r>
      <w:r>
        <w:rPr>
          <w:rFonts w:ascii="Times New Roman" w:eastAsia="Times New Roman" w:hAnsi="Times New Roman" w:cs="Times New Roman"/>
        </w:rPr>
        <w:t> </w:t>
      </w:r>
      <w:r w:rsidRPr="00125898">
        <w:rPr>
          <w:rFonts w:ascii="Times New Roman" w:eastAsia="Times New Roman" w:hAnsi="Times New Roman" w:cs="Times New Roman"/>
        </w:rPr>
        <w:t>5252</w:t>
      </w:r>
      <w:r>
        <w:rPr>
          <w:rFonts w:ascii="Times New Roman" w:eastAsia="Times New Roman" w:hAnsi="Times New Roman" w:cs="Times New Roman"/>
        </w:rPr>
        <w:t> </w:t>
      </w:r>
      <w:r w:rsidRPr="00125898">
        <w:rPr>
          <w:rFonts w:ascii="Times New Roman" w:eastAsia="Times New Roman" w:hAnsi="Times New Roman" w:cs="Times New Roman"/>
        </w:rPr>
        <w:t>3213</w:t>
      </w:r>
    </w:p>
    <w:p w:rsidR="00DB6982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6487">
        <w:rPr>
          <w:rFonts w:ascii="Times New Roman" w:eastAsia="Times New Roman" w:hAnsi="Times New Roman" w:cs="Times New Roman"/>
        </w:rPr>
        <w:t>Faks</w:t>
      </w:r>
      <w:r>
        <w:rPr>
          <w:rFonts w:ascii="Times New Roman" w:eastAsia="Times New Roman" w:hAnsi="Times New Roman" w:cs="Times New Roman"/>
        </w:rPr>
        <w:t>.:</w:t>
      </w:r>
      <w:r w:rsidRPr="00DC6487">
        <w:rPr>
          <w:rFonts w:ascii="Times New Roman" w:eastAsia="Times New Roman" w:hAnsi="Times New Roman" w:cs="Times New Roman"/>
        </w:rPr>
        <w:t xml:space="preserve"> +370</w:t>
      </w:r>
      <w:r>
        <w:rPr>
          <w:rFonts w:ascii="Times New Roman" w:eastAsia="Times New Roman" w:hAnsi="Times New Roman" w:cs="Times New Roman"/>
        </w:rPr>
        <w:t> </w:t>
      </w:r>
      <w:r w:rsidRPr="00DC6487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 </w:t>
      </w:r>
      <w:r w:rsidRPr="00DC6487"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 xml:space="preserve"> </w:t>
      </w:r>
      <w:r w:rsidRPr="00DC6487">
        <w:rPr>
          <w:rFonts w:ascii="Times New Roman" w:eastAsia="Times New Roman" w:hAnsi="Times New Roman" w:cs="Times New Roman"/>
        </w:rPr>
        <w:t>8696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  <w:b/>
        </w:rPr>
        <w:t>Šis vaistas EEE</w:t>
      </w:r>
      <w:r>
        <w:rPr>
          <w:rFonts w:ascii="Times New Roman" w:eastAsia="Times New Roman" w:hAnsi="Times New Roman" w:cs="Times New Roman"/>
          <w:b/>
        </w:rPr>
        <w:t> </w:t>
      </w:r>
      <w:r w:rsidRPr="00884EED">
        <w:rPr>
          <w:rFonts w:ascii="Times New Roman" w:eastAsia="Times New Roman" w:hAnsi="Times New Roman" w:cs="Times New Roman"/>
          <w:b/>
        </w:rPr>
        <w:t>valstybėse narėse registruotas tokiais pavadinimais:</w:t>
      </w: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2324"/>
        <w:gridCol w:w="6962"/>
      </w:tblGrid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884EED" w:rsidRDefault="00DB6982" w:rsidP="009F4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884EED">
              <w:rPr>
                <w:rFonts w:ascii="Times New Roman" w:eastAsia="Times New Roman" w:hAnsi="Times New Roman" w:cs="Times New Roman"/>
                <w:b/>
                <w:lang w:eastAsia="de-DE"/>
              </w:rPr>
              <w:t>Austrija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Ceftriaxon</w:t>
            </w:r>
            <w:proofErr w:type="spellEnd"/>
            <w:r w:rsidRPr="00884EED">
              <w:rPr>
                <w:rFonts w:ascii="Times New Roman" w:eastAsia="Times New Roman" w:hAnsi="Times New Roman" w:cs="Times New Roman"/>
              </w:rPr>
              <w:t xml:space="preserve"> Kabi 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884EED">
              <w:rPr>
                <w:rFonts w:ascii="Times New Roman" w:eastAsia="Times New Roman" w:hAnsi="Times New Roman" w:cs="Times New Roman"/>
              </w:rPr>
              <w:t xml:space="preserve">g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Pulver</w:t>
            </w:r>
            <w:proofErr w:type="spellEnd"/>
            <w:r w:rsidRPr="00884E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zur</w:t>
            </w:r>
            <w:proofErr w:type="spellEnd"/>
            <w:r w:rsidRPr="00884E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Herstellung</w:t>
            </w:r>
            <w:proofErr w:type="spellEnd"/>
            <w:r w:rsidRPr="00884E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einer</w:t>
            </w:r>
            <w:proofErr w:type="spellEnd"/>
            <w:r w:rsidRPr="00884E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Infusionslösung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Belgija</w:t>
            </w:r>
          </w:p>
        </w:tc>
        <w:tc>
          <w:tcPr>
            <w:tcW w:w="6962" w:type="dxa"/>
            <w:vAlign w:val="center"/>
          </w:tcPr>
          <w:p w:rsidR="00DB6982" w:rsidRPr="00884EED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Ceftriaxone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Fresenius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 xml:space="preserve">g </w:t>
            </w:r>
            <w:proofErr w:type="spellStart"/>
            <w:r w:rsidRPr="00B9608F">
              <w:rPr>
                <w:rFonts w:ascii="Times New Roman" w:hAnsi="Times New Roman"/>
              </w:rPr>
              <w:t>poeder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voor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oplossing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voor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infusie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Čekija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>g,</w:t>
            </w:r>
            <w:r w:rsidRPr="00B9608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prášek</w:t>
            </w:r>
            <w:proofErr w:type="spellEnd"/>
            <w:r w:rsidRPr="00B9608F">
              <w:rPr>
                <w:rFonts w:ascii="Times New Roman" w:hAnsi="Times New Roman"/>
              </w:rPr>
              <w:t xml:space="preserve"> pro </w:t>
            </w:r>
            <w:proofErr w:type="spellStart"/>
            <w:r w:rsidRPr="00B9608F">
              <w:rPr>
                <w:rFonts w:ascii="Times New Roman" w:hAnsi="Times New Roman"/>
              </w:rPr>
              <w:t>přípravu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infuzního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roztoku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Danija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Ceftriaxone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Fresenius</w:t>
            </w:r>
            <w:proofErr w:type="spellEnd"/>
            <w:r w:rsidRPr="00B9608F">
              <w:rPr>
                <w:rFonts w:ascii="Times New Roman" w:hAnsi="Times New Roman"/>
              </w:rPr>
              <w:t xml:space="preserve"> Kabi</w:t>
            </w:r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B9608F">
              <w:rPr>
                <w:rFonts w:ascii="Times New Roman" w:hAnsi="Times New Roman"/>
                <w:b/>
              </w:rPr>
              <w:t>Estija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Ceftriaxone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>g</w:t>
            </w:r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Suomija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Fresenius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 xml:space="preserve">g </w:t>
            </w:r>
            <w:proofErr w:type="spellStart"/>
            <w:r w:rsidRPr="00B9608F">
              <w:rPr>
                <w:rFonts w:ascii="Times New Roman" w:hAnsi="Times New Roman"/>
              </w:rPr>
              <w:t>infuusiokuiva</w:t>
            </w:r>
            <w:proofErr w:type="spellEnd"/>
            <w:r>
              <w:rPr>
                <w:rFonts w:ascii="Times New Roman" w:hAnsi="Times New Roman"/>
              </w:rPr>
              <w:noBreakHyphen/>
            </w:r>
            <w:r w:rsidRPr="00B9608F">
              <w:rPr>
                <w:rFonts w:ascii="Times New Roman" w:hAnsi="Times New Roman"/>
              </w:rPr>
              <w:t xml:space="preserve">aine, </w:t>
            </w:r>
            <w:proofErr w:type="spellStart"/>
            <w:r w:rsidRPr="00B9608F">
              <w:rPr>
                <w:rFonts w:ascii="Times New Roman" w:hAnsi="Times New Roman"/>
              </w:rPr>
              <w:t>liuosta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varten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Vokietija</w:t>
            </w:r>
          </w:p>
        </w:tc>
        <w:tc>
          <w:tcPr>
            <w:tcW w:w="6962" w:type="dxa"/>
            <w:vAlign w:val="center"/>
          </w:tcPr>
          <w:p w:rsidR="00DB6982" w:rsidRPr="00884EED" w:rsidRDefault="00DB6982" w:rsidP="009F414F">
            <w:pPr>
              <w:tabs>
                <w:tab w:val="left" w:pos="3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 xml:space="preserve">g </w:t>
            </w:r>
            <w:proofErr w:type="spellStart"/>
            <w:r w:rsidRPr="00B9608F">
              <w:rPr>
                <w:rFonts w:ascii="Times New Roman" w:hAnsi="Times New Roman"/>
              </w:rPr>
              <w:t>Pulver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zur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Herstellung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einer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Infusionslösung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Graikija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Ceftriaxone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 xml:space="preserve">g, </w:t>
            </w:r>
            <w:proofErr w:type="spellStart"/>
            <w:r w:rsidRPr="00B9608F">
              <w:rPr>
                <w:rFonts w:ascii="Times New Roman" w:hAnsi="Times New Roman"/>
              </w:rPr>
              <w:t>κόνις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γι</w:t>
            </w:r>
            <w:proofErr w:type="spellEnd"/>
            <w:r w:rsidRPr="00B9608F">
              <w:rPr>
                <w:rFonts w:ascii="Times New Roman" w:hAnsi="Times New Roman"/>
              </w:rPr>
              <w:t xml:space="preserve">α </w:t>
            </w:r>
            <w:proofErr w:type="spellStart"/>
            <w:r w:rsidRPr="00B9608F">
              <w:rPr>
                <w:rFonts w:ascii="Times New Roman" w:hAnsi="Times New Roman"/>
              </w:rPr>
              <w:t>διάλυμ</w:t>
            </w:r>
            <w:proofErr w:type="spellEnd"/>
            <w:r w:rsidRPr="00B9608F">
              <w:rPr>
                <w:rFonts w:ascii="Times New Roman" w:hAnsi="Times New Roman"/>
              </w:rPr>
              <w:t>α π</w:t>
            </w:r>
            <w:proofErr w:type="spellStart"/>
            <w:r w:rsidRPr="00B9608F">
              <w:rPr>
                <w:rFonts w:ascii="Times New Roman" w:hAnsi="Times New Roman"/>
              </w:rPr>
              <w:t>ρος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έγχυση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Vengrija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 xml:space="preserve">g </w:t>
            </w:r>
            <w:proofErr w:type="spellStart"/>
            <w:r w:rsidRPr="00B9608F">
              <w:rPr>
                <w:rFonts w:ascii="Times New Roman" w:hAnsi="Times New Roman"/>
              </w:rPr>
              <w:t>por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oldatos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infúzióhoz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Italija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Ceftriaxone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</w:t>
            </w:r>
            <w:r w:rsidRPr="00884EED">
              <w:rPr>
                <w:rFonts w:ascii="Times New Roman" w:eastAsia="Times New Roman" w:hAnsi="Times New Roman" w:cs="Times New Roman"/>
              </w:rPr>
              <w:t>FKI</w:t>
            </w:r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Liuksemburgas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 xml:space="preserve">g </w:t>
            </w:r>
            <w:proofErr w:type="spellStart"/>
            <w:r w:rsidRPr="00B9608F">
              <w:rPr>
                <w:rFonts w:ascii="Times New Roman" w:hAnsi="Times New Roman"/>
              </w:rPr>
              <w:t>Pulver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zur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Herstellung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einer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Infusionslösung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Lietuva</w:t>
            </w:r>
          </w:p>
        </w:tc>
        <w:tc>
          <w:tcPr>
            <w:tcW w:w="6962" w:type="dxa"/>
            <w:vAlign w:val="center"/>
          </w:tcPr>
          <w:p w:rsidR="00DB6982" w:rsidRPr="00884EED" w:rsidRDefault="00DB6982" w:rsidP="009F4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Ceftriaxone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>g milteliai infuziniam tirpalui</w:t>
            </w:r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Latvija</w:t>
            </w:r>
          </w:p>
        </w:tc>
        <w:tc>
          <w:tcPr>
            <w:tcW w:w="6962" w:type="dxa"/>
            <w:vAlign w:val="center"/>
          </w:tcPr>
          <w:p w:rsidR="00DB6982" w:rsidRPr="00884EED" w:rsidRDefault="00DB6982" w:rsidP="009F41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Ceftriaxone</w:t>
            </w:r>
            <w:proofErr w:type="spellEnd"/>
            <w:r w:rsidRPr="00884EED">
              <w:rPr>
                <w:rFonts w:ascii="Times New Roman" w:eastAsia="Times New Roman" w:hAnsi="Times New Roman" w:cs="Times New Roman"/>
              </w:rPr>
              <w:t xml:space="preserve"> Kabi 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884EED">
              <w:rPr>
                <w:rFonts w:ascii="Times New Roman" w:eastAsia="Times New Roman" w:hAnsi="Times New Roman" w:cs="Times New Roman"/>
              </w:rPr>
              <w:t xml:space="preserve">g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pulveris</w:t>
            </w:r>
            <w:proofErr w:type="spellEnd"/>
            <w:r w:rsidRPr="00884E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infūziju</w:t>
            </w:r>
            <w:proofErr w:type="spellEnd"/>
            <w:r w:rsidRPr="00884E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šķīduma</w:t>
            </w:r>
            <w:proofErr w:type="spellEnd"/>
            <w:r w:rsidRPr="00884E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</w:rPr>
              <w:t>pagatavošanai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Nyderlandai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Ceftriaxone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Fresenius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 xml:space="preserve">g </w:t>
            </w:r>
            <w:proofErr w:type="spellStart"/>
            <w:r w:rsidRPr="00B9608F">
              <w:rPr>
                <w:rFonts w:ascii="Times New Roman" w:hAnsi="Times New Roman"/>
              </w:rPr>
              <w:t>poeder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voor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oplossing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voor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infusie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Norvegija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Ceftriaxone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Fresenius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 xml:space="preserve">g </w:t>
            </w:r>
            <w:proofErr w:type="spellStart"/>
            <w:r w:rsidRPr="00B9608F">
              <w:rPr>
                <w:rFonts w:ascii="Times New Roman" w:hAnsi="Times New Roman"/>
              </w:rPr>
              <w:t>pulver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til</w:t>
            </w:r>
            <w:proofErr w:type="spellEnd"/>
            <w:r w:rsidRPr="00B9608F">
              <w:rPr>
                <w:rFonts w:ascii="Times New Roman" w:hAnsi="Times New Roman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</w:rPr>
              <w:t>infusjonsvæske</w:t>
            </w:r>
            <w:proofErr w:type="spellEnd"/>
            <w:r w:rsidRPr="00B9608F">
              <w:rPr>
                <w:rFonts w:ascii="Times New Roman" w:hAnsi="Times New Roman"/>
              </w:rPr>
              <w:t xml:space="preserve">, </w:t>
            </w:r>
            <w:proofErr w:type="spellStart"/>
            <w:r w:rsidRPr="00B9608F">
              <w:rPr>
                <w:rFonts w:ascii="Times New Roman" w:hAnsi="Times New Roman"/>
              </w:rPr>
              <w:t>oppløsning</w:t>
            </w:r>
            <w:proofErr w:type="spellEnd"/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Lenkija</w:t>
            </w:r>
          </w:p>
        </w:tc>
        <w:tc>
          <w:tcPr>
            <w:tcW w:w="6962" w:type="dxa"/>
            <w:vAlign w:val="center"/>
          </w:tcPr>
          <w:p w:rsidR="00DB6982" w:rsidRPr="00884EED" w:rsidRDefault="00DB6982" w:rsidP="009F4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  <w:proofErr w:type="spellStart"/>
            <w:r w:rsidRPr="00884EED">
              <w:rPr>
                <w:rFonts w:ascii="Times New Roman" w:eastAsia="Times New Roman" w:hAnsi="Times New Roman" w:cs="Times New Roman"/>
                <w:lang w:eastAsia="de-DE"/>
              </w:rPr>
              <w:t>Ceftriaxone</w:t>
            </w:r>
            <w:proofErr w:type="spellEnd"/>
            <w:r w:rsidRPr="00884EED">
              <w:rPr>
                <w:rFonts w:ascii="Times New Roman" w:eastAsia="Times New Roman" w:hAnsi="Times New Roman" w:cs="Times New Roman"/>
                <w:lang w:eastAsia="de-DE"/>
              </w:rPr>
              <w:t xml:space="preserve"> Kabi</w:t>
            </w:r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Portugalija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</w:rPr>
            </w:pPr>
            <w:r w:rsidRPr="00B9608F">
              <w:rPr>
                <w:rFonts w:ascii="Times New Roman" w:hAnsi="Times New Roman"/>
              </w:rPr>
              <w:t>CEFTRIAXONA KABI</w:t>
            </w:r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Slovakija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608F">
              <w:rPr>
                <w:rFonts w:ascii="Times New Roman" w:hAnsi="Times New Roman"/>
              </w:rPr>
              <w:t>Ceftriaxon</w:t>
            </w:r>
            <w:proofErr w:type="spellEnd"/>
            <w:r w:rsidRPr="00B9608F">
              <w:rPr>
                <w:rFonts w:ascii="Times New Roman" w:hAnsi="Times New Roman"/>
              </w:rPr>
              <w:t xml:space="preserve"> Kabi 2</w:t>
            </w:r>
            <w:r>
              <w:rPr>
                <w:rFonts w:ascii="Times New Roman" w:hAnsi="Times New Roman"/>
              </w:rPr>
              <w:t> </w:t>
            </w:r>
            <w:r w:rsidRPr="00B9608F">
              <w:rPr>
                <w:rFonts w:ascii="Times New Roman" w:hAnsi="Times New Roman"/>
              </w:rPr>
              <w:t>g</w:t>
            </w:r>
          </w:p>
        </w:tc>
      </w:tr>
      <w:tr w:rsidR="00DB6982" w:rsidRPr="00884EED" w:rsidTr="009F414F">
        <w:trPr>
          <w:trHeight w:val="266"/>
        </w:trPr>
        <w:tc>
          <w:tcPr>
            <w:tcW w:w="2324" w:type="dxa"/>
            <w:vAlign w:val="center"/>
          </w:tcPr>
          <w:p w:rsidR="00DB6982" w:rsidRPr="00B9608F" w:rsidRDefault="00DB6982" w:rsidP="009F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9608F">
              <w:rPr>
                <w:rFonts w:ascii="Times New Roman" w:hAnsi="Times New Roman"/>
                <w:b/>
              </w:rPr>
              <w:t>Švedija</w:t>
            </w:r>
          </w:p>
        </w:tc>
        <w:tc>
          <w:tcPr>
            <w:tcW w:w="6962" w:type="dxa"/>
            <w:vAlign w:val="center"/>
          </w:tcPr>
          <w:p w:rsidR="00DB6982" w:rsidRPr="00B9608F" w:rsidRDefault="00DB6982" w:rsidP="009F414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608F">
              <w:rPr>
                <w:rFonts w:ascii="Times New Roman" w:hAnsi="Times New Roman"/>
                <w:kern w:val="36"/>
              </w:rPr>
              <w:t>Ceftriaxon</w:t>
            </w:r>
            <w:proofErr w:type="spellEnd"/>
            <w:r w:rsidRPr="00B9608F">
              <w:rPr>
                <w:rFonts w:ascii="Times New Roman" w:hAnsi="Times New Roman"/>
                <w:kern w:val="36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  <w:kern w:val="36"/>
              </w:rPr>
              <w:t>Fresenius</w:t>
            </w:r>
            <w:proofErr w:type="spellEnd"/>
            <w:r w:rsidRPr="00B9608F">
              <w:rPr>
                <w:rFonts w:ascii="Times New Roman" w:hAnsi="Times New Roman"/>
                <w:kern w:val="36"/>
              </w:rPr>
              <w:t xml:space="preserve"> Kabi 2</w:t>
            </w:r>
            <w:r>
              <w:rPr>
                <w:rFonts w:ascii="Times New Roman" w:hAnsi="Times New Roman"/>
                <w:kern w:val="36"/>
              </w:rPr>
              <w:t> </w:t>
            </w:r>
            <w:r w:rsidRPr="00B9608F">
              <w:rPr>
                <w:rFonts w:ascii="Times New Roman" w:hAnsi="Times New Roman"/>
                <w:kern w:val="36"/>
              </w:rPr>
              <w:t xml:space="preserve">g, </w:t>
            </w:r>
            <w:proofErr w:type="spellStart"/>
            <w:r w:rsidRPr="00B9608F">
              <w:rPr>
                <w:rFonts w:ascii="Times New Roman" w:hAnsi="Times New Roman"/>
                <w:kern w:val="36"/>
              </w:rPr>
              <w:t>pulver</w:t>
            </w:r>
            <w:proofErr w:type="spellEnd"/>
            <w:r w:rsidRPr="00B9608F">
              <w:rPr>
                <w:rFonts w:ascii="Times New Roman" w:hAnsi="Times New Roman"/>
                <w:kern w:val="36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  <w:kern w:val="36"/>
              </w:rPr>
              <w:t>till</w:t>
            </w:r>
            <w:proofErr w:type="spellEnd"/>
            <w:r w:rsidRPr="00B9608F">
              <w:rPr>
                <w:rFonts w:ascii="Times New Roman" w:hAnsi="Times New Roman"/>
                <w:kern w:val="36"/>
              </w:rPr>
              <w:t xml:space="preserve"> </w:t>
            </w:r>
            <w:proofErr w:type="spellStart"/>
            <w:r w:rsidRPr="00B9608F">
              <w:rPr>
                <w:rFonts w:ascii="Times New Roman" w:hAnsi="Times New Roman"/>
                <w:kern w:val="36"/>
              </w:rPr>
              <w:t>infusionsvätska</w:t>
            </w:r>
            <w:proofErr w:type="spellEnd"/>
            <w:r w:rsidRPr="00B9608F">
              <w:rPr>
                <w:rFonts w:ascii="Times New Roman" w:hAnsi="Times New Roman"/>
                <w:kern w:val="36"/>
              </w:rPr>
              <w:t xml:space="preserve">, </w:t>
            </w:r>
            <w:proofErr w:type="spellStart"/>
            <w:r w:rsidRPr="00B9608F">
              <w:rPr>
                <w:rFonts w:ascii="Times New Roman" w:hAnsi="Times New Roman"/>
                <w:kern w:val="36"/>
              </w:rPr>
              <w:t>lösning</w:t>
            </w:r>
            <w:proofErr w:type="spellEnd"/>
          </w:p>
        </w:tc>
      </w:tr>
    </w:tbl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84EED">
        <w:rPr>
          <w:rFonts w:ascii="Times New Roman" w:eastAsia="Calibri" w:hAnsi="Times New Roman" w:cs="Times New Roman"/>
          <w:b/>
          <w:bCs/>
        </w:rPr>
        <w:t>Šis pakuotės lapelis</w:t>
      </w:r>
      <w:r w:rsidRPr="00884EED">
        <w:rPr>
          <w:rFonts w:ascii="Times New Roman" w:eastAsia="Calibri" w:hAnsi="Times New Roman" w:cs="Times New Roman"/>
          <w:b/>
        </w:rPr>
        <w:t xml:space="preserve"> paskutinį kartą peržiūrėtas</w:t>
      </w:r>
      <w:r>
        <w:rPr>
          <w:rFonts w:ascii="Times New Roman" w:eastAsia="Calibri" w:hAnsi="Times New Roman" w:cs="Times New Roman"/>
          <w:b/>
        </w:rPr>
        <w:t xml:space="preserve"> 2021-08-26.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884EED">
        <w:rPr>
          <w:rFonts w:ascii="Times New Roman" w:eastAsia="Times New Roman" w:hAnsi="Times New Roman" w:cs="Times New Roman"/>
          <w:snapToGrid w:val="0"/>
        </w:rPr>
        <w:lastRenderedPageBreak/>
        <w:t>Išsami informacija apie šį vaistą pateikiama Valstybinės vaistų kontrolės tarnybos prie Lietuvos Respublikos sveikatos apsaugos ministerijos tinklalapyje</w:t>
      </w:r>
      <w:r w:rsidRPr="00884EED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 w:rsidRPr="009B1BDB">
          <w:rPr>
            <w:rStyle w:val="Hipersaitas"/>
            <w:rFonts w:ascii="Times New Roman" w:eastAsia="SimSun" w:hAnsi="Times New Roman"/>
            <w:snapToGrid w:val="0"/>
          </w:rPr>
          <w:t>http://www.vvkt.lt/</w:t>
        </w:r>
      </w:hyperlink>
      <w:r w:rsidRPr="00884EED">
        <w:rPr>
          <w:rFonts w:ascii="Times New Roman" w:eastAsia="Times New Roman" w:hAnsi="Times New Roman" w:cs="Times New Roman"/>
          <w:snapToGrid w:val="0"/>
        </w:rPr>
        <w:t>.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</w:rPr>
        <w:t>---------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  <w:lang w:eastAsia="lt-LT"/>
        </w:rPr>
      </w:pPr>
      <w:r w:rsidRPr="00884EED">
        <w:rPr>
          <w:rFonts w:ascii="Times New Roman" w:eastAsia="Times New Roman" w:hAnsi="Times New Roman" w:cs="Times New Roman"/>
          <w:lang w:eastAsia="lt-LT"/>
        </w:rPr>
        <w:t>Toliau pateikta informacija skirta tik sveikatos priežiūros specialistams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DB6982" w:rsidRPr="00884EED" w:rsidRDefault="00DB6982" w:rsidP="00DB6982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884EED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  <w:b/>
        </w:rPr>
        <w:t xml:space="preserve"> Kabi 2 g </w:t>
      </w:r>
      <w:r w:rsidRPr="00884EED">
        <w:rPr>
          <w:rFonts w:ascii="Times New Roman" w:eastAsia="Times New Roman" w:hAnsi="Times New Roman" w:cs="Times New Roman"/>
          <w:b/>
          <w:bCs/>
          <w:iCs/>
        </w:rPr>
        <w:t>milteliai infuziniam tirpalui</w:t>
      </w:r>
    </w:p>
    <w:p w:rsidR="00DB6982" w:rsidRPr="00B9608F" w:rsidRDefault="00DB6982" w:rsidP="00DB6982">
      <w:pPr>
        <w:keepNext/>
        <w:spacing w:after="0" w:line="240" w:lineRule="auto"/>
        <w:rPr>
          <w:rFonts w:ascii="Times New Roman" w:hAnsi="Times New Roman"/>
        </w:rPr>
      </w:pPr>
    </w:p>
    <w:p w:rsidR="00DB6982" w:rsidRPr="00884EED" w:rsidRDefault="00DB6982" w:rsidP="00DB6982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884EED">
        <w:rPr>
          <w:rFonts w:ascii="Times New Roman" w:eastAsia="Calibri" w:hAnsi="Times New Roman" w:cs="Times New Roman"/>
        </w:rPr>
        <w:t>Išsami informacija apie vaist</w:t>
      </w:r>
      <w:r>
        <w:rPr>
          <w:rFonts w:ascii="Times New Roman" w:eastAsia="Calibri" w:hAnsi="Times New Roman" w:cs="Times New Roman"/>
        </w:rPr>
        <w:t>ini</w:t>
      </w:r>
      <w:r w:rsidRPr="00884EE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 preparato</w:t>
      </w:r>
      <w:r w:rsidRPr="00884EED">
        <w:rPr>
          <w:rFonts w:ascii="Times New Roman" w:eastAsia="Calibri" w:hAnsi="Times New Roman" w:cs="Times New Roman"/>
        </w:rPr>
        <w:t xml:space="preserve"> skyrimą pateikiama </w:t>
      </w:r>
      <w:r>
        <w:rPr>
          <w:rFonts w:ascii="Times New Roman" w:eastAsia="Calibri" w:hAnsi="Times New Roman" w:cs="Times New Roman"/>
        </w:rPr>
        <w:t xml:space="preserve">vaistinio </w:t>
      </w:r>
      <w:r w:rsidRPr="00884EED">
        <w:rPr>
          <w:rFonts w:ascii="Times New Roman" w:eastAsia="Calibri" w:hAnsi="Times New Roman" w:cs="Times New Roman"/>
        </w:rPr>
        <w:t>preparato charakteristikų santraukoje.</w:t>
      </w:r>
    </w:p>
    <w:p w:rsidR="00DB6982" w:rsidRPr="00884EED" w:rsidRDefault="00DB6982" w:rsidP="00DB6982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de-DE"/>
        </w:rPr>
      </w:pPr>
      <w:r w:rsidRPr="00884EED">
        <w:rPr>
          <w:rFonts w:ascii="Times New Roman" w:eastAsia="Times New Roman" w:hAnsi="Times New Roman" w:cs="Times New Roman"/>
          <w:u w:val="single"/>
        </w:rPr>
        <w:t>Vartojimo metodas</w:t>
      </w:r>
    </w:p>
    <w:p w:rsidR="00DB6982" w:rsidRPr="00B9608F" w:rsidRDefault="00DB6982" w:rsidP="00DB6982">
      <w:pPr>
        <w:autoSpaceDE w:val="0"/>
        <w:autoSpaceDN w:val="0"/>
        <w:adjustRightInd w:val="0"/>
        <w:spacing w:after="200" w:line="240" w:lineRule="auto"/>
        <w:rPr>
          <w:rFonts w:ascii="Times New Roman" w:hAnsi="Times New Roman"/>
        </w:rPr>
      </w:pPr>
      <w:proofErr w:type="spellStart"/>
      <w:r w:rsidRPr="00884EED">
        <w:rPr>
          <w:rFonts w:ascii="Times New Roman" w:eastAsia="Times New Roman" w:hAnsi="Times New Roman" w:cs="Times New Roman"/>
        </w:rPr>
        <w:t>Ceftriaxone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Kabi gali būti ne greičiau kaip per 30 minučių sulašinamas į veną (rekomenduojamas vartojimo būdas) arba lėtai (per 5 minutes) suleidžiamas į veną, arba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gilia injekcija su</w:t>
      </w:r>
      <w:r>
        <w:rPr>
          <w:rFonts w:ascii="Times New Roman" w:eastAsia="Times New Roman" w:hAnsi="Times New Roman" w:cs="Times New Roman"/>
        </w:rPr>
        <w:t>le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dž</w:t>
      </w:r>
      <w:r w:rsidRPr="00884EED">
        <w:rPr>
          <w:rFonts w:ascii="Times New Roman" w:eastAsia="Times New Roman" w:hAnsi="Times New Roman" w:cs="Times New Roman"/>
        </w:rPr>
        <w:t>iamas į raumenis. Į veną (geriau į didesnę) vaistin</w:t>
      </w:r>
      <w:r>
        <w:rPr>
          <w:rFonts w:ascii="Times New Roman" w:eastAsia="Times New Roman" w:hAnsi="Times New Roman" w:cs="Times New Roman"/>
        </w:rPr>
        <w:t>io</w:t>
      </w:r>
      <w:r w:rsidRPr="00884EED">
        <w:rPr>
          <w:rFonts w:ascii="Times New Roman" w:eastAsia="Times New Roman" w:hAnsi="Times New Roman" w:cs="Times New Roman"/>
        </w:rPr>
        <w:t xml:space="preserve"> preparat</w:t>
      </w:r>
      <w:r>
        <w:rPr>
          <w:rFonts w:ascii="Times New Roman" w:eastAsia="Times New Roman" w:hAnsi="Times New Roman" w:cs="Times New Roman"/>
        </w:rPr>
        <w:t>o</w:t>
      </w:r>
      <w:r w:rsidRPr="00884EED">
        <w:rPr>
          <w:rFonts w:ascii="Times New Roman" w:eastAsia="Times New Roman" w:hAnsi="Times New Roman" w:cs="Times New Roman"/>
        </w:rPr>
        <w:t xml:space="preserve"> reikia suleisti su pertraukomis per 5 minutes. 50 mg/kg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>kūno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 xml:space="preserve">svorio ar didesnę dozę į veną kūdikiams ir vaikams iki 12 metų reikia </w:t>
      </w:r>
      <w:proofErr w:type="spellStart"/>
      <w:r w:rsidRPr="00884EED">
        <w:rPr>
          <w:rFonts w:ascii="Times New Roman" w:eastAsia="Times New Roman" w:hAnsi="Times New Roman" w:cs="Times New Roman"/>
        </w:rPr>
        <w:t>infuzuoti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. Siekiant sumažinti galimą </w:t>
      </w:r>
      <w:proofErr w:type="spellStart"/>
      <w:r w:rsidRPr="00884EED">
        <w:rPr>
          <w:rFonts w:ascii="Times New Roman" w:eastAsia="Times New Roman" w:hAnsi="Times New Roman" w:cs="Times New Roman"/>
        </w:rPr>
        <w:t>bilirubininės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encefalopatijos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riziką, naujagimiams dozė į veną turi būti </w:t>
      </w:r>
      <w:proofErr w:type="spellStart"/>
      <w:r w:rsidRPr="00884EED">
        <w:rPr>
          <w:rFonts w:ascii="Times New Roman" w:eastAsia="Times New Roman" w:hAnsi="Times New Roman" w:cs="Times New Roman"/>
        </w:rPr>
        <w:t>infuzuojama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per 60 minučių (žr.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884EED">
        <w:rPr>
          <w:rFonts w:ascii="Times New Roman" w:eastAsia="Times New Roman" w:hAnsi="Times New Roman" w:cs="Times New Roman"/>
        </w:rPr>
        <w:t xml:space="preserve">preparato charakteristikų santraukos 4.3 ir 4.4 skyrius). Injekciją į raumenis reikia </w:t>
      </w:r>
      <w:r>
        <w:rPr>
          <w:rFonts w:ascii="Times New Roman" w:eastAsia="Times New Roman" w:hAnsi="Times New Roman" w:cs="Times New Roman"/>
        </w:rPr>
        <w:t>le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884EED"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giliai į santykinai didelio raumens pilvelį, į vieną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>vietą</w:t>
      </w:r>
      <w:r>
        <w:rPr>
          <w:rFonts w:ascii="Times New Roman" w:eastAsia="Times New Roman" w:hAnsi="Times New Roman" w:cs="Times New Roman"/>
        </w:rPr>
        <w:t xml:space="preserve"> </w:t>
      </w:r>
      <w:r w:rsidRPr="00884EED">
        <w:rPr>
          <w:rFonts w:ascii="Times New Roman" w:eastAsia="Times New Roman" w:hAnsi="Times New Roman" w:cs="Times New Roman"/>
        </w:rPr>
        <w:t>galima su</w:t>
      </w:r>
      <w:r>
        <w:rPr>
          <w:rFonts w:ascii="Times New Roman" w:eastAsia="Times New Roman" w:hAnsi="Times New Roman" w:cs="Times New Roman"/>
        </w:rPr>
        <w:t>le</w:t>
      </w:r>
      <w:r w:rsidRPr="00884EE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884EED">
        <w:rPr>
          <w:rFonts w:ascii="Times New Roman" w:eastAsia="Times New Roman" w:hAnsi="Times New Roman" w:cs="Times New Roman"/>
        </w:rPr>
        <w:t>ti ne daugiau kaip 1 g. Injekciją į raumenis reikia svarstyti tada, kai vaistin</w:t>
      </w:r>
      <w:r>
        <w:rPr>
          <w:rFonts w:ascii="Times New Roman" w:eastAsia="Times New Roman" w:hAnsi="Times New Roman" w:cs="Times New Roman"/>
        </w:rPr>
        <w:t>io</w:t>
      </w:r>
      <w:r w:rsidRPr="00884EED">
        <w:rPr>
          <w:rFonts w:ascii="Times New Roman" w:eastAsia="Times New Roman" w:hAnsi="Times New Roman" w:cs="Times New Roman"/>
        </w:rPr>
        <w:t xml:space="preserve"> preparat</w:t>
      </w:r>
      <w:r>
        <w:rPr>
          <w:rFonts w:ascii="Times New Roman" w:eastAsia="Times New Roman" w:hAnsi="Times New Roman" w:cs="Times New Roman"/>
        </w:rPr>
        <w:t>o</w:t>
      </w:r>
      <w:r w:rsidRPr="00884EED">
        <w:rPr>
          <w:rFonts w:ascii="Times New Roman" w:eastAsia="Times New Roman" w:hAnsi="Times New Roman" w:cs="Times New Roman"/>
        </w:rPr>
        <w:t xml:space="preserve"> leisti į veną neįmanoma ar mažiau tinka. Didesnes kaip 2 g dozes reikia </w:t>
      </w:r>
      <w:r>
        <w:rPr>
          <w:rFonts w:ascii="Times New Roman" w:eastAsia="Times New Roman" w:hAnsi="Times New Roman" w:cs="Times New Roman"/>
        </w:rPr>
        <w:t>leis</w:t>
      </w:r>
      <w:r w:rsidRPr="00884EED">
        <w:rPr>
          <w:rFonts w:ascii="Times New Roman" w:eastAsia="Times New Roman" w:hAnsi="Times New Roman" w:cs="Times New Roman"/>
        </w:rPr>
        <w:t>ti į veną.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Jeigu kaip tirpiklis naudojamas </w:t>
      </w:r>
      <w:proofErr w:type="spellStart"/>
      <w:r w:rsidRPr="00884EED">
        <w:rPr>
          <w:rFonts w:ascii="Times New Roman" w:eastAsia="Times New Roman" w:hAnsi="Times New Roman" w:cs="Times New Roman"/>
        </w:rPr>
        <w:t>lidokainas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, gauto tirpalo į veną </w:t>
      </w:r>
      <w:r>
        <w:rPr>
          <w:rFonts w:ascii="Times New Roman" w:eastAsia="Times New Roman" w:hAnsi="Times New Roman" w:cs="Times New Roman"/>
        </w:rPr>
        <w:t>leis</w:t>
      </w:r>
      <w:r w:rsidRPr="00884EED">
        <w:rPr>
          <w:rFonts w:ascii="Times New Roman" w:eastAsia="Times New Roman" w:hAnsi="Times New Roman" w:cs="Times New Roman"/>
        </w:rPr>
        <w:t xml:space="preserve">ti negalima jokiu atveju (žr.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884EED">
        <w:rPr>
          <w:rFonts w:ascii="Times New Roman" w:eastAsia="Times New Roman" w:hAnsi="Times New Roman" w:cs="Times New Roman"/>
        </w:rPr>
        <w:t xml:space="preserve">preparato charakteristikų santraukos 4.3 skyrių). Būtina atsižvelgti į </w:t>
      </w:r>
      <w:proofErr w:type="spellStart"/>
      <w:r w:rsidRPr="00884EED">
        <w:rPr>
          <w:rFonts w:ascii="Times New Roman" w:eastAsia="Times New Roman" w:hAnsi="Times New Roman" w:cs="Times New Roman"/>
        </w:rPr>
        <w:t>lidokaino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884EED">
        <w:rPr>
          <w:rFonts w:ascii="Times New Roman" w:eastAsia="Times New Roman" w:hAnsi="Times New Roman" w:cs="Times New Roman"/>
        </w:rPr>
        <w:t>preparato charakteristikų santraukos informaciją.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Dėl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kalcio druskų nuosėdų susiformavimo rizikos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negalima vartoti naujagimiams (≤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>28 parų), jei jiems reikalingas (ar prognozuojama</w:t>
      </w:r>
      <w:r w:rsidRPr="00884EED">
        <w:rPr>
          <w:rFonts w:ascii="Times New Roman" w:eastAsia="Calibri" w:hAnsi="Times New Roman" w:cs="Times New Roman"/>
        </w:rPr>
        <w:t xml:space="preserve">, kad </w:t>
      </w:r>
      <w:r w:rsidRPr="00884EED">
        <w:rPr>
          <w:rFonts w:ascii="Times New Roman" w:eastAsia="Times New Roman" w:hAnsi="Times New Roman" w:cs="Times New Roman"/>
        </w:rPr>
        <w:t xml:space="preserve">bus reikalingas) gydymas į veną </w:t>
      </w:r>
      <w:r>
        <w:rPr>
          <w:rFonts w:ascii="Times New Roman" w:eastAsia="Times New Roman" w:hAnsi="Times New Roman" w:cs="Times New Roman"/>
        </w:rPr>
        <w:t>leidži</w:t>
      </w:r>
      <w:r w:rsidRPr="00884EED">
        <w:rPr>
          <w:rFonts w:ascii="Times New Roman" w:eastAsia="Times New Roman" w:hAnsi="Times New Roman" w:cs="Times New Roman"/>
        </w:rPr>
        <w:t xml:space="preserve">amais tirpalais, kurių sudėtyje yra kalcio, įskaitant nuolatines tirpalų, kurių sudėtyje yra kalcio, infuzijas, pvz., taikant </w:t>
      </w:r>
      <w:proofErr w:type="spellStart"/>
      <w:r w:rsidRPr="00884EED">
        <w:rPr>
          <w:rFonts w:ascii="Times New Roman" w:eastAsia="Times New Roman" w:hAnsi="Times New Roman" w:cs="Times New Roman"/>
        </w:rPr>
        <w:t>parenterinį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maitinimą (žr.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884EED">
        <w:rPr>
          <w:rFonts w:ascii="Times New Roman" w:eastAsia="Times New Roman" w:hAnsi="Times New Roman" w:cs="Times New Roman"/>
        </w:rPr>
        <w:t>preparato charakteristikų santraukos 4.3 skyrių).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Vaistin</w:t>
      </w:r>
      <w:r>
        <w:rPr>
          <w:rFonts w:ascii="Times New Roman" w:eastAsia="Times New Roman" w:hAnsi="Times New Roman" w:cs="Times New Roman"/>
        </w:rPr>
        <w:t>io</w:t>
      </w:r>
      <w:r w:rsidRPr="00884EED">
        <w:rPr>
          <w:rFonts w:ascii="Times New Roman" w:eastAsia="Times New Roman" w:hAnsi="Times New Roman" w:cs="Times New Roman"/>
        </w:rPr>
        <w:t xml:space="preserve"> preparat</w:t>
      </w:r>
      <w:r>
        <w:rPr>
          <w:rFonts w:ascii="Times New Roman" w:eastAsia="Times New Roman" w:hAnsi="Times New Roman" w:cs="Times New Roman"/>
        </w:rPr>
        <w:t>o</w:t>
      </w:r>
      <w:r w:rsidRPr="00884E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leidži</w:t>
      </w:r>
      <w:r w:rsidRPr="00884EED">
        <w:rPr>
          <w:rFonts w:ascii="Times New Roman" w:eastAsia="Times New Roman" w:hAnsi="Times New Roman" w:cs="Times New Roman"/>
        </w:rPr>
        <w:t xml:space="preserve">ant į veną, skiediklių, kurių sudėtyje yra kalcio (pvz., </w:t>
      </w:r>
      <w:proofErr w:type="spellStart"/>
      <w:r w:rsidRPr="00884EED">
        <w:rPr>
          <w:rFonts w:ascii="Times New Roman" w:eastAsia="Times New Roman" w:hAnsi="Times New Roman" w:cs="Times New Roman"/>
        </w:rPr>
        <w:t>Ringerio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arba </w:t>
      </w:r>
      <w:proofErr w:type="spellStart"/>
      <w:r w:rsidRPr="00884EED">
        <w:rPr>
          <w:rFonts w:ascii="Times New Roman" w:eastAsia="Times New Roman" w:hAnsi="Times New Roman" w:cs="Times New Roman"/>
        </w:rPr>
        <w:t>Hartmano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tirpalų), negalima naudoti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tirpalui ruošti flakonuose arba tolesniam praskiedimui, nes gali susiformuoti nuosėdų.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kalcio nuosėdų taip pat gali susiformuoti, jei </w:t>
      </w:r>
      <w:proofErr w:type="spellStart"/>
      <w:r w:rsidRPr="00884EED">
        <w:rPr>
          <w:rFonts w:ascii="Times New Roman" w:eastAsia="Times New Roman" w:hAnsi="Times New Roman" w:cs="Times New Roman"/>
        </w:rPr>
        <w:t>ceftriaksonas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t</w:t>
      </w:r>
      <w:r>
        <w:rPr>
          <w:rFonts w:ascii="Times New Roman" w:eastAsia="Times New Roman" w:hAnsi="Times New Roman" w:cs="Times New Roman"/>
        </w:rPr>
        <w:t>am</w:t>
      </w:r>
      <w:r w:rsidRPr="00884EED">
        <w:rPr>
          <w:rFonts w:ascii="Times New Roman" w:eastAsia="Times New Roman" w:hAnsi="Times New Roman" w:cs="Times New Roman"/>
        </w:rPr>
        <w:t>e pači</w:t>
      </w:r>
      <w:r>
        <w:rPr>
          <w:rFonts w:ascii="Times New Roman" w:eastAsia="Times New Roman" w:hAnsi="Times New Roman" w:cs="Times New Roman"/>
        </w:rPr>
        <w:t>am</w:t>
      </w:r>
      <w:r w:rsidRPr="00884EED">
        <w:rPr>
          <w:rFonts w:ascii="Times New Roman" w:eastAsia="Times New Roman" w:hAnsi="Times New Roman" w:cs="Times New Roman"/>
        </w:rPr>
        <w:t>e vartojimo į veną sistemo</w:t>
      </w:r>
      <w:r>
        <w:rPr>
          <w:rFonts w:ascii="Times New Roman" w:eastAsia="Times New Roman" w:hAnsi="Times New Roman" w:cs="Times New Roman"/>
        </w:rPr>
        <w:t>s</w:t>
      </w:r>
      <w:r w:rsidRPr="00884EED">
        <w:rPr>
          <w:rFonts w:ascii="Times New Roman" w:eastAsia="Times New Roman" w:hAnsi="Times New Roman" w:cs="Times New Roman"/>
        </w:rPr>
        <w:t xml:space="preserve"> vamzdelyje bus sumaišytas su tirpalais, kurių sudėtyje yra kalcio. Dėl to negalima maišyti arba tuo pačiu metu vartoti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ir tirpalų, kurių sudėtyje yra kalcio (žr.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884EED">
        <w:rPr>
          <w:rFonts w:ascii="Times New Roman" w:eastAsia="Times New Roman" w:hAnsi="Times New Roman" w:cs="Times New Roman"/>
        </w:rPr>
        <w:t>preparato charakteristikų santraukos 4.3, 4.4 ir 6.2 skyrius).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Operuojamos srities infekcijos profilaktikai prieš operaciją </w:t>
      </w:r>
      <w:proofErr w:type="spellStart"/>
      <w:r w:rsidRPr="00884EED">
        <w:rPr>
          <w:rFonts w:ascii="Times New Roman" w:eastAsia="Times New Roman" w:hAnsi="Times New Roman" w:cs="Times New Roman"/>
        </w:rPr>
        <w:t>ceftriakson</w:t>
      </w:r>
      <w:r>
        <w:rPr>
          <w:rFonts w:ascii="Times New Roman" w:eastAsia="Times New Roman" w:hAnsi="Times New Roman" w:cs="Times New Roman"/>
        </w:rPr>
        <w:t>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turi būti vartojama iki operacijos likus 30</w:t>
      </w:r>
      <w:r>
        <w:rPr>
          <w:rFonts w:ascii="Times New Roman" w:eastAsia="Calibri" w:hAnsi="Times New Roman" w:cs="Times New Roman"/>
          <w:color w:val="000000"/>
        </w:rPr>
        <w:t>–</w:t>
      </w:r>
      <w:r w:rsidRPr="00884EED">
        <w:rPr>
          <w:rFonts w:ascii="Times New Roman" w:eastAsia="Times New Roman" w:hAnsi="Times New Roman" w:cs="Times New Roman"/>
        </w:rPr>
        <w:t>90 minučių.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02B6">
        <w:rPr>
          <w:rFonts w:ascii="Times New Roman" w:eastAsia="Times New Roman" w:hAnsi="Times New Roman" w:cs="Times New Roman"/>
          <w:u w:val="single"/>
        </w:rPr>
        <w:t>Vartojimo instrukcijos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884EED">
        <w:rPr>
          <w:rFonts w:ascii="Times New Roman" w:eastAsia="Times New Roman" w:hAnsi="Times New Roman" w:cs="Times New Roman"/>
        </w:rPr>
        <w:t>Paruoštą tirpalą reikia 60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 xml:space="preserve">sekundžių purtyti, kad </w:t>
      </w:r>
      <w:proofErr w:type="spellStart"/>
      <w:r w:rsidRPr="00884EED">
        <w:rPr>
          <w:rFonts w:ascii="Times New Roman" w:eastAsia="Times New Roman" w:hAnsi="Times New Roman" w:cs="Times New Roman"/>
        </w:rPr>
        <w:t>ceftriaksonas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visiškai ištirptų.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DB6982" w:rsidRPr="000C12E9" w:rsidRDefault="00DB6982" w:rsidP="00DB698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0C12E9">
        <w:rPr>
          <w:rFonts w:ascii="Times New Roman" w:eastAsia="Times New Roman" w:hAnsi="Times New Roman" w:cs="Times New Roman"/>
          <w:iCs/>
        </w:rPr>
        <w:t>Suderinamumas buvo patvirtintas su toliau išvardytais tirpalais:</w:t>
      </w:r>
    </w:p>
    <w:p w:rsidR="00DB6982" w:rsidRPr="00884EED" w:rsidRDefault="00DB6982" w:rsidP="00DB69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iCs/>
        </w:rPr>
      </w:pPr>
      <w:r w:rsidRPr="000C12E9">
        <w:rPr>
          <w:rFonts w:ascii="Times New Roman" w:eastAsia="Times New Roman" w:hAnsi="Times New Roman" w:cs="Times New Roman"/>
          <w:iCs/>
        </w:rPr>
        <w:t>0,9 </w:t>
      </w:r>
      <w:r w:rsidRPr="000C12E9">
        <w:rPr>
          <w:rFonts w:ascii="Times New Roman" w:hAnsi="Times New Roman"/>
        </w:rPr>
        <w:t xml:space="preserve">% </w:t>
      </w:r>
      <w:proofErr w:type="spellStart"/>
      <w:r w:rsidRPr="000C12E9">
        <w:rPr>
          <w:rFonts w:ascii="Times New Roman" w:hAnsi="Times New Roman"/>
        </w:rPr>
        <w:t>NaCl</w:t>
      </w:r>
      <w:proofErr w:type="spellEnd"/>
      <w:r w:rsidRPr="000C12E9">
        <w:rPr>
          <w:rFonts w:ascii="Times New Roman" w:hAnsi="Times New Roman"/>
        </w:rPr>
        <w:t xml:space="preserve"> tirpal</w:t>
      </w:r>
      <w:r>
        <w:rPr>
          <w:rFonts w:ascii="Times New Roman" w:hAnsi="Times New Roman"/>
        </w:rPr>
        <w:t>u</w:t>
      </w:r>
      <w:r w:rsidRPr="000C12E9">
        <w:rPr>
          <w:rFonts w:ascii="Times New Roman" w:hAnsi="Times New Roman"/>
        </w:rPr>
        <w:t xml:space="preserve"> (9 mg/m</w:t>
      </w:r>
      <w:r>
        <w:rPr>
          <w:rFonts w:ascii="Times New Roman" w:hAnsi="Times New Roman"/>
        </w:rPr>
        <w:t>l</w:t>
      </w:r>
      <w:r w:rsidRPr="00B9608F">
        <w:rPr>
          <w:rFonts w:ascii="Times New Roman" w:hAnsi="Times New Roman"/>
        </w:rPr>
        <w:t>);</w:t>
      </w:r>
    </w:p>
    <w:p w:rsidR="00DB6982" w:rsidRPr="00884EED" w:rsidRDefault="00DB6982" w:rsidP="00DB69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iCs/>
        </w:rPr>
      </w:pPr>
      <w:r w:rsidRPr="00B9608F">
        <w:rPr>
          <w:rFonts w:ascii="Times New Roman" w:hAnsi="Times New Roman"/>
        </w:rPr>
        <w:t>5 % gliukozės</w:t>
      </w:r>
      <w:r>
        <w:rPr>
          <w:rFonts w:ascii="Times New Roman" w:hAnsi="Times New Roman"/>
        </w:rPr>
        <w:t xml:space="preserve"> tirpalu</w:t>
      </w:r>
      <w:r w:rsidRPr="00B9608F">
        <w:rPr>
          <w:rFonts w:ascii="Times New Roman" w:hAnsi="Times New Roman"/>
        </w:rPr>
        <w:t xml:space="preserve"> (50 mg/m</w:t>
      </w:r>
      <w:r>
        <w:rPr>
          <w:rFonts w:ascii="Times New Roman" w:hAnsi="Times New Roman"/>
        </w:rPr>
        <w:t>l</w:t>
      </w:r>
      <w:r w:rsidRPr="00B9608F">
        <w:rPr>
          <w:rFonts w:ascii="Times New Roman" w:hAnsi="Times New Roman"/>
        </w:rPr>
        <w:t>).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DB6982" w:rsidRPr="00884EED" w:rsidRDefault="00DB6982" w:rsidP="00DB698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  <w:i/>
          <w:iCs/>
        </w:rPr>
        <w:t>Infuzija į veną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729"/>
        <w:gridCol w:w="1446"/>
        <w:gridCol w:w="3657"/>
      </w:tblGrid>
      <w:tr w:rsidR="00DB6982" w:rsidRPr="00884EED" w:rsidTr="009F414F">
        <w:tc>
          <w:tcPr>
            <w:tcW w:w="2455" w:type="dxa"/>
            <w:shd w:val="clear" w:color="auto" w:fill="auto"/>
            <w:vAlign w:val="center"/>
          </w:tcPr>
          <w:p w:rsidR="00DB6982" w:rsidRPr="001B02B6" w:rsidRDefault="00DB6982" w:rsidP="009F414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1B02B6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Skiediklis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DB6982" w:rsidRPr="001B02B6" w:rsidRDefault="00DB6982" w:rsidP="009F414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proofErr w:type="spellStart"/>
            <w:r w:rsidRPr="001B02B6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Ceftriaksono</w:t>
            </w:r>
            <w:proofErr w:type="spellEnd"/>
            <w:r w:rsidRPr="001B02B6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 milteliai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B6982" w:rsidRPr="001B02B6" w:rsidRDefault="00DB6982" w:rsidP="009F414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1B02B6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Skiediklio tūris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DB6982" w:rsidRPr="001B02B6" w:rsidRDefault="00DB6982" w:rsidP="009F414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1B02B6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Apytikslė </w:t>
            </w:r>
            <w:proofErr w:type="spellStart"/>
            <w:r w:rsidRPr="001B02B6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ceftriaksono</w:t>
            </w:r>
            <w:proofErr w:type="spellEnd"/>
            <w:r w:rsidRPr="001B02B6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 koncentracija galutiniame tirpale</w:t>
            </w:r>
          </w:p>
        </w:tc>
      </w:tr>
      <w:tr w:rsidR="00DB6982" w:rsidRPr="00884EED" w:rsidTr="009F414F">
        <w:tc>
          <w:tcPr>
            <w:tcW w:w="2455" w:type="dxa"/>
            <w:shd w:val="clear" w:color="auto" w:fill="auto"/>
          </w:tcPr>
          <w:p w:rsidR="00DB6982" w:rsidRPr="00884EED" w:rsidRDefault="00DB6982" w:rsidP="009F41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884EED">
              <w:rPr>
                <w:rFonts w:ascii="Times New Roman" w:eastAsia="Times New Roman" w:hAnsi="Times New Roman" w:cs="Times New Roman"/>
                <w:iCs/>
              </w:rPr>
              <w:t xml:space="preserve">0,9 % </w:t>
            </w:r>
            <w:proofErr w:type="spellStart"/>
            <w:r w:rsidRPr="00884EED">
              <w:rPr>
                <w:rFonts w:ascii="Times New Roman" w:eastAsia="Times New Roman" w:hAnsi="Times New Roman" w:cs="Times New Roman"/>
                <w:iCs/>
              </w:rPr>
              <w:t>NaCl</w:t>
            </w:r>
            <w:proofErr w:type="spellEnd"/>
            <w:r w:rsidRPr="00884EED">
              <w:rPr>
                <w:rFonts w:ascii="Times New Roman" w:eastAsia="Times New Roman" w:hAnsi="Times New Roman" w:cs="Times New Roman"/>
                <w:iCs/>
              </w:rPr>
              <w:t xml:space="preserve"> tirpalas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DB6982" w:rsidRPr="00884EED" w:rsidRDefault="00DB6982" w:rsidP="009F41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B9608F">
              <w:rPr>
                <w:rFonts w:ascii="Times New Roman" w:hAnsi="Times New Roman"/>
              </w:rPr>
              <w:t>2 g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B6982" w:rsidRPr="00884EED" w:rsidRDefault="00DB6982" w:rsidP="009F41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B9608F">
              <w:rPr>
                <w:rFonts w:ascii="Times New Roman" w:hAnsi="Times New Roman"/>
              </w:rPr>
              <w:t>40 ml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DB6982" w:rsidRPr="00884EED" w:rsidRDefault="00DB6982" w:rsidP="009F41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B9608F">
              <w:rPr>
                <w:rFonts w:ascii="Times New Roman" w:hAnsi="Times New Roman"/>
              </w:rPr>
              <w:t>50 mg/ml</w:t>
            </w:r>
          </w:p>
        </w:tc>
      </w:tr>
      <w:tr w:rsidR="00DB6982" w:rsidRPr="00884EED" w:rsidTr="009F414F">
        <w:tc>
          <w:tcPr>
            <w:tcW w:w="2455" w:type="dxa"/>
            <w:shd w:val="clear" w:color="auto" w:fill="auto"/>
          </w:tcPr>
          <w:p w:rsidR="00DB6982" w:rsidRPr="00884EED" w:rsidRDefault="00DB6982" w:rsidP="009F41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884EED">
              <w:rPr>
                <w:rFonts w:ascii="Times New Roman" w:eastAsia="Times New Roman" w:hAnsi="Times New Roman" w:cs="Times New Roman"/>
                <w:iCs/>
              </w:rPr>
              <w:t>5 % gliukozės tirpalas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DB6982" w:rsidRPr="00884EED" w:rsidRDefault="00DB6982" w:rsidP="009F41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B9608F">
              <w:rPr>
                <w:rFonts w:ascii="Times New Roman" w:hAnsi="Times New Roman"/>
              </w:rPr>
              <w:t>2 g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B6982" w:rsidRPr="00884EED" w:rsidRDefault="00DB6982" w:rsidP="009F41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B9608F">
              <w:rPr>
                <w:rFonts w:ascii="Times New Roman" w:hAnsi="Times New Roman"/>
              </w:rPr>
              <w:t>40 ml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DB6982" w:rsidRPr="00884EED" w:rsidRDefault="00DB6982" w:rsidP="009F41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B9608F">
              <w:rPr>
                <w:rFonts w:ascii="Times New Roman" w:hAnsi="Times New Roman"/>
              </w:rPr>
              <w:t>50 mg/ml</w:t>
            </w:r>
          </w:p>
        </w:tc>
      </w:tr>
    </w:tbl>
    <w:p w:rsidR="00DB6982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Infuzija turi trukti ne trumpiau kaip 30 minučių.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lastRenderedPageBreak/>
        <w:t>Paruoštą tirpalą reikia apžiūrėti. Galima vartoti tik skaidrų tirpalą, kuriame nėra dalelių. Paruoštas vaist</w:t>
      </w:r>
      <w:r>
        <w:rPr>
          <w:rFonts w:ascii="Times New Roman" w:eastAsia="Times New Roman" w:hAnsi="Times New Roman" w:cs="Times New Roman"/>
        </w:rPr>
        <w:t>inis preparat</w:t>
      </w:r>
      <w:r w:rsidRPr="00884EED">
        <w:rPr>
          <w:rFonts w:ascii="Times New Roman" w:eastAsia="Times New Roman" w:hAnsi="Times New Roman" w:cs="Times New Roman"/>
        </w:rPr>
        <w:t>as tinka</w:t>
      </w:r>
      <w:r>
        <w:rPr>
          <w:rFonts w:ascii="Times New Roman" w:eastAsia="Times New Roman" w:hAnsi="Times New Roman" w:cs="Times New Roman"/>
        </w:rPr>
        <w:t>mas</w:t>
      </w:r>
      <w:r w:rsidRPr="00884EED">
        <w:rPr>
          <w:rFonts w:ascii="Times New Roman" w:eastAsia="Times New Roman" w:hAnsi="Times New Roman" w:cs="Times New Roman"/>
        </w:rPr>
        <w:t xml:space="preserve"> vartoti tik vieną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>kartą, todėl bet kokį tirpalo likutį būtina sunaikinti.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DB6982" w:rsidRPr="00884EED" w:rsidRDefault="00DB6982" w:rsidP="00DB69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Nesuvartotą vaist</w:t>
      </w:r>
      <w:r>
        <w:rPr>
          <w:rFonts w:ascii="Times New Roman" w:eastAsia="Times New Roman" w:hAnsi="Times New Roman" w:cs="Times New Roman"/>
        </w:rPr>
        <w:t>inį preparat</w:t>
      </w:r>
      <w:r w:rsidRPr="00884EED">
        <w:rPr>
          <w:rFonts w:ascii="Times New Roman" w:eastAsia="Times New Roman" w:hAnsi="Times New Roman" w:cs="Times New Roman"/>
        </w:rPr>
        <w:t>ą ar atliekas reikia tvarkyti laikantis vietinių reikalavimų.</w:t>
      </w:r>
    </w:p>
    <w:p w:rsidR="00DB6982" w:rsidRPr="00884EED" w:rsidRDefault="00DB6982" w:rsidP="00DB69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1B02B6">
        <w:rPr>
          <w:rFonts w:ascii="Times New Roman" w:eastAsia="Times New Roman" w:hAnsi="Times New Roman" w:cs="Times New Roman"/>
          <w:u w:val="single"/>
        </w:rPr>
        <w:t>Nesuderinamumas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Remiantis mokslinės literatūros duomenimis, </w:t>
      </w:r>
      <w:proofErr w:type="spellStart"/>
      <w:r w:rsidRPr="00884EED">
        <w:rPr>
          <w:rFonts w:ascii="Times New Roman" w:eastAsia="Times New Roman" w:hAnsi="Times New Roman" w:cs="Times New Roman"/>
        </w:rPr>
        <w:t>ceftriaksonas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yra nesuderinamas su </w:t>
      </w:r>
      <w:proofErr w:type="spellStart"/>
      <w:r w:rsidRPr="00884EED">
        <w:rPr>
          <w:rFonts w:ascii="Times New Roman" w:eastAsia="Times New Roman" w:hAnsi="Times New Roman" w:cs="Times New Roman"/>
        </w:rPr>
        <w:t>amsakrinu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4EED">
        <w:rPr>
          <w:rFonts w:ascii="Times New Roman" w:eastAsia="Times New Roman" w:hAnsi="Times New Roman" w:cs="Times New Roman"/>
        </w:rPr>
        <w:t>vankomicinu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4EED">
        <w:rPr>
          <w:rFonts w:ascii="Times New Roman" w:eastAsia="Times New Roman" w:hAnsi="Times New Roman" w:cs="Times New Roman"/>
        </w:rPr>
        <w:t>flukonazolu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4EED">
        <w:rPr>
          <w:rFonts w:ascii="Times New Roman" w:eastAsia="Times New Roman" w:hAnsi="Times New Roman" w:cs="Times New Roman"/>
        </w:rPr>
        <w:t>aminoglikozidais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884EED">
        <w:rPr>
          <w:rFonts w:ascii="Times New Roman" w:eastAsia="Times New Roman" w:hAnsi="Times New Roman" w:cs="Times New Roman"/>
        </w:rPr>
        <w:t>labetololiu</w:t>
      </w:r>
      <w:proofErr w:type="spellEnd"/>
      <w:r w:rsidRPr="00884EED">
        <w:rPr>
          <w:rFonts w:ascii="Times New Roman" w:eastAsia="Times New Roman" w:hAnsi="Times New Roman" w:cs="Times New Roman"/>
        </w:rPr>
        <w:t>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Tirpalų, kuriuose yra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, negalima maišyti su kitais </w:t>
      </w:r>
      <w:r>
        <w:rPr>
          <w:rFonts w:ascii="Times New Roman" w:eastAsia="Times New Roman" w:hAnsi="Times New Roman" w:cs="Times New Roman"/>
        </w:rPr>
        <w:t xml:space="preserve">vaistiniais </w:t>
      </w:r>
      <w:r w:rsidRPr="00884EED">
        <w:rPr>
          <w:rFonts w:ascii="Times New Roman" w:eastAsia="Times New Roman" w:hAnsi="Times New Roman" w:cs="Times New Roman"/>
        </w:rPr>
        <w:t>preparatais ar pilti į juos, išskyrus paminėtus poskyryje „Vartojimo instrukcij</w:t>
      </w:r>
      <w:r>
        <w:rPr>
          <w:rFonts w:ascii="Times New Roman" w:eastAsia="Times New Roman" w:hAnsi="Times New Roman" w:cs="Times New Roman"/>
        </w:rPr>
        <w:t>os</w:t>
      </w:r>
      <w:r w:rsidRPr="00884EED">
        <w:rPr>
          <w:rFonts w:ascii="Times New Roman" w:eastAsia="Times New Roman" w:hAnsi="Times New Roman" w:cs="Times New Roman"/>
        </w:rPr>
        <w:t>“. Vaist</w:t>
      </w:r>
      <w:r>
        <w:rPr>
          <w:rFonts w:ascii="Times New Roman" w:eastAsia="Times New Roman" w:hAnsi="Times New Roman" w:cs="Times New Roman"/>
        </w:rPr>
        <w:t>inio preparato</w:t>
      </w:r>
      <w:r w:rsidRPr="00884E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leidži</w:t>
      </w:r>
      <w:r w:rsidRPr="00884EED">
        <w:rPr>
          <w:rFonts w:ascii="Times New Roman" w:eastAsia="Times New Roman" w:hAnsi="Times New Roman" w:cs="Times New Roman"/>
        </w:rPr>
        <w:t xml:space="preserve">ant į veną, skiediklių, kurių sudėtyje yra kalcio (pvz., </w:t>
      </w:r>
      <w:proofErr w:type="spellStart"/>
      <w:r w:rsidRPr="00884EED">
        <w:rPr>
          <w:rFonts w:ascii="Times New Roman" w:eastAsia="Times New Roman" w:hAnsi="Times New Roman" w:cs="Times New Roman"/>
        </w:rPr>
        <w:t>Ringerio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arba </w:t>
      </w:r>
      <w:proofErr w:type="spellStart"/>
      <w:r w:rsidRPr="00884EED">
        <w:rPr>
          <w:rFonts w:ascii="Times New Roman" w:eastAsia="Times New Roman" w:hAnsi="Times New Roman" w:cs="Times New Roman"/>
        </w:rPr>
        <w:t>Hartmano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tirpalų), negalima naudoti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tirpalui ruošti flakonuose arba tolesniam praskiedimui, nes gali susiformuoti nuosėdų. Dėl to negalima maišyti arba tuo pačiu metu vartoti </w:t>
      </w:r>
      <w:proofErr w:type="spellStart"/>
      <w:r w:rsidRPr="00884EED">
        <w:rPr>
          <w:rFonts w:ascii="Times New Roman" w:eastAsia="Times New Roman" w:hAnsi="Times New Roman" w:cs="Times New Roman"/>
        </w:rPr>
        <w:t>ceftriaksono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ir tirpalų, kurių sudėtyje yra kalcio, įskaitant visus </w:t>
      </w:r>
      <w:proofErr w:type="spellStart"/>
      <w:r w:rsidRPr="00884EED">
        <w:rPr>
          <w:rFonts w:ascii="Times New Roman" w:eastAsia="Times New Roman" w:hAnsi="Times New Roman" w:cs="Times New Roman"/>
        </w:rPr>
        <w:t>parenterinio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maitinimo tirpalus.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1B02B6">
        <w:rPr>
          <w:rFonts w:ascii="Times New Roman" w:eastAsia="Times New Roman" w:hAnsi="Times New Roman" w:cs="Times New Roman"/>
          <w:u w:val="single"/>
        </w:rPr>
        <w:t>Paruoštas tirpalas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>Cheminiu ir fiziniu požiūriu vaist</w:t>
      </w:r>
      <w:r>
        <w:rPr>
          <w:rFonts w:ascii="Times New Roman" w:eastAsia="Times New Roman" w:hAnsi="Times New Roman" w:cs="Times New Roman"/>
        </w:rPr>
        <w:t>inis preparat</w:t>
      </w:r>
      <w:r w:rsidRPr="00884EED">
        <w:rPr>
          <w:rFonts w:ascii="Times New Roman" w:eastAsia="Times New Roman" w:hAnsi="Times New Roman" w:cs="Times New Roman"/>
        </w:rPr>
        <w:t>as 25</w:t>
      </w:r>
      <w:r>
        <w:rPr>
          <w:rFonts w:ascii="Times New Roman" w:eastAsia="Times New Roman" w:hAnsi="Times New Roman" w:cs="Times New Roman"/>
        </w:rPr>
        <w:t> </w:t>
      </w:r>
      <w:r w:rsidRPr="00884EED">
        <w:rPr>
          <w:rFonts w:ascii="Times New Roman" w:eastAsia="Times New Roman" w:hAnsi="Times New Roman" w:cs="Times New Roman"/>
        </w:rPr>
        <w:t>°C temperatūroje išlieka stabilus 12 valandų, 2–8</w:t>
      </w:r>
      <w:r w:rsidRPr="00884EED">
        <w:rPr>
          <w:rFonts w:ascii="Times New Roman" w:eastAsia="Times New Roman" w:hAnsi="Times New Roman" w:cs="Times New Roman"/>
          <w:lang w:eastAsia="lt-LT"/>
        </w:rPr>
        <w:t> </w:t>
      </w:r>
      <w:r>
        <w:rPr>
          <w:rFonts w:ascii="Times New Roman" w:eastAsia="Times New Roman" w:hAnsi="Times New Roman" w:cs="Times New Roman"/>
          <w:lang w:eastAsia="lt-LT"/>
        </w:rPr>
        <w:t>°</w:t>
      </w:r>
      <w:r w:rsidRPr="00884EED">
        <w:rPr>
          <w:rFonts w:ascii="Times New Roman" w:eastAsia="Times New Roman" w:hAnsi="Times New Roman" w:cs="Times New Roman"/>
        </w:rPr>
        <w:t>C temperatūroje – 2 paras. Mikrobiologiniu požiūriu paruoštą tirpalą reikia vartoti nedelsiant. Jei vaist</w:t>
      </w:r>
      <w:r>
        <w:rPr>
          <w:rFonts w:ascii="Times New Roman" w:eastAsia="Times New Roman" w:hAnsi="Times New Roman" w:cs="Times New Roman"/>
        </w:rPr>
        <w:t>inio preparato</w:t>
      </w:r>
      <w:r w:rsidRPr="00884EED">
        <w:rPr>
          <w:rFonts w:ascii="Times New Roman" w:eastAsia="Times New Roman" w:hAnsi="Times New Roman" w:cs="Times New Roman"/>
        </w:rPr>
        <w:t xml:space="preserve"> nevartojama nedelsiant, už paruošto </w:t>
      </w:r>
      <w:r>
        <w:rPr>
          <w:rFonts w:ascii="Times New Roman" w:eastAsia="Times New Roman" w:hAnsi="Times New Roman" w:cs="Times New Roman"/>
        </w:rPr>
        <w:t>vaistinio preparato</w:t>
      </w:r>
      <w:r w:rsidRPr="00884EED">
        <w:rPr>
          <w:rFonts w:ascii="Times New Roman" w:eastAsia="Times New Roman" w:hAnsi="Times New Roman" w:cs="Times New Roman"/>
        </w:rPr>
        <w:t xml:space="preserve"> laikymo trukmę ir sąlygas iki vartojimo atsako vartotojas, tačiau tirpal</w:t>
      </w:r>
      <w:r>
        <w:rPr>
          <w:rFonts w:ascii="Times New Roman" w:eastAsia="Times New Roman" w:hAnsi="Times New Roman" w:cs="Times New Roman"/>
        </w:rPr>
        <w:t>o</w:t>
      </w:r>
      <w:r w:rsidRPr="00884EED">
        <w:rPr>
          <w:rFonts w:ascii="Times New Roman" w:eastAsia="Times New Roman" w:hAnsi="Times New Roman" w:cs="Times New Roman"/>
        </w:rPr>
        <w:t xml:space="preserve"> paprastai ilgiau kaip 24 valandas 2–8</w:t>
      </w:r>
      <w:r w:rsidRPr="00884EED">
        <w:rPr>
          <w:rFonts w:ascii="Times New Roman" w:eastAsia="Times New Roman" w:hAnsi="Times New Roman" w:cs="Times New Roman"/>
          <w:lang w:eastAsia="lt-LT"/>
        </w:rPr>
        <w:t> </w:t>
      </w:r>
      <w:r>
        <w:rPr>
          <w:rFonts w:ascii="Times New Roman" w:eastAsia="Times New Roman" w:hAnsi="Times New Roman" w:cs="Times New Roman"/>
          <w:lang w:eastAsia="lt-LT"/>
        </w:rPr>
        <w:t>°</w:t>
      </w:r>
      <w:r w:rsidRPr="00884EED">
        <w:rPr>
          <w:rFonts w:ascii="Times New Roman" w:eastAsia="Times New Roman" w:hAnsi="Times New Roman" w:cs="Times New Roman"/>
        </w:rPr>
        <w:t>C temperatūroje</w:t>
      </w:r>
      <w:r>
        <w:rPr>
          <w:rFonts w:ascii="Times New Roman" w:eastAsia="Times New Roman" w:hAnsi="Times New Roman" w:cs="Times New Roman"/>
        </w:rPr>
        <w:t xml:space="preserve"> laikyti negalima</w:t>
      </w:r>
      <w:r w:rsidRPr="00884EED">
        <w:rPr>
          <w:rFonts w:ascii="Times New Roman" w:eastAsia="Times New Roman" w:hAnsi="Times New Roman" w:cs="Times New Roman"/>
        </w:rPr>
        <w:t>, nebent paruošimas buvo atlik</w:t>
      </w:r>
      <w:r>
        <w:rPr>
          <w:rFonts w:ascii="Times New Roman" w:eastAsia="Times New Roman" w:hAnsi="Times New Roman" w:cs="Times New Roman"/>
        </w:rPr>
        <w:t>t</w:t>
      </w:r>
      <w:r w:rsidRPr="00884EED">
        <w:rPr>
          <w:rFonts w:ascii="Times New Roman" w:eastAsia="Times New Roman" w:hAnsi="Times New Roman" w:cs="Times New Roman"/>
        </w:rPr>
        <w:t xml:space="preserve">as kontroliuojamomis ir </w:t>
      </w:r>
      <w:r>
        <w:rPr>
          <w:rFonts w:ascii="Times New Roman" w:eastAsia="Times New Roman" w:hAnsi="Times New Roman" w:cs="Times New Roman"/>
        </w:rPr>
        <w:t>patvirtintomis</w:t>
      </w:r>
      <w:r w:rsidRPr="00884E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EED">
        <w:rPr>
          <w:rFonts w:ascii="Times New Roman" w:eastAsia="Times New Roman" w:hAnsi="Times New Roman" w:cs="Times New Roman"/>
        </w:rPr>
        <w:t>aseptinėmis</w:t>
      </w:r>
      <w:proofErr w:type="spellEnd"/>
      <w:r w:rsidRPr="00884EED">
        <w:rPr>
          <w:rFonts w:ascii="Times New Roman" w:eastAsia="Times New Roman" w:hAnsi="Times New Roman" w:cs="Times New Roman"/>
        </w:rPr>
        <w:t xml:space="preserve"> sąlygomis.</w:t>
      </w:r>
    </w:p>
    <w:p w:rsidR="00DB6982" w:rsidRPr="00884EED" w:rsidRDefault="00DB6982" w:rsidP="00DB69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6982" w:rsidRPr="001B02B6" w:rsidRDefault="00DB6982" w:rsidP="00DB698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 w:rsidRPr="001B02B6">
        <w:rPr>
          <w:rFonts w:ascii="Times New Roman" w:eastAsia="Times New Roman" w:hAnsi="Times New Roman" w:cs="Times New Roman"/>
          <w:bCs/>
          <w:u w:val="single"/>
        </w:rPr>
        <w:t>Specialios laikymo sąlygos</w:t>
      </w:r>
    </w:p>
    <w:p w:rsidR="00DB6982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884EED">
        <w:rPr>
          <w:rFonts w:ascii="Times New Roman" w:eastAsia="Times New Roman" w:hAnsi="Times New Roman" w:cs="Times New Roman"/>
        </w:rPr>
        <w:t xml:space="preserve">Flakoną laikyti išorinėje dėžutėje, kad </w:t>
      </w:r>
      <w:r>
        <w:rPr>
          <w:rFonts w:ascii="Times New Roman" w:eastAsia="Times New Roman" w:hAnsi="Times New Roman" w:cs="Times New Roman"/>
        </w:rPr>
        <w:t>vaistinis preparatas</w:t>
      </w:r>
      <w:r w:rsidRPr="00884EED">
        <w:rPr>
          <w:rFonts w:ascii="Times New Roman" w:eastAsia="Times New Roman" w:hAnsi="Times New Roman" w:cs="Times New Roman"/>
        </w:rPr>
        <w:t xml:space="preserve"> būtų apsaugotas nuo šviesos. Paruošto vaist</w:t>
      </w:r>
      <w:r>
        <w:rPr>
          <w:rFonts w:ascii="Times New Roman" w:eastAsia="Times New Roman" w:hAnsi="Times New Roman" w:cs="Times New Roman"/>
        </w:rPr>
        <w:t>ini</w:t>
      </w:r>
      <w:r w:rsidRPr="00884EED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preparato</w:t>
      </w:r>
      <w:r w:rsidRPr="00884EED">
        <w:rPr>
          <w:rFonts w:ascii="Times New Roman" w:eastAsia="Times New Roman" w:hAnsi="Times New Roman" w:cs="Times New Roman"/>
        </w:rPr>
        <w:t xml:space="preserve"> laikymo </w:t>
      </w:r>
      <w:r w:rsidRPr="000C12E9">
        <w:rPr>
          <w:rFonts w:ascii="Times New Roman" w:eastAsia="Times New Roman" w:hAnsi="Times New Roman" w:cs="Times New Roman"/>
        </w:rPr>
        <w:t>sąlygos nurodytos poskyryje „Paruoštas tirpalas“.</w:t>
      </w:r>
    </w:p>
    <w:p w:rsidR="00DB6982" w:rsidRDefault="00DB6982" w:rsidP="00DB698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9041DB" w:rsidRDefault="009041DB">
      <w:bookmarkStart w:id="2" w:name="_GoBack"/>
      <w:bookmarkEnd w:id="2"/>
    </w:p>
    <w:sectPr w:rsidR="009041DB" w:rsidSect="00DB6982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461"/>
    <w:multiLevelType w:val="hybridMultilevel"/>
    <w:tmpl w:val="E9C4A3B6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FAF"/>
    <w:multiLevelType w:val="hybridMultilevel"/>
    <w:tmpl w:val="CF10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AAF"/>
    <w:multiLevelType w:val="singleLevel"/>
    <w:tmpl w:val="508698D8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3" w15:restartNumberingAfterBreak="0">
    <w:nsid w:val="189531A1"/>
    <w:multiLevelType w:val="hybridMultilevel"/>
    <w:tmpl w:val="BB949E3E"/>
    <w:lvl w:ilvl="0" w:tplc="B9020FE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3C26"/>
    <w:multiLevelType w:val="hybridMultilevel"/>
    <w:tmpl w:val="47FAA95E"/>
    <w:lvl w:ilvl="0" w:tplc="3BDE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F5004"/>
    <w:multiLevelType w:val="hybridMultilevel"/>
    <w:tmpl w:val="F8883D5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0480E"/>
    <w:multiLevelType w:val="hybridMultilevel"/>
    <w:tmpl w:val="12A6D4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93D"/>
    <w:multiLevelType w:val="hybridMultilevel"/>
    <w:tmpl w:val="1BA4E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A4343"/>
    <w:multiLevelType w:val="hybridMultilevel"/>
    <w:tmpl w:val="6526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1D5E"/>
    <w:multiLevelType w:val="hybridMultilevel"/>
    <w:tmpl w:val="9B325832"/>
    <w:lvl w:ilvl="0" w:tplc="45C278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E5B85"/>
    <w:multiLevelType w:val="hybridMultilevel"/>
    <w:tmpl w:val="B03A4CBE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2628"/>
    <w:multiLevelType w:val="hybridMultilevel"/>
    <w:tmpl w:val="A5122D0C"/>
    <w:lvl w:ilvl="0" w:tplc="46104D02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NewRoman" w:eastAsia="Times New Roman" w:hAnsi="TimesNew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9150E"/>
    <w:multiLevelType w:val="hybridMultilevel"/>
    <w:tmpl w:val="E9562D7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95EB2"/>
    <w:multiLevelType w:val="hybridMultilevel"/>
    <w:tmpl w:val="406E224E"/>
    <w:lvl w:ilvl="0" w:tplc="FFFFFFFF">
      <w:start w:val="1"/>
      <w:numFmt w:val="bullet"/>
      <w:lvlText w:val="-"/>
      <w:lvlJc w:val="left"/>
      <w:pPr>
        <w:ind w:left="129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3AAD4E5D"/>
    <w:multiLevelType w:val="hybridMultilevel"/>
    <w:tmpl w:val="2AFA20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6380A"/>
    <w:multiLevelType w:val="hybridMultilevel"/>
    <w:tmpl w:val="0786F2C8"/>
    <w:lvl w:ilvl="0" w:tplc="1E761ABA">
      <w:numFmt w:val="bullet"/>
      <w:lvlText w:val="•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414D64D1"/>
    <w:multiLevelType w:val="hybridMultilevel"/>
    <w:tmpl w:val="EFCAAAAC"/>
    <w:lvl w:ilvl="0" w:tplc="0427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7" w15:restartNumberingAfterBreak="0">
    <w:nsid w:val="46D22AF1"/>
    <w:multiLevelType w:val="hybridMultilevel"/>
    <w:tmpl w:val="3954D666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57DE7"/>
    <w:multiLevelType w:val="hybridMultilevel"/>
    <w:tmpl w:val="950439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611C3"/>
    <w:multiLevelType w:val="hybridMultilevel"/>
    <w:tmpl w:val="138639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A248F"/>
    <w:multiLevelType w:val="multilevel"/>
    <w:tmpl w:val="A9687D6C"/>
    <w:name w:val="WWH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mallCaps w:val="0"/>
        <w:sz w:val="24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4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4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21" w15:restartNumberingAfterBreak="0">
    <w:nsid w:val="49A804C1"/>
    <w:multiLevelType w:val="hybridMultilevel"/>
    <w:tmpl w:val="34D43AE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07275"/>
    <w:multiLevelType w:val="hybridMultilevel"/>
    <w:tmpl w:val="73AE6568"/>
    <w:lvl w:ilvl="0" w:tplc="1E761AB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627AB3"/>
    <w:multiLevelType w:val="hybridMultilevel"/>
    <w:tmpl w:val="FF1C63F4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71001"/>
    <w:multiLevelType w:val="hybridMultilevel"/>
    <w:tmpl w:val="561E154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87306"/>
    <w:multiLevelType w:val="hybridMultilevel"/>
    <w:tmpl w:val="8514B6C8"/>
    <w:lvl w:ilvl="0" w:tplc="1E761ABA">
      <w:numFmt w:val="bullet"/>
      <w:lvlText w:val="•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6" w15:restartNumberingAfterBreak="0">
    <w:nsid w:val="503B2795"/>
    <w:multiLevelType w:val="hybridMultilevel"/>
    <w:tmpl w:val="DA3E1B5C"/>
    <w:lvl w:ilvl="0" w:tplc="CC9402FC">
      <w:start w:val="10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85411"/>
    <w:multiLevelType w:val="hybridMultilevel"/>
    <w:tmpl w:val="24427FE4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DDFEE2E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12563"/>
    <w:multiLevelType w:val="hybridMultilevel"/>
    <w:tmpl w:val="01E4C2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E0781EB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A6BD2"/>
    <w:multiLevelType w:val="hybridMultilevel"/>
    <w:tmpl w:val="66680716"/>
    <w:lvl w:ilvl="0" w:tplc="3684E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77E10"/>
    <w:multiLevelType w:val="hybridMultilevel"/>
    <w:tmpl w:val="0E789880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C7273"/>
    <w:multiLevelType w:val="hybridMultilevel"/>
    <w:tmpl w:val="02E4493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509FE"/>
    <w:multiLevelType w:val="hybridMultilevel"/>
    <w:tmpl w:val="43F8F43E"/>
    <w:lvl w:ilvl="0" w:tplc="45C278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3123F"/>
    <w:multiLevelType w:val="hybridMultilevel"/>
    <w:tmpl w:val="58C61C4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3715A"/>
    <w:multiLevelType w:val="hybridMultilevel"/>
    <w:tmpl w:val="A87E7A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0137C"/>
    <w:multiLevelType w:val="hybridMultilevel"/>
    <w:tmpl w:val="612E9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75283"/>
    <w:multiLevelType w:val="hybridMultilevel"/>
    <w:tmpl w:val="5D40FE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2322E"/>
    <w:multiLevelType w:val="hybridMultilevel"/>
    <w:tmpl w:val="C15C9ABA"/>
    <w:lvl w:ilvl="0" w:tplc="825C9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2001B"/>
    <w:multiLevelType w:val="hybridMultilevel"/>
    <w:tmpl w:val="BF4E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E70A5"/>
    <w:multiLevelType w:val="hybridMultilevel"/>
    <w:tmpl w:val="75C6AA46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449B2"/>
    <w:multiLevelType w:val="hybridMultilevel"/>
    <w:tmpl w:val="DE668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C64EC"/>
    <w:multiLevelType w:val="hybridMultilevel"/>
    <w:tmpl w:val="08202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B6B86"/>
    <w:multiLevelType w:val="hybridMultilevel"/>
    <w:tmpl w:val="792E54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00E58"/>
    <w:multiLevelType w:val="hybridMultilevel"/>
    <w:tmpl w:val="ECA4E8BA"/>
    <w:lvl w:ilvl="0" w:tplc="1E761AB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AE0318"/>
    <w:multiLevelType w:val="hybridMultilevel"/>
    <w:tmpl w:val="B060EF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E65A5"/>
    <w:multiLevelType w:val="hybridMultilevel"/>
    <w:tmpl w:val="7F40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9"/>
  </w:num>
  <w:num w:numId="5">
    <w:abstractNumId w:val="18"/>
  </w:num>
  <w:num w:numId="6">
    <w:abstractNumId w:val="16"/>
  </w:num>
  <w:num w:numId="7">
    <w:abstractNumId w:val="26"/>
  </w:num>
  <w:num w:numId="8">
    <w:abstractNumId w:val="29"/>
  </w:num>
  <w:num w:numId="9">
    <w:abstractNumId w:val="20"/>
  </w:num>
  <w:num w:numId="10">
    <w:abstractNumId w:val="7"/>
  </w:num>
  <w:num w:numId="11">
    <w:abstractNumId w:val="27"/>
  </w:num>
  <w:num w:numId="12">
    <w:abstractNumId w:val="40"/>
  </w:num>
  <w:num w:numId="13">
    <w:abstractNumId w:val="38"/>
  </w:num>
  <w:num w:numId="14">
    <w:abstractNumId w:val="1"/>
  </w:num>
  <w:num w:numId="15">
    <w:abstractNumId w:val="45"/>
  </w:num>
  <w:num w:numId="16">
    <w:abstractNumId w:val="35"/>
  </w:num>
  <w:num w:numId="17">
    <w:abstractNumId w:val="37"/>
  </w:num>
  <w:num w:numId="18">
    <w:abstractNumId w:val="22"/>
  </w:num>
  <w:num w:numId="19">
    <w:abstractNumId w:val="4"/>
  </w:num>
  <w:num w:numId="20">
    <w:abstractNumId w:val="43"/>
  </w:num>
  <w:num w:numId="21">
    <w:abstractNumId w:val="15"/>
  </w:num>
  <w:num w:numId="22">
    <w:abstractNumId w:val="2"/>
  </w:num>
  <w:num w:numId="23">
    <w:abstractNumId w:val="25"/>
  </w:num>
  <w:num w:numId="24">
    <w:abstractNumId w:val="41"/>
  </w:num>
  <w:num w:numId="25">
    <w:abstractNumId w:val="23"/>
  </w:num>
  <w:num w:numId="26">
    <w:abstractNumId w:val="33"/>
  </w:num>
  <w:num w:numId="27">
    <w:abstractNumId w:val="12"/>
  </w:num>
  <w:num w:numId="28">
    <w:abstractNumId w:val="24"/>
  </w:num>
  <w:num w:numId="29">
    <w:abstractNumId w:val="34"/>
  </w:num>
  <w:num w:numId="30">
    <w:abstractNumId w:val="3"/>
  </w:num>
  <w:num w:numId="31">
    <w:abstractNumId w:val="39"/>
  </w:num>
  <w:num w:numId="32">
    <w:abstractNumId w:val="30"/>
  </w:num>
  <w:num w:numId="33">
    <w:abstractNumId w:val="17"/>
  </w:num>
  <w:num w:numId="34">
    <w:abstractNumId w:val="28"/>
  </w:num>
  <w:num w:numId="35">
    <w:abstractNumId w:val="0"/>
  </w:num>
  <w:num w:numId="36">
    <w:abstractNumId w:val="36"/>
  </w:num>
  <w:num w:numId="37">
    <w:abstractNumId w:val="5"/>
  </w:num>
  <w:num w:numId="38">
    <w:abstractNumId w:val="13"/>
  </w:num>
  <w:num w:numId="39">
    <w:abstractNumId w:val="44"/>
  </w:num>
  <w:num w:numId="40">
    <w:abstractNumId w:val="14"/>
  </w:num>
  <w:num w:numId="41">
    <w:abstractNumId w:val="42"/>
  </w:num>
  <w:num w:numId="42">
    <w:abstractNumId w:val="21"/>
  </w:num>
  <w:num w:numId="43">
    <w:abstractNumId w:val="19"/>
  </w:num>
  <w:num w:numId="44">
    <w:abstractNumId w:val="6"/>
  </w:num>
  <w:num w:numId="45">
    <w:abstractNumId w:val="10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82"/>
    <w:rsid w:val="009041DB"/>
    <w:rsid w:val="00DB6982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85270-5959-47D8-A24A-F651649B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6982"/>
    <w:rPr>
      <w:rFonts w:eastAsiaTheme="minorHAnsi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B698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B698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B698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B698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B6982"/>
    <w:pPr>
      <w:keepNext/>
      <w:spacing w:before="120" w:after="0" w:line="240" w:lineRule="auto"/>
      <w:ind w:left="567" w:hanging="567"/>
      <w:outlineLvl w:val="7"/>
    </w:pPr>
    <w:rPr>
      <w:rFonts w:ascii="Times New Roman" w:eastAsia="Times New Roman" w:hAnsi="Times New Roman" w:cs="Times New Roman"/>
      <w:bCs/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DB6982"/>
    <w:rPr>
      <w:rFonts w:ascii="Cambria" w:hAnsi="Cambria" w:cs="Times New Roman"/>
      <w:b/>
      <w:bCs/>
      <w:color w:val="365F91"/>
      <w:sz w:val="28"/>
      <w:szCs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B6982"/>
    <w:rPr>
      <w:rFonts w:ascii="Cambria" w:hAnsi="Cambria" w:cs="Times New Roman"/>
      <w:b/>
      <w:bCs/>
      <w:color w:val="4F81BD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B6982"/>
    <w:rPr>
      <w:rFonts w:ascii="Cambria" w:hAnsi="Cambria" w:cs="Times New Roman"/>
      <w:b/>
      <w:bCs/>
      <w:color w:val="4F81BD"/>
      <w:sz w:val="2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B6982"/>
    <w:rPr>
      <w:rFonts w:ascii="Times New Roman" w:hAnsi="Times New Roman" w:cs="Times New Roman"/>
      <w:b/>
      <w:bCs/>
      <w:sz w:val="36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B6982"/>
    <w:rPr>
      <w:rFonts w:ascii="Times New Roman" w:hAnsi="Times New Roman" w:cs="Times New Roman"/>
      <w:bCs/>
      <w:i/>
      <w:iCs/>
      <w:sz w:val="20"/>
      <w:szCs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DB6982"/>
  </w:style>
  <w:style w:type="numbering" w:customStyle="1" w:styleId="NoList1">
    <w:name w:val="No List1"/>
    <w:next w:val="Sraonra"/>
    <w:uiPriority w:val="99"/>
    <w:semiHidden/>
    <w:unhideWhenUsed/>
    <w:rsid w:val="00DB6982"/>
  </w:style>
  <w:style w:type="paragraph" w:styleId="Porat">
    <w:name w:val="footer"/>
    <w:basedOn w:val="prastasis"/>
    <w:link w:val="PoratDiagrama"/>
    <w:uiPriority w:val="99"/>
    <w:rsid w:val="00DB69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B6982"/>
    <w:rPr>
      <w:rFonts w:ascii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DB6982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DB6982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B6982"/>
    <w:rPr>
      <w:rFonts w:ascii="Times New Roman" w:hAnsi="Times New Roman" w:cs="Times New Roman"/>
      <w:sz w:val="36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B698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6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DB6982"/>
    <w:rPr>
      <w:rFonts w:ascii="Times New Roman" w:hAnsi="Times New Roman" w:cs="Times New Roman"/>
      <w:sz w:val="36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DB69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6982"/>
    <w:rPr>
      <w:rFonts w:ascii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DB6982"/>
    <w:pPr>
      <w:spacing w:after="0" w:line="36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B6982"/>
    <w:rPr>
      <w:rFonts w:ascii="Times New Roman" w:hAnsi="Times New Roman" w:cs="Times New Roman"/>
      <w:sz w:val="24"/>
      <w:szCs w:val="20"/>
      <w:lang w:eastAsia="lt-LT"/>
    </w:rPr>
  </w:style>
  <w:style w:type="character" w:styleId="Grietas">
    <w:name w:val="Strong"/>
    <w:uiPriority w:val="99"/>
    <w:qFormat/>
    <w:rsid w:val="00DB6982"/>
    <w:rPr>
      <w:rFonts w:cs="Times New Roman"/>
      <w:b/>
    </w:rPr>
  </w:style>
  <w:style w:type="paragraph" w:customStyle="1" w:styleId="PI-1EMEASMCA">
    <w:name w:val="PI-1 EMEA_SMCA"/>
    <w:basedOn w:val="Antrat2"/>
    <w:next w:val="Pagrindinistekstas3"/>
    <w:autoRedefine/>
    <w:uiPriority w:val="99"/>
    <w:rsid w:val="00DB6982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autoRedefine/>
    <w:uiPriority w:val="99"/>
    <w:rsid w:val="00DB69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uiPriority w:val="99"/>
    <w:rsid w:val="00DB6982"/>
    <w:pPr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DB6982"/>
    <w:pPr>
      <w:spacing w:after="0" w:line="240" w:lineRule="auto"/>
    </w:pPr>
    <w:rPr>
      <w:rFonts w:ascii="Times New Roman" w:eastAsia="Calibri" w:hAnsi="Times New Roman" w:cs="Times New Roman"/>
      <w:noProof/>
      <w:szCs w:val="20"/>
    </w:rPr>
  </w:style>
  <w:style w:type="paragraph" w:customStyle="1" w:styleId="TTEMEASMCA">
    <w:name w:val="TT EMEA_SMCA"/>
    <w:basedOn w:val="Antrat1"/>
    <w:autoRedefine/>
    <w:uiPriority w:val="99"/>
    <w:rsid w:val="00DB6982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Cs w:val="0"/>
      <w:caps/>
      <w:color w:val="auto"/>
      <w:sz w:val="22"/>
      <w:szCs w:val="22"/>
      <w:lang w:val="en-US"/>
    </w:rPr>
  </w:style>
  <w:style w:type="paragraph" w:customStyle="1" w:styleId="BTAnIIEMEASMCA">
    <w:name w:val="BT(AnII) EMEA_SMCA"/>
    <w:basedOn w:val="Debesliotekstas"/>
    <w:autoRedefine/>
    <w:uiPriority w:val="99"/>
    <w:rsid w:val="00DB6982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DB698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982"/>
    <w:rPr>
      <w:rFonts w:ascii="Tahoma" w:hAnsi="Tahoma" w:cs="Times New Roman"/>
      <w:sz w:val="16"/>
      <w:szCs w:val="16"/>
      <w:lang w:eastAsia="lt-LT"/>
    </w:rPr>
  </w:style>
  <w:style w:type="paragraph" w:customStyle="1" w:styleId="BTuEMEASMCA">
    <w:name w:val="BT(u) EMEA_SMCA"/>
    <w:basedOn w:val="BTEMEASMCA"/>
    <w:autoRedefine/>
    <w:uiPriority w:val="99"/>
    <w:rsid w:val="00DB6982"/>
    <w:rPr>
      <w:u w:val="single"/>
    </w:rPr>
  </w:style>
  <w:style w:type="paragraph" w:customStyle="1" w:styleId="BT-EMEASMCA">
    <w:name w:val="BT- EMEA_SMCA"/>
    <w:basedOn w:val="BTEMEASMCA"/>
    <w:autoRedefine/>
    <w:uiPriority w:val="99"/>
    <w:rsid w:val="00DB6982"/>
    <w:pPr>
      <w:tabs>
        <w:tab w:val="left" w:pos="360"/>
      </w:tabs>
    </w:pPr>
    <w:rPr>
      <w:i/>
    </w:rPr>
  </w:style>
  <w:style w:type="paragraph" w:customStyle="1" w:styleId="BTbEMEASMCA">
    <w:name w:val="BT(b) EMEA_SMCA"/>
    <w:basedOn w:val="BTEMEASMCA"/>
    <w:autoRedefine/>
    <w:uiPriority w:val="99"/>
    <w:rsid w:val="00DB6982"/>
    <w:rPr>
      <w:b/>
    </w:rPr>
  </w:style>
  <w:style w:type="paragraph" w:customStyle="1" w:styleId="PI-3EMEASMCA">
    <w:name w:val="PI-3 EMEA_SMCA"/>
    <w:basedOn w:val="prastasis"/>
    <w:autoRedefine/>
    <w:uiPriority w:val="99"/>
    <w:rsid w:val="00DB6982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character" w:styleId="Hipersaitas">
    <w:name w:val="Hyperlink"/>
    <w:uiPriority w:val="99"/>
    <w:rsid w:val="00DB6982"/>
    <w:rPr>
      <w:rFonts w:cs="Times New Roman"/>
      <w:color w:val="0000FF"/>
      <w:u w:val="single"/>
    </w:rPr>
  </w:style>
  <w:style w:type="paragraph" w:customStyle="1" w:styleId="ListParagraph1">
    <w:name w:val="List Paragraph1"/>
    <w:basedOn w:val="prastasis"/>
    <w:uiPriority w:val="99"/>
    <w:rsid w:val="00DB69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B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982"/>
    <w:rPr>
      <w:rFonts w:ascii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B69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982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customStyle="1" w:styleId="Revision1">
    <w:name w:val="Revision1"/>
    <w:hidden/>
    <w:uiPriority w:val="99"/>
    <w:semiHidden/>
    <w:rsid w:val="00DB6982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99"/>
    <w:rsid w:val="00DB69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faz">
    <w:name w:val="Emphasis"/>
    <w:uiPriority w:val="20"/>
    <w:qFormat/>
    <w:rsid w:val="00DB6982"/>
    <w:rPr>
      <w:rFonts w:cs="Times New Roman"/>
      <w:b/>
    </w:rPr>
  </w:style>
  <w:style w:type="character" w:customStyle="1" w:styleId="BTEMEASMCAChar">
    <w:name w:val="BT EMEA_SMCA Char"/>
    <w:link w:val="BTEMEASMCA"/>
    <w:uiPriority w:val="99"/>
    <w:locked/>
    <w:rsid w:val="00DB6982"/>
    <w:rPr>
      <w:rFonts w:ascii="Times New Roman" w:eastAsia="Calibri" w:hAnsi="Times New Roman" w:cs="Times New Roman"/>
      <w:noProof/>
      <w:szCs w:val="20"/>
    </w:rPr>
  </w:style>
  <w:style w:type="paragraph" w:customStyle="1" w:styleId="Default">
    <w:name w:val="Default"/>
    <w:uiPriority w:val="99"/>
    <w:rsid w:val="00DB6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11">
    <w:name w:val="Font Style11"/>
    <w:uiPriority w:val="99"/>
    <w:rsid w:val="00DB6982"/>
    <w:rPr>
      <w:rFonts w:ascii="Times New Roman" w:hAnsi="Times New Roman"/>
      <w:b/>
      <w:sz w:val="20"/>
    </w:rPr>
  </w:style>
  <w:style w:type="paragraph" w:customStyle="1" w:styleId="Style6">
    <w:name w:val="Style6"/>
    <w:basedOn w:val="prastasis"/>
    <w:uiPriority w:val="99"/>
    <w:rsid w:val="00DB698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uiPriority w:val="99"/>
    <w:semiHidden/>
    <w:rsid w:val="00DB6982"/>
    <w:rPr>
      <w:rFonts w:cs="Times New Roman"/>
      <w:sz w:val="16"/>
    </w:rPr>
  </w:style>
  <w:style w:type="paragraph" w:customStyle="1" w:styleId="spc-text">
    <w:name w:val="spc-text"/>
    <w:basedOn w:val="prastasis"/>
    <w:uiPriority w:val="99"/>
    <w:rsid w:val="00DB6982"/>
    <w:pPr>
      <w:tabs>
        <w:tab w:val="left" w:pos="851"/>
      </w:tabs>
      <w:spacing w:after="0" w:line="288" w:lineRule="auto"/>
      <w:ind w:left="851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ListParagraph2">
    <w:name w:val="List Paragraph2"/>
    <w:basedOn w:val="prastasis"/>
    <w:uiPriority w:val="99"/>
    <w:rsid w:val="00DB69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evision2">
    <w:name w:val="Revision2"/>
    <w:hidden/>
    <w:uiPriority w:val="99"/>
    <w:semiHidden/>
    <w:rsid w:val="00DB6982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table" w:customStyle="1" w:styleId="TableGrid1">
    <w:name w:val="Table Grid1"/>
    <w:basedOn w:val="prastojilentel"/>
    <w:next w:val="Lentelstinklelis"/>
    <w:rsid w:val="00DB6982"/>
    <w:pPr>
      <w:spacing w:after="0" w:line="240" w:lineRule="auto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B698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Sraopastraipa">
    <w:name w:val="List Paragraph"/>
    <w:basedOn w:val="prastasis"/>
    <w:uiPriority w:val="34"/>
    <w:qFormat/>
    <w:rsid w:val="00DB698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TableFootnote">
    <w:name w:val="Table Footnote"/>
    <w:basedOn w:val="prastasis"/>
    <w:rsid w:val="00DB6982"/>
    <w:pPr>
      <w:numPr>
        <w:numId w:val="22"/>
      </w:num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14297</Words>
  <Characters>8150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2021-11-16T11:59:00Z</dcterms:created>
  <dcterms:modified xsi:type="dcterms:W3CDTF">2021-11-16T12:00:00Z</dcterms:modified>
</cp:coreProperties>
</file>