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 PRIEDAS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PREPARATO CHARAKTERISTIKŲ SANTRAUKA</w:t>
      </w: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Cs/>
          <w:lang w:eastAsia="zh-CN"/>
        </w:rPr>
        <w:br w:type="page"/>
      </w:r>
      <w:r w:rsidRPr="00340F0C">
        <w:rPr>
          <w:rFonts w:ascii="Times New Roman" w:eastAsia="SimSun" w:hAnsi="Times New Roman"/>
          <w:b/>
          <w:bCs/>
          <w:lang w:eastAsia="zh-CN"/>
        </w:rPr>
        <w:lastRenderedPageBreak/>
        <w:t>1.</w:t>
      </w:r>
      <w:r w:rsidRPr="00340F0C">
        <w:rPr>
          <w:rFonts w:ascii="Times New Roman" w:eastAsia="SimSun" w:hAnsi="Times New Roman"/>
          <w:b/>
          <w:bCs/>
          <w:lang w:eastAsia="zh-CN"/>
        </w:rPr>
        <w:tab/>
        <w:t>VAISTINIO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 plėvele dengtos tabletės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KOKYBINĖ IR KIEKYBINĖ SUDĖTIS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100 mg imatinibo (mesilato pavidalu).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Visos pagalbinės medžiagos išvardytos 6.1 skyriuje.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FARMACINĖ FORMA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Plėvele dengta tabletė (tabletė)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Ruda, apvali (9 mm), abipus išgaubta tabletė su dalijimo vagele vienoje pusėje ir įspaudu „I9AB 100“ – kitoje.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Tabletę galima padalyti į lygias dozes.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KLINIKINĖ INFORMACIJA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4.1</w:t>
      </w:r>
      <w:r w:rsidRPr="00340F0C">
        <w:rPr>
          <w:rFonts w:ascii="Times New Roman" w:eastAsia="SimSun" w:hAnsi="Times New Roman"/>
          <w:b/>
        </w:rPr>
        <w:tab/>
        <w:t>Terapinės indikacijos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skiriama gydyti:</w:t>
      </w:r>
    </w:p>
    <w:p w:rsidR="0031490F" w:rsidRPr="00340F0C" w:rsidRDefault="0031490F" w:rsidP="0031490F">
      <w:pPr>
        <w:pStyle w:val="Sraopastraipa"/>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naujai diagnozuota Filadelfijos (</w:t>
      </w:r>
      <w:r w:rsidRPr="00340F0C">
        <w:rPr>
          <w:rFonts w:ascii="Times New Roman" w:eastAsia="SimSun" w:hAnsi="Times New Roman"/>
          <w:i/>
          <w:lang w:eastAsia="zh-CN"/>
        </w:rPr>
        <w:t>Philadelphia</w:t>
      </w:r>
      <w:r w:rsidRPr="00340F0C">
        <w:rPr>
          <w:rFonts w:ascii="Times New Roman" w:eastAsia="SimSun" w:hAnsi="Times New Roman"/>
          <w:lang w:eastAsia="zh-CN"/>
        </w:rPr>
        <w:t>) chromosomai (bcr-abl) teigiama (Ph+) lėtinė mieloleukemija (LML) ir kuriems kaulų čiulpų transplantacija nėra pirmo pasirinkimo gydymas;</w:t>
      </w:r>
    </w:p>
    <w:p w:rsidR="0031490F" w:rsidRPr="00340F0C" w:rsidRDefault="0031490F" w:rsidP="0031490F">
      <w:pPr>
        <w:pStyle w:val="Sraopastraipa"/>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yra Ph+ LML lėtinė fazė po neveiksmingo gydymo interferonu alfa arba akceleracijos fazė arba blastinė krizė;</w:t>
      </w:r>
    </w:p>
    <w:p w:rsidR="0031490F" w:rsidRPr="00340F0C" w:rsidRDefault="0031490F" w:rsidP="0031490F">
      <w:pPr>
        <w:pStyle w:val="Sraopastraipa"/>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kuriems yra Ph + LML blastinė krizė;</w:t>
      </w:r>
    </w:p>
    <w:p w:rsidR="0031490F" w:rsidRDefault="0031490F" w:rsidP="0031490F">
      <w:pPr>
        <w:numPr>
          <w:ilvl w:val="0"/>
          <w:numId w:val="13"/>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suaugusi</w:t>
      </w:r>
      <w:r w:rsidRPr="00340F0C">
        <w:rPr>
          <w:rFonts w:ascii="Times New Roman" w:eastAsia="SimSun" w:hAnsi="Times New Roman"/>
          <w:lang w:eastAsia="zh-CN"/>
        </w:rPr>
        <w:t>uosius</w:t>
      </w:r>
      <w:r w:rsidRPr="00366C6D">
        <w:rPr>
          <w:rFonts w:ascii="Times New Roman" w:eastAsia="SimSun" w:hAnsi="Times New Roman"/>
          <w:lang w:eastAsia="zh-CN"/>
        </w:rPr>
        <w:t xml:space="preserve"> ir vaik</w:t>
      </w:r>
      <w:r w:rsidRPr="00340F0C">
        <w:rPr>
          <w:rFonts w:ascii="Times New Roman" w:eastAsia="SimSun" w:hAnsi="Times New Roman"/>
          <w:lang w:eastAsia="zh-CN"/>
        </w:rPr>
        <w:t>us, kuriems</w:t>
      </w:r>
      <w:r w:rsidRPr="00366C6D">
        <w:rPr>
          <w:rFonts w:ascii="Times New Roman" w:eastAsia="SimSun" w:hAnsi="Times New Roman"/>
          <w:lang w:eastAsia="zh-CN"/>
        </w:rPr>
        <w:t xml:space="preserve"> naujai diagnozuot</w:t>
      </w:r>
      <w:r w:rsidRPr="00340F0C">
        <w:rPr>
          <w:rFonts w:ascii="Times New Roman" w:eastAsia="SimSun" w:hAnsi="Times New Roman"/>
          <w:lang w:eastAsia="zh-CN"/>
        </w:rPr>
        <w:t>a</w:t>
      </w:r>
      <w:r w:rsidRPr="00366C6D">
        <w:rPr>
          <w:rFonts w:ascii="Times New Roman" w:eastAsia="SimSun" w:hAnsi="Times New Roman"/>
          <w:lang w:eastAsia="zh-CN"/>
        </w:rPr>
        <w:t xml:space="preserve"> </w:t>
      </w:r>
      <w:r w:rsidRPr="00340F0C">
        <w:rPr>
          <w:rFonts w:ascii="Times New Roman" w:eastAsia="SimSun" w:hAnsi="Times New Roman"/>
          <w:lang w:eastAsia="zh-CN"/>
        </w:rPr>
        <w:t>Filadelfijos (</w:t>
      </w:r>
      <w:r w:rsidRPr="00366C6D">
        <w:rPr>
          <w:rFonts w:ascii="Times New Roman" w:eastAsia="SimSun" w:hAnsi="Times New Roman"/>
          <w:i/>
          <w:lang w:eastAsia="zh-CN"/>
        </w:rPr>
        <w:t>Philadelphia</w:t>
      </w:r>
      <w:r w:rsidRPr="00340F0C">
        <w:rPr>
          <w:rFonts w:ascii="Times New Roman" w:eastAsia="SimSun" w:hAnsi="Times New Roman"/>
          <w:i/>
          <w:lang w:eastAsia="zh-CN"/>
        </w:rPr>
        <w:t>)</w:t>
      </w:r>
      <w:r w:rsidRPr="00366C6D">
        <w:rPr>
          <w:rFonts w:ascii="Times New Roman" w:eastAsia="SimSun" w:hAnsi="Times New Roman"/>
          <w:lang w:eastAsia="zh-CN"/>
        </w:rPr>
        <w:t xml:space="preserve"> chromosomai teigiam</w:t>
      </w:r>
      <w:r w:rsidRPr="00340F0C">
        <w:rPr>
          <w:rFonts w:ascii="Times New Roman" w:eastAsia="SimSun" w:hAnsi="Times New Roman"/>
          <w:lang w:eastAsia="zh-CN"/>
        </w:rPr>
        <w:t>a</w:t>
      </w:r>
      <w:r w:rsidRPr="00366C6D">
        <w:rPr>
          <w:rFonts w:ascii="Times New Roman" w:eastAsia="SimSun" w:hAnsi="Times New Roman"/>
          <w:lang w:eastAsia="zh-CN"/>
        </w:rPr>
        <w:t xml:space="preserve"> ūminė limfoleukemij</w:t>
      </w:r>
      <w:r w:rsidRPr="00340F0C">
        <w:rPr>
          <w:rFonts w:ascii="Times New Roman" w:eastAsia="SimSun" w:hAnsi="Times New Roman"/>
          <w:lang w:eastAsia="zh-CN"/>
        </w:rPr>
        <w:t>a</w:t>
      </w:r>
      <w:r w:rsidRPr="00366C6D">
        <w:rPr>
          <w:rFonts w:ascii="Times New Roman" w:eastAsia="SimSun" w:hAnsi="Times New Roman"/>
          <w:lang w:eastAsia="zh-CN"/>
        </w:rPr>
        <w:t xml:space="preserve"> (Ph+ ŪLL)</w:t>
      </w:r>
      <w:r w:rsidRPr="00340F0C">
        <w:rPr>
          <w:rFonts w:ascii="Times New Roman" w:eastAsia="SimSun" w:hAnsi="Times New Roman"/>
          <w:lang w:eastAsia="zh-CN"/>
        </w:rPr>
        <w:t xml:space="preserve"> </w:t>
      </w:r>
      <w:r w:rsidRPr="00366C6D">
        <w:rPr>
          <w:rFonts w:ascii="Times New Roman" w:eastAsia="SimSun" w:hAnsi="Times New Roman"/>
          <w:lang w:eastAsia="zh-CN"/>
        </w:rPr>
        <w:t>kartu su chemoterapija</w:t>
      </w:r>
      <w:r w:rsidRPr="00340F0C">
        <w:rPr>
          <w:rFonts w:ascii="Times New Roman" w:eastAsia="SimSun" w:hAnsi="Times New Roman"/>
          <w:lang w:eastAsia="zh-CN"/>
        </w:rPr>
        <w:t>;</w:t>
      </w:r>
    </w:p>
    <w:p w:rsidR="0031490F" w:rsidRDefault="0031490F" w:rsidP="0031490F">
      <w:pPr>
        <w:numPr>
          <w:ilvl w:val="0"/>
          <w:numId w:val="1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366C6D">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366C6D">
        <w:rPr>
          <w:rFonts w:ascii="Times New Roman" w:eastAsia="SimSun" w:hAnsi="Times New Roman"/>
          <w:lang w:eastAsia="zh-CN"/>
        </w:rPr>
        <w:t>recidyvavusi ar refrakterinė Ph+ŪLL monoterapija</w:t>
      </w:r>
      <w:r w:rsidRPr="00340F0C">
        <w:rPr>
          <w:rFonts w:ascii="Times New Roman" w:eastAsia="SimSun" w:hAnsi="Times New Roman"/>
          <w:lang w:eastAsia="zh-CN"/>
        </w:rPr>
        <w:t>;</w:t>
      </w:r>
    </w:p>
    <w:p w:rsidR="0031490F" w:rsidRDefault="0031490F" w:rsidP="0031490F">
      <w:pPr>
        <w:numPr>
          <w:ilvl w:val="0"/>
          <w:numId w:val="1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Pr="00366C6D">
        <w:rPr>
          <w:rFonts w:ascii="Times New Roman" w:eastAsia="SimSun" w:hAnsi="Times New Roman"/>
          <w:lang w:eastAsia="zh-CN"/>
        </w:rPr>
        <w:t xml:space="preserve"> mielodisplazin</w:t>
      </w:r>
      <w:r w:rsidRPr="00340F0C">
        <w:rPr>
          <w:rFonts w:ascii="Times New Roman" w:eastAsia="SimSun" w:hAnsi="Times New Roman"/>
          <w:lang w:eastAsia="zh-CN"/>
        </w:rPr>
        <w:t>ėmis</w:t>
      </w:r>
      <w:r w:rsidRPr="00366C6D">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Pr="00366C6D">
        <w:rPr>
          <w:rFonts w:ascii="Times New Roman" w:eastAsia="SimSun" w:hAnsi="Times New Roman"/>
          <w:lang w:eastAsia="zh-CN"/>
        </w:rPr>
        <w:t xml:space="preserve"> lig</w:t>
      </w:r>
      <w:r w:rsidRPr="00340F0C">
        <w:rPr>
          <w:rFonts w:ascii="Times New Roman" w:eastAsia="SimSun" w:hAnsi="Times New Roman"/>
          <w:lang w:eastAsia="zh-CN"/>
        </w:rPr>
        <w:t>omi</w:t>
      </w:r>
      <w:r w:rsidRPr="00366C6D">
        <w:rPr>
          <w:rFonts w:ascii="Times New Roman" w:eastAsia="SimSun" w:hAnsi="Times New Roman"/>
          <w:lang w:eastAsia="zh-CN"/>
        </w:rPr>
        <w:t>s (MDS/MPL), susijusi</w:t>
      </w:r>
      <w:r w:rsidRPr="00340F0C">
        <w:rPr>
          <w:rFonts w:ascii="Times New Roman" w:eastAsia="SimSun" w:hAnsi="Times New Roman"/>
          <w:lang w:eastAsia="zh-CN"/>
        </w:rPr>
        <w:t>omis</w:t>
      </w:r>
      <w:r w:rsidRPr="00366C6D">
        <w:rPr>
          <w:rFonts w:ascii="Times New Roman" w:eastAsia="SimSun" w:hAnsi="Times New Roman"/>
          <w:lang w:eastAsia="zh-CN"/>
        </w:rPr>
        <w:t xml:space="preserve"> su trombocitų kilmės augimo faktoriaus receptoriaus (</w:t>
      </w:r>
      <w:r w:rsidRPr="00366C6D">
        <w:rPr>
          <w:rFonts w:ascii="Times New Roman" w:eastAsia="SimSun" w:hAnsi="Times New Roman"/>
          <w:i/>
          <w:lang w:eastAsia="zh-CN"/>
        </w:rPr>
        <w:t>PDGFR</w:t>
      </w:r>
      <w:r w:rsidRPr="00366C6D">
        <w:rPr>
          <w:rFonts w:ascii="Times New Roman" w:eastAsia="SimSun" w:hAnsi="Times New Roman"/>
          <w:lang w:eastAsia="zh-CN"/>
        </w:rPr>
        <w:t>) genų pakitimais</w:t>
      </w:r>
      <w:r w:rsidRPr="00340F0C">
        <w:rPr>
          <w:rFonts w:ascii="Times New Roman" w:eastAsia="SimSun" w:hAnsi="Times New Roman"/>
          <w:lang w:eastAsia="zh-CN"/>
        </w:rPr>
        <w:t>;</w:t>
      </w:r>
    </w:p>
    <w:p w:rsidR="0031490F" w:rsidRDefault="0031490F" w:rsidP="0031490F">
      <w:pPr>
        <w:numPr>
          <w:ilvl w:val="0"/>
          <w:numId w:val="1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366C6D">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366C6D">
        <w:rPr>
          <w:rFonts w:ascii="Times New Roman" w:eastAsia="SimSun" w:hAnsi="Times New Roman"/>
          <w:lang w:eastAsia="zh-CN"/>
        </w:rPr>
        <w:t>progresav</w:t>
      </w:r>
      <w:r w:rsidRPr="00340F0C">
        <w:rPr>
          <w:rFonts w:ascii="Times New Roman" w:eastAsia="SimSun" w:hAnsi="Times New Roman"/>
          <w:lang w:eastAsia="zh-CN"/>
        </w:rPr>
        <w:t>ęs</w:t>
      </w:r>
      <w:r w:rsidRPr="00366C6D">
        <w:rPr>
          <w:rFonts w:ascii="Times New Roman" w:eastAsia="SimSun" w:hAnsi="Times New Roman"/>
          <w:lang w:eastAsia="zh-CN"/>
        </w:rPr>
        <w:t xml:space="preserve"> hipereozinofilijos sindrom</w:t>
      </w:r>
      <w:r w:rsidRPr="00340F0C">
        <w:rPr>
          <w:rFonts w:ascii="Times New Roman" w:eastAsia="SimSun" w:hAnsi="Times New Roman"/>
          <w:lang w:eastAsia="zh-CN"/>
        </w:rPr>
        <w:t>as</w:t>
      </w:r>
      <w:r w:rsidRPr="00366C6D">
        <w:rPr>
          <w:rFonts w:ascii="Times New Roman" w:eastAsia="SimSun" w:hAnsi="Times New Roman"/>
          <w:lang w:eastAsia="zh-CN"/>
        </w:rPr>
        <w:t xml:space="preserve"> (HES) </w:t>
      </w:r>
      <w:r w:rsidRPr="00340F0C">
        <w:rPr>
          <w:rFonts w:ascii="Times New Roman" w:eastAsia="SimSun" w:hAnsi="Times New Roman"/>
          <w:lang w:eastAsia="zh-CN"/>
        </w:rPr>
        <w:t>i</w:t>
      </w:r>
      <w:r w:rsidRPr="00366C6D">
        <w:rPr>
          <w:rFonts w:ascii="Times New Roman" w:eastAsia="SimSun" w:hAnsi="Times New Roman"/>
          <w:lang w:eastAsia="zh-CN"/>
        </w:rPr>
        <w:t>r (arba) lėtin</w:t>
      </w:r>
      <w:r w:rsidRPr="00340F0C">
        <w:rPr>
          <w:rFonts w:ascii="Times New Roman" w:eastAsia="SimSun" w:hAnsi="Times New Roman"/>
          <w:lang w:eastAsia="zh-CN"/>
        </w:rPr>
        <w:t>ė</w:t>
      </w:r>
      <w:r w:rsidRPr="00366C6D">
        <w:rPr>
          <w:rFonts w:ascii="Times New Roman" w:eastAsia="SimSun" w:hAnsi="Times New Roman"/>
          <w:lang w:eastAsia="zh-CN"/>
        </w:rPr>
        <w:t xml:space="preserve"> eozinofilin</w:t>
      </w:r>
      <w:r w:rsidRPr="00340F0C">
        <w:rPr>
          <w:rFonts w:ascii="Times New Roman" w:eastAsia="SimSun" w:hAnsi="Times New Roman"/>
          <w:lang w:eastAsia="zh-CN"/>
        </w:rPr>
        <w:t>ė</w:t>
      </w:r>
      <w:r w:rsidRPr="00366C6D">
        <w:rPr>
          <w:rFonts w:ascii="Times New Roman" w:eastAsia="SimSun" w:hAnsi="Times New Roman"/>
          <w:lang w:eastAsia="zh-CN"/>
        </w:rPr>
        <w:t xml:space="preserve"> leukemij</w:t>
      </w:r>
      <w:r w:rsidRPr="00340F0C">
        <w:rPr>
          <w:rFonts w:ascii="Times New Roman" w:eastAsia="SimSun" w:hAnsi="Times New Roman"/>
          <w:lang w:eastAsia="zh-CN"/>
        </w:rPr>
        <w:t>a</w:t>
      </w:r>
      <w:r w:rsidRPr="00366C6D">
        <w:rPr>
          <w:rFonts w:ascii="Times New Roman" w:eastAsia="SimSun" w:hAnsi="Times New Roman"/>
          <w:lang w:eastAsia="zh-CN"/>
        </w:rPr>
        <w:t xml:space="preserve"> (LEL) su FIP1L1-PDGFR pokyčiu.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Imatinibo poveikis kaulų čiulpų transplantacijos rezultatams nenustatytas.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skiriama:</w:t>
      </w:r>
    </w:p>
    <w:p w:rsidR="0031490F" w:rsidRDefault="0031490F" w:rsidP="0031490F">
      <w:pPr>
        <w:numPr>
          <w:ilvl w:val="0"/>
          <w:numId w:val="14"/>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suaugusiesiems, kuriems yra Kit (CD 117) teigiamas nerezekuotinas ir (ar) metastazavęs piktybinis virškinimo trakto stromos navikas (VTSN), gydyti. </w:t>
      </w:r>
    </w:p>
    <w:p w:rsidR="0031490F" w:rsidRDefault="0031490F" w:rsidP="0031490F">
      <w:pPr>
        <w:numPr>
          <w:ilvl w:val="0"/>
          <w:numId w:val="14"/>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rsidR="0031490F" w:rsidRDefault="0031490F" w:rsidP="0031490F">
      <w:pPr>
        <w:numPr>
          <w:ilvl w:val="0"/>
          <w:numId w:val="14"/>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suaugusiesiems, kuriems yra nerezekuotina iškilioji dermatofibrosarkoma (DFSP) ar, kuriems yra pasikartojanti ir (ar) metastazavusi DFSP ir kurių negalima operuoti.</w:t>
      </w:r>
    </w:p>
    <w:p w:rsidR="0031490F" w:rsidRDefault="0031490F" w:rsidP="0031490F">
      <w:pPr>
        <w:tabs>
          <w:tab w:val="left" w:pos="567"/>
        </w:tabs>
        <w:spacing w:after="0" w:line="240" w:lineRule="auto"/>
        <w:ind w:left="567"/>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Suaugusiems pacientams ir vaikams imatinibo veiksmingumas grindžiamas bendru hematologinio ir citologinio atsako dažniu ir gyvenimo trukme be ligos progresavimo, kai yra LML, hematologiniu ir citogenetiniu atsako dažniu, kai yra Ph+ ŪLL, MDS/MPL, hematologiniu atsako dažniu, kai yra HES/LEL, objektyvia atsako dalimi suaugusiųjų pacientų, sergančių nerezekuotinu ir (arba) metastazavusiu VTSN ir DFSP, tarpe ir išgyvenamumo be ligos recidyvo trukme, kai preparato </w:t>
      </w:r>
      <w:r w:rsidRPr="00340F0C">
        <w:rPr>
          <w:rFonts w:ascii="Times New Roman" w:eastAsia="SimSun" w:hAnsi="Times New Roman"/>
          <w:lang w:eastAsia="zh-CN"/>
        </w:rPr>
        <w:lastRenderedPageBreak/>
        <w:t xml:space="preserve">skiriama adjuvantiniam VTSN gydymui. Patirtis gydant </w:t>
      </w:r>
      <w:r>
        <w:rPr>
          <w:rFonts w:ascii="Times New Roman" w:eastAsia="SimSun" w:hAnsi="Times New Roman"/>
          <w:lang w:eastAsia="zh-CN"/>
        </w:rPr>
        <w:t>Imatinib Synthon</w:t>
      </w:r>
      <w:r w:rsidRPr="00340F0C">
        <w:rPr>
          <w:rFonts w:ascii="Times New Roman" w:eastAsia="SimSun" w:hAnsi="Times New Roman"/>
          <w:lang w:eastAsia="zh-CN"/>
        </w:rPr>
        <w:t xml:space="preserve"> pacientus, sergančius MDS/MPL, susijusia su PDGF geno pakitimais yra labai ribota (žr. 5.1 skyrių). Nėra kontroliuojamų tyrimų, įrodančių klinikinę naudą ar pailgėjusią gyvenimo trukmę, kai yra kuri nors iš šių ligų</w:t>
      </w:r>
      <w:r>
        <w:rPr>
          <w:rFonts w:ascii="Times New Roman" w:eastAsia="SimSun" w:hAnsi="Times New Roman"/>
          <w:lang w:eastAsia="zh-CN"/>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4.2</w:t>
      </w:r>
      <w:r w:rsidRPr="00340F0C">
        <w:rPr>
          <w:rFonts w:ascii="Times New Roman" w:eastAsia="SimSun" w:hAnsi="Times New Roman"/>
          <w:b/>
        </w:rPr>
        <w:tab/>
        <w:t>Dozavimas ir vartojimo metodas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Skirti vaistinį preparatą gali tik gydytojas, turintis patirties, kaip gydyti pacientus, sergančius piktybiniais hematologiniais navikais ar piktybine sarkoma.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skiriama 400 mg ir didesnė dozė (žr. dozavimo rekomendaciją žemiau) rekomenduojama vartoti 400 mg tabletes</w:t>
      </w:r>
      <w:r w:rsidRPr="00366C6D">
        <w:rPr>
          <w:rFonts w:ascii="Times New Roman" w:eastAsia="SimSun" w:hAnsi="Times New Roman"/>
          <w:lang w:eastAsia="zh-CN"/>
        </w:rPr>
        <w:t xml:space="preserve"> (nedalomos)</w:t>
      </w:r>
      <w:r w:rsidRPr="00340F0C">
        <w:rPr>
          <w:rFonts w:ascii="Times New Roman" w:eastAsia="SimSun" w:hAnsi="Times New Roman"/>
          <w:lang w:eastAsia="zh-CN"/>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Paskirta dozė geriama valgant ir užgeriant didele stikline vandens, kad būtų sumažinta virškinimo trakto dirginimo rizika. 400 mg ar 600 mg dozę vartoti vieną kartą per parą, tuo tarpu 800 mg paros dozę reikėtų vartoti po 400 mg du kartus per parą, ryte ir vakare.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Dozavimas, kai yra suaugusiųjų LML</w:t>
      </w:r>
      <w:r>
        <w:rPr>
          <w:rFonts w:ascii="Times New Roman" w:eastAsia="SimSun" w:hAnsi="Times New Roman"/>
          <w:u w:val="single"/>
          <w:lang w:eastAsia="zh-CN"/>
        </w:rPr>
        <w:t xml:space="preserve"> blastine krizė</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Rekomenduojama imatinibo dozė suaugusiems pacientams, kuriems yra blastinė krizė, yra 600 mg per parą. Blastinė krizė diagnozuojama, kai blastų kraujyje ar kaulų čiulpuose ≥ 30% ar yra kitokia negu hepatosplenomegalija ekstramedulinė liga.</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Dozę galima didinti nuo 600 mg iki didžiausios 800 mg dozės (po 400 mg 2 kartus per parą), kai yra blastinė krizė ir nėra sunkių nepageidaujamų vaist</w:t>
      </w:r>
      <w:r>
        <w:rPr>
          <w:rFonts w:ascii="Times New Roman" w:eastAsia="SimSun" w:hAnsi="Times New Roman"/>
          <w:lang w:eastAsia="zh-CN"/>
        </w:rPr>
        <w:t>inio preparat</w:t>
      </w:r>
      <w:r w:rsidRPr="00340F0C">
        <w:rPr>
          <w:rFonts w:ascii="Times New Roman" w:eastAsia="SimSun" w:hAnsi="Times New Roman"/>
          <w:lang w:eastAsia="zh-CN"/>
        </w:rPr>
        <w:t>o reakcijų ar sunkios su leukemija susijusios neutropenijos ar trombocitopemijos šiais atvejais: 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LML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lėtinė ir progresavusi LML fazė, vaikams rekomenduojama 340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nepasireiškė sunkus nepageidaujamas poveikis ir sunki ne su leukemija susijusi neutropenija arba trombocitopenija, dozė vaikams gali būti didinama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570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Ph+ ŪLL sergantiems suaugusiesiems pacientams rekomenduojama </w:t>
      </w:r>
      <w:r>
        <w:rPr>
          <w:rFonts w:ascii="Times New Roman" w:eastAsia="SimSun" w:hAnsi="Times New Roman"/>
          <w:u w:val="single"/>
          <w:lang w:eastAsia="zh-CN"/>
        </w:rPr>
        <w:t>Imatinib Synthon</w:t>
      </w:r>
      <w:r w:rsidRPr="00340F0C">
        <w:rPr>
          <w:rFonts w:ascii="Times New Roman" w:eastAsia="SimSun" w:hAnsi="Times New Roman"/>
          <w:u w:val="single"/>
          <w:lang w:eastAsia="zh-CN"/>
        </w:rPr>
        <w:t xml:space="preserve"> </w:t>
      </w:r>
      <w:r w:rsidRPr="00366C6D">
        <w:rPr>
          <w:rFonts w:ascii="Times New Roman" w:eastAsia="SimSun" w:hAnsi="Times New Roman"/>
          <w:lang w:eastAsia="zh-CN"/>
        </w:rPr>
        <w:t>dozė yra 600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Visų fazių metu gydymui turi vadovauti hematologai, turintys šios ligos gydymo patirties.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lastRenderedPageBreak/>
        <w:t xml:space="preserve">Gydymo planas. Pagal turimus duomenis,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600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dozė buvo efektyvi ir saugi kartu su chemoterapiniais preparatais pradinės, dozės didinimo ir palaikomosios chemoterapijos fazės metu (žr. 5.1</w:t>
      </w:r>
      <w:r w:rsidRPr="00340F0C">
        <w:rPr>
          <w:rFonts w:ascii="Times New Roman" w:eastAsia="SimSun" w:hAnsi="Times New Roman"/>
          <w:lang w:eastAsia="zh-CN"/>
        </w:rPr>
        <w:t> skyrių</w:t>
      </w:r>
      <w:r w:rsidRPr="00366C6D">
        <w:rPr>
          <w:rFonts w:ascii="Times New Roman" w:eastAsia="SimSun" w:hAnsi="Times New Roman"/>
          <w:lang w:eastAsia="zh-CN"/>
        </w:rPr>
        <w:t xml:space="preserve">) suaugusiems pacientams, kuriems pirmą kartą diagnozuota Ph+ ŪLL. Gydymo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 xml:space="preserve">trukmė gali priklausyti nuo pasirinktos gydymo programos, bet dažniausiai ilgiau vartojant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 xml:space="preserve">rezultatai buvo geresni.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Suaugusiesiems pacientams, kuriems yra recidyvas ar gydymui atspari Ph+ ŪLL, gydymas vien tik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po 600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yra saugus, efektyvus ir gali būti skiriamas, kol liga pradės progresuoti.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Vaikams dozuojama pagal kūno paviršiaus plotą (mg/m</w:t>
      </w:r>
      <w:r w:rsidRPr="00366C6D">
        <w:rPr>
          <w:rFonts w:ascii="Times New Roman" w:eastAsia="SimSun" w:hAnsi="Times New Roman"/>
          <w:vertAlign w:val="superscript"/>
          <w:lang w:eastAsia="zh-CN"/>
        </w:rPr>
        <w:t>2</w:t>
      </w:r>
      <w:r w:rsidRPr="00366C6D">
        <w:rPr>
          <w:rFonts w:ascii="Times New Roman" w:eastAsia="SimSun" w:hAnsi="Times New Roman"/>
          <w:lang w:eastAsia="zh-CN"/>
        </w:rPr>
        <w:t xml:space="preserve">). Kai yra Ph+ ŪLL, vaikams </w:t>
      </w:r>
      <w:r w:rsidRPr="00340F0C">
        <w:rPr>
          <w:rFonts w:ascii="Times New Roman" w:eastAsia="SimSun" w:hAnsi="Times New Roman"/>
          <w:lang w:eastAsia="zh-CN"/>
        </w:rPr>
        <w:t>rekomenduojama 340 mg/m</w:t>
      </w:r>
      <w:r w:rsidRPr="00366C6D">
        <w:rPr>
          <w:rFonts w:ascii="Times New Roman" w:eastAsia="SimSun" w:hAnsi="Times New Roman"/>
          <w:vertAlign w:val="superscript"/>
          <w:lang w:eastAsia="zh-CN"/>
        </w:rPr>
        <w:t>2</w:t>
      </w:r>
      <w:r w:rsidRPr="00366C6D">
        <w:rPr>
          <w:rFonts w:ascii="Times New Roman" w:eastAsia="SimSun" w:hAnsi="Times New Roman"/>
          <w:lang w:eastAsia="zh-CN"/>
        </w:rPr>
        <w:t xml:space="preserve"> paros dozė (bendros 600</w:t>
      </w:r>
      <w:r w:rsidRPr="00340F0C">
        <w:rPr>
          <w:rFonts w:ascii="Times New Roman" w:eastAsia="SimSun" w:hAnsi="Times New Roman"/>
          <w:lang w:eastAsia="zh-CN"/>
        </w:rPr>
        <w:t> mg</w:t>
      </w:r>
      <w:r w:rsidRPr="00366C6D">
        <w:rPr>
          <w:rFonts w:ascii="Times New Roman" w:eastAsia="SimSun" w:hAnsi="Times New Roman"/>
          <w:lang w:eastAsia="zh-CN"/>
        </w:rPr>
        <w:t xml:space="preserve"> dozės viršyti negalima).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MDS ar MPL sergantiems suaugusiesiems pacientams 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dozė yra 400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w:t>
      </w:r>
      <w:r w:rsidRPr="00366C6D">
        <w:rPr>
          <w:rFonts w:ascii="Times New Roman" w:eastAsia="SimSun" w:hAnsi="Times New Roman"/>
          <w:lang w:eastAsia="zh-CN"/>
        </w:rPr>
        <w:t xml:space="preserve"> Klinikinio tyrimo, tęsiamo iki šiol, metu gydymas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buvo tęsiamas iki ligos progresavimo (žr. 5.1</w:t>
      </w:r>
      <w:r w:rsidRPr="00340F0C">
        <w:rPr>
          <w:rFonts w:ascii="Times New Roman" w:eastAsia="SimSun" w:hAnsi="Times New Roman"/>
          <w:lang w:eastAsia="zh-CN"/>
        </w:rPr>
        <w:t> skyrių</w:t>
      </w:r>
      <w:r w:rsidRPr="00366C6D">
        <w:rPr>
          <w:rFonts w:ascii="Times New Roman" w:eastAsia="SimSun" w:hAnsi="Times New Roman"/>
          <w:lang w:eastAsia="zh-CN"/>
        </w:rPr>
        <w:t xml:space="preserve">). Tyrimo metu gydymo vidutinė trukmė buvo 47 mėnesiai (24 dienos – 60 mėnesių).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dozė suaugusiesiems pacientams, sergantiems HES/LEL, yra 100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Galima didinti dozę nuo 100</w:t>
      </w:r>
      <w:r w:rsidRPr="00340F0C">
        <w:rPr>
          <w:rFonts w:ascii="Times New Roman" w:eastAsia="SimSun" w:hAnsi="Times New Roman"/>
          <w:lang w:eastAsia="zh-CN"/>
        </w:rPr>
        <w:t> mg</w:t>
      </w:r>
      <w:r w:rsidRPr="00366C6D">
        <w:rPr>
          <w:rFonts w:ascii="Times New Roman" w:eastAsia="SimSun" w:hAnsi="Times New Roman"/>
          <w:lang w:eastAsia="zh-CN"/>
        </w:rPr>
        <w:t xml:space="preserve"> iki 400</w:t>
      </w:r>
      <w:r w:rsidRPr="00340F0C">
        <w:rPr>
          <w:rFonts w:ascii="Times New Roman" w:eastAsia="SimSun" w:hAnsi="Times New Roman"/>
          <w:lang w:eastAsia="zh-CN"/>
        </w:rPr>
        <w:t> mg</w:t>
      </w:r>
      <w:r w:rsidRPr="00366C6D">
        <w:rPr>
          <w:rFonts w:ascii="Times New Roman" w:eastAsia="SimSun" w:hAnsi="Times New Roman"/>
          <w:lang w:eastAsia="zh-CN"/>
        </w:rPr>
        <w:t xml:space="preserve">, jei nėra nepageidaujamų reakcijų ir jeigu įvertinimas rodo nepakankamą atsaką į gydymą.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Gydymą reikia tęsti tol, kol pacientui pastebimas teigiamas poveikis.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dozė suaugusiesiems pacientams, kuriems yra nerezekuotinas ir (arba) metastazavęs piktybinis VTSN, yra 400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Dar mažai duomenų apie nuo 400</w:t>
      </w:r>
      <w:r w:rsidRPr="00340F0C">
        <w:rPr>
          <w:rFonts w:ascii="Times New Roman" w:eastAsia="SimSun" w:hAnsi="Times New Roman"/>
          <w:lang w:eastAsia="zh-CN"/>
        </w:rPr>
        <w:t> mg</w:t>
      </w:r>
      <w:r w:rsidRPr="00366C6D">
        <w:rPr>
          <w:rFonts w:ascii="Times New Roman" w:eastAsia="SimSun" w:hAnsi="Times New Roman"/>
          <w:lang w:eastAsia="zh-CN"/>
        </w:rPr>
        <w:t xml:space="preserve"> iki 600</w:t>
      </w:r>
      <w:r w:rsidRPr="00340F0C">
        <w:rPr>
          <w:rFonts w:ascii="Times New Roman" w:eastAsia="SimSun" w:hAnsi="Times New Roman"/>
          <w:lang w:eastAsia="zh-CN"/>
        </w:rPr>
        <w:t> mg</w:t>
      </w:r>
      <w:r w:rsidRPr="00366C6D">
        <w:rPr>
          <w:rFonts w:ascii="Times New Roman" w:eastAsia="SimSun" w:hAnsi="Times New Roman"/>
          <w:lang w:eastAsia="zh-CN"/>
        </w:rPr>
        <w:t xml:space="preserve"> ar 800</w:t>
      </w:r>
      <w:r w:rsidRPr="00340F0C">
        <w:rPr>
          <w:rFonts w:ascii="Times New Roman" w:eastAsia="SimSun" w:hAnsi="Times New Roman"/>
          <w:lang w:eastAsia="zh-CN"/>
        </w:rPr>
        <w:t> mg</w:t>
      </w:r>
      <w:r w:rsidRPr="00366C6D">
        <w:rPr>
          <w:rFonts w:ascii="Times New Roman" w:eastAsia="SimSun" w:hAnsi="Times New Roman"/>
          <w:lang w:eastAsia="zh-CN"/>
        </w:rPr>
        <w:t xml:space="preserve"> padidintos dozės poveikį pacientams, kuriems liga progresavo vartojant mažesnę dozę (žr. 5.1</w:t>
      </w:r>
      <w:r w:rsidRPr="00340F0C">
        <w:rPr>
          <w:rFonts w:ascii="Times New Roman" w:eastAsia="SimSun" w:hAnsi="Times New Roman"/>
          <w:lang w:eastAsia="zh-CN"/>
        </w:rPr>
        <w:t> skyrių</w:t>
      </w:r>
      <w:r w:rsidRPr="00366C6D">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Gydymo trukmė. Klinikinių tyrimų metu VTSN sergantys pacientai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 xml:space="preserve">buvo gydomi iki ligos progresavimo. Analizės metu nustatyta, kad vidutinė gydymo trukmė buvo 7 mėnesiai (nuo 7 dienų iki 13 mėnesių). Gydymo nutraukimo poveikis po gauto atsako netirtas.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dozė adjuvantiniam suaugusiųjų, kuriems atlikta VTSN rezekcija, gydymui yra 400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Optimali gydymo trukmė kol kas nenustatyta. Klinikinių tyrimų duomenimis gydymo trukmė šiai indikacijai truko 36</w:t>
      </w:r>
      <w:r w:rsidRPr="00340F0C">
        <w:rPr>
          <w:rFonts w:ascii="Times New Roman" w:eastAsia="SimSun" w:hAnsi="Times New Roman"/>
          <w:lang w:eastAsia="zh-CN"/>
        </w:rPr>
        <w:t> mėnesius</w:t>
      </w:r>
      <w:r w:rsidRPr="00366C6D">
        <w:rPr>
          <w:rFonts w:ascii="Times New Roman" w:eastAsia="SimSun" w:hAnsi="Times New Roman"/>
          <w:lang w:eastAsia="zh-CN"/>
        </w:rPr>
        <w:t xml:space="preserve"> (žr. 5.1</w:t>
      </w:r>
      <w:r w:rsidRPr="00340F0C">
        <w:rPr>
          <w:rFonts w:ascii="Times New Roman" w:eastAsia="SimSun" w:hAnsi="Times New Roman"/>
          <w:lang w:eastAsia="zh-CN"/>
        </w:rPr>
        <w:t> skyrių</w:t>
      </w:r>
      <w:r w:rsidRPr="00366C6D">
        <w:rPr>
          <w:rFonts w:ascii="Times New Roman" w:eastAsia="SimSun" w:hAnsi="Times New Roman"/>
          <w:lang w:eastAsia="zh-CN"/>
        </w:rPr>
        <w:t>).</w:t>
      </w: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DFSP sergantiems suaugusiesiems pacientams 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66C6D">
        <w:rPr>
          <w:rFonts w:ascii="Times New Roman" w:eastAsia="SimSun" w:hAnsi="Times New Roman"/>
          <w:lang w:eastAsia="zh-CN"/>
        </w:rPr>
        <w:t>dozė yra 800</w:t>
      </w:r>
      <w:r w:rsidRPr="00340F0C">
        <w:rPr>
          <w:rFonts w:ascii="Times New Roman" w:eastAsia="SimSun" w:hAnsi="Times New Roman"/>
          <w:lang w:eastAsia="zh-CN"/>
        </w:rPr>
        <w:t> mg</w:t>
      </w:r>
      <w:r w:rsidRPr="00366C6D">
        <w:rPr>
          <w:rFonts w:ascii="Times New Roman" w:eastAsia="SimSun" w:hAnsi="Times New Roman"/>
          <w:lang w:eastAsia="zh-CN"/>
        </w:rPr>
        <w:t xml:space="preserve"> per parą.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Dozės korekcija dėl nepageidaujamo poveikio</w:t>
      </w:r>
    </w:p>
    <w:p w:rsidR="0031490F" w:rsidRPr="00340F0C" w:rsidRDefault="0031490F" w:rsidP="0031490F">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Nehematologinės nepageidaujamos reakcijos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Jei bilirubino koncentracija &gt; 3 kartus yra didesnė už nustatytą viršutinę normos ribą (VNR) ar kepenų transaminazių koncentracija &gt; 5 kartus didesnė už VNR, imatinibo nevartoti, kol bilirubino koncentracija sumažėja &lt; 1,5 karto už VNR ir transaminazių koncentracija &lt; 2,5 karto už VNR. Gydymą galima tęsti sumažinta imatinibo paros doze. Suaugusiesiems dozę reikia sumažinti nuo 600 mg iki 400 mg, ar nuo 800 mg iki 600 mg, o vaikams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Hematologinės nepageidaujamos reakcijos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mažinimo ir gydymo pertraukimo rekomendacijos, išryškėjus sunkiai neutropenijai ar trombocitopenijai, nurodytos lentelėje žemiau.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korekcija, kai yra neutropenija ir trombocitopenija:</w:t>
      </w:r>
    </w:p>
    <w:p w:rsidR="0031490F" w:rsidRPr="00340F0C" w:rsidRDefault="0031490F" w:rsidP="0031490F">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HES/LEL (pradinė dozė – 100 mg)</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109°/l ir trombocitų ≥ 75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anksčiau vartota doze (t.y. ta, kuri buvo vartota prieš pasireiškiant stipriai nepageidaujamai reakcijai).</w:t>
            </w:r>
          </w:p>
        </w:tc>
      </w:tr>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 mg) HES/LEL (400 mg dozė)</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anksčiau vartota doze (t.y. ta, kuri buvo vartota prieš pasireiškiant stipriai nepageidaujamai reakcijai).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 mg doze.</w:t>
            </w:r>
          </w:p>
        </w:tc>
      </w:tr>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lėtinė LML fazė</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dozė)</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ir (arba)</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Imatinibo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2. Gydymą imatinibu atnaujinti anksčiau vartota doze (t.y. ta, kuri buvo vartota prieš pasireiškiant stipriai nepageidaujamai reakcijai).</w:t>
            </w:r>
          </w:p>
          <w:p w:rsidR="0031490F" w:rsidRPr="00340F0C" w:rsidRDefault="0031490F" w:rsidP="00536C1B">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kartoti nuo 1-ojo punkto ir (arba) gydymą imatinibu atnaujinti sumažinta 260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doze.</w:t>
            </w:r>
          </w:p>
        </w:tc>
      </w:tr>
      <w:tr w:rsidR="0031490F" w:rsidRPr="00340F0C" w:rsidTr="00536C1B">
        <w:trPr>
          <w:trHeight w:val="1433"/>
        </w:trPr>
        <w:tc>
          <w:tcPr>
            <w:tcW w:w="2967" w:type="dxa"/>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 xml:space="preserve">LML blastinė krizė (pradinė dozė 600 mg) </w:t>
            </w:r>
          </w:p>
        </w:tc>
        <w:tc>
          <w:tcPr>
            <w:tcW w:w="2967"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tc>
        <w:tc>
          <w:tcPr>
            <w:tcW w:w="3388" w:type="dxa"/>
            <w:gridSpan w:val="2"/>
          </w:tcPr>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1. Ištirti, ar citopenija nesusijusi su leukemija (kaulų čiulpų aspiratas ar biopsija).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Jei citopenija nesusijusi su leukemija, imatinibo dozę sumažinti iki 400 mg.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300 mg.</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4. Jei citopenija trunka 4 savaites ir yra nesusijusi su leukemija, imatinibo nevartoti tol, kol ANS </w:t>
            </w:r>
            <w:r w:rsidRPr="00340F0C">
              <w:rPr>
                <w:rFonts w:ascii="Times New Roman" w:eastAsia="SimSun" w:hAnsi="Times New Roman"/>
                <w:lang w:eastAsia="zh-CN"/>
              </w:rPr>
              <w:lastRenderedPageBreak/>
              <w:t>bus ≥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paskui gydymą atnaujinti 300 mg doze. </w:t>
            </w:r>
          </w:p>
        </w:tc>
      </w:tr>
      <w:tr w:rsidR="0031490F" w:rsidRPr="00340F0C" w:rsidTr="00536C1B">
        <w:trPr>
          <w:trHeight w:val="1433"/>
        </w:trPr>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lastRenderedPageBreak/>
              <w:t>Vaikų LML akceleracijos fazė ir blastinė krizė (pradinė dozė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tc>
        <w:tc>
          <w:tcPr>
            <w:tcW w:w="2974" w:type="dxa"/>
            <w:gridSpan w:val="2"/>
          </w:tcPr>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ir (arba) </w:t>
            </w:r>
          </w:p>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74" w:type="dxa"/>
          </w:tcPr>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1. Ištirti, ar citopenija nesusijusi su leukemija (kaulų čiulpų aspiratas ar biopsija).</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 Jei citopenija nesusijusi su leukemija, imatinibo dozę sumažinti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4. Jei citopenija trunka 4 savaites ir yra nesusijusi su leukemija, imatinibo nevartoti tol, kol bus ANS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paskui gydymą atnaujinti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w:t>
            </w:r>
          </w:p>
        </w:tc>
      </w:tr>
      <w:tr w:rsidR="0031490F" w:rsidRPr="00340F0C" w:rsidTr="00536C1B">
        <w:trPr>
          <w:trHeight w:val="1433"/>
        </w:trPr>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DFSP (kai dozė – 800 mg)</w:t>
            </w:r>
          </w:p>
        </w:tc>
        <w:tc>
          <w:tcPr>
            <w:tcW w:w="2974" w:type="dxa"/>
            <w:gridSpan w:val="2"/>
          </w:tcPr>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66C6D">
              <w:rPr>
                <w:rFonts w:ascii="Times New Roman" w:eastAsia="SimSun" w:hAnsi="Times New Roman"/>
                <w:vertAlign w:val="superscript"/>
                <w:lang w:eastAsia="zh-CN"/>
              </w:rPr>
              <w:t>9</w:t>
            </w:r>
            <w:r w:rsidRPr="00366C6D">
              <w:rPr>
                <w:rFonts w:ascii="Times New Roman" w:eastAsia="SimSun" w:hAnsi="Times New Roman"/>
                <w:lang w:eastAsia="zh-CN"/>
              </w:rPr>
              <w:t>/l</w:t>
            </w:r>
            <w:r w:rsidRPr="00340F0C">
              <w:rPr>
                <w:rFonts w:ascii="Times New Roman" w:eastAsia="SimSun" w:hAnsi="Times New Roman"/>
                <w:vertAlign w:val="superscript"/>
                <w:lang w:eastAsia="zh-CN"/>
              </w:rPr>
              <w:t xml:space="preserve"> </w:t>
            </w:r>
          </w:p>
        </w:tc>
        <w:tc>
          <w:tcPr>
            <w:tcW w:w="3374" w:type="dxa"/>
          </w:tcPr>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600 mg doze.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66C6D">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sumažinta 400 mg doze.</w:t>
            </w:r>
          </w:p>
        </w:tc>
      </w:tr>
      <w:tr w:rsidR="0031490F" w:rsidRPr="00340F0C" w:rsidTr="00536C1B">
        <w:trPr>
          <w:trHeight w:val="516"/>
        </w:trPr>
        <w:tc>
          <w:tcPr>
            <w:tcW w:w="9322" w:type="dxa"/>
            <w:gridSpan w:val="5"/>
          </w:tcPr>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ANS = absoliutus neutrofilų skaičius </w:t>
            </w:r>
          </w:p>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 xml:space="preserve"> atsiranda mažiausiai po 1 gydymo mėnesio </w:t>
            </w:r>
          </w:p>
        </w:tc>
      </w:tr>
    </w:tbl>
    <w:p w:rsidR="0031490F" w:rsidRPr="00340F0C" w:rsidRDefault="0031490F" w:rsidP="0031490F">
      <w:pPr>
        <w:tabs>
          <w:tab w:val="left" w:pos="567"/>
        </w:tabs>
        <w:spacing w:after="0" w:line="240" w:lineRule="auto"/>
        <w:rPr>
          <w:rFonts w:ascii="Times New Roman" w:eastAsia="SimSun" w:hAnsi="Times New Roman"/>
          <w:i/>
          <w:iCs/>
          <w:lang w:eastAsia="zh-CN"/>
        </w:rPr>
      </w:pPr>
    </w:p>
    <w:p w:rsidR="0031490F" w:rsidRPr="00340F0C" w:rsidRDefault="0031490F" w:rsidP="0031490F">
      <w:pPr>
        <w:tabs>
          <w:tab w:val="left" w:pos="567"/>
        </w:tabs>
        <w:spacing w:after="0" w:line="240" w:lineRule="auto"/>
        <w:rPr>
          <w:rFonts w:ascii="Times New Roman" w:eastAsia="SimSun" w:hAnsi="Times New Roman"/>
          <w:iCs/>
          <w:u w:val="single"/>
          <w:lang w:eastAsia="zh-CN"/>
        </w:rPr>
      </w:pPr>
      <w:r w:rsidRPr="00340F0C">
        <w:rPr>
          <w:rFonts w:ascii="Times New Roman" w:eastAsia="SimSun" w:hAnsi="Times New Roman"/>
          <w:iCs/>
          <w:u w:val="single"/>
          <w:lang w:eastAsia="zh-CN"/>
        </w:rPr>
        <w:t>Ypatingos populiacijos</w:t>
      </w:r>
    </w:p>
    <w:p w:rsidR="0031490F" w:rsidRPr="00340F0C" w:rsidRDefault="0031490F" w:rsidP="0031490F">
      <w:pPr>
        <w:tabs>
          <w:tab w:val="left" w:pos="567"/>
        </w:tabs>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Vaikų populiacija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vaikams, jaunesniems kaip 2 metų ir sergantiems LML, patirties nėra (žr. 5.1 skyrių). Vartojimo patirtis vaikams, sergantiems MDS/MPL, DFSP, VTSN ir HES/LEL, labai ribota.</w:t>
      </w:r>
    </w:p>
    <w:p w:rsidR="0031490F" w:rsidRPr="009D1353" w:rsidRDefault="0031490F" w:rsidP="0031490F">
      <w:pPr>
        <w:tabs>
          <w:tab w:val="left" w:pos="567"/>
        </w:tabs>
        <w:spacing w:after="0" w:line="240" w:lineRule="auto"/>
        <w:rPr>
          <w:rFonts w:ascii="Times New Roman" w:hAnsi="Times New Roma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Klinikinių tyrimų metu imatinibo saugumas ir veiksmingumas jaunesniems kaip 18 metų vaikams, sergantiems MDS/MPL, DFSP, VTSN ir HES/LEL, neištirti. Turimi literatūros duomenys pateikiami 5.1 skyriuje, tačiau dozavimo rekomendacijų pateikti negalima.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Kepenų funkcijos sutrikimas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Daugiausia imatinibo metabolizuojama kepenyse. Pacientams, kuriems yra nesunkus, vidutinio sunkumo ar sunkus kepenų funkcijos sutrikimas, skirti mažiausią rekomenduojamą 400 mg paros dozę. Dozę galima mažinti, jeigu netoleruojama (žr. 4.4, 4.8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sutrikimų klasifikacija: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31490F" w:rsidRPr="00340F0C" w:rsidTr="00536C1B">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tyrimai</w:t>
            </w:r>
          </w:p>
        </w:tc>
      </w:tr>
      <w:tr w:rsidR="0031490F" w:rsidRPr="00340F0C" w:rsidTr="00536C1B">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 1,5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&gt; VNR (gali būti normali ar &lt; VNR, jei bendras bilirubinas &gt; VNR)</w:t>
            </w:r>
          </w:p>
        </w:tc>
      </w:tr>
      <w:tr w:rsidR="0031490F" w:rsidRPr="00340F0C" w:rsidTr="00536C1B">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1,5–3,0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r w:rsidR="0031490F" w:rsidRPr="00340F0C" w:rsidTr="00536C1B">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Sunkus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3–10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VNR = viršutinė normos riba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 aspartataminotransferazė</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Inkstų funkcijos sutrikimas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Senyvi žmonės. Senyvų žmonių imatinibo farmakokinetika nebuvo specialiai tirta. Klinikinių tyrimų, kuriuose dalyvavo daugiau kaip 20% 65 metų ir vyresnių pacientų, metu reikšmingų, su amžiumi susijusių farmakokinetikos pokyčių nestebėta. Senyviems žmonėms specifinis dozavimas nerekomenduojamas.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4.3</w:t>
      </w:r>
      <w:r w:rsidRPr="00340F0C">
        <w:rPr>
          <w:rFonts w:ascii="Times New Roman" w:eastAsia="SimSun" w:hAnsi="Times New Roman"/>
          <w:b/>
        </w:rPr>
        <w:tab/>
        <w:t>Kontraindikacijos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Padidėjęs jautrumas veikliajai arba bet kuriai 6.1 skyriuje nurodytai pagalbinei medžiagai.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4.4</w:t>
      </w:r>
      <w:r w:rsidRPr="00340F0C">
        <w:rPr>
          <w:rFonts w:ascii="Times New Roman" w:eastAsia="SimSun" w:hAnsi="Times New Roman"/>
          <w:b/>
        </w:rPr>
        <w:tab/>
        <w:t>Specialūs įspėjimai ir atsargumo priemonės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Hipotiroidizmas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Toksinis poveikis kepenims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koncentraciją (žr. 4.2, 4.8 ir 5.2 skyrius). Reikia pažymėti, kad pacientams, kuriems diagnozuotas virškinimo trakto </w:t>
      </w:r>
      <w:r w:rsidRPr="00340F0C">
        <w:rPr>
          <w:rFonts w:ascii="Times New Roman" w:eastAsia="SimSun" w:hAnsi="Times New Roman"/>
          <w:iCs/>
          <w:lang w:eastAsia="zh-CN"/>
        </w:rPr>
        <w:t>stromos navikas (angl.</w:t>
      </w:r>
      <w:r w:rsidRPr="00340F0C" w:rsidDel="0020661A">
        <w:rPr>
          <w:rFonts w:ascii="Times New Roman" w:eastAsia="SimSun" w:hAnsi="Times New Roman"/>
          <w:lang w:eastAsia="zh-CN"/>
        </w:rPr>
        <w:t xml:space="preserve"> </w:t>
      </w:r>
      <w:r w:rsidRPr="009D1353">
        <w:rPr>
          <w:rFonts w:ascii="Times New Roman" w:hAnsi="Times New Roman"/>
          <w:i/>
        </w:rPr>
        <w:t>gastrointestinal stromal tumor,</w:t>
      </w:r>
      <w:r w:rsidRPr="009D1353">
        <w:rPr>
          <w:rFonts w:ascii="Times New Roman" w:hAnsi="Times New Roman"/>
        </w:rPr>
        <w:t xml:space="preserve"> </w:t>
      </w:r>
      <w:r w:rsidRPr="00340F0C">
        <w:rPr>
          <w:rFonts w:ascii="Times New Roman" w:eastAsia="SimSun" w:hAnsi="Times New Roman"/>
          <w:lang w:eastAsia="zh-CN"/>
        </w:rPr>
        <w:t>GIST), gali būti metastazių kepenyse, kurios gali sąlygoti kepenų funkcijos sutrikimą.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Skysčių susilaikymas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lastRenderedPageBreak/>
        <w:t>Pacientai, sergantys širdies ligomis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9D1353" w:rsidRDefault="0031490F" w:rsidP="0031490F">
      <w:pPr>
        <w:autoSpaceDE w:val="0"/>
        <w:autoSpaceDN w:val="0"/>
        <w:adjustRightInd w:val="0"/>
        <w:spacing w:after="0" w:line="240" w:lineRule="auto"/>
        <w:rPr>
          <w:rFonts w:ascii="Times New Roman" w:hAnsi="Times New Roman"/>
        </w:rPr>
      </w:pPr>
      <w:r w:rsidRPr="009D1353">
        <w:rPr>
          <w:rFonts w:ascii="Times New Roman" w:hAnsi="Times New Roman"/>
        </w:rPr>
        <w:t xml:space="preserve">Sergant mielodisplazinėmis ar mieloproliferacinėmis ligomis (MDS ar MPL) su trombocitų kilmės augimo faktoriaus receptoriaus (angl. </w:t>
      </w:r>
      <w:r w:rsidRPr="009D1353">
        <w:rPr>
          <w:rFonts w:ascii="Times New Roman" w:hAnsi="Times New Roman"/>
          <w:i/>
        </w:rPr>
        <w:t>platelet-derived growth factor receptor</w:t>
      </w:r>
      <w:r w:rsidRPr="009D1353">
        <w:rPr>
          <w:rFonts w:ascii="Times New Roman" w:hAnsi="Times New Roma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Kraujavimas iš virškinimo trakto</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Naviko lizės sindromas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Laboratoriniai tyrimai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Būtina reguliariai tirti imatinibą vartojančių pacientų kepenų funkciją (transaminazių, bilirubino, šarminės fosfatazės koncentraciją).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Gauta pranešimų apie augimo sulėtėjimą mažiems ir vyresniems vaikams, vartojusiems imatinibą. Ilgalaikis poveikis vaikų augimui, ilgai gydant imatinibu, nežinomas. Todėl rekomenduojama atidžiai stebėti vaikų augimą gydant imatinibu (žr. 4.8 skyrių).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4.5</w:t>
      </w:r>
      <w:r w:rsidRPr="00340F0C">
        <w:rPr>
          <w:rFonts w:ascii="Times New Roman" w:eastAsia="SimSun" w:hAnsi="Times New Roman"/>
          <w:b/>
        </w:rPr>
        <w:tab/>
        <w:t>Sąveika su kitais vaistiniais preparatais ir kitokia sąveika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didinti imatinibo</w:t>
      </w:r>
      <w:r w:rsidRPr="00340F0C">
        <w:rPr>
          <w:rFonts w:ascii="Times New Roman" w:eastAsia="SimSun" w:hAnsi="Times New Roman"/>
          <w:u w:val="single"/>
          <w:lang w:eastAsia="zh-CN"/>
        </w:rPr>
        <w:t xml:space="preserve">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Medžiagos, kurios slopina citochromo P450 izofermento CYP3A4 aktyvumą (pvz., ketokonazolas,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itrakonazolas, eritromicinas, klaritromicinas), gali slopinti imatinibo metabolizmą ir padidinti jo koncentraciją. Nustatyta reikšmingai padidėjusi imatinibo ekspozicija (vidutinė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atitinkamai 26% ir 40%) sveikiems savanoriams, kurie kartu vartojo vienkartinę ketokonazolo (CYP3A4 inhibitoriaus) dozę. Būtina laikytis atsargumo priemonių, kai imatinibo skiriama kartu su CYP3A4 šeimos inhibitoriais.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mažinti imatinibo</w:t>
      </w:r>
      <w:r w:rsidRPr="00340F0C">
        <w:rPr>
          <w:rFonts w:ascii="Times New Roman" w:eastAsia="SimSun" w:hAnsi="Times New Roman"/>
          <w:u w:val="single"/>
          <w:lang w:eastAsia="zh-CN"/>
        </w:rPr>
        <w:t xml:space="preserve">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Veikliosios medžiagos, kurių koncentraciją plazmoje gali keisti imatinibas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padidina simvastatino (CYP3A4 substrato)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 xml:space="preserve">imatinibas slopina paracetamolio O-gliukuroninimą, kai Ki vertė yra 58,5 mikromol/l. Pavartojus 400 mg imatinibo ir 1 000 mg paracetamolio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tokio slopinimo nustatyta. Dėl didesnių imatinibo ir paracetamolio dozių vartojimo tyrimų neatlikta.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Todėl reikia atsargiai vartoti dideles imatinibo dozes kartu su paracetamoliu.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Yra klinikinės patirties kartu vartojant imatinibą ir chemoterapiją pacientų, sergančiųjų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w:t>
      </w:r>
      <w:r w:rsidRPr="00340F0C">
        <w:rPr>
          <w:rFonts w:ascii="Times New Roman" w:eastAsia="SimSun" w:hAnsi="Times New Roman"/>
          <w:lang w:eastAsia="zh-CN"/>
        </w:rPr>
        <w:lastRenderedPageBreak/>
        <w:t>pranešta, kad kartu vartojant L-asparaginazės, gali padidėti hepatotoksiškumas (žr. 4.8 skyrių). Todėl, kartu su imatinibu vartojant kitų vaistinių preparatų, reikia imtis specialių atsargumo priemonių.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4.6</w:t>
      </w:r>
      <w:r w:rsidRPr="00340F0C">
        <w:rPr>
          <w:rFonts w:ascii="Times New Roman" w:eastAsia="SimSun" w:hAnsi="Times New Roman"/>
          <w:b/>
          <w:bCs/>
          <w:lang w:eastAsia="zh-CN"/>
        </w:rPr>
        <w:tab/>
        <w:t>Vaisingumas, nėštumo ir žindymo laikotarpis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Vaisingos moterys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Vaisingo amžiaus moterims reikia patarti, kad gydymo metu jos turi naudoti veiksmingą kontracepcijos metodą.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Nėštumas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Žindymas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Vaisingumas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4.7</w:t>
      </w:r>
      <w:r w:rsidRPr="00340F0C">
        <w:rPr>
          <w:rFonts w:ascii="Times New Roman" w:eastAsia="SimSun" w:hAnsi="Times New Roman"/>
          <w:b/>
          <w:bCs/>
          <w:lang w:eastAsia="zh-CN"/>
        </w:rPr>
        <w:tab/>
        <w:t>Poveikis gebėjimui vairuoti ir valdyti mechanizmus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outlineLvl w:val="3"/>
        <w:rPr>
          <w:rFonts w:ascii="Times New Roman" w:eastAsia="SimSun" w:hAnsi="Times New Roman"/>
          <w:b/>
        </w:rPr>
      </w:pPr>
      <w:r w:rsidRPr="00340F0C">
        <w:rPr>
          <w:rFonts w:ascii="Times New Roman" w:eastAsia="SimSun" w:hAnsi="Times New Roman"/>
          <w:b/>
        </w:rPr>
        <w:t>4.8</w:t>
      </w:r>
      <w:r w:rsidRPr="00340F0C">
        <w:rPr>
          <w:rFonts w:ascii="Times New Roman" w:eastAsia="SimSun" w:hAnsi="Times New Roman"/>
          <w:b/>
        </w:rPr>
        <w:tab/>
        <w:t>Nepageidaujamas poveikis</w:t>
      </w:r>
    </w:p>
    <w:p w:rsidR="0031490F" w:rsidRPr="00340F0C" w:rsidRDefault="0031490F" w:rsidP="0031490F">
      <w:pPr>
        <w:tabs>
          <w:tab w:val="left" w:pos="567"/>
        </w:tabs>
        <w:spacing w:after="0" w:line="240" w:lineRule="auto"/>
        <w:rPr>
          <w:rFonts w:ascii="Times New Roman" w:eastAsia="SimSun" w:hAnsi="Times New Roma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340F0C">
        <w:rPr>
          <w:rFonts w:ascii="Times New Roman" w:hAnsi="Times New Roman"/>
          <w:u w:val="single"/>
          <w:lang w:eastAsia="zh-CN"/>
        </w:rPr>
        <w:t>&gt;</w:t>
      </w:r>
      <w:r w:rsidRPr="00340F0C">
        <w:rPr>
          <w:rFonts w:ascii="Times New Roman" w:eastAsia="SimSun" w:hAnsi="Times New Roman"/>
          <w:lang w:eastAsia="zh-CN"/>
        </w:rPr>
        <w:t xml:space="preserve"> 10%) su vaistu susijusios nepageidaujamos reakcijos abiem ligomis sergantiems pacientams buvo nestiprus </w:t>
      </w:r>
      <w:r w:rsidRPr="00340F0C">
        <w:rPr>
          <w:rFonts w:ascii="Times New Roman" w:eastAsia="SimSun" w:hAnsi="Times New Roman"/>
          <w:lang w:eastAsia="zh-CN"/>
        </w:rPr>
        <w:lastRenderedPageBreak/>
        <w:t>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Ph+ ŪLL sergantiems pacientams, vartojusiems imatinibą kartu su didelėmis chemoterapinių preparatų dozėmis, stebėtas laikinas toksinis poveikis kepenims, pasireiškęs transaminazių aktyvumo padidėjimu ir hiperbilirubinemija.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Nepageidaujamos reakcijos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Kiekvienoje dažnio grupėje nepageidaujamas poveikis pateikiamas pagal pasireiškimo dažnumą. Dažniausiai pasireiškusieji pateikti pirmiausiai.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lentelėje išvardintos nepageidaujamos reakcijos ir jų pasireiškimo dažnumas nurodyti remiantis pagrindinių registracijos tyrimų duomenimis.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340F0C">
        <w:rPr>
          <w:rFonts w:ascii="Times New Roman" w:eastAsia="SimSun" w:hAnsi="Times New Roman"/>
          <w:lang w:eastAsia="zh-CN"/>
        </w:rPr>
        <w:t xml:space="preserve">1 lentelė. </w:t>
      </w:r>
      <w:r w:rsidRPr="00340F0C">
        <w:rPr>
          <w:rFonts w:ascii="Times New Roman" w:eastAsia="SimSun" w:hAnsi="Times New Roman"/>
          <w:bCs/>
          <w:lang w:eastAsia="zh-CN"/>
        </w:rPr>
        <w:t>Nepageidaujamos reakcijos, remiantis klinikinių tyrimų duomenimis.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8972" w:type="dxa"/>
        <w:tblInd w:w="105" w:type="dxa"/>
        <w:tblLayout w:type="fixed"/>
        <w:tblCellMar>
          <w:left w:w="0" w:type="dxa"/>
          <w:right w:w="0" w:type="dxa"/>
        </w:tblCellMar>
        <w:tblLook w:val="0000" w:firstRow="0" w:lastRow="0" w:firstColumn="0" w:lastColumn="0" w:noHBand="0" w:noVBand="0"/>
      </w:tblPr>
      <w:tblGrid>
        <w:gridCol w:w="2235"/>
        <w:gridCol w:w="6737"/>
      </w:tblGrid>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Infekcijos ir infestacijos</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Herpes zoster</w:t>
            </w:r>
            <w:r w:rsidRPr="00340F0C">
              <w:rPr>
                <w:rFonts w:ascii="Times New Roman" w:eastAsia="SimSun" w:hAnsi="Times New Roman"/>
                <w:lang w:eastAsia="zh-CN"/>
              </w:rPr>
              <w:t xml:space="preserve">, </w:t>
            </w:r>
            <w:r w:rsidRPr="00340F0C">
              <w:rPr>
                <w:rFonts w:ascii="Times New Roman" w:eastAsia="SimSun" w:hAnsi="Times New Roman"/>
                <w:i/>
                <w:iCs/>
                <w:lang w:eastAsia="zh-CN"/>
              </w:rPr>
              <w:t>herpes simplex</w:t>
            </w:r>
            <w:r w:rsidRPr="00340F0C">
              <w:rPr>
                <w:rFonts w:ascii="Times New Roman" w:eastAsia="SimSun" w:hAnsi="Times New Roman"/>
                <w:lang w:eastAsia="zh-CN"/>
              </w:rPr>
              <w:t>, nosiaryklės uždegimas, pneumonija</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w:t>
            </w:r>
            <w:r w:rsidRPr="00340F0C" w:rsidDel="005B3852">
              <w:rPr>
                <w:rFonts w:ascii="Times New Roman" w:eastAsia="SimSun" w:hAnsi="Times New Roman"/>
                <w:lang w:eastAsia="zh-CN"/>
              </w:rPr>
              <w:t xml:space="preserve"> </w:t>
            </w:r>
            <w:r w:rsidRPr="00340F0C">
              <w:rPr>
                <w:rFonts w:ascii="Times New Roman" w:eastAsia="SimSun" w:hAnsi="Times New Roman"/>
                <w:lang w:eastAsia="zh-CN"/>
              </w:rPr>
              <w:t>sinusitas, puriojo ląstelyno uždegimas, viršutinių kvėpavimo takų infekcija, gripas, šlapimo takų infekcija, gastroenteritas, sepsis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Grybelinė infekcija</w:t>
            </w: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lizės sindromas</w:t>
            </w: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Kraujo ir limfinės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Neutropenija, trombocitopenija, anemija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Pancitopenija, febrili neutropenija</w:t>
            </w:r>
          </w:p>
        </w:tc>
      </w:tr>
      <w:tr w:rsidR="0031490F" w:rsidRPr="00340F0C" w:rsidTr="00536C1B">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Trombocitopenija, limfocitopenija, kaulų čiulpų slopinimas, eozinofilija, limfadenopatija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Hemolizinė anemija</w:t>
            </w: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Metabolizmo ir mitybos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Hiperkalemija, hipomagnezemija</w:t>
            </w:r>
          </w:p>
        </w:tc>
      </w:tr>
      <w:tr w:rsidR="0031490F" w:rsidRPr="00340F0C" w:rsidTr="00536C1B">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Psichikos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Nemiga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Depresija, sumažėjęs lytinis potraukis, nerimas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Suglumimo būsena </w:t>
            </w:r>
          </w:p>
        </w:tc>
      </w:tr>
      <w:tr w:rsidR="0031490F" w:rsidRPr="00340F0C" w:rsidTr="00536C1B">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Labai 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skausmas</w:t>
            </w:r>
            <w:r w:rsidRPr="00340F0C">
              <w:rPr>
                <w:rFonts w:ascii="Times New Roman" w:eastAsia="SimSun" w:hAnsi="Times New Roman"/>
                <w:vertAlign w:val="superscript"/>
                <w:lang w:eastAsia="zh-CN"/>
              </w:rPr>
              <w:t>2</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Svaigulys, parestezija, sutrikęs skonio jutimas, hipestezija</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Migrena, mieguistumas, sinkopė, periferinė neuropatija, atminties sutrikimai, išialgija, neramių kojų sindromas, tremoras, smegenų kraujosruvos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intrakranijinis spaudimas, traukuliai, regos nervo uždegimas</w:t>
            </w:r>
          </w:p>
        </w:tc>
      </w:tr>
      <w:tr w:rsidR="0031490F" w:rsidRPr="00340F0C" w:rsidTr="00536C1B">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31490F" w:rsidRPr="00340F0C" w:rsidTr="00536C1B">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vokų edema, padidėjęs ašarojimas, junginės kraujosruvos, konjunktyvitas, akių sausmė, neryškus matymas</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dirginimas, akių skausmas, akiduobės edema, odenos kraujosruvos, tinklainės kraujosruvos, blefaritas, geltonosios dėmės edema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Katarakta, glaukoma, regos nervo disko edema</w:t>
            </w: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Ausų ir labirintų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svaigimas (</w:t>
            </w:r>
            <w:r w:rsidRPr="00340F0C">
              <w:rPr>
                <w:rFonts w:ascii="Times New Roman" w:eastAsia="SimSun" w:hAnsi="Times New Roman"/>
                <w:i/>
                <w:lang w:eastAsia="zh-CN"/>
              </w:rPr>
              <w:t>vertigo</w:t>
            </w:r>
            <w:r w:rsidRPr="00340F0C">
              <w:rPr>
                <w:rFonts w:ascii="Times New Roman" w:eastAsia="SimSun" w:hAnsi="Times New Roman"/>
                <w:lang w:eastAsia="zh-CN"/>
              </w:rPr>
              <w:t>), ūžimas ausyse, apkurtimas</w:t>
            </w: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31490F" w:rsidRPr="00340F0C" w:rsidTr="00536C1B">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Stiprus ir greitas širdies plakimas, tachikardija, stazinis širdies nepakankamumas</w:t>
            </w:r>
            <w:r w:rsidRPr="00340F0C">
              <w:rPr>
                <w:rFonts w:ascii="Times New Roman" w:eastAsia="SimSun" w:hAnsi="Times New Roman"/>
                <w:vertAlign w:val="superscript"/>
                <w:lang w:eastAsia="zh-CN"/>
              </w:rPr>
              <w:t>3</w:t>
            </w:r>
            <w:r w:rsidRPr="00340F0C">
              <w:rPr>
                <w:rFonts w:ascii="Times New Roman" w:eastAsia="SimSun" w:hAnsi="Times New Roman"/>
                <w:lang w:eastAsia="zh-CN"/>
              </w:rPr>
              <w:t>, plaučių edema</w:t>
            </w:r>
          </w:p>
        </w:tc>
      </w:tr>
      <w:tr w:rsidR="0031490F" w:rsidRPr="00340F0C" w:rsidTr="00536C1B">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Aritmija, prieširdžių virpėjimas, širdies sustojimas, miokardo infarktas, krūtinės angina, skystis perikarde </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31490F" w:rsidRPr="00340F0C" w:rsidTr="00536C1B">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r w:rsidRPr="00340F0C">
              <w:rPr>
                <w:rFonts w:ascii="Times New Roman" w:eastAsia="SimSun" w:hAnsi="Times New Roman"/>
                <w:b/>
                <w:bCs/>
                <w:vertAlign w:val="superscript"/>
                <w:lang w:eastAsia="zh-CN"/>
              </w:rPr>
              <w:t>4</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Trumpalaikis veido ir kaklo paraudimas, hemoragija</w:t>
            </w:r>
          </w:p>
        </w:tc>
      </w:tr>
      <w:tr w:rsidR="0031490F" w:rsidRPr="00340F0C" w:rsidTr="00536C1B">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Hipertenzija, hematoma, periferinis šalimas, hipotenzija, Reino (</w:t>
            </w:r>
            <w:r w:rsidRPr="00340F0C">
              <w:rPr>
                <w:rFonts w:ascii="Times New Roman" w:eastAsia="SimSun" w:hAnsi="Times New Roman"/>
                <w:i/>
                <w:lang w:eastAsia="zh-CN"/>
              </w:rPr>
              <w:t>Raynaud</w:t>
            </w:r>
            <w:r w:rsidRPr="00340F0C">
              <w:rPr>
                <w:rFonts w:ascii="Times New Roman" w:eastAsia="SimSun" w:hAnsi="Times New Roman"/>
                <w:lang w:eastAsia="zh-CN"/>
              </w:rPr>
              <w:t>) sindromas</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Dusulys, kraujavimas iš nosies, kosulys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Skystis pleuros ertmėje</w:t>
            </w:r>
            <w:r w:rsidRPr="00340F0C">
              <w:rPr>
                <w:rFonts w:ascii="Times New Roman" w:eastAsia="SimSun" w:hAnsi="Times New Roman"/>
                <w:vertAlign w:val="superscript"/>
                <w:lang w:eastAsia="zh-CN"/>
              </w:rPr>
              <w:t>5</w:t>
            </w:r>
            <w:r w:rsidRPr="00340F0C">
              <w:rPr>
                <w:rFonts w:ascii="Times New Roman" w:eastAsia="SimSun" w:hAnsi="Times New Roman"/>
                <w:lang w:eastAsia="zh-CN"/>
              </w:rPr>
              <w:t>, ryklės ir gerklų skausmas, faringitas</w:t>
            </w:r>
          </w:p>
        </w:tc>
      </w:tr>
      <w:tr w:rsidR="0031490F" w:rsidRPr="00340F0C" w:rsidTr="00536C1B">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Pleuritinis skausmas, plaučių fibrozė, plaučių hipertenzija, kraujavimas iš plaučių </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Pykinimas, viduriavimas, vėmimas, dispepsija, pilvo skausmas</w:t>
            </w:r>
            <w:r w:rsidRPr="00340F0C">
              <w:rPr>
                <w:rFonts w:ascii="Times New Roman" w:eastAsia="SimSun" w:hAnsi="Times New Roman"/>
                <w:vertAlign w:val="superscript"/>
                <w:lang w:eastAsia="zh-CN"/>
              </w:rPr>
              <w:t>6</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Dujų susikaupimas žarnyne, pilvo pūtimas, gastroezofaginis refliuksas, vidurių užkietėjimas, burnos džiūvimas, gastritas</w:t>
            </w:r>
          </w:p>
        </w:tc>
      </w:tr>
      <w:tr w:rsidR="0031490F" w:rsidRPr="00340F0C" w:rsidTr="00536C1B">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Stomatitas, burnos išopėjimas, kraujavimas iš virškinimo trakto</w:t>
            </w:r>
            <w:r w:rsidRPr="00340F0C">
              <w:rPr>
                <w:rFonts w:ascii="Times New Roman" w:eastAsia="SimSun" w:hAnsi="Times New Roman"/>
                <w:vertAlign w:val="superscript"/>
                <w:lang w:eastAsia="zh-CN"/>
              </w:rPr>
              <w:t>7</w:t>
            </w:r>
            <w:r w:rsidRPr="00340F0C">
              <w:rPr>
                <w:rFonts w:ascii="Times New Roman" w:eastAsia="SimSun" w:hAnsi="Times New Roman"/>
                <w:lang w:eastAsia="zh-CN"/>
              </w:rPr>
              <w:t xml:space="preserve">, raugulys, melena, ezofagitas, ascitas, skrandžio opa, hematemezė, lūpos uždegimas, disfagija, pankreatitas </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Kolitas, žarnų nepraeinamumas, uždegiminė žarnų liga</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Kepenų, tulžies pūslės ir latakų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kepenų fermentų koncentracija</w:t>
            </w:r>
          </w:p>
        </w:tc>
      </w:tr>
      <w:tr w:rsidR="0031490F" w:rsidRPr="00340F0C" w:rsidTr="00536C1B">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Hiperbilirubinemija, hepatitas, gelta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nepakankamumas</w:t>
            </w:r>
            <w:r w:rsidRPr="00340F0C">
              <w:rPr>
                <w:rFonts w:ascii="Times New Roman" w:eastAsia="SimSun" w:hAnsi="Times New Roman"/>
                <w:vertAlign w:val="superscript"/>
                <w:lang w:eastAsia="zh-CN"/>
              </w:rPr>
              <w:t>8</w:t>
            </w:r>
            <w:r w:rsidRPr="00340F0C">
              <w:rPr>
                <w:rFonts w:ascii="Times New Roman" w:eastAsia="SimSun" w:hAnsi="Times New Roman"/>
                <w:lang w:eastAsia="zh-CN"/>
              </w:rPr>
              <w:t>, kepenų nekrozė</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Edema apie akis, dermatitas ar egzema, ar bėrimas</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Niežulys, veido edema, sausa oda, eritema, alopecija, naktinis prakaitavimas, fotosensibilizacijos reakcija</w:t>
            </w:r>
          </w:p>
        </w:tc>
      </w:tr>
      <w:tr w:rsidR="0031490F" w:rsidRPr="00340F0C" w:rsidTr="00536C1B">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31490F" w:rsidRPr="00340F0C" w:rsidTr="00536C1B">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Ūminė febrilinė neutrofilinė dermatozė (</w:t>
            </w:r>
            <w:r w:rsidRPr="00340F0C">
              <w:rPr>
                <w:rFonts w:ascii="Times New Roman" w:eastAsia="SimSun" w:hAnsi="Times New Roman"/>
                <w:i/>
                <w:lang w:eastAsia="zh-CN"/>
              </w:rPr>
              <w:t xml:space="preserve">Sweet </w:t>
            </w:r>
            <w:r w:rsidRPr="00340F0C">
              <w:rPr>
                <w:rFonts w:ascii="Times New Roman" w:eastAsia="SimSun" w:hAnsi="Times New Roman"/>
                <w:lang w:eastAsia="zh-CN"/>
              </w:rPr>
              <w:t>sindromas), nagų spalvos pakitimas, angioneurozinė edema, pūslelinis bėrimas, daugiaformė raudonė (eritema), leukocitoklastinis vaskulitas, Stivenso-Džonsono (</w:t>
            </w:r>
            <w:r w:rsidRPr="00340F0C">
              <w:rPr>
                <w:rFonts w:ascii="Times New Roman" w:eastAsia="SimSun" w:hAnsi="Times New Roman"/>
                <w:i/>
                <w:lang w:eastAsia="zh-CN"/>
              </w:rPr>
              <w:t>Stevens-Johnson</w:t>
            </w:r>
            <w:r w:rsidRPr="00340F0C">
              <w:rPr>
                <w:rFonts w:ascii="Times New Roman" w:eastAsia="SimSun" w:hAnsi="Times New Roman"/>
                <w:lang w:eastAsia="zh-CN"/>
              </w:rPr>
              <w:t>) sindromas, ūminė generalizuota egzanteminė pustuliozė (ŪGEP)</w:t>
            </w:r>
          </w:p>
        </w:tc>
      </w:tr>
      <w:tr w:rsidR="0031490F" w:rsidRPr="00340F0C" w:rsidTr="00536C1B">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31490F" w:rsidRPr="00340F0C" w:rsidTr="00536C1B">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spazmas ir mėšlungis, skeleto ir raumenų skausmas, taip pat mialgija, artralgija, kaulų skausmas</w:t>
            </w:r>
            <w:r w:rsidRPr="00340F0C">
              <w:rPr>
                <w:rFonts w:ascii="Times New Roman" w:eastAsia="SimSun" w:hAnsi="Times New Roman"/>
                <w:vertAlign w:val="superscript"/>
                <w:lang w:eastAsia="zh-CN"/>
              </w:rPr>
              <w:t>9</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tinimas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ir raumenų sąstingis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silpnumas, artritas, rabdomiolizė ar miopatija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Inkstų ir šlapimo takų sutrikimai</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Inkstų skausmas, hematurija, ūminis inkstų nepakankamumas, padažnėjęs šlapinimasis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Lytinės sistemos ir krūties sutrikimai</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Geltonkūnio hemoragija ar hemoraginė kiaušidžių cista</w:t>
            </w:r>
          </w:p>
        </w:tc>
      </w:tr>
      <w:tr w:rsidR="0031490F" w:rsidRPr="00340F0C" w:rsidTr="00536C1B">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Bendrieji sutrikimai ir vartojimo vietos pažeidimai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Skysčių susilaikymas ir edema, nuovargis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Silpnumas, karščiavimas, odos vandenė, šaltkrėtis, sąstingis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Skausmas krūtinėje, bloga savijauta</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Tyrimai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kūno svoris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Sumažėjęs kūno svoris</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amilazės koncentracija kraujyje</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Pneumonija dažniausiai registruota pacientams, kuriems buvo transformuota LML, ir pacientams, kuriems buvo GIST.</w:t>
      </w:r>
    </w:p>
    <w:p w:rsidR="0031490F" w:rsidRPr="00340F0C" w:rsidRDefault="0031490F" w:rsidP="0031490F">
      <w:pPr>
        <w:widowControl w:val="0"/>
        <w:numPr>
          <w:ilvl w:val="0"/>
          <w:numId w:val="2"/>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Galvos skausmas dažniausiai pasireiškė pacientams, kuriems buvo GIST.</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Vertinant pagal pacientų metus </w:t>
      </w:r>
      <w:r w:rsidRPr="00340F0C">
        <w:rPr>
          <w:rFonts w:ascii="Times New Roman" w:eastAsia="SimSun" w:hAnsi="Times New Roman"/>
          <w:i/>
          <w:iCs/>
          <w:lang w:eastAsia="zh-CN"/>
        </w:rPr>
        <w:t>(angl. patient-years</w:t>
      </w:r>
      <w:r w:rsidRPr="00340F0C">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rsidR="0031490F" w:rsidRPr="00340F0C" w:rsidRDefault="0031490F" w:rsidP="0031490F">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vertAlign w:val="superscript"/>
          <w:lang w:eastAsia="zh-CN"/>
        </w:rPr>
        <w:t>6+7</w:t>
      </w:r>
      <w:r w:rsidRPr="00340F0C">
        <w:rPr>
          <w:rFonts w:ascii="Times New Roman" w:eastAsia="SimSun" w:hAnsi="Times New Roman"/>
          <w:lang w:eastAsia="zh-CN"/>
        </w:rPr>
        <w:tab/>
        <w:t>Pilvo skausmas ir kraujavimas iš virškinimo trakto dažniausiai stebėtas pacientams, kuriems buvo GIST.</w:t>
      </w:r>
    </w:p>
    <w:p w:rsidR="0031490F" w:rsidRPr="00340F0C" w:rsidRDefault="0031490F" w:rsidP="0031490F">
      <w:pPr>
        <w:widowControl w:val="0"/>
        <w:numPr>
          <w:ilvl w:val="0"/>
          <w:numId w:val="3"/>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340F0C">
        <w:rPr>
          <w:rFonts w:ascii="Times New Roman" w:eastAsia="SimSun" w:hAnsi="Times New Roman"/>
          <w:lang w:eastAsia="zh-CN"/>
        </w:rPr>
        <w:t>Registruoti keli mirtini kepenų nepakankamumo ir kepenų nekrozės atvejai.</w:t>
      </w:r>
    </w:p>
    <w:p w:rsidR="0031490F" w:rsidRPr="00340F0C" w:rsidRDefault="0031490F" w:rsidP="0031490F">
      <w:pPr>
        <w:widowControl w:val="0"/>
        <w:numPr>
          <w:ilvl w:val="0"/>
          <w:numId w:val="3"/>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Skeleto ir raumenų skausmas bei susiję reiškiniai dažniau stebėti pacientams, sergantiems LML, nei pacientams, kuriems buvo GIST.</w:t>
      </w:r>
    </w:p>
    <w:p w:rsidR="0031490F" w:rsidRPr="00340F0C" w:rsidRDefault="0031490F" w:rsidP="0031490F">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Cs/>
          <w:lang w:eastAsia="zh-CN"/>
        </w:rPr>
        <w:t>2 lentelė. Nepageidaujamos reakcijos, remiantis po pateikimo į rinką gautais pranešimais.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kraujosruva ar naviko nekrozė</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lastRenderedPageBreak/>
              <w:t>Imuninės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Anafilaksinis šokas</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Smegenų edema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Stiklakūnio kraujosruva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Perikarditas, širdies tamponada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Trombozė ar embolija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Ūminis kvėpavimo nepakankamumas</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 intersticinė plaučių liga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Žarnų nepraeinamumas ar žarnų obstrukcija, virškinimo trakto perforacija,</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divertikulitas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Delnų ir padų eritrodizestezijos sindromas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Lichenoidinė keratozė, plokščioji kerpligė</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Toksinė epidermio nekrolizė</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Nevaskulinė nekrozė ar šlaunikaulio galvutės nekrozė</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augimo sulėtėjimas</w:t>
            </w:r>
          </w:p>
        </w:tc>
      </w:tr>
    </w:tbl>
    <w:p w:rsidR="0031490F" w:rsidRPr="00340F0C" w:rsidRDefault="0031490F" w:rsidP="0031490F">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340F0C">
        <w:rPr>
          <w:rFonts w:ascii="Times New Roman" w:eastAsia="SimSun" w:hAnsi="Times New Roman"/>
          <w:vertAlign w:val="superscript"/>
          <w:lang w:eastAsia="zh-CN"/>
        </w:rPr>
        <w:t xml:space="preserve">1 </w:t>
      </w:r>
      <w:r w:rsidRPr="00340F0C">
        <w:rPr>
          <w:rFonts w:ascii="Times New Roman" w:eastAsia="SimSun" w:hAnsi="Times New Roman"/>
          <w:lang w:eastAsia="zh-CN"/>
        </w:rPr>
        <w:t>Registruota pacientų, sergančių progresavusia liga, sunkiomis infekcijomis, sunkia neutropenija ir kitomis sunkiomis gretutinėmis būklėmis, mirties atvejų.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Pakitę laboratoriniai testai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Hematologija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Visų tyrimų metu LML sergantiems pacientams stebėta citopenija, ypač neutropenija ir trombocitopenija, dažniau vartojant dideles </w:t>
      </w:r>
      <w:r w:rsidRPr="00340F0C">
        <w:rPr>
          <w:rFonts w:ascii="Times New Roman" w:eastAsia="SimSun" w:hAnsi="Times New Roman"/>
          <w:spacing w:val="4"/>
          <w:u w:val="single"/>
          <w:lang w:eastAsia="zh-CN"/>
        </w:rPr>
        <w:t>&gt;</w:t>
      </w:r>
      <w:r w:rsidRPr="00340F0C">
        <w:rPr>
          <w:rFonts w:ascii="Times New Roman" w:eastAsia="SimSun" w:hAnsi="Times New Roman"/>
          <w:lang w:eastAsia="zh-CN"/>
        </w:rPr>
        <w:t> 750 mg dozes (I fazės tyrimas). Tačiau citopenijos aiškiai priklauso nuo ligos stadijos, III-IV laipsnio neutropenija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Biochemija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LML sergantiems pacientams stebėta labai padidėjusi transaminazių (&lt; 5%) 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 koncentracijos padidėjimas ir 4,8% - 3 ar 4 laipsnio AST (aspartataminotransferazių) padidėjimas. </w:t>
      </w:r>
      <w:r w:rsidRPr="00340F0C">
        <w:rPr>
          <w:rFonts w:ascii="Times New Roman" w:eastAsia="SimSun" w:hAnsi="Times New Roman"/>
          <w:lang w:eastAsia="zh-CN"/>
        </w:rPr>
        <w:lastRenderedPageBreak/>
        <w:t>Bilirubino koncentracija didėjo mažiau kaip 3%.</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t>Pranešimas apie įtariamas nepageidaujamas reakcijas</w:t>
      </w:r>
    </w:p>
    <w:p w:rsidR="0031490F" w:rsidRPr="00340F0C" w:rsidRDefault="0031490F" w:rsidP="0031490F">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4.9</w:t>
      </w:r>
      <w:r w:rsidRPr="00340F0C">
        <w:rPr>
          <w:rFonts w:ascii="Times New Roman" w:eastAsia="SimSun" w:hAnsi="Times New Roman"/>
          <w:b/>
        </w:rPr>
        <w:tab/>
        <w:t>Perdozavimas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Suaugusiųjų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1200</w:t>
      </w:r>
      <w:r w:rsidRPr="00340F0C">
        <w:rPr>
          <w:rFonts w:ascii="Times New Roman" w:eastAsia="SimSun" w:hAnsi="Times New Roman"/>
          <w:lang w:eastAsia="zh-CN"/>
        </w:rPr>
        <w:noBreakHyphen/>
        <w:t>1600 mg dozę (vartojimo trukmė buvo nuo 1 iki 10 dienų), pasireiškė pykinimas, vėmimas, viduriavimas, bėrimas, eritema, edema, patinimas, nuovargis, raumenų spazmai, trombocitopenija, pancitopenija, pilvo skausmas, galvos skausmas, sumažėjęs apetitas.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1800</w:t>
      </w:r>
      <w:r w:rsidRPr="00340F0C">
        <w:rPr>
          <w:rFonts w:ascii="Times New Roman" w:eastAsia="SimSun" w:hAnsi="Times New Roman"/>
          <w:lang w:eastAsia="zh-CN"/>
        </w:rPr>
        <w:noBreakHyphen/>
        <w:t>3200 mg dozę (daugiausia po 3200 mg per parą 6 dienas), pasireiškė silpnumas, raumenų skausmas, padidėjusi kreatinfosfokinazės koncentracija, padidėjusi bilirubino koncentracija, virškinimo trakto skausmas.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6400 mg (vienkartinę dozę): literatūros šaltiniuose pranešta apie vieną tokį atvejį, kai vienam pacientui pasireiškė pykinimas, vėmimas, pilvo skausmas, karščiavimas, veido patinimas, sumažėjęs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neutrofilų kiekis kraujyje, padidėjusi transaminazių koncentracija.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8</w:t>
      </w:r>
      <w:r w:rsidRPr="00340F0C">
        <w:rPr>
          <w:rFonts w:ascii="Times New Roman" w:eastAsia="SimSun" w:hAnsi="Times New Roman"/>
          <w:lang w:eastAsia="zh-CN"/>
        </w:rPr>
        <w:noBreakHyphen/>
        <w:t>10 g (vienkartinę dozę), pranešta apie pasireiškusį vėmimą ir virškinimo trakto skausmą.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Vienam 3 metų berniukui, kuris išgėrė vienkartinę 400 mg dozę, pasireiškė vėmimas, viduriavimas ir</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 o kitam 3 metų berniukui, kuris išgėrė vienkartinę 980 mg dozę, sumažėjo leukocitų kiekis kraujyje ir pasireiškė viduriavimas.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Pacientą, perdozavusį vaistinio preparato, reikia stebėti ir taikyti atitinkamas pagalbinio gydymo priemones.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FARMAKOLOGINĖS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5.1</w:t>
      </w:r>
      <w:r w:rsidRPr="00340F0C">
        <w:rPr>
          <w:rFonts w:ascii="Times New Roman" w:eastAsia="SimSun" w:hAnsi="Times New Roman"/>
          <w:b/>
        </w:rPr>
        <w:tab/>
        <w:t>Farmakodinaminės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Farmakoterapinė grupė – baltymo kinazės inhibitorius, ATC kodas – L01XE01.</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Veikimo mechanizmas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340F0C">
        <w:rPr>
          <w:rFonts w:ascii="Times New Roman" w:eastAsia="SimSun" w:hAnsi="Times New Roman"/>
          <w:i/>
          <w:iCs/>
          <w:lang w:eastAsia="zh-CN"/>
        </w:rPr>
        <w:t>stem cell factor – SCF</w:t>
      </w:r>
      <w:r w:rsidRPr="00340F0C">
        <w:rPr>
          <w:rFonts w:ascii="Times New Roman" w:eastAsia="SimSun" w:hAnsi="Times New Roman"/>
          <w:lang w:eastAsia="zh-CN"/>
        </w:rPr>
        <w:t xml:space="preserve">) receptorių, diskoidino domeno receptorius (DDR1 ir DDR2), kolonijas stimuliuojančio faktoriaus receptorių (angl. </w:t>
      </w:r>
      <w:r w:rsidRPr="00340F0C">
        <w:rPr>
          <w:rFonts w:ascii="Times New Roman" w:eastAsia="SimSun" w:hAnsi="Times New Roman"/>
          <w:i/>
          <w:iCs/>
          <w:lang w:eastAsia="zh-CN"/>
        </w:rPr>
        <w:t>colony stimulating factor receptor – CSF-1R</w:t>
      </w:r>
      <w:r w:rsidRPr="00340F0C">
        <w:rPr>
          <w:rFonts w:ascii="Times New Roman" w:eastAsia="SimSun" w:hAnsi="Times New Roman"/>
          <w:lang w:eastAsia="zh-CN"/>
        </w:rPr>
        <w:t xml:space="preserve">) bei trombocituose esančius augimo faktoriaus receptorius alfa ir beta (angl. </w:t>
      </w:r>
      <w:r w:rsidRPr="00340F0C">
        <w:rPr>
          <w:rFonts w:ascii="Times New Roman" w:eastAsia="SimSun" w:hAnsi="Times New Roman"/>
          <w:i/>
          <w:iCs/>
          <w:lang w:eastAsia="zh-CN"/>
        </w:rPr>
        <w:t>platelet-derived growth factor receptors – PDGFR-alpha, PDGFR-beta</w:t>
      </w:r>
      <w:r w:rsidRPr="00340F0C">
        <w:rPr>
          <w:rFonts w:ascii="Times New Roman" w:eastAsia="SimSun" w:hAnsi="Times New Roman"/>
          <w:lang w:eastAsia="zh-CN"/>
        </w:rPr>
        <w:t>). Imatinibas taip pat gali slopinti ląstelių procesus, kuriuos skatina šių receptorių kinazių aktyvinimas.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lastRenderedPageBreak/>
        <w:t>Farmakodinaminis poveikis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baltymo tirozino kinazės inhibitorius, kuris </w:t>
      </w:r>
      <w:r w:rsidRPr="00340F0C">
        <w:rPr>
          <w:rFonts w:ascii="Times New Roman" w:eastAsia="SimSun" w:hAnsi="Times New Roman"/>
          <w:i/>
          <w:iCs/>
          <w:lang w:eastAsia="zh-CN"/>
        </w:rPr>
        <w:t>in vitro</w:t>
      </w:r>
      <w:r w:rsidRPr="00340F0C">
        <w:rPr>
          <w:rFonts w:ascii="Times New Roman" w:eastAsia="SimSun" w:hAnsi="Times New Roman"/>
          <w:lang w:eastAsia="zh-CN"/>
        </w:rPr>
        <w:t xml:space="preserve">, ląstelės lygmenyje ir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teigiamų LML ir ūmine limfoblastine leukemija (ŪLL) sergančių pacientų.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gyvūnų modelyje su Bcr-Abl teigiamomis naviko ląstelėmis junginiui (monoterapijoje) būdingas antinavikinis aktyvumas.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Imatinibas taip pat yra trombocitų kilmės augimo faktoriaus (platelet-derived growth factor, PDGF) tirozinkinazių receptorių, PDGF-R, kamieninių ląstelių faktoriaus (stem cell factor, SCF), c-Kit inhibitorius. Jis slopina PDGF ir SCF medijuojamus ląstelių procesus. </w:t>
      </w:r>
      <w:r w:rsidRPr="00366C6D">
        <w:rPr>
          <w:rFonts w:ascii="Times New Roman" w:eastAsia="SimSun" w:hAnsi="Times New Roman"/>
          <w:i/>
          <w:lang w:eastAsia="zh-CN"/>
        </w:rPr>
        <w:t>In vitro</w:t>
      </w:r>
      <w:r w:rsidRPr="00366C6D">
        <w:rPr>
          <w:rFonts w:ascii="Times New Roman" w:eastAsia="SimSun" w:hAnsi="Times New Roman"/>
          <w:lang w:eastAsia="zh-CN"/>
        </w:rPr>
        <w:t xml:space="preserve"> imatinibas slopina proliferaciją ir indukuoja virškinimo trakto stromos naviko (VTSN) ląstelių, kurios ekspresuoja aktyvintą kit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lėtinės mieloleukemijos tyrimai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veiksmingumas nustatomas bendra hematologinio ir citogenetinio atsako dalimi ir gyvenimo trukme be ligos progresavimo. </w:t>
      </w:r>
      <w:r>
        <w:rPr>
          <w:rFonts w:ascii="Times New Roman" w:eastAsia="SimSun" w:hAnsi="Times New Roman"/>
          <w:lang w:eastAsia="zh-CN"/>
        </w:rPr>
        <w:t>K</w:t>
      </w:r>
      <w:r w:rsidRPr="00340F0C">
        <w:rPr>
          <w:rFonts w:ascii="Times New Roman" w:eastAsia="SimSun" w:hAnsi="Times New Roman"/>
          <w:lang w:eastAsia="zh-CN"/>
        </w:rPr>
        <w:t>ontroliuotų klinikinių tyrimų, įrodančių klinikinę naudą, t.y., nuo ligos priklausomų požymių išnykimą ar pailgėjusią gyvenimo trukmę, neatlikta.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Atlikti trys dideli tarptautiniai, atviri, nekontroliuojami II fazės tyrimai pacientams, kuriems buvo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38</w:t>
      </w:r>
      <w:r w:rsidRPr="00340F0C">
        <w:rPr>
          <w:rFonts w:ascii="Times New Roman" w:eastAsia="SimSun" w:hAnsi="Times New Roman"/>
          <w:lang w:eastAsia="zh-CN"/>
        </w:rPr>
        <w:noBreakHyphen/>
        <w:t xml:space="preserve">% visuose tyrimuose dalyvavusių pacientų buvo </w:t>
      </w:r>
      <w:r w:rsidRPr="00340F0C">
        <w:rPr>
          <w:rFonts w:ascii="Times New Roman" w:hAnsi="Times New Roman"/>
          <w:u w:val="single"/>
          <w:lang w:eastAsia="zh-CN"/>
        </w:rPr>
        <w:t>&gt; </w:t>
      </w:r>
      <w:r w:rsidRPr="00340F0C">
        <w:rPr>
          <w:rFonts w:ascii="Times New Roman" w:eastAsia="SimSun" w:hAnsi="Times New Roman"/>
          <w:lang w:eastAsia="zh-CN"/>
        </w:rPr>
        <w:t xml:space="preserve">60 metų ir 12% pacientų buvo </w:t>
      </w:r>
      <w:r w:rsidRPr="00340F0C">
        <w:rPr>
          <w:rFonts w:ascii="Times New Roman" w:hAnsi="Times New Roman"/>
          <w:u w:val="single"/>
          <w:lang w:eastAsia="zh-CN"/>
        </w:rPr>
        <w:t>&gt; </w:t>
      </w:r>
      <w:r w:rsidRPr="00340F0C">
        <w:rPr>
          <w:rFonts w:ascii="Times New Roman" w:eastAsia="SimSun" w:hAnsi="Times New Roman"/>
          <w:lang w:eastAsia="zh-CN"/>
        </w:rPr>
        <w:t>70 metų.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9D1353" w:rsidRDefault="0031490F" w:rsidP="0031490F">
      <w:pPr>
        <w:widowControl w:val="0"/>
        <w:tabs>
          <w:tab w:val="left" w:pos="567"/>
        </w:tabs>
        <w:autoSpaceDE w:val="0"/>
        <w:autoSpaceDN w:val="0"/>
        <w:adjustRightInd w:val="0"/>
        <w:spacing w:after="0" w:line="240" w:lineRule="auto"/>
        <w:rPr>
          <w:rFonts w:ascii="Times New Roman" w:hAnsi="Times New Roman"/>
          <w:i/>
        </w:rPr>
      </w:pPr>
    </w:p>
    <w:p w:rsidR="0031490F" w:rsidRPr="009D1353" w:rsidRDefault="0031490F" w:rsidP="0031490F">
      <w:pPr>
        <w:widowControl w:val="0"/>
        <w:tabs>
          <w:tab w:val="left" w:pos="567"/>
        </w:tabs>
        <w:autoSpaceDE w:val="0"/>
        <w:autoSpaceDN w:val="0"/>
        <w:adjustRightInd w:val="0"/>
        <w:spacing w:after="0" w:line="240" w:lineRule="auto"/>
        <w:rPr>
          <w:rFonts w:ascii="Times New Roman" w:hAnsi="Times New Roman"/>
          <w:i/>
        </w:rPr>
      </w:pPr>
      <w:r w:rsidRPr="00340F0C">
        <w:rPr>
          <w:rFonts w:ascii="Times New Roman" w:eastAsia="SimSun" w:hAnsi="Times New Roman"/>
          <w:i/>
          <w:iCs/>
          <w:lang w:eastAsia="zh-CN"/>
        </w:rPr>
        <w:t>Mieloblastinė krizė</w:t>
      </w:r>
      <w:r w:rsidRPr="00340F0C">
        <w:rPr>
          <w:rFonts w:ascii="Times New Roman" w:eastAsia="SimSun" w:hAnsi="Times New Roman"/>
          <w:lang w:eastAsia="zh-C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Svarbiausias veiksmingumo kintamasis buvo hematologinio atsako, apibūdinamo visišku hematologiniu atsaku, išnykusia leukemija (pvz. blastų išnykimas iš kaulų čiulpų ir kraujo, bet be visiško periferinio kraujo atsistatymo, kaip visiško atsako)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Limfoblastinė krizė</w:t>
      </w:r>
      <w:r w:rsidRPr="00340F0C">
        <w:rPr>
          <w:rFonts w:ascii="Times New Roman" w:eastAsia="SimSun" w:hAnsi="Times New Roman"/>
          <w:lang w:eastAsia="zh-CN"/>
        </w:rPr>
        <w:t>. Nedaug (n=10) pacientų buvo įtraukta į I fazės tyrimą. Hematologinio atsako dažnis buvo 70%, jo trukmė – 2–3 mėnesiai.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9D1353" w:rsidRDefault="0031490F" w:rsidP="0031490F">
      <w:pPr>
        <w:widowControl w:val="0"/>
        <w:tabs>
          <w:tab w:val="left" w:pos="567"/>
        </w:tabs>
        <w:autoSpaceDE w:val="0"/>
        <w:autoSpaceDN w:val="0"/>
        <w:adjustRightInd w:val="0"/>
        <w:spacing w:after="0" w:line="240" w:lineRule="auto"/>
        <w:jc w:val="both"/>
        <w:rPr>
          <w:rFonts w:ascii="Times New Roman" w:hAnsi="Times New Roman"/>
          <w:b/>
        </w:rPr>
      </w:pPr>
      <w:r w:rsidRPr="009D1353">
        <w:rPr>
          <w:rFonts w:ascii="Times New Roman" w:hAnsi="Times New Roman"/>
          <w:b/>
        </w:rPr>
        <w:t>3 lentelė. LML tyrimų suaugusiųjų tarpe atsakas</w:t>
      </w:r>
    </w:p>
    <w:tbl>
      <w:tblPr>
        <w:tblW w:w="5000" w:type="pct"/>
        <w:tblCellMar>
          <w:left w:w="0" w:type="dxa"/>
          <w:right w:w="0" w:type="dxa"/>
        </w:tblCellMar>
        <w:tblLook w:val="0000" w:firstRow="0" w:lastRow="0" w:firstColumn="0" w:lastColumn="0" w:noHBand="0" w:noVBand="0"/>
      </w:tblPr>
      <w:tblGrid>
        <w:gridCol w:w="3974"/>
        <w:gridCol w:w="5107"/>
      </w:tblGrid>
      <w:tr w:rsidR="0031490F" w:rsidRPr="009D1033" w:rsidTr="00536C1B">
        <w:trPr>
          <w:trHeight w:hRule="exact" w:val="1465"/>
        </w:trPr>
        <w:tc>
          <w:tcPr>
            <w:tcW w:w="2188" w:type="pct"/>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Tyrimas 0102</w:t>
            </w:r>
          </w:p>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38 mėnesių duomenys </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Mieloblastinė krizė </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(n=260)</w:t>
            </w:r>
          </w:p>
        </w:tc>
      </w:tr>
      <w:tr w:rsidR="0031490F" w:rsidRPr="009D1033" w:rsidTr="00536C1B">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9D1033">
              <w:rPr>
                <w:rFonts w:ascii="Times New Roman" w:eastAsia="SimSun" w:hAnsi="Times New Roman"/>
                <w:lang w:eastAsia="zh-CN"/>
              </w:rPr>
              <w:t>Pacientų procentinė dalis (PI 95%)</w:t>
            </w:r>
          </w:p>
        </w:tc>
      </w:tr>
      <w:tr w:rsidR="0031490F" w:rsidRPr="009D1033" w:rsidTr="00536C1B">
        <w:trPr>
          <w:trHeight w:hRule="exact" w:val="2000"/>
        </w:trPr>
        <w:tc>
          <w:tcPr>
            <w:tcW w:w="2188" w:type="pct"/>
            <w:vMerge w:val="restart"/>
            <w:tcBorders>
              <w:top w:val="single" w:sz="4" w:space="0" w:color="000000"/>
              <w:left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lastRenderedPageBreak/>
              <w:t>Hematologinis atsakas</w:t>
            </w:r>
            <w:r w:rsidRPr="009D1033">
              <w:rPr>
                <w:rFonts w:ascii="Times New Roman" w:eastAsia="SimSun" w:hAnsi="Times New Roman"/>
                <w:vertAlign w:val="superscript"/>
                <w:lang w:eastAsia="zh-CN"/>
              </w:rPr>
              <w:t>1</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 hematologinis atsakas (VHA)</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Išnykusi leukemija (NEL)</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Grįžimas į lėtinę fazę (GLF)</w:t>
            </w:r>
          </w:p>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Didysis citogenetinis atsakas</w:t>
            </w:r>
            <w:r>
              <w:rPr>
                <w:rFonts w:ascii="Times New Roman" w:eastAsia="SimSun" w:hAnsi="Times New Roman"/>
                <w:vertAlign w:val="superscript"/>
                <w:lang w:eastAsia="zh-CN"/>
              </w:rPr>
              <w:t>2</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(Patvirtintas</w:t>
            </w:r>
            <w:r>
              <w:rPr>
                <w:rFonts w:ascii="Times New Roman" w:eastAsia="SimSun" w:hAnsi="Times New Roman"/>
                <w:vertAlign w:val="superscript"/>
                <w:lang w:eastAsia="zh-CN"/>
              </w:rPr>
              <w:t>3</w:t>
            </w:r>
            <w:r>
              <w:rPr>
                <w:rFonts w:ascii="Times New Roman" w:eastAsia="SimSun" w:hAnsi="Times New Roman"/>
                <w:lang w:eastAsia="zh-CN"/>
              </w:rPr>
              <w:t>) [95% PI]</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Dalinis</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31% (25,2–36,8)</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5%</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18%</w:t>
            </w:r>
          </w:p>
        </w:tc>
      </w:tr>
      <w:tr w:rsidR="0031490F" w:rsidRPr="009D1033" w:rsidTr="00536C1B">
        <w:trPr>
          <w:trHeight w:hRule="exact" w:val="1557"/>
        </w:trPr>
        <w:tc>
          <w:tcPr>
            <w:tcW w:w="2188" w:type="pct"/>
            <w:vMerge/>
            <w:tcBorders>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15% (11,2–20,4)</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7%</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(2%) [0,6–4,4]</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tc>
      </w:tr>
      <w:tr w:rsidR="0031490F" w:rsidRPr="009D1033" w:rsidTr="00536C1B">
        <w:trPr>
          <w:trHeight w:hRule="exact" w:val="2823"/>
        </w:trPr>
        <w:tc>
          <w:tcPr>
            <w:tcW w:w="5000" w:type="pct"/>
            <w:gridSpan w:val="2"/>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b/>
                <w:bCs/>
                <w:lang w:eastAsia="zh-CN"/>
              </w:rPr>
              <w:t xml:space="preserve">1 Hematologinio atsako kriterijai (visi atsakai turi būti patvirtinti po </w:t>
            </w:r>
            <w:r w:rsidRPr="009D1033">
              <w:rPr>
                <w:rFonts w:ascii="Times New Roman" w:hAnsi="Times New Roman"/>
                <w:u w:val="single"/>
                <w:lang w:eastAsia="zh-CN"/>
              </w:rPr>
              <w:t>&gt; </w:t>
            </w:r>
            <w:r>
              <w:rPr>
                <w:rFonts w:ascii="Times New Roman" w:eastAsia="SimSun" w:hAnsi="Times New Roman"/>
                <w:b/>
                <w:bCs/>
                <w:lang w:eastAsia="zh-CN"/>
              </w:rPr>
              <w:t>4 savaičių):</w:t>
            </w:r>
          </w:p>
          <w:p w:rsidR="0031490F" w:rsidRDefault="0031490F" w:rsidP="00536C1B">
            <w:pPr>
              <w:widowControl w:val="0"/>
              <w:tabs>
                <w:tab w:val="left" w:pos="572"/>
              </w:tabs>
              <w:autoSpaceDE w:val="0"/>
              <w:autoSpaceDN w:val="0"/>
              <w:adjustRightInd w:val="0"/>
              <w:spacing w:after="0" w:line="240" w:lineRule="auto"/>
              <w:ind w:left="572" w:hanging="567"/>
              <w:rPr>
                <w:rFonts w:ascii="Times New Roman" w:eastAsia="SimSun" w:hAnsi="Times New Roman"/>
                <w:lang w:eastAsia="zh-CN"/>
              </w:rPr>
            </w:pPr>
            <w:r>
              <w:rPr>
                <w:rFonts w:ascii="Times New Roman" w:eastAsia="SimSun" w:hAnsi="Times New Roman"/>
                <w:lang w:eastAsia="zh-CN"/>
              </w:rPr>
              <w:t>VHA</w:t>
            </w:r>
            <w:r>
              <w:rPr>
                <w:rFonts w:ascii="Times New Roman" w:eastAsia="SimSun" w:hAnsi="Times New Roman"/>
                <w:lang w:eastAsia="zh-CN"/>
              </w:rPr>
              <w:tab/>
              <w:t xml:space="preserve"> [ANS </w:t>
            </w:r>
            <w:r>
              <w:rPr>
                <w:rFonts w:ascii="Times New Roman" w:eastAsia="SimSun" w:hAnsi="Times New Roman" w:hint="eastAsia"/>
                <w:lang w:eastAsia="zh-CN"/>
              </w:rPr>
              <w:t>≥</w:t>
            </w:r>
            <w:r>
              <w:rPr>
                <w:rFonts w:ascii="Times New Roman" w:eastAsia="SimSun" w:hAnsi="Times New Roman"/>
                <w:lang w:eastAsia="zh-CN"/>
              </w:rPr>
              <w:t xml:space="preserve"> 1,5 x 10</w:t>
            </w:r>
            <w:r w:rsidRPr="003E3484">
              <w:rPr>
                <w:rFonts w:ascii="Times New Roman" w:eastAsia="SimSun" w:hAnsi="Times New Roman"/>
                <w:vertAlign w:val="superscript"/>
                <w:lang w:eastAsia="zh-CN"/>
              </w:rPr>
              <w:t>9</w:t>
            </w:r>
            <w:r w:rsidRPr="009D1033">
              <w:rPr>
                <w:rFonts w:ascii="Times New Roman" w:eastAsia="SimSun" w:hAnsi="Times New Roman"/>
                <w:lang w:eastAsia="zh-CN"/>
              </w:rPr>
              <w:t>/l, trombocitų ≥</w:t>
            </w:r>
            <w:r>
              <w:rPr>
                <w:rFonts w:ascii="Times New Roman" w:eastAsia="SimSun" w:hAnsi="Times New Roman"/>
                <w:lang w:eastAsia="zh-CN"/>
              </w:rPr>
              <w:t xml:space="preserve"> 100 x 10</w:t>
            </w:r>
            <w:r w:rsidRPr="003E3484">
              <w:rPr>
                <w:rFonts w:ascii="Times New Roman" w:eastAsia="SimSun" w:hAnsi="Times New Roman"/>
                <w:vertAlign w:val="superscript"/>
                <w:lang w:eastAsia="zh-CN"/>
              </w:rPr>
              <w:t>9</w:t>
            </w:r>
            <w:r w:rsidRPr="009D1033">
              <w:rPr>
                <w:rFonts w:ascii="Times New Roman" w:eastAsia="SimSun" w:hAnsi="Times New Roman"/>
                <w:lang w:eastAsia="zh-CN"/>
              </w:rPr>
              <w:t>/l, nėra blastų kraujyje, blastų &lt; 5</w:t>
            </w:r>
            <w:r>
              <w:rPr>
                <w:rFonts w:ascii="Times New Roman" w:eastAsia="SimSun" w:hAnsi="Times New Roman"/>
                <w:lang w:eastAsia="zh-CN"/>
              </w:rPr>
              <w:t> % kaulų čiulpuose, nėra ekstramedulinės ligos]</w:t>
            </w:r>
          </w:p>
          <w:p w:rsidR="0031490F" w:rsidRPr="009D1033" w:rsidRDefault="0031490F" w:rsidP="00536C1B">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NEL</w:t>
            </w:r>
            <w:r>
              <w:rPr>
                <w:rFonts w:ascii="Times New Roman" w:eastAsia="SimSun" w:hAnsi="Times New Roman"/>
                <w:lang w:eastAsia="zh-CN"/>
              </w:rPr>
              <w:tab/>
              <w:t xml:space="preserve">Tokie pat kriterijai kaip VHA bet ANS </w:t>
            </w:r>
            <w:r>
              <w:rPr>
                <w:rFonts w:ascii="Times New Roman" w:hAnsi="Times New Roman"/>
                <w:u w:val="single"/>
                <w:lang w:eastAsia="zh-CN"/>
              </w:rPr>
              <w:t>&gt;</w:t>
            </w:r>
            <w:r>
              <w:rPr>
                <w:rFonts w:ascii="Times New Roman" w:eastAsia="SimSun" w:hAnsi="Times New Roman"/>
                <w:lang w:eastAsia="zh-CN"/>
              </w:rPr>
              <w:t> 1 x 10</w:t>
            </w:r>
            <w:r>
              <w:rPr>
                <w:rFonts w:ascii="Times New Roman" w:eastAsia="SimSun" w:hAnsi="Times New Roman"/>
                <w:vertAlign w:val="superscript"/>
                <w:lang w:eastAsia="zh-CN"/>
              </w:rPr>
              <w:t>9</w:t>
            </w:r>
            <w:r>
              <w:rPr>
                <w:rFonts w:ascii="Times New Roman" w:eastAsia="SimSun" w:hAnsi="Times New Roman"/>
                <w:lang w:eastAsia="zh-CN"/>
              </w:rPr>
              <w:t xml:space="preserve">/l ir trombocitų </w:t>
            </w:r>
            <w:r>
              <w:rPr>
                <w:rFonts w:ascii="Times New Roman" w:hAnsi="Times New Roman"/>
                <w:u w:val="single"/>
                <w:lang w:eastAsia="zh-CN"/>
              </w:rPr>
              <w:t>&gt; </w:t>
            </w:r>
            <w:r>
              <w:rPr>
                <w:rFonts w:ascii="Times New Roman" w:eastAsia="SimSun" w:hAnsi="Times New Roman"/>
                <w:lang w:eastAsia="zh-CN"/>
              </w:rPr>
              <w:t>20 x 10</w:t>
            </w:r>
            <w:r>
              <w:rPr>
                <w:rFonts w:ascii="Times New Roman" w:eastAsia="SimSun" w:hAnsi="Times New Roman"/>
                <w:vertAlign w:val="superscript"/>
                <w:lang w:eastAsia="zh-CN"/>
              </w:rPr>
              <w:t>9</w:t>
            </w:r>
            <w:r>
              <w:rPr>
                <w:rFonts w:ascii="Times New Roman" w:eastAsia="SimSun" w:hAnsi="Times New Roman"/>
                <w:lang w:eastAsia="zh-CN"/>
              </w:rPr>
              <w:t xml:space="preserve">/l </w:t>
            </w:r>
          </w:p>
          <w:p w:rsidR="0031490F" w:rsidRDefault="0031490F" w:rsidP="00536C1B">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GLF</w:t>
            </w:r>
            <w:r>
              <w:rPr>
                <w:rFonts w:ascii="Times New Roman" w:eastAsia="SimSun" w:hAnsi="Times New Roman"/>
                <w:lang w:eastAsia="zh-CN"/>
              </w:rPr>
              <w:tab/>
              <w:t xml:space="preserve">&lt; 15% blastų KČ ir PK, &lt; 30% blastų+promielocitų KČ ir PK, &lt; 20% bazofilų PK, nėra kitos, išskyrus blužnies ir kepenų, ekstramedulinės ligos.KČ = kaulų čiulpai, PK = periferinis kraujas </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bCs/>
                <w:lang w:eastAsia="zh-CN"/>
              </w:rPr>
              <w:t>2 Citogenetinio atsako kriterijai:</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Didįjį atsaką sudaro visiškas ir dalinis atsakas: visiškas (0% Ph+ metafazių), dalinis (1–35%).</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lang w:eastAsia="zh-CN"/>
              </w:rPr>
              <w:t>3 Visiškas citogenetinis atsakas</w:t>
            </w:r>
            <w:r>
              <w:rPr>
                <w:rFonts w:ascii="Times New Roman" w:eastAsia="SimSun" w:hAnsi="Times New Roman"/>
                <w:lang w:eastAsia="zh-CN"/>
              </w:rPr>
              <w:t xml:space="preserve"> patvirtinamas antrą kartą citogenetiškai vertinant kaulų čiulpus praėjus mažiausiai vienam mėnesiui po pirminio kaulų čiulpų tyrimo.</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rsidR="0031490F"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b/>
          <w:lang w:eastAsia="zh-CN"/>
        </w:rPr>
      </w:pPr>
    </w:p>
    <w:p w:rsidR="0031490F"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(n=9), 440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(n=7), 570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II fazės atvirame, daugiacentriame, vienos grupės tyrime dalyvavo 51 vaikas, sergantis naujai diagnozuota ir negydyta lėtinės fazės LML. Pacientai buvo gydomi imatinibo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340F0C">
        <w:rPr>
          <w:rFonts w:ascii="Times New Roman" w:eastAsia="SimSun" w:hAnsi="Times New Roman"/>
          <w:i/>
          <w:lang w:eastAsia="zh-CN"/>
        </w:rPr>
        <w:t>Kaplan-Meier</w:t>
      </w:r>
      <w:r w:rsidRPr="00340F0C">
        <w:rPr>
          <w:rFonts w:ascii="Times New Roman" w:eastAsia="SimSun" w:hAnsi="Times New Roman"/>
          <w:lang w:eastAsia="zh-CN"/>
        </w:rPr>
        <w:t xml:space="preserve"> 5,6 mėnesių išgyvenamumo rodikliu.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(bcr-abl translokacija) teigiama lėtine mieloleukemija (vartojimo vaikams informacija pateikiama 4.2 skyriuje).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Klinikiniai Ph+ ŪLL tyrimai</w:t>
      </w: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i/>
          <w:lang w:eastAsia="zh-CN"/>
        </w:rPr>
        <w:t>Pirmą kartą diagnozuota Ph+ ŪLL</w:t>
      </w:r>
      <w:r w:rsidRPr="00340F0C">
        <w:rPr>
          <w:rFonts w:ascii="Times New Roman" w:eastAsia="SimSun" w:hAnsi="Times New Roman"/>
          <w:lang w:eastAsia="zh-CN"/>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p=0,0001). Kai pacientams, kuriems nebuvo gautas atsakas ar gautas silpnas atsakas, buvo paskirtas pagalbinis gydymas imatinibu, pilnas hematologinis atsakas buvo gautas 9 pacientams (81,8 %) iš 11. </w:t>
      </w:r>
      <w:r w:rsidRPr="00340F0C">
        <w:rPr>
          <w:rFonts w:ascii="Times New Roman" w:eastAsia="SimSun" w:hAnsi="Times New Roman"/>
          <w:lang w:eastAsia="zh-CN"/>
        </w:rPr>
        <w:lastRenderedPageBreak/>
        <w:t>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Keturių nekontroliuojamų tyrimų (AAU02, ADE04, AJP01 ir AUS01), kuriuose dalyvavo 211 pacientų, kuriems pirmą kartą diagnozuota Ph+ ŪLL, rezultatai atitinka anksčiau paminėto tyrimo rezultatus. Skiriant imatinibą kartu su pradine chemoterapija (žr. 5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Pr="00366C6D">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366C6D">
        <w:rPr>
          <w:rFonts w:ascii="Times New Roman" w:eastAsia="SimSun" w:hAnsi="Times New Roman"/>
          <w:b/>
          <w:lang w:eastAsia="zh-CN"/>
        </w:rPr>
        <w:t>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1-5 dienas; CP 200 mg/m</w:t>
            </w:r>
            <w:r w:rsidRPr="00366C6D">
              <w:rPr>
                <w:rFonts w:ascii="Times New Roman" w:hAnsi="Times New Roman"/>
                <w:vertAlign w:val="superscript"/>
              </w:rPr>
              <w:t>2</w:t>
            </w:r>
            <w:r w:rsidRPr="00340F0C">
              <w:rPr>
                <w:rFonts w:ascii="Times New Roman" w:hAnsi="Times New Roman"/>
              </w:rPr>
              <w:t xml:space="preserve"> i.v., 3, 4, 5 dieną; MTX 12 mg intratekaliai, 1 dieną.</w:t>
            </w:r>
          </w:p>
        </w:tc>
      </w:tr>
      <w:tr w:rsidR="0031490F" w:rsidRPr="00340F0C" w:rsidTr="00536C1B">
        <w:trPr>
          <w:trHeight w:val="381"/>
        </w:trPr>
        <w:tc>
          <w:tcPr>
            <w:tcW w:w="2636" w:type="dxa"/>
            <w:tcBorders>
              <w:top w:val="single" w:sz="4" w:space="0" w:color="auto"/>
              <w:left w:val="nil"/>
              <w:bottom w:val="single" w:sz="4" w:space="0" w:color="auto"/>
            </w:tcBorders>
          </w:tcPr>
          <w:p w:rsidR="0031490F"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6-7 dieną, 13-16 dieną; VCR 1 mg i.v., 7, 14 dieną; IDA 8 mg/m</w:t>
            </w:r>
            <w:r w:rsidRPr="00366C6D">
              <w:rPr>
                <w:rFonts w:ascii="Times New Roman" w:hAnsi="Times New Roman"/>
                <w:vertAlign w:val="superscript"/>
              </w:rPr>
              <w:t>2</w:t>
            </w:r>
            <w:r w:rsidRPr="00340F0C">
              <w:rPr>
                <w:rFonts w:ascii="Times New Roman" w:hAnsi="Times New Roman"/>
              </w:rPr>
              <w:t xml:space="preserve"> i.v. (0,5 valandos), 7, 8, 14, 15 dieną; CP 500 mg/m</w:t>
            </w:r>
            <w:r w:rsidRPr="00366C6D">
              <w:rPr>
                <w:rFonts w:ascii="Times New Roman" w:hAnsi="Times New Roman"/>
                <w:vertAlign w:val="superscript"/>
              </w:rPr>
              <w:t>2</w:t>
            </w:r>
            <w:r w:rsidRPr="00340F0C">
              <w:rPr>
                <w:rFonts w:ascii="Times New Roman" w:hAnsi="Times New Roman"/>
              </w:rPr>
              <w:t xml:space="preserve"> i.v.(1 valanda) 1 dieną; Ara-C 60 mg/m</w:t>
            </w:r>
            <w:r w:rsidRPr="00366C6D">
              <w:rPr>
                <w:rFonts w:ascii="Times New Roman" w:hAnsi="Times New Roman"/>
                <w:vertAlign w:val="superscript"/>
              </w:rPr>
              <w:t>2</w:t>
            </w:r>
            <w:r w:rsidRPr="00340F0C">
              <w:rPr>
                <w:rFonts w:ascii="Times New Roman" w:hAnsi="Times New Roman"/>
              </w:rPr>
              <w:t xml:space="preserve"> i.v., 22-25, 29-32 dienas.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 mg/m</w:t>
            </w:r>
            <w:r w:rsidRPr="00366C6D">
              <w:rPr>
                <w:rFonts w:ascii="Times New Roman" w:hAnsi="Times New Roman"/>
                <w:vertAlign w:val="superscript"/>
              </w:rPr>
              <w:t>2</w:t>
            </w:r>
            <w:r w:rsidRPr="00340F0C">
              <w:rPr>
                <w:rFonts w:ascii="Times New Roman" w:hAnsi="Times New Roman"/>
              </w:rPr>
              <w:t xml:space="preserve"> i.v. (24 valandos), 1, 15 dieną; gerti 6-MP 25 mg/m</w:t>
            </w:r>
            <w:r w:rsidRPr="00366C6D">
              <w:rPr>
                <w:rFonts w:ascii="Times New Roman" w:hAnsi="Times New Roman"/>
                <w:vertAlign w:val="superscript"/>
              </w:rPr>
              <w:t>2</w:t>
            </w:r>
            <w:r w:rsidRPr="00340F0C">
              <w:rPr>
                <w:rFonts w:ascii="Times New Roman" w:hAnsi="Times New Roman"/>
              </w:rPr>
              <w:t>, 1-20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 mg/m</w:t>
            </w:r>
            <w:r w:rsidRPr="00366C6D">
              <w:rPr>
                <w:rFonts w:ascii="Times New Roman" w:hAnsi="Times New Roman"/>
                <w:vertAlign w:val="superscript"/>
              </w:rPr>
              <w:t>2</w:t>
            </w:r>
            <w:r w:rsidRPr="00340F0C">
              <w:rPr>
                <w:rFonts w:ascii="Times New Roman" w:hAnsi="Times New Roman"/>
              </w:rPr>
              <w:t xml:space="preserve"> i.v. (1 valanda), 1-5 dienas; VM26 60 mg/m</w:t>
            </w:r>
            <w:r w:rsidRPr="00366C6D">
              <w:rPr>
                <w:rFonts w:ascii="Times New Roman" w:hAnsi="Times New Roman"/>
                <w:vertAlign w:val="superscript"/>
              </w:rPr>
              <w:t>2</w:t>
            </w:r>
            <w:r w:rsidRPr="00340F0C">
              <w:rPr>
                <w:rFonts w:ascii="Times New Roman" w:hAnsi="Times New Roman"/>
              </w:rPr>
              <w:t xml:space="preserve"> i.v. (1 valanda), 1-5 dienas.</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31490F" w:rsidRPr="00340F0C" w:rsidTr="00536C1B">
        <w:trPr>
          <w:trHeight w:val="640"/>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Pr="00366C6D">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 mg/m</w:t>
            </w:r>
            <w:r w:rsidRPr="00366C6D">
              <w:rPr>
                <w:rFonts w:ascii="Times New Roman" w:hAnsi="Times New Roman"/>
                <w:vertAlign w:val="superscript"/>
              </w:rPr>
              <w:t>2</w:t>
            </w:r>
            <w:r w:rsidRPr="00340F0C">
              <w:rPr>
                <w:rFonts w:ascii="Times New Roman" w:hAnsi="Times New Roman"/>
              </w:rPr>
              <w:t xml:space="preserve"> i.v., 1-3 dienas, 15-16 dienas; VCR bendra dozė 2 mg i.v., 1, 8, 15, 22 dieną; CP 750 mg/m</w:t>
            </w:r>
            <w:r w:rsidRPr="00366C6D">
              <w:rPr>
                <w:rFonts w:ascii="Times New Roman" w:hAnsi="Times New Roman"/>
                <w:vertAlign w:val="superscript"/>
              </w:rPr>
              <w:t>2</w:t>
            </w:r>
            <w:r w:rsidRPr="00340F0C">
              <w:rPr>
                <w:rFonts w:ascii="Times New Roman" w:hAnsi="Times New Roman"/>
              </w:rPr>
              <w:t xml:space="preserve"> i.v., 1, 8 dieną; gerti prednizoloną 60 mg/m</w:t>
            </w:r>
            <w:r w:rsidRPr="00366C6D">
              <w:rPr>
                <w:rFonts w:ascii="Times New Roman" w:hAnsi="Times New Roman"/>
                <w:vertAlign w:val="superscript"/>
              </w:rPr>
              <w:t>2</w:t>
            </w:r>
            <w:r w:rsidRPr="00340F0C">
              <w:rPr>
                <w:rFonts w:ascii="Times New Roman" w:hAnsi="Times New Roman"/>
              </w:rPr>
              <w:t>, 1-7, 15-21 dienas; gerti IDA 9 mg/m</w:t>
            </w:r>
            <w:r w:rsidRPr="00366C6D">
              <w:rPr>
                <w:rFonts w:ascii="Times New Roman" w:hAnsi="Times New Roman"/>
                <w:vertAlign w:val="superscript"/>
              </w:rPr>
              <w:t>2</w:t>
            </w:r>
            <w:r w:rsidRPr="00340F0C">
              <w:rPr>
                <w:rFonts w:ascii="Times New Roman" w:hAnsi="Times New Roman"/>
              </w:rPr>
              <w:t>, 1-28 dienas; MTX 15 mg intratekaliai, 1, 8, 15, 22 dieną; Ara-C 40 mg intratekaliai, 1, 8, 15, 22 dieną; metilprednizolonas 40 mg intratekaliai, 1, 8, 15, 22 dieną.</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 mg/m</w:t>
            </w:r>
            <w:r w:rsidRPr="00366C6D">
              <w:rPr>
                <w:rFonts w:ascii="Times New Roman" w:hAnsi="Times New Roman"/>
                <w:vertAlign w:val="superscript"/>
              </w:rPr>
              <w:t>2</w:t>
            </w:r>
            <w:r w:rsidRPr="00340F0C">
              <w:rPr>
                <w:rFonts w:ascii="Times New Roman" w:hAnsi="Times New Roman"/>
              </w:rPr>
              <w:t xml:space="preserve"> /12 h i.v.(3 valandos), 1-4 dienas; mitoksantronas 10 mg/m</w:t>
            </w:r>
            <w:r w:rsidRPr="00366C6D">
              <w:rPr>
                <w:rFonts w:ascii="Times New Roman" w:hAnsi="Times New Roman"/>
                <w:vertAlign w:val="superscript"/>
              </w:rPr>
              <w:t>2</w:t>
            </w:r>
            <w:r w:rsidRPr="00340F0C">
              <w:rPr>
                <w:rFonts w:ascii="Times New Roman" w:hAnsi="Times New Roman"/>
              </w:rPr>
              <w:t xml:space="preserve"> i.v. 3-5 dienas; MTX 15 mg intratekaliai, 1 dieną; metilprednizolonas 40 mg intratekaliai, 1 dieną.</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1-5 dienas; CP 200 mg/m</w:t>
            </w:r>
            <w:r w:rsidRPr="00366C6D">
              <w:rPr>
                <w:rFonts w:ascii="Times New Roman" w:hAnsi="Times New Roman"/>
                <w:vertAlign w:val="superscript"/>
              </w:rPr>
              <w:t>2</w:t>
            </w:r>
            <w:r w:rsidRPr="00340F0C">
              <w:rPr>
                <w:rFonts w:ascii="Times New Roman" w:hAnsi="Times New Roman"/>
              </w:rPr>
              <w:t xml:space="preserve"> i.v., 3-5 dienas; MTX 15 mg intratekaliai, 1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1-5 dienas; VCR 2 mg i.v., 6, 13, 20 dieną; daunorubicinas 45 mg/m</w:t>
            </w:r>
            <w:r w:rsidRPr="00366C6D">
              <w:rPr>
                <w:rFonts w:ascii="Times New Roman" w:hAnsi="Times New Roman"/>
                <w:vertAlign w:val="superscript"/>
              </w:rPr>
              <w:t>2</w:t>
            </w:r>
            <w:r w:rsidRPr="00340F0C">
              <w:rPr>
                <w:rFonts w:ascii="Times New Roman" w:hAnsi="Times New Roman"/>
              </w:rPr>
              <w:t xml:space="preserve"> i.v., 6-7, 13-14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Pr="00366C6D">
              <w:rPr>
                <w:rFonts w:ascii="Times New Roman" w:hAnsi="Times New Roman"/>
                <w:vertAlign w:val="superscript"/>
              </w:rPr>
              <w:t>2</w:t>
            </w:r>
            <w:r w:rsidRPr="00340F0C">
              <w:rPr>
                <w:rFonts w:ascii="Times New Roman" w:hAnsi="Times New Roman"/>
              </w:rPr>
              <w:t xml:space="preserve"> i.v. (1 valanda), 26, 46 dieną; Ara-C 75 mg/m 2 i.v. (1 valanda), 28-31, 35-38, 42-45 dienas; gerti 6-MP 60 mg/m</w:t>
            </w:r>
            <w:r w:rsidRPr="00366C6D">
              <w:rPr>
                <w:rFonts w:ascii="Times New Roman" w:hAnsi="Times New Roman"/>
                <w:vertAlign w:val="superscript"/>
              </w:rPr>
              <w:t>2</w:t>
            </w:r>
            <w:r w:rsidRPr="00340F0C">
              <w:rPr>
                <w:rFonts w:ascii="Times New Roman" w:hAnsi="Times New Roman"/>
              </w:rPr>
              <w:t>, 26-46 dienas.</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1-5 dienas; vindezinas 3 mg/m</w:t>
            </w:r>
            <w:r w:rsidRPr="00366C6D">
              <w:rPr>
                <w:rFonts w:ascii="Times New Roman" w:hAnsi="Times New Roman"/>
                <w:vertAlign w:val="superscript"/>
              </w:rPr>
              <w:t>2</w:t>
            </w:r>
            <w:r w:rsidRPr="00340F0C">
              <w:rPr>
                <w:rFonts w:ascii="Times New Roman" w:hAnsi="Times New Roman"/>
              </w:rPr>
              <w:t xml:space="preserve"> i.v., 1 dieną; </w:t>
            </w:r>
          </w:p>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1,5 g/m</w:t>
            </w:r>
            <w:r w:rsidRPr="00366C6D">
              <w:rPr>
                <w:rFonts w:ascii="Times New Roman" w:hAnsi="Times New Roman"/>
                <w:vertAlign w:val="superscript"/>
              </w:rPr>
              <w:t>2</w:t>
            </w:r>
            <w:r w:rsidRPr="00340F0C">
              <w:rPr>
                <w:rFonts w:ascii="Times New Roman" w:hAnsi="Times New Roman"/>
              </w:rPr>
              <w:t xml:space="preserve"> i.v. (24 valandos), 1 dieną; etopozidas 250 mg/m</w:t>
            </w:r>
            <w:r w:rsidRPr="00366C6D">
              <w:rPr>
                <w:rFonts w:ascii="Times New Roman" w:hAnsi="Times New Roman"/>
                <w:vertAlign w:val="superscript"/>
              </w:rPr>
              <w:t>2</w:t>
            </w:r>
            <w:r w:rsidRPr="00340F0C">
              <w:rPr>
                <w:rFonts w:ascii="Times New Roman" w:hAnsi="Times New Roman"/>
              </w:rPr>
              <w:t xml:space="preserve"> i.v. (1 valanda) 4-5 dienas; Ara-C 2x 2 g/m</w:t>
            </w:r>
            <w:r w:rsidRPr="00366C6D">
              <w:rPr>
                <w:rFonts w:ascii="Times New Roman" w:hAnsi="Times New Roman"/>
                <w:vertAlign w:val="superscript"/>
              </w:rPr>
              <w:t>2</w:t>
            </w:r>
            <w:r w:rsidRPr="00340F0C">
              <w:rPr>
                <w:rFonts w:ascii="Times New Roman" w:hAnsi="Times New Roman"/>
              </w:rPr>
              <w:t xml:space="preserve"> i.v. (3 valandos, 12 valandų), 5 dieną.</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AJP01 tyrimas</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Pr="00366C6D">
              <w:rPr>
                <w:rFonts w:ascii="Times New Roman" w:hAnsi="Times New Roman"/>
                <w:vertAlign w:val="superscript"/>
              </w:rPr>
              <w:t>2</w:t>
            </w:r>
            <w:r w:rsidRPr="00340F0C">
              <w:rPr>
                <w:rFonts w:ascii="Times New Roman" w:hAnsi="Times New Roman"/>
              </w:rPr>
              <w:t xml:space="preserve"> i.v. (3 valandos), 1 dieną; daunorubicinas 60 mg/m</w:t>
            </w:r>
            <w:r w:rsidRPr="00366C6D">
              <w:rPr>
                <w:rFonts w:ascii="Times New Roman" w:hAnsi="Times New Roman"/>
                <w:vertAlign w:val="superscript"/>
              </w:rPr>
              <w:t>2</w:t>
            </w:r>
            <w:r w:rsidRPr="00340F0C">
              <w:rPr>
                <w:rFonts w:ascii="Times New Roman" w:hAnsi="Times New Roman"/>
              </w:rPr>
              <w:t xml:space="preserve"> i.v. (1 valanda), 1-3 dienas; vinkristinas 1,3 mg/m</w:t>
            </w:r>
            <w:r w:rsidRPr="00366C6D">
              <w:rPr>
                <w:rFonts w:ascii="Times New Roman" w:hAnsi="Times New Roman"/>
                <w:vertAlign w:val="superscript"/>
              </w:rPr>
              <w:t>2</w:t>
            </w:r>
            <w:r w:rsidRPr="00340F0C">
              <w:rPr>
                <w:rFonts w:ascii="Times New Roman" w:hAnsi="Times New Roman"/>
              </w:rPr>
              <w:t xml:space="preserve"> i.v., 1, 8, 15, 21 dieną; gerti prednizoloną 60 mg/m</w:t>
            </w:r>
            <w:r w:rsidRPr="00366C6D">
              <w:rPr>
                <w:rFonts w:ascii="Times New Roman" w:hAnsi="Times New Roman"/>
                <w:vertAlign w:val="superscript"/>
              </w:rPr>
              <w:t>2</w:t>
            </w:r>
            <w:r w:rsidRPr="00340F0C">
              <w:rPr>
                <w:rFonts w:ascii="Times New Roman" w:hAnsi="Times New Roman"/>
              </w:rPr>
              <w:t xml:space="preserve"> /per parą.</w:t>
            </w:r>
          </w:p>
        </w:tc>
      </w:tr>
      <w:tr w:rsidR="0031490F" w:rsidRPr="00340F0C" w:rsidTr="00536C1B">
        <w:trPr>
          <w:trHeight w:val="359"/>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lastRenderedPageBreak/>
              <w:t>Konsoliduojantis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Pakaitinis chemoterapijos kursas: aukštos dozės chemoterapija su MTX 1 g/m</w:t>
            </w:r>
            <w:r w:rsidRPr="00366C6D">
              <w:rPr>
                <w:rFonts w:ascii="Times New Roman" w:hAnsi="Times New Roman"/>
                <w:vertAlign w:val="superscript"/>
              </w:rPr>
              <w:t>2</w:t>
            </w:r>
            <w:r w:rsidRPr="00340F0C">
              <w:rPr>
                <w:rFonts w:ascii="Times New Roman" w:hAnsi="Times New Roman"/>
              </w:rPr>
              <w:t xml:space="preserve"> i.v. (24 valandos), 1 dieną, ir Ara-C 2 g/m</w:t>
            </w:r>
            <w:r w:rsidRPr="00366C6D">
              <w:rPr>
                <w:rFonts w:ascii="Times New Roman" w:hAnsi="Times New Roman"/>
                <w:vertAlign w:val="superscript"/>
              </w:rPr>
              <w:t>2</w:t>
            </w:r>
            <w:r w:rsidRPr="00340F0C">
              <w:rPr>
                <w:rFonts w:ascii="Times New Roman" w:hAnsi="Times New Roman"/>
              </w:rPr>
              <w:t xml:space="preserve"> i.v. (12 valandų), 2-3 dieną, 4 kursus.</w:t>
            </w:r>
          </w:p>
        </w:tc>
      </w:tr>
      <w:tr w:rsidR="0031490F" w:rsidRPr="00340F0C" w:rsidTr="00536C1B">
        <w:trPr>
          <w:trHeight w:val="12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 i.v., 1 dieną; gerti prednizoloną 60 mg/m</w:t>
            </w:r>
            <w:r w:rsidRPr="00366C6D">
              <w:rPr>
                <w:rFonts w:ascii="Times New Roman" w:hAnsi="Times New Roman"/>
                <w:vertAlign w:val="superscript"/>
              </w:rPr>
              <w:t>2</w:t>
            </w:r>
            <w:r w:rsidRPr="00340F0C">
              <w:rPr>
                <w:rFonts w:ascii="Times New Roman" w:hAnsi="Times New Roman"/>
              </w:rPr>
              <w:t>, 1-5 dienas.</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31490F" w:rsidRPr="00340F0C" w:rsidTr="00536C1B">
        <w:trPr>
          <w:trHeight w:val="640"/>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AUS01 tyrimas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31490F" w:rsidRPr="00340F0C" w:rsidTr="00536C1B">
        <w:trPr>
          <w:trHeight w:val="229"/>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 mg i.v. kas mėnesį 13 mėnesių; gerti prednizoloną po 200 mg, 5 dienas per mėnesį 13 mėnesių.</w:t>
            </w:r>
          </w:p>
        </w:tc>
      </w:tr>
      <w:tr w:rsidR="0031490F" w:rsidRPr="00340F0C" w:rsidTr="00536C1B">
        <w:trPr>
          <w:trHeight w:val="100"/>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31490F" w:rsidRPr="00340F0C" w:rsidTr="00536C1B">
        <w:trPr>
          <w:trHeight w:val="359"/>
        </w:trPr>
        <w:tc>
          <w:tcPr>
            <w:tcW w:w="9287" w:type="dxa"/>
            <w:gridSpan w:val="2"/>
            <w:tcBorders>
              <w:top w:val="single" w:sz="4" w:space="0" w:color="auto"/>
              <w:left w:val="nil"/>
              <w:bottom w:val="single" w:sz="4" w:space="0" w:color="auto"/>
              <w:right w:val="nil"/>
            </w:tcBorders>
          </w:tcPr>
          <w:p w:rsidR="0031490F"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rsidR="0031490F" w:rsidRDefault="0031490F" w:rsidP="0031490F">
      <w:pPr>
        <w:spacing w:after="0" w:line="240" w:lineRule="auto"/>
        <w:jc w:val="both"/>
        <w:rPr>
          <w:rFonts w:ascii="Times New Roman" w:eastAsia="Times New Roman" w:hAnsi="Times New Roman"/>
          <w:iCs/>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Vaikų populiacija</w:t>
      </w:r>
      <w:r w:rsidRPr="00366C6D">
        <w:rPr>
          <w:rFonts w:ascii="Times New Roman" w:eastAsia="SimSun" w:hAnsi="Times New Roman"/>
          <w:i/>
          <w:lang w:eastAsia="zh-CN"/>
        </w:rPr>
        <w:t>:</w:t>
      </w:r>
      <w:r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Pr>
          <w:rFonts w:ascii="Times New Roman" w:eastAsia="SimSun" w:hAnsi="Times New Roman"/>
          <w:lang w:eastAsia="zh-CN"/>
        </w:rPr>
        <w:t>Imatinib Synthon</w:t>
      </w:r>
      <w:r w:rsidRPr="00340F0C">
        <w:rPr>
          <w:rFonts w:ascii="Times New Roman" w:eastAsia="SimSun" w:hAnsi="Times New Roman"/>
          <w:lang w:eastAsia="zh-CN"/>
        </w:rPr>
        <w:t>(po 340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kartu su intensyvia chemoterapija. 1-5 kohortų pacientams </w:t>
      </w:r>
      <w:r>
        <w:rPr>
          <w:rFonts w:ascii="Times New Roman" w:eastAsia="SimSun" w:hAnsi="Times New Roman"/>
          <w:lang w:eastAsia="zh-CN"/>
        </w:rPr>
        <w:t>Imatinib Synthon</w:t>
      </w:r>
      <w:r w:rsidRPr="00340F0C">
        <w:rPr>
          <w:rFonts w:ascii="Times New Roman" w:eastAsia="SimSun" w:hAnsi="Times New Roman"/>
          <w:lang w:eastAsia="zh-CN"/>
        </w:rPr>
        <w:t xml:space="preserve"> 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Pr>
          <w:rFonts w:ascii="Times New Roman" w:eastAsia="SimSun" w:hAnsi="Times New Roman"/>
          <w:lang w:eastAsia="zh-CN"/>
        </w:rPr>
        <w:t>Imatinib Synthon</w:t>
      </w:r>
      <w:r w:rsidRPr="00340F0C">
        <w:rPr>
          <w:rFonts w:ascii="Times New Roman" w:eastAsia="SimSun" w:hAnsi="Times New Roman"/>
          <w:lang w:eastAsia="zh-CN"/>
        </w:rPr>
        <w:t xml:space="preserve">(ilgiausia vartojimo trukmė dienomis ir tęstinis </w:t>
      </w:r>
      <w:r>
        <w:rPr>
          <w:rFonts w:ascii="Times New Roman" w:eastAsia="SimSun" w:hAnsi="Times New Roman"/>
          <w:lang w:eastAsia="zh-CN"/>
        </w:rPr>
        <w:t>Imatinib Synthon</w:t>
      </w:r>
      <w:r w:rsidRPr="00340F0C">
        <w:rPr>
          <w:rFonts w:ascii="Times New Roman" w:eastAsia="SimSun" w:hAnsi="Times New Roman"/>
          <w:lang w:eastAsia="zh-CN"/>
        </w:rPr>
        <w:t>dozavimas kasdien pirmųjų chemoterapijos kursų metu). Skiriant tęstinį gydymą</w:t>
      </w:r>
      <w:r>
        <w:rPr>
          <w:rFonts w:ascii="Times New Roman" w:eastAsia="SimSun" w:hAnsi="Times New Roman"/>
          <w:lang w:eastAsia="zh-CN"/>
        </w:rPr>
        <w:t xml:space="preserve"> Imatinib Synthon</w:t>
      </w:r>
      <w:r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Pr>
          <w:rFonts w:ascii="Times New Roman" w:eastAsia="SimSun" w:hAnsi="Times New Roman"/>
          <w:lang w:eastAsia="zh-CN"/>
        </w:rPr>
        <w:t>Imatinib Synthon</w:t>
      </w:r>
      <w:r w:rsidRPr="00340F0C">
        <w:rPr>
          <w:rFonts w:ascii="Times New Roman" w:eastAsia="SimSun" w:hAnsi="Times New Roman"/>
          <w:lang w:eastAsia="zh-CN"/>
        </w:rPr>
        <w:t>(atitinkamai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Pr="00366C6D">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366C6D">
        <w:rPr>
          <w:rFonts w:ascii="Times New Roman" w:eastAsia="SimSun" w:hAnsi="Times New Roman"/>
          <w:b/>
          <w:lang w:eastAsia="zh-CN"/>
        </w:rPr>
        <w:t>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7"/>
      </w:tblGrid>
      <w:tr w:rsidR="0031490F" w:rsidRPr="00340F0C" w:rsidTr="00536C1B">
        <w:trPr>
          <w:trHeight w:val="77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Konsoliduojančio gydymo blokas 1 (3 savaitės)</w:t>
            </w:r>
          </w:p>
        </w:tc>
        <w:tc>
          <w:tcPr>
            <w:tcW w:w="6127"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VP-16 (100 mg/m</w:t>
            </w:r>
            <w:r w:rsidRPr="00366C6D">
              <w:rPr>
                <w:rFonts w:ascii="Times New Roman" w:hAnsi="Times New Roman"/>
                <w:vertAlign w:val="superscript"/>
              </w:rPr>
              <w:t>2</w:t>
            </w:r>
            <w:r w:rsidRPr="00366C6D">
              <w:rPr>
                <w:rFonts w:ascii="Times New Roman" w:hAnsi="Times New Roman"/>
              </w:rPr>
              <w:t xml:space="preserve"> </w:t>
            </w:r>
            <w:r w:rsidRPr="00340F0C">
              <w:rPr>
                <w:rFonts w:ascii="Times New Roman" w:hAnsi="Times New Roman"/>
              </w:rPr>
              <w:t>per parą, IV): 1-5 dienos</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Ifosfamidas (1,8</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w:t>
            </w:r>
            <w:r w:rsidRPr="00340F0C">
              <w:rPr>
                <w:rFonts w:ascii="Times New Roman" w:hAnsi="Times New Roman"/>
              </w:rPr>
              <w:t>per parą, IV): 1-5 dienos</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MESNA (po 360 mg/m</w:t>
            </w:r>
            <w:r w:rsidRPr="00366C6D">
              <w:rPr>
                <w:rFonts w:ascii="Times New Roman" w:hAnsi="Times New Roman"/>
                <w:vertAlign w:val="superscript"/>
              </w:rPr>
              <w:t>2</w:t>
            </w:r>
            <w:r w:rsidRPr="00366C6D">
              <w:rPr>
                <w:rFonts w:ascii="Times New Roman" w:hAnsi="Times New Roman"/>
              </w:rPr>
              <w:t xml:space="preserve"> dozę q3h, 8 dozės per parą</w:t>
            </w:r>
            <w:r w:rsidRPr="00340F0C">
              <w:rPr>
                <w:rFonts w:ascii="Times New Roman" w:hAnsi="Times New Roman"/>
              </w:rPr>
              <w:t>, IV): 1-5 dienos</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G-CSF (5</w:t>
            </w:r>
            <w:r w:rsidRPr="00340F0C">
              <w:rPr>
                <w:rFonts w:ascii="Times New Roman" w:hAnsi="Times New Roman"/>
              </w:rPr>
              <w:t> </w:t>
            </w:r>
            <w:r w:rsidRPr="00366C6D">
              <w:rPr>
                <w:rFonts w:ascii="Times New Roman" w:hAnsi="Times New Roman"/>
              </w:rPr>
              <w:t xml:space="preserve">μg/kg, SC): 6-15 dienos arba kol ANS bus &gt; 1500 nuo </w:t>
            </w:r>
            <w:r w:rsidRPr="00340F0C">
              <w:rPr>
                <w:rFonts w:ascii="Times New Roman" w:hAnsi="Times New Roman"/>
              </w:rPr>
              <w:t>žemiausios reikšmės</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IT Metotreksatas (dozė priklausoma</w:t>
            </w:r>
            <w:r w:rsidRPr="00340F0C">
              <w:rPr>
                <w:rFonts w:ascii="Times New Roman" w:hAnsi="Times New Roman"/>
              </w:rPr>
              <w:t>i nuo amžiaus): TIK 1-ąją dieną</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Trigubas IT gydymas (dozė priklausomai nuo amžiaus): 8, 15 dienos</w:t>
            </w:r>
          </w:p>
        </w:tc>
      </w:tr>
      <w:tr w:rsidR="0031490F" w:rsidRPr="00340F0C" w:rsidTr="00536C1B">
        <w:trPr>
          <w:trHeight w:val="77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Konsoliduojančio gydymo blokas 2 (3 savaitės)</w:t>
            </w:r>
          </w:p>
        </w:tc>
        <w:tc>
          <w:tcPr>
            <w:tcW w:w="6127"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(5</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per 24 valandas, IV): 1-ąją dieną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Leukovorinas (75 mg/m</w:t>
            </w:r>
            <w:r w:rsidRPr="00366C6D">
              <w:rPr>
                <w:rFonts w:ascii="Times New Roman" w:hAnsi="Times New Roman"/>
                <w:vertAlign w:val="superscript"/>
              </w:rPr>
              <w:t>2</w:t>
            </w:r>
            <w:r w:rsidRPr="00366C6D">
              <w:rPr>
                <w:rFonts w:ascii="Times New Roman" w:hAnsi="Times New Roman"/>
              </w:rPr>
              <w:t xml:space="preserve"> po 36 valandų, IV; 15 mg/m</w:t>
            </w:r>
            <w:r w:rsidRPr="00366C6D">
              <w:rPr>
                <w:rFonts w:ascii="Times New Roman" w:hAnsi="Times New Roman"/>
                <w:vertAlign w:val="superscript"/>
              </w:rPr>
              <w:t>2</w:t>
            </w:r>
            <w:r w:rsidRPr="00366C6D">
              <w:rPr>
                <w:rFonts w:ascii="Times New Roman" w:hAnsi="Times New Roman"/>
              </w:rPr>
              <w:t xml:space="preserve"> IV ar PO q6h x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6 dozės) iii: 2-ąją ir 3-iąją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1-ąją dieną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ARA-C (3</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dozė q12h x 4, IV): 2-ąją ir 3-iąją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G-CSF (5 μg/kg, SC): 4-13 dienos arba kol ANS bus &gt; 1500 nuo žemiausios reikšmės</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Reindukcinio gydymo blokas 1 (3 savaitės)</w:t>
            </w:r>
          </w:p>
        </w:tc>
        <w:tc>
          <w:tcPr>
            <w:tcW w:w="6127"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VCR (1,5 mg/m</w:t>
            </w:r>
            <w:r w:rsidRPr="00366C6D">
              <w:rPr>
                <w:rFonts w:ascii="Times New Roman" w:hAnsi="Times New Roman"/>
                <w:vertAlign w:val="superscript"/>
              </w:rPr>
              <w:t>2</w:t>
            </w:r>
            <w:r w:rsidRPr="00366C6D">
              <w:rPr>
                <w:rFonts w:ascii="Times New Roman" w:hAnsi="Times New Roman"/>
              </w:rPr>
              <w:t xml:space="preserve"> per parą, IV): 1, 8 ir 15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DAUN (45 mg/m</w:t>
            </w:r>
            <w:r w:rsidRPr="00366C6D">
              <w:rPr>
                <w:rFonts w:ascii="Times New Roman" w:hAnsi="Times New Roman"/>
                <w:vertAlign w:val="superscript"/>
              </w:rPr>
              <w:t>2</w:t>
            </w:r>
            <w:r w:rsidRPr="00366C6D">
              <w:rPr>
                <w:rFonts w:ascii="Times New Roman" w:hAnsi="Times New Roman"/>
              </w:rPr>
              <w:t xml:space="preserve"> per parą boliusu, IV): 1-ąją ir 2-ąją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CPM (250 mg/m</w:t>
            </w:r>
            <w:r w:rsidRPr="00366C6D">
              <w:rPr>
                <w:rFonts w:ascii="Times New Roman" w:hAnsi="Times New Roman"/>
                <w:vertAlign w:val="superscript"/>
              </w:rPr>
              <w:t>2</w:t>
            </w:r>
            <w:r w:rsidRPr="00366C6D">
              <w:rPr>
                <w:rFonts w:ascii="Times New Roman" w:hAnsi="Times New Roman"/>
              </w:rPr>
              <w:t xml:space="preserve"> dozė q12h x 4 dozės, IV): 3-iąją ir 4-ąją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PEG-ASP (2500 TV/m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IM): 4-ąją dieną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lastRenderedPageBreak/>
              <w:t xml:space="preserve">G-CSF (5 μg/kg, SC): 5-14 dienos arba kol ANS bus &gt; 1500 nuo žemiausios reikšmės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1-ąją ir 15-ąją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DEX (6 mg/m</w:t>
            </w:r>
            <w:r w:rsidRPr="00366C6D">
              <w:rPr>
                <w:rFonts w:ascii="Times New Roman" w:hAnsi="Times New Roman"/>
                <w:vertAlign w:val="superscript"/>
              </w:rPr>
              <w:t>2</w:t>
            </w:r>
            <w:r w:rsidRPr="00366C6D">
              <w:rPr>
                <w:rFonts w:ascii="Times New Roman" w:hAnsi="Times New Roman"/>
              </w:rPr>
              <w:t xml:space="preserve"> per parą, PO): 1-7 dienos ir 15-21 dienos</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lastRenderedPageBreak/>
              <w:t>Intensyvinimo blokas 1 (9 savaitės)</w:t>
            </w:r>
          </w:p>
        </w:tc>
        <w:tc>
          <w:tcPr>
            <w:tcW w:w="6127"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(5</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per 24 valandas, IV): 1-ąją ir 15-ąją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Leukovorinas (75 mg/m</w:t>
            </w:r>
            <w:r w:rsidRPr="00366C6D">
              <w:rPr>
                <w:rFonts w:ascii="Times New Roman" w:hAnsi="Times New Roman"/>
                <w:vertAlign w:val="superscript"/>
              </w:rPr>
              <w:t>2</w:t>
            </w:r>
            <w:r w:rsidRPr="00366C6D">
              <w:rPr>
                <w:rFonts w:ascii="Times New Roman" w:hAnsi="Times New Roman"/>
              </w:rPr>
              <w:t xml:space="preserve"> po 36 valandų, IV; 15 mg/m</w:t>
            </w:r>
            <w:r w:rsidRPr="00366C6D">
              <w:rPr>
                <w:rFonts w:ascii="Times New Roman" w:hAnsi="Times New Roman"/>
                <w:vertAlign w:val="superscript"/>
              </w:rPr>
              <w:t>2</w:t>
            </w:r>
            <w:r w:rsidRPr="00366C6D">
              <w:rPr>
                <w:rFonts w:ascii="Times New Roman" w:hAnsi="Times New Roman"/>
              </w:rPr>
              <w:t xml:space="preserve"> IV ar PO q6h x 6 dozės) iii: 2, 3, 16 ir 17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1-ąją ir 22-ąją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VP-16 (100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CPM (300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MESNA (150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G-CSF (5 μg/kg, SC): 27-36 dienos arba kol ANS bus &gt; 1500 nuo žemiausios reikšmės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ARA-C (3</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q12h, IV): 43, 44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L-ASP (6000 TV/m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IM): 44-ąją dieną</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Reindukcinio gydymo blokas 2 (3 savaitės)</w:t>
            </w:r>
          </w:p>
        </w:tc>
        <w:tc>
          <w:tcPr>
            <w:tcW w:w="6127"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VCR (1,5 mg/m</w:t>
            </w:r>
            <w:r w:rsidRPr="00366C6D">
              <w:rPr>
                <w:rFonts w:ascii="Times New Roman" w:hAnsi="Times New Roman"/>
                <w:vertAlign w:val="superscript"/>
              </w:rPr>
              <w:t>2</w:t>
            </w:r>
            <w:r w:rsidRPr="00366C6D">
              <w:rPr>
                <w:rFonts w:ascii="Times New Roman" w:hAnsi="Times New Roman"/>
              </w:rPr>
              <w:t xml:space="preserve"> per parą, IV): 1, 8 ir 15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DAUN (45 mg/m</w:t>
            </w:r>
            <w:r w:rsidRPr="00366C6D">
              <w:rPr>
                <w:rFonts w:ascii="Times New Roman" w:hAnsi="Times New Roman"/>
                <w:vertAlign w:val="superscript"/>
              </w:rPr>
              <w:t>2</w:t>
            </w:r>
            <w:r w:rsidRPr="00366C6D">
              <w:rPr>
                <w:rFonts w:ascii="Times New Roman" w:hAnsi="Times New Roman"/>
              </w:rPr>
              <w:t xml:space="preserve"> per parą boliusu, IV): 1-ąją ir 2-ąją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CPM (250 mg/m</w:t>
            </w:r>
            <w:r w:rsidRPr="00366C6D">
              <w:rPr>
                <w:rFonts w:ascii="Times New Roman" w:hAnsi="Times New Roman"/>
                <w:vertAlign w:val="superscript"/>
              </w:rPr>
              <w:t>2</w:t>
            </w:r>
            <w:r w:rsidRPr="00366C6D">
              <w:rPr>
                <w:rFonts w:ascii="Times New Roman" w:hAnsi="Times New Roman"/>
              </w:rPr>
              <w:t xml:space="preserve"> dozė q12h x 4 dozės, IV): 3-iąją ir 4-ąją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PEG-ASP (2500 TV/m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IM): 4-ąją dieną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G-CSF (5 μg/kg, SC): 5-14 dienos arba kol ANS bus &gt; 1500 nuo žemiausios reikšmės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1-ąją ir 15-ąją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DEX (6 mg/m</w:t>
            </w:r>
            <w:r w:rsidRPr="00366C6D">
              <w:rPr>
                <w:rFonts w:ascii="Times New Roman" w:hAnsi="Times New Roman"/>
                <w:vertAlign w:val="superscript"/>
              </w:rPr>
              <w:t>2</w:t>
            </w:r>
            <w:r w:rsidRPr="00366C6D">
              <w:rPr>
                <w:rFonts w:ascii="Times New Roman" w:hAnsi="Times New Roman"/>
              </w:rPr>
              <w:t xml:space="preserve"> per parą, PO): 1-7 dienos ir 15-21 dienos</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Intensyvinimo blokas 2 (9 savaitės)</w:t>
            </w:r>
          </w:p>
        </w:tc>
        <w:tc>
          <w:tcPr>
            <w:tcW w:w="6127" w:type="dxa"/>
          </w:tcPr>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(5</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per 24 valandas, IV): 1-ąją ir 15-ąją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Leukovorinas (75 mg/m</w:t>
            </w:r>
            <w:r w:rsidRPr="00366C6D">
              <w:rPr>
                <w:rFonts w:ascii="Times New Roman" w:hAnsi="Times New Roman"/>
                <w:vertAlign w:val="superscript"/>
              </w:rPr>
              <w:t>2</w:t>
            </w:r>
            <w:r w:rsidRPr="00366C6D">
              <w:rPr>
                <w:rFonts w:ascii="Times New Roman" w:hAnsi="Times New Roman"/>
              </w:rPr>
              <w:t xml:space="preserve"> po 36 valandų, IV; 15 mg/m</w:t>
            </w:r>
            <w:r w:rsidRPr="00366C6D">
              <w:rPr>
                <w:rFonts w:ascii="Times New Roman" w:hAnsi="Times New Roman"/>
                <w:vertAlign w:val="superscript"/>
              </w:rPr>
              <w:t>2</w:t>
            </w:r>
            <w:r w:rsidRPr="00366C6D">
              <w:rPr>
                <w:rFonts w:ascii="Times New Roman" w:hAnsi="Times New Roman"/>
              </w:rPr>
              <w:t xml:space="preserve"> IV ar PO q6h x 6 dozės) iii: 2, 3, 16 ir 17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1-ąją ir 22-ąją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VP-16 (100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CPM (300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MESNA (150 mg/m</w:t>
            </w:r>
            <w:r w:rsidRPr="00366C6D">
              <w:rPr>
                <w:rFonts w:ascii="Times New Roman" w:hAnsi="Times New Roman"/>
                <w:vertAlign w:val="superscript"/>
              </w:rPr>
              <w:t>2</w:t>
            </w:r>
            <w:r w:rsidRPr="00366C6D">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G-CSF (5 μg/kg, SC): 27-36 dienos arba kol ANS bus &gt; 1500 nuo žemiausios reikšmės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ARA-C (3</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q12h, IV): 43, 44 dienomis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L-ASP (6000 TV/m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IM): 44-ąją dieną</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Palaikomasis gydymas (8 savaičių trukmės ciklai) 1–4 ciklai</w:t>
            </w:r>
          </w:p>
        </w:tc>
        <w:tc>
          <w:tcPr>
            <w:tcW w:w="6127" w:type="dxa"/>
          </w:tcPr>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MTX (5</w:t>
            </w:r>
            <w:r w:rsidRPr="00340F0C">
              <w:rPr>
                <w:rFonts w:ascii="Times New Roman" w:hAnsi="Times New Roman"/>
              </w:rPr>
              <w:t> g</w:t>
            </w:r>
            <w:r w:rsidRPr="00366C6D">
              <w:rPr>
                <w:rFonts w:ascii="Times New Roman" w:hAnsi="Times New Roman"/>
              </w:rPr>
              <w:t>/m</w:t>
            </w:r>
            <w:r w:rsidRPr="00366C6D">
              <w:rPr>
                <w:rFonts w:ascii="Times New Roman" w:hAnsi="Times New Roman"/>
                <w:vertAlign w:val="superscript"/>
              </w:rPr>
              <w:t>2</w:t>
            </w:r>
            <w:r w:rsidRPr="00366C6D">
              <w:rPr>
                <w:rFonts w:ascii="Times New Roman" w:hAnsi="Times New Roman"/>
              </w:rPr>
              <w:t xml:space="preserve"> per 24 valandas, IV): 1-ąją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Leukovorinas (75 mg/m</w:t>
            </w:r>
            <w:r w:rsidRPr="00366C6D">
              <w:rPr>
                <w:rFonts w:ascii="Times New Roman" w:hAnsi="Times New Roman"/>
                <w:vertAlign w:val="superscript"/>
              </w:rPr>
              <w:t>2</w:t>
            </w:r>
            <w:r w:rsidRPr="00366C6D">
              <w:rPr>
                <w:rFonts w:ascii="Times New Roman" w:hAnsi="Times New Roman"/>
              </w:rPr>
              <w:t xml:space="preserve"> po 36 valandų, IV; 15 mg/m</w:t>
            </w:r>
            <w:r w:rsidRPr="00366C6D">
              <w:rPr>
                <w:rFonts w:ascii="Times New Roman" w:hAnsi="Times New Roman"/>
                <w:vertAlign w:val="superscript"/>
              </w:rPr>
              <w:t>2</w:t>
            </w:r>
            <w:r w:rsidRPr="00366C6D">
              <w:rPr>
                <w:rFonts w:ascii="Times New Roman" w:hAnsi="Times New Roman"/>
              </w:rPr>
              <w:t xml:space="preserve"> IV ar PO q6h x 6 dozės) iii: 2-ąją ir 3-iąją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Trigubas IT gydymas (dozė priklausomai nuo amžiaus):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VCR (1,5 mg/m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DEX (6 mg/m</w:t>
            </w:r>
            <w:r w:rsidRPr="00366C6D">
              <w:rPr>
                <w:rFonts w:ascii="Times New Roman" w:hAnsi="Times New Roman"/>
                <w:vertAlign w:val="superscript"/>
              </w:rPr>
              <w:t>2</w:t>
            </w:r>
            <w:r w:rsidRPr="00366C6D">
              <w:rPr>
                <w:rFonts w:ascii="Times New Roman" w:hAnsi="Times New Roman"/>
              </w:rPr>
              <w:t xml:space="preserve"> per parą, PO): 1-5 dienos;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6-MP (75 mg/m</w:t>
            </w:r>
            <w:r w:rsidRPr="00366C6D">
              <w:rPr>
                <w:rFonts w:ascii="Times New Roman" w:hAnsi="Times New Roman"/>
                <w:vertAlign w:val="superscript"/>
              </w:rPr>
              <w:t>2</w:t>
            </w:r>
            <w:r w:rsidRPr="00366C6D">
              <w:rPr>
                <w:rFonts w:ascii="Times New Roman" w:hAnsi="Times New Roman"/>
              </w:rPr>
              <w:t xml:space="preserve"> per parą, PO): 8-28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(20 mg/m</w:t>
            </w:r>
            <w:r w:rsidRPr="00366C6D">
              <w:rPr>
                <w:rFonts w:ascii="Times New Roman" w:hAnsi="Times New Roman"/>
                <w:vertAlign w:val="superscript"/>
              </w:rPr>
              <w:t>2</w:t>
            </w:r>
            <w:r w:rsidRPr="00366C6D">
              <w:rPr>
                <w:rFonts w:ascii="Times New Roman" w:hAnsi="Times New Roman"/>
              </w:rPr>
              <w:t xml:space="preserve"> per savaitę, PO): 8, 15, 22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VP-16 (100 mg/m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IV):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CPM (300 mg/m</w:t>
            </w:r>
            <w:r w:rsidRPr="00366C6D">
              <w:rPr>
                <w:rFonts w:ascii="Times New Roman" w:hAnsi="Times New Roman"/>
                <w:vertAlign w:val="superscript"/>
              </w:rPr>
              <w:t>2</w:t>
            </w:r>
            <w:r w:rsidRPr="00340F0C">
              <w:rPr>
                <w:rFonts w:ascii="Times New Roman" w:hAnsi="Times New Roman"/>
              </w:rPr>
              <w:t>,</w:t>
            </w:r>
            <w:r w:rsidRPr="00366C6D">
              <w:rPr>
                <w:rFonts w:ascii="Times New Roman" w:hAnsi="Times New Roman"/>
              </w:rPr>
              <w:t xml:space="preserve"> IV):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MESNA IV 29-33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G-CSF (5 μg/kg, SC): 34-43 dienos</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lastRenderedPageBreak/>
              <w:t>Palaikomasis gydymas (8 savaičių trukmės ciklai) 5-asis ciklas</w:t>
            </w:r>
          </w:p>
        </w:tc>
        <w:tc>
          <w:tcPr>
            <w:tcW w:w="6127" w:type="dxa"/>
          </w:tcPr>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Kaukolės švitinimas (tik 5-asis blokas)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12 Gy per 8 frakcijas visiems pacientams, kuriems nustatyta CNS1 ir CNS2 diagnozė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 xml:space="preserve">18 Gy per 10 frakcijų pacientams, kuriems nustatyta CNS3 diagnozė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VCR (1,5 mg/m</w:t>
            </w:r>
            <w:r w:rsidRPr="00366C6D">
              <w:rPr>
                <w:rFonts w:ascii="Times New Roman" w:hAnsi="Times New Roman"/>
                <w:vertAlign w:val="superscript"/>
              </w:rPr>
              <w:t>2</w:t>
            </w:r>
            <w:r w:rsidRPr="00366C6D">
              <w:rPr>
                <w:rFonts w:ascii="Times New Roman" w:hAnsi="Times New Roman"/>
              </w:rPr>
              <w:t xml:space="preserve"> per parą,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DEX (6 mg/m</w:t>
            </w:r>
            <w:r w:rsidRPr="00366C6D">
              <w:rPr>
                <w:rFonts w:ascii="Times New Roman" w:hAnsi="Times New Roman"/>
                <w:vertAlign w:val="superscript"/>
              </w:rPr>
              <w:t>2</w:t>
            </w:r>
            <w:r w:rsidRPr="00366C6D">
              <w:rPr>
                <w:rFonts w:ascii="Times New Roman" w:hAnsi="Times New Roman"/>
              </w:rPr>
              <w:t xml:space="preserve"> per parą, PO): 1-5 dienos;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6-MP (75 mg/m</w:t>
            </w:r>
            <w:r w:rsidRPr="00366C6D">
              <w:rPr>
                <w:rFonts w:ascii="Times New Roman" w:hAnsi="Times New Roman"/>
                <w:vertAlign w:val="superscript"/>
              </w:rPr>
              <w:t>2</w:t>
            </w:r>
            <w:r w:rsidRPr="00366C6D">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(20 mg/m</w:t>
            </w:r>
            <w:r w:rsidRPr="00366C6D">
              <w:rPr>
                <w:rFonts w:ascii="Times New Roman" w:hAnsi="Times New Roman"/>
                <w:vertAlign w:val="superscript"/>
              </w:rPr>
              <w:t>2</w:t>
            </w:r>
            <w:r w:rsidRPr="00366C6D">
              <w:rPr>
                <w:rFonts w:ascii="Times New Roman" w:hAnsi="Times New Roman"/>
              </w:rPr>
              <w:t xml:space="preserve"> per savaitę, PO): 8, 15, 22, 29, 36, 43, 50 dienomis</w:t>
            </w:r>
          </w:p>
        </w:tc>
      </w:tr>
      <w:tr w:rsidR="0031490F" w:rsidRPr="00340F0C" w:rsidTr="00536C1B">
        <w:trPr>
          <w:trHeight w:val="900"/>
        </w:trPr>
        <w:tc>
          <w:tcPr>
            <w:tcW w:w="2943" w:type="dxa"/>
          </w:tcPr>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Palaikomasis gydymas (8 savaičių trukmės ciklai) 6-12 ciklai</w:t>
            </w:r>
          </w:p>
        </w:tc>
        <w:tc>
          <w:tcPr>
            <w:tcW w:w="6127" w:type="dxa"/>
          </w:tcPr>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VCR (1,5 mg/m</w:t>
            </w:r>
            <w:r w:rsidRPr="00366C6D">
              <w:rPr>
                <w:rFonts w:ascii="Times New Roman" w:hAnsi="Times New Roman"/>
                <w:vertAlign w:val="superscript"/>
              </w:rPr>
              <w:t>2</w:t>
            </w:r>
            <w:r w:rsidRPr="00366C6D">
              <w:rPr>
                <w:rFonts w:ascii="Times New Roman" w:hAnsi="Times New Roman"/>
              </w:rPr>
              <w:t xml:space="preserve"> per parą,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DEX (6 mg/m</w:t>
            </w:r>
            <w:r w:rsidRPr="00366C6D">
              <w:rPr>
                <w:rFonts w:ascii="Times New Roman" w:hAnsi="Times New Roman"/>
                <w:vertAlign w:val="superscript"/>
              </w:rPr>
              <w:t>2</w:t>
            </w:r>
            <w:r w:rsidRPr="00366C6D">
              <w:rPr>
                <w:rFonts w:ascii="Times New Roman" w:hAnsi="Times New Roman"/>
              </w:rPr>
              <w:t xml:space="preserve"> per parą, PO): 1-5 dienos; 29-33 dienos</w:t>
            </w:r>
          </w:p>
          <w:p w:rsidR="0031490F" w:rsidRPr="00340F0C"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6-MP (75 mg/m</w:t>
            </w:r>
            <w:r w:rsidRPr="00366C6D">
              <w:rPr>
                <w:rFonts w:ascii="Times New Roman" w:hAnsi="Times New Roman"/>
                <w:vertAlign w:val="superscript"/>
              </w:rPr>
              <w:t>2</w:t>
            </w:r>
            <w:r w:rsidRPr="00366C6D">
              <w:rPr>
                <w:rFonts w:ascii="Times New Roman" w:hAnsi="Times New Roman"/>
              </w:rPr>
              <w:t xml:space="preserve"> per parą, PO): 1-56 dienos </w:t>
            </w:r>
          </w:p>
          <w:p w:rsidR="0031490F" w:rsidRDefault="0031490F" w:rsidP="00536C1B">
            <w:pPr>
              <w:autoSpaceDE w:val="0"/>
              <w:autoSpaceDN w:val="0"/>
              <w:adjustRightInd w:val="0"/>
              <w:spacing w:after="0" w:line="240" w:lineRule="auto"/>
              <w:rPr>
                <w:rFonts w:ascii="Times New Roman" w:hAnsi="Times New Roman"/>
              </w:rPr>
            </w:pPr>
            <w:r w:rsidRPr="00366C6D">
              <w:rPr>
                <w:rFonts w:ascii="Times New Roman" w:hAnsi="Times New Roman"/>
              </w:rPr>
              <w:t>Metotreksatas (20 mg/m</w:t>
            </w:r>
            <w:r w:rsidRPr="00366C6D">
              <w:rPr>
                <w:rFonts w:ascii="Times New Roman" w:hAnsi="Times New Roman"/>
                <w:vertAlign w:val="superscript"/>
              </w:rPr>
              <w:t>2</w:t>
            </w:r>
            <w:r w:rsidRPr="00366C6D">
              <w:rPr>
                <w:rFonts w:ascii="Times New Roman" w:hAnsi="Times New Roman"/>
              </w:rPr>
              <w:t xml:space="preserve"> per savaitę, PO): 1, 8, 15, 22, 29, 36, 43, 50 dienomis</w:t>
            </w:r>
          </w:p>
        </w:tc>
      </w:tr>
    </w:tbl>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66C6D">
        <w:rPr>
          <w:rFonts w:ascii="Times New Roman" w:eastAsia="SimSun" w:hAnsi="Times New Roman"/>
          <w:i/>
          <w:lang w:eastAsia="zh-CN"/>
        </w:rPr>
        <w:t>Recidyvavusi ar refrakterinė Ph+ ŪLL</w:t>
      </w:r>
      <w:r w:rsidRPr="00340F0C">
        <w:rPr>
          <w:rFonts w:ascii="Times New Roman" w:eastAsia="SimSun" w:hAnsi="Times New Roman"/>
          <w:lang w:eastAsia="zh-C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Klinikiniai MDS ir MPL tyrimai</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Šių ligų gydymo</w:t>
      </w:r>
      <w:r>
        <w:rPr>
          <w:rFonts w:ascii="Times New Roman" w:eastAsia="SimSun" w:hAnsi="Times New Roman"/>
          <w:lang w:eastAsia="zh-CN"/>
        </w:rPr>
        <w:t xml:space="preserve"> Imatinib Synthon</w:t>
      </w:r>
      <w:r w:rsidRPr="00340F0C">
        <w:rPr>
          <w:rFonts w:ascii="Times New Roman" w:eastAsia="SimSun" w:hAnsi="Times New Roman"/>
          <w:lang w:eastAsia="zh-CN"/>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Pr>
          <w:rFonts w:ascii="Times New Roman" w:eastAsia="SimSun" w:hAnsi="Times New Roman"/>
          <w:lang w:eastAsia="zh-CN"/>
        </w:rPr>
        <w:t>Imatinib Synthon</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Tyrime dalyvavo 7 pacientai, sergantys MDS/MPL, kurie buvo gydomi </w:t>
      </w:r>
      <w:r>
        <w:rPr>
          <w:rFonts w:ascii="Times New Roman" w:eastAsia="SimSun" w:hAnsi="Times New Roman"/>
          <w:lang w:eastAsia="zh-CN"/>
        </w:rPr>
        <w:t>Imatinib Synthon</w:t>
      </w:r>
      <w:r w:rsidRPr="00340F0C">
        <w:rPr>
          <w:rFonts w:ascii="Times New Roman" w:eastAsia="SimSun" w:hAnsi="Times New Roman"/>
          <w:lang w:eastAsia="zh-CN"/>
        </w:rPr>
        <w:t xml:space="preserve">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w:t>
      </w:r>
      <w:r>
        <w:rPr>
          <w:rFonts w:ascii="Times New Roman" w:eastAsia="SimSun" w:hAnsi="Times New Roman"/>
          <w:lang w:eastAsia="zh-CN"/>
        </w:rPr>
        <w:t>Imatinib Synthon</w:t>
      </w:r>
      <w:r w:rsidRPr="00340F0C">
        <w:rPr>
          <w:rFonts w:ascii="Times New Roman" w:eastAsia="SimSun" w:hAnsi="Times New Roman"/>
          <w:lang w:eastAsia="zh-CN"/>
        </w:rPr>
        <w:t xml:space="preserve">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Pr>
          <w:rFonts w:ascii="Times New Roman" w:eastAsia="SimSun" w:hAnsi="Times New Roman"/>
          <w:lang w:eastAsia="zh-CN"/>
        </w:rPr>
        <w:t>Imatinib Synthon</w:t>
      </w:r>
      <w:r w:rsidRPr="00340F0C">
        <w:rPr>
          <w:rFonts w:ascii="Times New Roman" w:eastAsia="SimSun" w:hAnsi="Times New Roman"/>
          <w:lang w:eastAsia="zh-CN"/>
        </w:rPr>
        <w:t xml:space="preserve">vidutiniškai 47 mėnesius (ribos 24 </w:t>
      </w:r>
      <w:r w:rsidRPr="00340F0C">
        <w:rPr>
          <w:rFonts w:ascii="Times New Roman" w:eastAsia="SimSun" w:hAnsi="Times New Roman"/>
          <w:lang w:eastAsia="zh-CN"/>
        </w:rPr>
        <w:lastRenderedPageBreak/>
        <w:t>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w:t>
      </w:r>
      <w:r>
        <w:rPr>
          <w:rFonts w:ascii="Times New Roman" w:eastAsia="SimSun" w:hAnsi="Times New Roman"/>
          <w:lang w:eastAsia="zh-CN"/>
        </w:rPr>
        <w:t xml:space="preserve"> Synthon</w:t>
      </w:r>
      <w:r w:rsidRPr="00340F0C">
        <w:rPr>
          <w:rFonts w:ascii="Times New Roman" w:eastAsia="SimSun" w:hAnsi="Times New Roman"/>
          <w:lang w:eastAsia="zh-CN"/>
        </w:rPr>
        <w:t xml:space="preserve">paskyrimas pacientams be genetinių translokacijų bendrai pagerėjimo nesukėlė.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iki 340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visiškas hematologinis atsakas, citogenetinis atsakas ir (arba) klinikinis atsakas.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Klinikiniai HES/LEL tyrimai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atvirame, daugiacentriame, II fazės klinikiniame tyrime (tyrimas B2225) buvo tiriamas </w:t>
      </w:r>
      <w:r>
        <w:rPr>
          <w:rFonts w:ascii="Times New Roman" w:eastAsia="SimSun" w:hAnsi="Times New Roman"/>
          <w:lang w:eastAsia="zh-CN"/>
        </w:rPr>
        <w:t>Imatinib Synthon</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Šio tyrimo metu 14 pacientų, sergantys HES/LEL, buvo gydomi </w:t>
      </w:r>
      <w:r>
        <w:rPr>
          <w:rFonts w:ascii="Times New Roman" w:eastAsia="SimSun" w:hAnsi="Times New Roman"/>
          <w:lang w:eastAsia="zh-CN"/>
        </w:rPr>
        <w:t>Imatinib Synthon</w:t>
      </w:r>
      <w:r w:rsidRPr="00340F0C">
        <w:rPr>
          <w:rFonts w:ascii="Times New Roman" w:eastAsia="SimSun" w:hAnsi="Times New Roman"/>
          <w:lang w:eastAsia="zh-CN"/>
        </w:rPr>
        <w:t>100–1</w:t>
      </w:r>
      <w:r>
        <w:rPr>
          <w:rFonts w:ascii="Times New Roman" w:eastAsia="SimSun" w:hAnsi="Times New Roman"/>
          <w:lang w:eastAsia="zh-CN"/>
        </w:rPr>
        <w:t> </w:t>
      </w:r>
      <w:r w:rsidRPr="00340F0C">
        <w:rPr>
          <w:rFonts w:ascii="Times New Roman" w:eastAsia="SimSun" w:hAnsi="Times New Roman"/>
          <w:lang w:eastAsia="zh-CN"/>
        </w:rPr>
        <w:t xml:space="preserve">000 mg dozėmis per parą. Kiti 162 pacientai, sergantys HES/LEL, aprašyti 35 atvejų pranešimuose ir atvejų serijose gavo 75–800 mg </w:t>
      </w:r>
      <w:r>
        <w:rPr>
          <w:rFonts w:ascii="Times New Roman" w:eastAsia="SimSun" w:hAnsi="Times New Roman"/>
          <w:lang w:eastAsia="zh-CN"/>
        </w:rPr>
        <w:t>Imatinib Synthon</w:t>
      </w:r>
      <w:r w:rsidRPr="00340F0C">
        <w:rPr>
          <w:rFonts w:ascii="Times New Roman" w:eastAsia="SimSun" w:hAnsi="Times New Roman"/>
          <w:lang w:eastAsia="zh-CN"/>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arba nuo 200 mg iki 400 mg per parą imatinibo dozė. Visiems pacientams pasiektas visiškas hematologinis atsakas, visiškas citogenetinis atsakas ir (arba) visiškas molekulinis atsakas.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Klinikiniai pacientų, kuriems buvo nerezekuotinas ir (ar) metastazavęs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įrodymas – objektyvus atsako dažnis. Buvo reikalaujama naviką išmatuoti bent vienoje vietoje. Atsakas apibūdintas pagal Southwestern Oncology Group (SWOG) kriterijus. Duomenys pateikti </w:t>
      </w:r>
      <w:r w:rsidRPr="00366C6D">
        <w:rPr>
          <w:rFonts w:ascii="Times New Roman" w:eastAsia="SimSun" w:hAnsi="Times New Roman"/>
          <w:lang w:eastAsia="zh-CN"/>
        </w:rPr>
        <w:t>7</w:t>
      </w:r>
      <w:r w:rsidRPr="00340F0C">
        <w:rPr>
          <w:rFonts w:ascii="Times New Roman" w:eastAsia="SimSun" w:hAnsi="Times New Roman"/>
          <w:lang w:eastAsia="zh-CN"/>
        </w:rPr>
        <w:t xml:space="preserve"> lentelėje.</w:t>
      </w:r>
    </w:p>
    <w:p w:rsidR="0031490F" w:rsidRDefault="0031490F" w:rsidP="0031490F">
      <w:pPr>
        <w:tabs>
          <w:tab w:val="left" w:pos="0"/>
        </w:tabs>
        <w:spacing w:after="0" w:line="240" w:lineRule="auto"/>
        <w:rPr>
          <w:rFonts w:ascii="Times New Roman" w:eastAsia="SimSun" w:hAnsi="Times New Roman"/>
          <w:lang w:eastAsia="zh-CN"/>
        </w:rPr>
      </w:pPr>
    </w:p>
    <w:p w:rsidR="0031490F" w:rsidRDefault="0031490F" w:rsidP="0031490F">
      <w:pPr>
        <w:tabs>
          <w:tab w:val="left" w:pos="0"/>
        </w:tabs>
        <w:spacing w:after="0" w:line="240" w:lineRule="auto"/>
        <w:rPr>
          <w:rFonts w:ascii="Times New Roman" w:hAnsi="Times New Roman"/>
          <w:b/>
        </w:rPr>
      </w:pPr>
      <w:r>
        <w:rPr>
          <w:rFonts w:ascii="Times New Roman" w:eastAsia="SimSun" w:hAnsi="Times New Roman"/>
          <w:b/>
          <w:lang w:eastAsia="zh-CN"/>
        </w:rPr>
        <w:t>6</w:t>
      </w:r>
      <w:r w:rsidRPr="00366C6D">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366C6D">
        <w:rPr>
          <w:rFonts w:ascii="Times New Roman" w:eastAsia="SimSun" w:hAnsi="Times New Roman"/>
          <w:b/>
          <w:lang w:eastAsia="zh-CN"/>
        </w:rPr>
        <w:t>Geriausias naviko atsakas STIB2222 (VTSN) tyrimo metu</w:t>
      </w:r>
      <w:r w:rsidRPr="00366C6D">
        <w:rPr>
          <w:rFonts w:ascii="Times New Roman" w:hAnsi="Times New Roman"/>
          <w:b/>
        </w:rPr>
        <w:t xml:space="preserve"> </w:t>
      </w:r>
    </w:p>
    <w:p w:rsidR="0031490F" w:rsidRDefault="0031490F" w:rsidP="0031490F">
      <w:pPr>
        <w:tabs>
          <w:tab w:val="left" w:pos="0"/>
        </w:tabs>
        <w:spacing w:after="0" w:line="240" w:lineRule="auto"/>
        <w:rPr>
          <w:rFonts w:ascii="Times New Roman" w:hAnsi="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31490F" w:rsidRPr="00340F0C" w:rsidTr="00536C1B">
        <w:trPr>
          <w:trHeight w:val="489"/>
        </w:trPr>
        <w:tc>
          <w:tcPr>
            <w:tcW w:w="3828" w:type="dxa"/>
            <w:vAlign w:val="bottom"/>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400 mg (n=73)</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600 mg (n=74)</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31490F" w:rsidRPr="00340F0C" w:rsidTr="00536C1B">
        <w:trPr>
          <w:trHeight w:val="100"/>
        </w:trPr>
        <w:tc>
          <w:tcPr>
            <w:tcW w:w="3828" w:type="dxa"/>
            <w:tcBorders>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lastRenderedPageBreak/>
              <w:t>Visiškas atsakas</w:t>
            </w:r>
          </w:p>
        </w:tc>
        <w:tc>
          <w:tcPr>
            <w:tcW w:w="3828" w:type="dxa"/>
            <w:tcBorders>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1(0,7)</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98 (66,7)</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23 (15,6)</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18 (12,2)</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5 (3,4)</w:t>
            </w:r>
          </w:p>
        </w:tc>
      </w:tr>
      <w:tr w:rsidR="0031490F" w:rsidRPr="00340F0C" w:rsidTr="00536C1B">
        <w:trPr>
          <w:trHeight w:val="100"/>
        </w:trPr>
        <w:tc>
          <w:tcPr>
            <w:tcW w:w="3828" w:type="dxa"/>
            <w:tcBorders>
              <w:top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2 (1,4)</w:t>
            </w:r>
          </w:p>
        </w:tc>
      </w:tr>
    </w:tbl>
    <w:p w:rsidR="0031490F" w:rsidRDefault="0031490F" w:rsidP="0031490F">
      <w:pPr>
        <w:tabs>
          <w:tab w:val="left" w:pos="0"/>
        </w:tabs>
        <w:spacing w:after="0" w:line="240" w:lineRule="auto"/>
        <w:rPr>
          <w:rFonts w:ascii="Times New Roman" w:eastAsia="SimSun" w:hAnsi="Times New Roman"/>
          <w:lang w:eastAsia="zh-CN"/>
        </w:rPr>
      </w:pPr>
    </w:p>
    <w:p w:rsidR="0031490F" w:rsidRDefault="0031490F" w:rsidP="0031490F">
      <w:pPr>
        <w:tabs>
          <w:tab w:val="left" w:pos="0"/>
        </w:tabs>
        <w:spacing w:after="0" w:line="240" w:lineRule="auto"/>
        <w:rPr>
          <w:rFonts w:ascii="Times New Roman" w:eastAsia="SimSun" w:hAnsi="Times New Roman"/>
          <w:lang w:eastAsia="zh-CN"/>
        </w:rPr>
      </w:pPr>
      <w:r w:rsidRPr="00366C6D">
        <w:rPr>
          <w:rFonts w:ascii="Times New Roman" w:eastAsia="SimSun" w:hAnsi="Times New Roman"/>
          <w:lang w:eastAsia="zh-CN"/>
        </w:rPr>
        <w:t xml:space="preserve">Dviejų dozių grupių atsako dažnis nesiskyrė. Preliminariais duomenimis, reikšmingam skaičiui </w:t>
      </w:r>
      <w:r w:rsidRPr="00340F0C">
        <w:rPr>
          <w:rFonts w:ascii="Times New Roman" w:eastAsia="SimSun" w:hAnsi="Times New Roman"/>
          <w:lang w:eastAsia="zh-CN"/>
        </w:rPr>
        <w:t>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Pr>
          <w:rFonts w:ascii="Times New Roman" w:eastAsia="SimSun" w:hAnsi="Times New Roman"/>
          <w:lang w:eastAsia="zh-CN"/>
        </w:rPr>
        <w:t>Imatinib Synthon</w:t>
      </w:r>
      <w:r w:rsidRPr="00340F0C">
        <w:rPr>
          <w:rFonts w:ascii="Times New Roman" w:eastAsia="SimSun" w:hAnsi="Times New Roman"/>
          <w:lang w:eastAsia="zh-CN"/>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Pr>
          <w:rFonts w:ascii="Times New Roman" w:eastAsia="SimSun" w:hAnsi="Times New Roman"/>
          <w:lang w:eastAsia="zh-CN"/>
        </w:rPr>
        <w:t>Imatinib Synthon</w:t>
      </w:r>
      <w:r w:rsidRPr="00340F0C">
        <w:rPr>
          <w:rFonts w:ascii="Times New Roman" w:eastAsia="SimSun" w:hAnsi="Times New Roman"/>
          <w:lang w:eastAsia="zh-CN"/>
        </w:rPr>
        <w:t>saugumo rodiklių, atrodo nepaveikė.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Klinikiniai adjuvantinio VTSN gydymo tyrimai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Pr>
          <w:rFonts w:ascii="Times New Roman" w:eastAsia="SimSun" w:hAnsi="Times New Roman"/>
          <w:lang w:eastAsia="zh-CN"/>
        </w:rPr>
        <w:t>vartojamas</w:t>
      </w:r>
      <w:r w:rsidRPr="00340F0C">
        <w:rPr>
          <w:rFonts w:ascii="Times New Roman" w:eastAsia="SimSun" w:hAnsi="Times New Roman"/>
          <w:lang w:eastAsia="zh-CN"/>
        </w:rPr>
        <w:t xml:space="preserve"> </w:t>
      </w:r>
      <w:r>
        <w:rPr>
          <w:rFonts w:ascii="Times New Roman" w:eastAsia="SimSun" w:hAnsi="Times New Roman"/>
          <w:lang w:eastAsia="zh-CN"/>
        </w:rPr>
        <w:t>Imatinib Synthon</w:t>
      </w:r>
      <w:r w:rsidRPr="00340F0C">
        <w:rPr>
          <w:rFonts w:ascii="Times New Roman" w:eastAsia="SimSun" w:hAnsi="Times New Roman"/>
          <w:lang w:eastAsia="zh-CN"/>
        </w:rPr>
        <w:t xml:space="preserve">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w:t>
      </w:r>
      <w:r>
        <w:rPr>
          <w:rFonts w:ascii="Times New Roman" w:eastAsia="SimSun" w:hAnsi="Times New Roman"/>
          <w:lang w:eastAsia="zh-CN"/>
        </w:rPr>
        <w:t>Imatinib Synthon</w:t>
      </w:r>
      <w:r w:rsidRPr="00340F0C">
        <w:rPr>
          <w:rFonts w:ascii="Times New Roman" w:eastAsia="SimSun" w:hAnsi="Times New Roman"/>
          <w:lang w:eastAsia="zh-CN"/>
        </w:rPr>
        <w:t>400 mg per parą arba placebo grupes (gydymas buvo skiriamas vienerius metus).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w:t>
      </w:r>
      <w:r>
        <w:rPr>
          <w:rFonts w:ascii="Times New Roman" w:eastAsia="SimSun" w:hAnsi="Times New Roman"/>
          <w:lang w:eastAsia="zh-CN"/>
        </w:rPr>
        <w:t>bas Synthon</w:t>
      </w:r>
      <w:r w:rsidRPr="00340F0C">
        <w:rPr>
          <w:rFonts w:ascii="Times New Roman" w:eastAsia="SimSun" w:hAnsi="Times New Roman"/>
          <w:lang w:eastAsia="zh-CN"/>
        </w:rPr>
        <w:t xml:space="preserve">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w:t>
      </w:r>
      <w:r>
        <w:rPr>
          <w:rFonts w:ascii="Times New Roman" w:eastAsia="SimSun" w:hAnsi="Times New Roman"/>
          <w:lang w:eastAsia="zh-CN"/>
        </w:rPr>
        <w:t>Imatinib Synthon</w:t>
      </w:r>
      <w:r w:rsidRPr="00340F0C">
        <w:rPr>
          <w:rFonts w:ascii="Times New Roman" w:eastAsia="SimSun" w:hAnsi="Times New Roman"/>
          <w:lang w:eastAsia="zh-CN"/>
        </w:rPr>
        <w:t xml:space="preserve">grupėje buvo reikšmingai geresnis lyginant su placebo grupe (atitinkamai 97,7 % ir 82,3 %; p&lt;0,0001). Taigi, ligos recidyvo atsiradimo rizika buvo sumažinta apytiksliai 89 %, lyginant su placebu (rizikos santykis = 0,113 [0,049-0,264]).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w:t>
      </w:r>
      <w:r>
        <w:rPr>
          <w:rFonts w:ascii="Times New Roman" w:eastAsia="SimSun" w:hAnsi="Times New Roman"/>
          <w:lang w:eastAsia="zh-CN"/>
        </w:rPr>
        <w:t>7</w:t>
      </w:r>
      <w:r w:rsidRPr="00340F0C">
        <w:rPr>
          <w:rFonts w:ascii="Times New Roman" w:eastAsia="SimSun" w:hAnsi="Times New Roman"/>
          <w:lang w:eastAsia="zh-CN"/>
        </w:rPr>
        <w:t xml:space="preserve"> lentelėje. Žemos ir labai žemos rizikos grupėje vaistinio preparato naudos nepastebėta. Bendram išgyvenamumui naudos nepastebėta.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7</w:t>
      </w:r>
      <w:r w:rsidRPr="00366C6D">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366C6D">
        <w:rPr>
          <w:rFonts w:ascii="Times New Roman" w:eastAsia="SimSun" w:hAnsi="Times New Roman"/>
          <w:b/>
          <w:lang w:eastAsia="zh-CN"/>
        </w:rPr>
        <w:t>Z9001 klinikinio tyrimo RFS analizės pagal NIH ir AFIP rizikos klasifikacijas santrauka</w:t>
      </w:r>
    </w:p>
    <w:p w:rsidR="0031490F" w:rsidRPr="00340F0C" w:rsidRDefault="0031490F" w:rsidP="0031490F">
      <w:pPr>
        <w:tabs>
          <w:tab w:val="left" w:pos="567"/>
        </w:tabs>
        <w:spacing w:after="0" w:line="240" w:lineRule="auto"/>
        <w:rPr>
          <w:rFonts w:ascii="Times New Roman" w:eastAsia="SimSun" w:hAnsi="Times New Roma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956"/>
        <w:gridCol w:w="1185"/>
        <w:gridCol w:w="1503"/>
        <w:gridCol w:w="1401"/>
        <w:gridCol w:w="1552"/>
        <w:gridCol w:w="1552"/>
      </w:tblGrid>
      <w:tr w:rsidR="0031490F" w:rsidRPr="00340F0C" w:rsidTr="00536C1B">
        <w:tc>
          <w:tcPr>
            <w:tcW w:w="1030" w:type="dxa"/>
            <w:vMerge w:val="restart"/>
          </w:tcPr>
          <w:p w:rsidR="0031490F" w:rsidRPr="00340F0C" w:rsidRDefault="0031490F" w:rsidP="00536C1B">
            <w:pPr>
              <w:spacing w:after="0" w:line="240" w:lineRule="auto"/>
              <w:rPr>
                <w:rFonts w:ascii="Times New Roman" w:hAnsi="Times New Roman"/>
                <w:b/>
              </w:rPr>
            </w:pPr>
            <w:r w:rsidRPr="00340F0C">
              <w:rPr>
                <w:rFonts w:ascii="Times New Roman" w:hAnsi="Times New Roman"/>
                <w:b/>
              </w:rPr>
              <w:t>Rizikos kriterijai</w:t>
            </w:r>
          </w:p>
        </w:tc>
        <w:tc>
          <w:tcPr>
            <w:tcW w:w="956"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Rizikos lygis</w:t>
            </w:r>
          </w:p>
        </w:tc>
        <w:tc>
          <w:tcPr>
            <w:tcW w:w="1185"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Pacientų skaičius %</w:t>
            </w:r>
          </w:p>
        </w:tc>
        <w:tc>
          <w:tcPr>
            <w:tcW w:w="1503"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 xml:space="preserve">Atvejų skaičius / Pacientų </w:t>
            </w:r>
            <w:r w:rsidRPr="00340F0C">
              <w:rPr>
                <w:rFonts w:ascii="Times New Roman" w:hAnsi="Times New Roman"/>
                <w:b/>
              </w:rPr>
              <w:lastRenderedPageBreak/>
              <w:t>skaičius</w:t>
            </w:r>
          </w:p>
        </w:tc>
        <w:tc>
          <w:tcPr>
            <w:tcW w:w="1401"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lastRenderedPageBreak/>
              <w:t xml:space="preserve">Bendrasis rizikos santykis </w:t>
            </w:r>
            <w:r w:rsidRPr="00340F0C">
              <w:rPr>
                <w:rFonts w:ascii="Times New Roman" w:hAnsi="Times New Roman"/>
                <w:b/>
              </w:rPr>
              <w:lastRenderedPageBreak/>
              <w:t>(95 % PI)*</w:t>
            </w:r>
          </w:p>
        </w:tc>
        <w:tc>
          <w:tcPr>
            <w:tcW w:w="3104" w:type="dxa"/>
            <w:gridSpan w:val="2"/>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lastRenderedPageBreak/>
              <w:t>RFS dažnis (%)</w:t>
            </w:r>
          </w:p>
        </w:tc>
      </w:tr>
      <w:tr w:rsidR="0031490F" w:rsidRPr="00340F0C" w:rsidTr="00536C1B">
        <w:tc>
          <w:tcPr>
            <w:tcW w:w="1030" w:type="dxa"/>
            <w:vMerge/>
          </w:tcPr>
          <w:p w:rsidR="0031490F" w:rsidRPr="00340F0C" w:rsidRDefault="0031490F" w:rsidP="00536C1B">
            <w:pPr>
              <w:spacing w:after="0" w:line="240" w:lineRule="auto"/>
              <w:rPr>
                <w:rFonts w:ascii="Times New Roman" w:hAnsi="Times New Roman"/>
                <w:b/>
              </w:rPr>
            </w:pPr>
          </w:p>
        </w:tc>
        <w:tc>
          <w:tcPr>
            <w:tcW w:w="956" w:type="dxa"/>
            <w:vMerge/>
          </w:tcPr>
          <w:p w:rsidR="0031490F" w:rsidRPr="00340F0C" w:rsidRDefault="0031490F" w:rsidP="00536C1B">
            <w:pPr>
              <w:spacing w:after="0" w:line="240" w:lineRule="auto"/>
              <w:rPr>
                <w:rFonts w:ascii="Times New Roman" w:hAnsi="Times New Roman"/>
                <w:b/>
              </w:rPr>
            </w:pPr>
          </w:p>
        </w:tc>
        <w:tc>
          <w:tcPr>
            <w:tcW w:w="1185" w:type="dxa"/>
            <w:vMerge/>
          </w:tcPr>
          <w:p w:rsidR="0031490F" w:rsidRPr="00340F0C" w:rsidRDefault="0031490F" w:rsidP="00536C1B">
            <w:pPr>
              <w:spacing w:after="0" w:line="240" w:lineRule="auto"/>
              <w:rPr>
                <w:rFonts w:ascii="Times New Roman" w:hAnsi="Times New Roman"/>
                <w:b/>
              </w:rPr>
            </w:pPr>
          </w:p>
        </w:tc>
        <w:tc>
          <w:tcPr>
            <w:tcW w:w="1503" w:type="dxa"/>
            <w:vMerge/>
          </w:tcPr>
          <w:p w:rsidR="0031490F" w:rsidRPr="00340F0C" w:rsidRDefault="0031490F" w:rsidP="00536C1B">
            <w:pPr>
              <w:tabs>
                <w:tab w:val="left" w:pos="0"/>
              </w:tabs>
              <w:autoSpaceDE w:val="0"/>
              <w:autoSpaceDN w:val="0"/>
              <w:adjustRightInd w:val="0"/>
              <w:spacing w:after="0" w:line="240" w:lineRule="auto"/>
              <w:rPr>
                <w:rFonts w:ascii="Times New Roman" w:hAnsi="Times New Roman"/>
                <w:b/>
              </w:rPr>
            </w:pPr>
          </w:p>
        </w:tc>
        <w:tc>
          <w:tcPr>
            <w:tcW w:w="1401" w:type="dxa"/>
            <w:vMerge/>
          </w:tcPr>
          <w:p w:rsidR="0031490F" w:rsidRPr="00340F0C" w:rsidRDefault="0031490F" w:rsidP="00536C1B">
            <w:pPr>
              <w:tabs>
                <w:tab w:val="left" w:pos="0"/>
              </w:tabs>
              <w:autoSpaceDE w:val="0"/>
              <w:autoSpaceDN w:val="0"/>
              <w:adjustRightInd w:val="0"/>
              <w:spacing w:after="0" w:line="240" w:lineRule="auto"/>
              <w:rPr>
                <w:rFonts w:ascii="Times New Roman" w:hAnsi="Times New Roman"/>
                <w:b/>
              </w:rPr>
            </w:pPr>
          </w:p>
        </w:tc>
        <w:tc>
          <w:tcPr>
            <w:tcW w:w="1552" w:type="dxa"/>
          </w:tcPr>
          <w:p w:rsidR="0031490F" w:rsidRPr="00340F0C"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12 mėn.</w:t>
            </w:r>
          </w:p>
        </w:tc>
        <w:tc>
          <w:tcPr>
            <w:tcW w:w="1552" w:type="dxa"/>
          </w:tcPr>
          <w:p w:rsidR="0031490F" w:rsidRPr="00340F0C"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24 mėn.</w:t>
            </w:r>
          </w:p>
        </w:tc>
      </w:tr>
      <w:tr w:rsidR="0031490F" w:rsidRPr="00340F0C" w:rsidTr="00536C1B">
        <w:tc>
          <w:tcPr>
            <w:tcW w:w="1030" w:type="dxa"/>
            <w:vMerge/>
          </w:tcPr>
          <w:p w:rsidR="0031490F" w:rsidRPr="00340F0C" w:rsidRDefault="0031490F" w:rsidP="00536C1B">
            <w:pPr>
              <w:spacing w:after="0" w:line="240" w:lineRule="auto"/>
              <w:rPr>
                <w:rFonts w:ascii="Times New Roman" w:hAnsi="Times New Roman"/>
                <w:b/>
              </w:rPr>
            </w:pPr>
          </w:p>
        </w:tc>
        <w:tc>
          <w:tcPr>
            <w:tcW w:w="956" w:type="dxa"/>
            <w:vMerge/>
            <w:tcBorders>
              <w:bottom w:val="single" w:sz="4" w:space="0" w:color="auto"/>
            </w:tcBorders>
          </w:tcPr>
          <w:p w:rsidR="0031490F" w:rsidRPr="00340F0C" w:rsidRDefault="0031490F" w:rsidP="00536C1B">
            <w:pPr>
              <w:spacing w:after="0" w:line="240" w:lineRule="auto"/>
              <w:rPr>
                <w:rFonts w:ascii="Times New Roman" w:hAnsi="Times New Roman"/>
                <w:b/>
              </w:rPr>
            </w:pPr>
          </w:p>
        </w:tc>
        <w:tc>
          <w:tcPr>
            <w:tcW w:w="1185" w:type="dxa"/>
            <w:vMerge/>
            <w:tcBorders>
              <w:bottom w:val="single" w:sz="4" w:space="0" w:color="auto"/>
            </w:tcBorders>
          </w:tcPr>
          <w:p w:rsidR="0031490F" w:rsidRPr="00340F0C" w:rsidRDefault="0031490F" w:rsidP="00536C1B">
            <w:pPr>
              <w:spacing w:after="0" w:line="240" w:lineRule="auto"/>
              <w:rPr>
                <w:rFonts w:ascii="Times New Roman" w:hAnsi="Times New Roman"/>
                <w:b/>
              </w:rPr>
            </w:pPr>
          </w:p>
        </w:tc>
        <w:tc>
          <w:tcPr>
            <w:tcW w:w="1503" w:type="dxa"/>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rPr>
            </w:pPr>
            <w:r w:rsidRPr="00340F0C">
              <w:rPr>
                <w:rFonts w:ascii="Times New Roman" w:hAnsi="Times New Roman"/>
                <w:b/>
              </w:rPr>
              <w:t>Imatinib</w:t>
            </w:r>
            <w:r>
              <w:rPr>
                <w:rFonts w:ascii="Times New Roman" w:hAnsi="Times New Roman"/>
                <w:b/>
              </w:rPr>
              <w:t>as</w:t>
            </w:r>
            <w:r w:rsidRPr="00340F0C">
              <w:rPr>
                <w:rFonts w:ascii="Times New Roman" w:hAnsi="Times New Roman"/>
                <w:b/>
              </w:rPr>
              <w:t xml:space="preserve"> </w:t>
            </w:r>
            <w:r>
              <w:rPr>
                <w:rFonts w:ascii="Times New Roman" w:hAnsi="Times New Roman"/>
                <w:b/>
              </w:rPr>
              <w:t xml:space="preserve">Synthon </w:t>
            </w:r>
            <w:r w:rsidRPr="00340F0C">
              <w:rPr>
                <w:rFonts w:ascii="Times New Roman" w:hAnsi="Times New Roman"/>
                <w:b/>
              </w:rPr>
              <w:t>lyginant su placebu</w:t>
            </w:r>
          </w:p>
        </w:tc>
        <w:tc>
          <w:tcPr>
            <w:tcW w:w="1401" w:type="dxa"/>
            <w:vMerge/>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rPr>
            </w:pPr>
          </w:p>
        </w:tc>
        <w:tc>
          <w:tcPr>
            <w:tcW w:w="1552" w:type="dxa"/>
            <w:tcBorders>
              <w:bottom w:val="single" w:sz="4" w:space="0" w:color="auto"/>
            </w:tcBorders>
          </w:tcPr>
          <w:p w:rsidR="0031490F"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Imatinib</w:t>
            </w:r>
            <w:r>
              <w:rPr>
                <w:rFonts w:eastAsia="Calibri"/>
                <w:b/>
                <w:color w:val="auto"/>
                <w:sz w:val="22"/>
                <w:szCs w:val="22"/>
                <w:lang w:val="lt-LT" w:eastAsia="en-GB"/>
              </w:rPr>
              <w:t>as</w:t>
            </w:r>
            <w:r w:rsidRPr="00340F0C">
              <w:rPr>
                <w:rFonts w:eastAsia="Calibri"/>
                <w:b/>
                <w:color w:val="auto"/>
                <w:sz w:val="22"/>
                <w:szCs w:val="22"/>
                <w:lang w:val="lt-LT" w:eastAsia="en-GB"/>
              </w:rPr>
              <w:t xml:space="preserve"> </w:t>
            </w:r>
            <w:r>
              <w:rPr>
                <w:rFonts w:eastAsia="Calibri"/>
                <w:b/>
                <w:color w:val="auto"/>
                <w:sz w:val="22"/>
                <w:szCs w:val="22"/>
                <w:lang w:val="lt-LT" w:eastAsia="en-GB"/>
              </w:rPr>
              <w:t>Synthon</w:t>
            </w:r>
          </w:p>
          <w:p w:rsidR="0031490F" w:rsidRPr="00340F0C"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c>
          <w:tcPr>
            <w:tcW w:w="1552" w:type="dxa"/>
            <w:tcBorders>
              <w:bottom w:val="single" w:sz="4" w:space="0" w:color="auto"/>
            </w:tcBorders>
          </w:tcPr>
          <w:p w:rsidR="0031490F"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Imatinib</w:t>
            </w:r>
            <w:r>
              <w:rPr>
                <w:rFonts w:eastAsia="Calibri"/>
                <w:b/>
                <w:color w:val="auto"/>
                <w:sz w:val="22"/>
                <w:szCs w:val="22"/>
                <w:lang w:val="lt-LT" w:eastAsia="en-GB"/>
              </w:rPr>
              <w:t>as</w:t>
            </w:r>
            <w:r w:rsidRPr="00340F0C">
              <w:rPr>
                <w:rFonts w:eastAsia="Calibri"/>
                <w:b/>
                <w:color w:val="auto"/>
                <w:sz w:val="22"/>
                <w:szCs w:val="22"/>
                <w:lang w:val="lt-LT" w:eastAsia="en-GB"/>
              </w:rPr>
              <w:t xml:space="preserve"> </w:t>
            </w:r>
            <w:r>
              <w:rPr>
                <w:rFonts w:eastAsia="Calibri"/>
                <w:b/>
                <w:color w:val="auto"/>
                <w:sz w:val="22"/>
                <w:szCs w:val="22"/>
                <w:lang w:val="lt-LT" w:eastAsia="en-GB"/>
              </w:rPr>
              <w:t>Synthon</w:t>
            </w:r>
          </w:p>
          <w:p w:rsidR="0031490F" w:rsidRPr="00340F0C" w:rsidRDefault="0031490F" w:rsidP="00536C1B">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r>
      <w:tr w:rsidR="0031490F" w:rsidRPr="00340F0C" w:rsidTr="00536C1B">
        <w:tc>
          <w:tcPr>
            <w:tcW w:w="1030" w:type="dxa"/>
            <w:vMerge w:val="restart"/>
            <w:vAlign w:val="center"/>
          </w:tcPr>
          <w:p w:rsidR="0031490F" w:rsidRPr="00340F0C" w:rsidRDefault="0031490F" w:rsidP="00536C1B">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NIH</w:t>
            </w:r>
          </w:p>
        </w:tc>
        <w:tc>
          <w:tcPr>
            <w:tcW w:w="956"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Maža</w:t>
            </w:r>
          </w:p>
        </w:tc>
        <w:tc>
          <w:tcPr>
            <w:tcW w:w="1185"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29,5</w:t>
            </w:r>
          </w:p>
        </w:tc>
        <w:tc>
          <w:tcPr>
            <w:tcW w:w="1503"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0/86 ir 2/90</w:t>
            </w:r>
          </w:p>
        </w:tc>
        <w:tc>
          <w:tcPr>
            <w:tcW w:w="1401"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N.E. </w:t>
            </w:r>
          </w:p>
        </w:tc>
        <w:tc>
          <w:tcPr>
            <w:tcW w:w="1552"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98,7</w:t>
            </w:r>
          </w:p>
        </w:tc>
        <w:tc>
          <w:tcPr>
            <w:tcW w:w="1552"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95,5</w:t>
            </w:r>
          </w:p>
        </w:tc>
      </w:tr>
      <w:tr w:rsidR="0031490F" w:rsidRPr="00340F0C" w:rsidTr="00536C1B">
        <w:tc>
          <w:tcPr>
            <w:tcW w:w="1030" w:type="dxa"/>
            <w:vMerge/>
          </w:tcPr>
          <w:p w:rsidR="0031490F" w:rsidRPr="00340F0C" w:rsidRDefault="0031490F" w:rsidP="00536C1B">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25,7</w:t>
            </w:r>
          </w:p>
        </w:tc>
        <w:tc>
          <w:tcPr>
            <w:tcW w:w="1503"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4/75 ir 6/78 </w:t>
            </w:r>
          </w:p>
        </w:tc>
        <w:tc>
          <w:tcPr>
            <w:tcW w:w="1401"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0,59 (0,17; 2,10) </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94,8</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97.8 ir 89,5</w:t>
            </w:r>
          </w:p>
        </w:tc>
      </w:tr>
      <w:tr w:rsidR="0031490F" w:rsidRPr="00340F0C" w:rsidTr="00536C1B">
        <w:tc>
          <w:tcPr>
            <w:tcW w:w="1030" w:type="dxa"/>
            <w:vMerge/>
          </w:tcPr>
          <w:p w:rsidR="0031490F" w:rsidRPr="00340F0C" w:rsidRDefault="0031490F" w:rsidP="00536C1B">
            <w:pPr>
              <w:tabs>
                <w:tab w:val="left" w:pos="426"/>
              </w:tabs>
              <w:spacing w:after="0" w:line="240" w:lineRule="auto"/>
              <w:ind w:left="426" w:hanging="426"/>
              <w:rPr>
                <w:rFonts w:ascii="Times New Roman" w:hAnsi="Times New Roman"/>
                <w:b/>
                <w:bCs/>
              </w:rPr>
            </w:pPr>
          </w:p>
        </w:tc>
        <w:tc>
          <w:tcPr>
            <w:tcW w:w="956"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Didelė</w:t>
            </w:r>
          </w:p>
        </w:tc>
        <w:tc>
          <w:tcPr>
            <w:tcW w:w="1185"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44,8</w:t>
            </w:r>
          </w:p>
        </w:tc>
        <w:tc>
          <w:tcPr>
            <w:tcW w:w="1503"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21/140 ir 51/127 </w:t>
            </w:r>
          </w:p>
        </w:tc>
        <w:tc>
          <w:tcPr>
            <w:tcW w:w="1401"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0,29 (0,18; 0,49) </w:t>
            </w:r>
          </w:p>
        </w:tc>
        <w:tc>
          <w:tcPr>
            <w:tcW w:w="1552"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94,8 ir 64,0</w:t>
            </w:r>
          </w:p>
        </w:tc>
        <w:tc>
          <w:tcPr>
            <w:tcW w:w="1552" w:type="dxa"/>
            <w:tcBorders>
              <w:top w:val="nil"/>
              <w:bottom w:val="single" w:sz="4" w:space="0" w:color="auto"/>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80.7 ir 46,6</w:t>
            </w:r>
          </w:p>
        </w:tc>
      </w:tr>
      <w:tr w:rsidR="0031490F" w:rsidRPr="00340F0C" w:rsidTr="00536C1B">
        <w:tc>
          <w:tcPr>
            <w:tcW w:w="1030" w:type="dxa"/>
            <w:vMerge w:val="restart"/>
            <w:vAlign w:val="center"/>
          </w:tcPr>
          <w:p w:rsidR="0031490F" w:rsidRPr="00340F0C" w:rsidRDefault="0031490F" w:rsidP="00536C1B">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AFIP</w:t>
            </w:r>
          </w:p>
        </w:tc>
        <w:tc>
          <w:tcPr>
            <w:tcW w:w="956"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Labai maža</w:t>
            </w:r>
          </w:p>
        </w:tc>
        <w:tc>
          <w:tcPr>
            <w:tcW w:w="1185"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20,7</w:t>
            </w:r>
          </w:p>
        </w:tc>
        <w:tc>
          <w:tcPr>
            <w:tcW w:w="1503"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0/52 ir 2/63 </w:t>
            </w:r>
          </w:p>
        </w:tc>
        <w:tc>
          <w:tcPr>
            <w:tcW w:w="1401"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N.R.</w:t>
            </w:r>
          </w:p>
        </w:tc>
        <w:tc>
          <w:tcPr>
            <w:tcW w:w="1552"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98,1</w:t>
            </w:r>
          </w:p>
        </w:tc>
        <w:tc>
          <w:tcPr>
            <w:tcW w:w="1552" w:type="dxa"/>
            <w:tcBorders>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93,0</w:t>
            </w:r>
          </w:p>
        </w:tc>
      </w:tr>
      <w:tr w:rsidR="0031490F" w:rsidRPr="00340F0C" w:rsidTr="00536C1B">
        <w:tc>
          <w:tcPr>
            <w:tcW w:w="1030" w:type="dxa"/>
            <w:vMerge/>
          </w:tcPr>
          <w:p w:rsidR="0031490F" w:rsidRPr="00340F0C" w:rsidRDefault="0031490F" w:rsidP="00536C1B">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Maža</w:t>
            </w:r>
          </w:p>
        </w:tc>
        <w:tc>
          <w:tcPr>
            <w:tcW w:w="1185"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25,0</w:t>
            </w:r>
          </w:p>
        </w:tc>
        <w:tc>
          <w:tcPr>
            <w:tcW w:w="1503"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2/70 ir 0/69 </w:t>
            </w:r>
          </w:p>
        </w:tc>
        <w:tc>
          <w:tcPr>
            <w:tcW w:w="1401"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N.R.</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100 ir 100</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97,8 ir 100</w:t>
            </w:r>
          </w:p>
        </w:tc>
      </w:tr>
      <w:tr w:rsidR="0031490F" w:rsidRPr="00340F0C" w:rsidTr="00536C1B">
        <w:tc>
          <w:tcPr>
            <w:tcW w:w="1030" w:type="dxa"/>
            <w:vMerge/>
          </w:tcPr>
          <w:p w:rsidR="0031490F" w:rsidRPr="00340F0C" w:rsidRDefault="0031490F" w:rsidP="00536C1B">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24,6</w:t>
            </w:r>
          </w:p>
        </w:tc>
        <w:tc>
          <w:tcPr>
            <w:tcW w:w="1503"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2/70 ir 11/67 </w:t>
            </w:r>
          </w:p>
        </w:tc>
        <w:tc>
          <w:tcPr>
            <w:tcW w:w="1401"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0,16 (0,03; 0,70) </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97,9 ir 90,8</w:t>
            </w:r>
          </w:p>
        </w:tc>
        <w:tc>
          <w:tcPr>
            <w:tcW w:w="1552" w:type="dxa"/>
            <w:tcBorders>
              <w:top w:val="nil"/>
              <w:bottom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97,9 ir 73,3</w:t>
            </w:r>
          </w:p>
        </w:tc>
      </w:tr>
      <w:tr w:rsidR="0031490F" w:rsidRPr="00340F0C" w:rsidTr="00536C1B">
        <w:tc>
          <w:tcPr>
            <w:tcW w:w="1030" w:type="dxa"/>
            <w:vMerge/>
          </w:tcPr>
          <w:p w:rsidR="0031490F" w:rsidRPr="00340F0C" w:rsidRDefault="0031490F" w:rsidP="00536C1B">
            <w:pPr>
              <w:tabs>
                <w:tab w:val="left" w:pos="426"/>
              </w:tabs>
              <w:spacing w:after="0" w:line="240" w:lineRule="auto"/>
              <w:ind w:left="426" w:hanging="426"/>
              <w:rPr>
                <w:rFonts w:ascii="Times New Roman" w:hAnsi="Times New Roman"/>
                <w:b/>
                <w:bCs/>
              </w:rPr>
            </w:pPr>
          </w:p>
        </w:tc>
        <w:tc>
          <w:tcPr>
            <w:tcW w:w="956"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Didelė</w:t>
            </w:r>
          </w:p>
        </w:tc>
        <w:tc>
          <w:tcPr>
            <w:tcW w:w="1185"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29,7</w:t>
            </w:r>
          </w:p>
        </w:tc>
        <w:tc>
          <w:tcPr>
            <w:tcW w:w="1503"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16/84 ir 39/81 </w:t>
            </w:r>
          </w:p>
        </w:tc>
        <w:tc>
          <w:tcPr>
            <w:tcW w:w="1401"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 xml:space="preserve">0,27 (0,15; 0,48) </w:t>
            </w:r>
          </w:p>
        </w:tc>
        <w:tc>
          <w:tcPr>
            <w:tcW w:w="1552"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98,7 ir 56,1</w:t>
            </w:r>
          </w:p>
        </w:tc>
        <w:tc>
          <w:tcPr>
            <w:tcW w:w="1552" w:type="dxa"/>
            <w:tcBorders>
              <w:top w:val="nil"/>
            </w:tcBorders>
          </w:tcPr>
          <w:p w:rsidR="0031490F" w:rsidRPr="00340F0C" w:rsidRDefault="0031490F" w:rsidP="00536C1B">
            <w:pPr>
              <w:spacing w:after="0" w:line="240" w:lineRule="auto"/>
              <w:rPr>
                <w:rFonts w:ascii="Times New Roman" w:hAnsi="Times New Roman"/>
              </w:rPr>
            </w:pPr>
            <w:r w:rsidRPr="00340F0C">
              <w:rPr>
                <w:rFonts w:ascii="Times New Roman" w:hAnsi="Times New Roman"/>
              </w:rPr>
              <w:t>79,9 ir 41,5</w:t>
            </w:r>
          </w:p>
        </w:tc>
      </w:tr>
    </w:tbl>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Atlikto antrojo daugiacentrio atvirojo III fazės tyrimo (SSG XVIII/AIO) metu buvo lyginamas VTSN sergančių pacientų po chirurginės naviko rezekcijos 12 mėnesių trukmės gydymas su 36 mėnesių trukmės gydymu 400 mg </w:t>
      </w:r>
      <w:r>
        <w:rPr>
          <w:rFonts w:ascii="Times New Roman" w:eastAsia="SimSun" w:hAnsi="Times New Roman"/>
          <w:lang w:eastAsia="zh-CN"/>
        </w:rPr>
        <w:t>Imatinib Synthon</w:t>
      </w:r>
      <w:r w:rsidRPr="00340F0C">
        <w:rPr>
          <w:rFonts w:ascii="Times New Roman" w:eastAsia="SimSun" w:hAnsi="Times New Roman"/>
          <w:lang w:eastAsia="zh-CN"/>
        </w:rPr>
        <w:t xml:space="preserve">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tyrimo vertinamoji baigtis buvo išgyvenamumas be ligos recidyvo (angl. recurrence-free survival – RFS), nustatomas kaip laikas nuo randomizacijos dienos iki recidyvo pasireiškimo dienos arba mirties dėl bet kokios priežasties.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Pr>
          <w:rFonts w:ascii="Times New Roman" w:eastAsia="SimSun" w:hAnsi="Times New Roman"/>
          <w:lang w:eastAsia="zh-CN"/>
        </w:rPr>
        <w:t>Imatinib Synthon</w:t>
      </w:r>
      <w:r w:rsidRPr="00340F0C">
        <w:rPr>
          <w:rFonts w:ascii="Times New Roman" w:eastAsia="SimSun" w:hAnsi="Times New Roman"/>
          <w:lang w:eastAsia="zh-CN"/>
        </w:rPr>
        <w:t xml:space="preserve">reikšmingai pailgino RFS rodiklį, lyginant su 12 mėnesių trukmės gydymu </w:t>
      </w:r>
      <w:r>
        <w:rPr>
          <w:rFonts w:ascii="Times New Roman" w:eastAsia="SimSun" w:hAnsi="Times New Roman"/>
          <w:lang w:eastAsia="zh-CN"/>
        </w:rPr>
        <w:t>Imatinib Synthon</w:t>
      </w:r>
      <w:r w:rsidRPr="00340F0C">
        <w:rPr>
          <w:rFonts w:ascii="Times New Roman" w:eastAsia="SimSun" w:hAnsi="Times New Roman"/>
          <w:lang w:eastAsia="zh-CN"/>
        </w:rPr>
        <w:t xml:space="preserve">(bendrasis rizikos santykis (RS) lygus 0,46 [0,32, 0,65], p&lt;0,0001) (žr. </w:t>
      </w:r>
      <w:r>
        <w:rPr>
          <w:rFonts w:ascii="Times New Roman" w:eastAsia="SimSun" w:hAnsi="Times New Roman"/>
          <w:lang w:eastAsia="zh-CN"/>
        </w:rPr>
        <w:t>8</w:t>
      </w:r>
      <w:r w:rsidRPr="00340F0C">
        <w:rPr>
          <w:rFonts w:ascii="Times New Roman" w:eastAsia="SimSun" w:hAnsi="Times New Roman"/>
          <w:lang w:eastAsia="zh-CN"/>
        </w:rPr>
        <w:t xml:space="preserve"> lentelę, 1 pav.).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 to, trisdešimt šešių (36) mėnesių trukmės gydymas </w:t>
      </w:r>
      <w:r>
        <w:rPr>
          <w:rFonts w:ascii="Times New Roman" w:eastAsia="SimSun" w:hAnsi="Times New Roman"/>
          <w:lang w:eastAsia="zh-CN"/>
        </w:rPr>
        <w:t>Imatinib Synthon</w:t>
      </w:r>
      <w:r w:rsidRPr="00340F0C">
        <w:rPr>
          <w:rFonts w:ascii="Times New Roman" w:eastAsia="SimSun" w:hAnsi="Times New Roman"/>
          <w:lang w:eastAsia="zh-CN"/>
        </w:rPr>
        <w:t xml:space="preserve">reikšmingai pailgino bendrojo išgyvenamumo rodiklį, lyginant su 12 mėnesių trukmės gydymu </w:t>
      </w:r>
      <w:r>
        <w:rPr>
          <w:rFonts w:ascii="Times New Roman" w:eastAsia="SimSun" w:hAnsi="Times New Roman"/>
          <w:lang w:eastAsia="zh-CN"/>
        </w:rPr>
        <w:t>Imatinib Synthon</w:t>
      </w:r>
      <w:r w:rsidRPr="00340F0C">
        <w:rPr>
          <w:rFonts w:ascii="Times New Roman" w:eastAsia="SimSun" w:hAnsi="Times New Roman"/>
          <w:lang w:eastAsia="zh-CN"/>
        </w:rPr>
        <w:t xml:space="preserve">(RS = 0,45 [0,22, 0,89], p=0,0187) (žr. </w:t>
      </w:r>
      <w:r>
        <w:rPr>
          <w:rFonts w:ascii="Times New Roman" w:eastAsia="SimSun" w:hAnsi="Times New Roman"/>
          <w:lang w:eastAsia="zh-CN"/>
        </w:rPr>
        <w:t>8</w:t>
      </w:r>
      <w:r w:rsidRPr="00340F0C">
        <w:rPr>
          <w:rFonts w:ascii="Times New Roman" w:eastAsia="SimSun" w:hAnsi="Times New Roman"/>
          <w:lang w:eastAsia="zh-CN"/>
        </w:rPr>
        <w:t xml:space="preserve"> lentelę, 2 pav.).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lastRenderedPageBreak/>
        <w:t>8</w:t>
      </w:r>
      <w:r w:rsidRPr="00366C6D">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366C6D">
        <w:rPr>
          <w:rFonts w:ascii="Times New Roman" w:eastAsia="SimSun" w:hAnsi="Times New Roman"/>
          <w:b/>
          <w:lang w:eastAsia="zh-CN"/>
        </w:rPr>
        <w:t xml:space="preserve">12 mėnesių ir 36 mėnesių trukmės gydymas </w:t>
      </w:r>
      <w:r>
        <w:rPr>
          <w:rFonts w:ascii="Times New Roman" w:eastAsia="SimSun" w:hAnsi="Times New Roman"/>
          <w:b/>
          <w:lang w:eastAsia="zh-CN"/>
        </w:rPr>
        <w:t>Imatinib Synthon</w:t>
      </w:r>
      <w:r w:rsidRPr="00366C6D">
        <w:rPr>
          <w:rFonts w:ascii="Times New Roman" w:eastAsia="SimSun" w:hAnsi="Times New Roman"/>
          <w:b/>
          <w:lang w:eastAsia="zh-CN"/>
        </w:rPr>
        <w:t>(SSGXVIII/AIO klinikinis tyrimas)</w:t>
      </w:r>
    </w:p>
    <w:tbl>
      <w:tblPr>
        <w:tblpPr w:leftFromText="180" w:rightFromText="180" w:vertAnchor="text" w:horzAnchor="margin" w:tblpY="331"/>
        <w:tblW w:w="5000" w:type="pct"/>
        <w:tblBorders>
          <w:top w:val="single" w:sz="4" w:space="0" w:color="auto"/>
          <w:bottom w:val="single" w:sz="4" w:space="0" w:color="auto"/>
        </w:tblBorders>
        <w:tblLayout w:type="fixed"/>
        <w:tblLook w:val="0000" w:firstRow="0" w:lastRow="0" w:firstColumn="0" w:lastColumn="0" w:noHBand="0" w:noVBand="0"/>
      </w:tblPr>
      <w:tblGrid>
        <w:gridCol w:w="2485"/>
        <w:gridCol w:w="3483"/>
        <w:gridCol w:w="3319"/>
      </w:tblGrid>
      <w:tr w:rsidR="0031490F" w:rsidRPr="00340F0C" w:rsidTr="00536C1B">
        <w:trPr>
          <w:trHeight w:val="98"/>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b/>
                <w:bCs/>
              </w:rPr>
            </w:pP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12 mėnesių trukmės gydymo </w:t>
            </w:r>
          </w:p>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36 mėnesių trukmės gydymo </w:t>
            </w:r>
          </w:p>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r>
      <w:tr w:rsidR="0031490F" w:rsidRPr="00340F0C" w:rsidTr="00536C1B">
        <w:trPr>
          <w:trHeight w:val="98"/>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RFS rodiklis</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12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93,7 (89,2-96,4)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95,9 (91,9-97,9) </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24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75,4 (68,6-81,0)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90,7 (85,6-94,0) </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60,1 (52,5-66,9)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86,6 (80,8-90,8) </w:t>
            </w:r>
          </w:p>
        </w:tc>
      </w:tr>
      <w:tr w:rsidR="0031490F" w:rsidRPr="00340F0C" w:rsidTr="00536C1B">
        <w:trPr>
          <w:trHeight w:val="100"/>
        </w:trPr>
        <w:tc>
          <w:tcPr>
            <w:tcW w:w="1338" w:type="pct"/>
            <w:tcBorders>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 mėnesių</w:t>
            </w:r>
          </w:p>
        </w:tc>
        <w:tc>
          <w:tcPr>
            <w:tcW w:w="1875" w:type="pct"/>
            <w:tcBorders>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52,3 (44,0-59,8) </w:t>
            </w:r>
          </w:p>
        </w:tc>
        <w:tc>
          <w:tcPr>
            <w:tcW w:w="1787" w:type="pct"/>
            <w:tcBorders>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78,3 (70,8-84,1) </w:t>
            </w:r>
          </w:p>
        </w:tc>
      </w:tr>
      <w:tr w:rsidR="0031490F" w:rsidRPr="00340F0C" w:rsidTr="00536C1B">
        <w:trPr>
          <w:trHeight w:val="100"/>
        </w:trPr>
        <w:tc>
          <w:tcPr>
            <w:tcW w:w="1338" w:type="pct"/>
            <w:tcBorders>
              <w:top w:val="nil"/>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 mėnesių</w:t>
            </w:r>
          </w:p>
        </w:tc>
        <w:tc>
          <w:tcPr>
            <w:tcW w:w="1875" w:type="pct"/>
            <w:tcBorders>
              <w:top w:val="nil"/>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47,9 (39,0-56,3) </w:t>
            </w:r>
          </w:p>
        </w:tc>
        <w:tc>
          <w:tcPr>
            <w:tcW w:w="1787" w:type="pct"/>
            <w:tcBorders>
              <w:top w:val="nil"/>
              <w:bottom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65,6 (56,1-73,4) </w:t>
            </w:r>
          </w:p>
        </w:tc>
      </w:tr>
      <w:tr w:rsidR="0031490F" w:rsidRPr="00340F0C" w:rsidTr="00536C1B">
        <w:trPr>
          <w:trHeight w:val="98"/>
        </w:trPr>
        <w:tc>
          <w:tcPr>
            <w:tcW w:w="5000" w:type="pct"/>
            <w:gridSpan w:val="3"/>
            <w:tcBorders>
              <w:top w:val="nil"/>
            </w:tcBorders>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Išgyvenamumas</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94,0 (89,5-96,7)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96,3 (92,4-98,2) </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87,9 (81,1-92,3)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95,6 (91,2-97,8) </w:t>
            </w:r>
          </w:p>
        </w:tc>
      </w:tr>
      <w:tr w:rsidR="0031490F" w:rsidRPr="00340F0C" w:rsidTr="00536C1B">
        <w:trPr>
          <w:trHeight w:val="100"/>
        </w:trPr>
        <w:tc>
          <w:tcPr>
            <w:tcW w:w="1338"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 mėnesių</w:t>
            </w:r>
          </w:p>
        </w:tc>
        <w:tc>
          <w:tcPr>
            <w:tcW w:w="1875"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81,7 (73,0-87,8) </w:t>
            </w:r>
          </w:p>
        </w:tc>
        <w:tc>
          <w:tcPr>
            <w:tcW w:w="1787" w:type="pc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92,0 (85,3-95,7) </w:t>
            </w:r>
          </w:p>
        </w:tc>
      </w:tr>
    </w:tbl>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sidRPr="00366C6D">
        <w:rPr>
          <w:rFonts w:ascii="Times New Roman" w:eastAsia="SimSun" w:hAnsi="Times New Roman"/>
          <w:b/>
          <w:lang w:eastAsia="zh-CN"/>
        </w:rPr>
        <w:t>1 pav.</w:t>
      </w:r>
      <w:r w:rsidRPr="00366C6D">
        <w:rPr>
          <w:rFonts w:ascii="Times New Roman" w:eastAsia="SimSun" w:hAnsi="Times New Roman"/>
          <w:b/>
          <w:lang w:eastAsia="zh-CN"/>
        </w:rPr>
        <w:tab/>
      </w:r>
      <w:r w:rsidRPr="00340F0C">
        <w:rPr>
          <w:rFonts w:ascii="Times New Roman" w:eastAsia="SimSun" w:hAnsi="Times New Roman"/>
          <w:b/>
          <w:lang w:eastAsia="zh-CN"/>
        </w:rPr>
        <w:t xml:space="preserve"> </w:t>
      </w:r>
      <w:r w:rsidRPr="00366C6D">
        <w:rPr>
          <w:rFonts w:ascii="Times New Roman" w:eastAsia="SimSun" w:hAnsi="Times New Roman"/>
          <w:b/>
          <w:lang w:eastAsia="zh-CN"/>
        </w:rPr>
        <w:t>Pirminės vertinamosios baigties išgyvenamumo be ligos recidyvo duomenys, Kaplan-Meier kreivė (ITT populiacija)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hAnsi="Times New Roman"/>
          <w:noProof/>
          <w:lang w:eastAsia="lt-LT"/>
        </w:rPr>
        <w:drawing>
          <wp:inline distT="0" distB="0" distL="0" distR="0" wp14:anchorId="008111A9" wp14:editId="728F3212">
            <wp:extent cx="57626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31490F" w:rsidRDefault="0031490F" w:rsidP="0031490F">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r>
      <w:r w:rsidRPr="00340F0C">
        <w:rPr>
          <w:rFonts w:ascii="Times New Roman" w:eastAsia="SimSun" w:hAnsi="Times New Roman"/>
          <w:lang w:eastAsia="zh-CN"/>
        </w:rPr>
        <w:tab/>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rsidR="0031490F" w:rsidRDefault="0031490F" w:rsidP="0031490F">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Pr="00340F0C">
        <w:rPr>
          <w:rFonts w:ascii="Times New Roman" w:eastAsia="SimSun" w:hAnsi="Times New Roman"/>
          <w:lang w:eastAsia="zh-CN"/>
        </w:rPr>
        <w:tab/>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rsidR="0031490F" w:rsidRDefault="0031490F" w:rsidP="0031490F">
      <w:pPr>
        <w:tabs>
          <w:tab w:val="left" w:pos="227"/>
          <w:tab w:val="left" w:pos="284"/>
          <w:tab w:val="left" w:pos="567"/>
        </w:tabs>
        <w:spacing w:after="0" w:line="240" w:lineRule="auto"/>
        <w:rPr>
          <w:rFonts w:ascii="Times New Roman" w:eastAsia="SimSun" w:hAnsi="Times New Roman"/>
          <w:lang w:eastAsia="zh-CN"/>
        </w:rPr>
      </w:pPr>
    </w:p>
    <w:p w:rsidR="0031490F" w:rsidRDefault="0031490F" w:rsidP="0031490F">
      <w:pPr>
        <w:tabs>
          <w:tab w:val="left" w:pos="227"/>
          <w:tab w:val="left" w:pos="284"/>
          <w:tab w:val="left" w:pos="567"/>
        </w:tabs>
        <w:spacing w:after="0" w:line="240" w:lineRule="auto"/>
        <w:ind w:left="284" w:hanging="284"/>
        <w:rPr>
          <w:rFonts w:ascii="Times New Roman" w:eastAsia="SimSun" w:hAnsi="Times New Roman"/>
          <w:b/>
          <w:lang w:eastAsia="zh-CN"/>
        </w:rPr>
      </w:pPr>
      <w:r w:rsidRPr="00366C6D">
        <w:rPr>
          <w:rFonts w:ascii="Times New Roman" w:eastAsia="SimSun" w:hAnsi="Times New Roman"/>
          <w:b/>
          <w:lang w:eastAsia="zh-CN"/>
        </w:rPr>
        <w:t>2 pav.</w:t>
      </w:r>
      <w:r w:rsidRPr="00340F0C">
        <w:rPr>
          <w:rFonts w:ascii="Times New Roman" w:eastAsia="SimSun" w:hAnsi="Times New Roman"/>
          <w:b/>
          <w:lang w:eastAsia="zh-CN"/>
        </w:rPr>
        <w:t xml:space="preserve"> </w:t>
      </w:r>
      <w:r w:rsidRPr="00366C6D">
        <w:rPr>
          <w:rFonts w:ascii="Times New Roman" w:eastAsia="SimSun" w:hAnsi="Times New Roman"/>
          <w:b/>
          <w:lang w:eastAsia="zh-CN"/>
        </w:rPr>
        <w:tab/>
        <w:t>Bendrojo išgyvenamumo duomenys, Kaplan-Meier kreivė (ITT populiacija)</w:t>
      </w:r>
    </w:p>
    <w:p w:rsidR="0031490F" w:rsidRDefault="0031490F" w:rsidP="0031490F">
      <w:pPr>
        <w:tabs>
          <w:tab w:val="left" w:pos="227"/>
          <w:tab w:val="left" w:pos="284"/>
          <w:tab w:val="left" w:pos="567"/>
        </w:tabs>
        <w:spacing w:after="0" w:line="240" w:lineRule="auto"/>
        <w:ind w:left="284" w:hanging="284"/>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hAnsi="Times New Roman"/>
          <w:noProof/>
          <w:lang w:eastAsia="lt-LT"/>
        </w:rPr>
        <w:lastRenderedPageBreak/>
        <w:drawing>
          <wp:inline distT="0" distB="0" distL="0" distR="0" wp14:anchorId="7A80C6C9" wp14:editId="39570821">
            <wp:extent cx="5762625" cy="23907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DFSP klinikiniai tyrimai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II fazės, atvirame, daugiacentriniame, klinikiniame tyrime (tyrimas B2225) dalyvavo 12 DFSP sergančių pacientų, vartojusių 800 mg </w:t>
      </w:r>
      <w:r>
        <w:rPr>
          <w:rFonts w:ascii="Times New Roman" w:eastAsia="SimSun" w:hAnsi="Times New Roman"/>
          <w:lang w:eastAsia="zh-CN"/>
        </w:rPr>
        <w:t>Imatinib Synthon</w:t>
      </w:r>
      <w:r w:rsidRPr="00340F0C">
        <w:rPr>
          <w:rFonts w:ascii="Times New Roman" w:eastAsia="SimSun" w:hAnsi="Times New Roman"/>
          <w:lang w:eastAsia="zh-CN"/>
        </w:rPr>
        <w:t xml:space="preserve">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w:t>
      </w:r>
      <w:r>
        <w:rPr>
          <w:rFonts w:ascii="Times New Roman" w:eastAsia="SimSun" w:hAnsi="Times New Roman"/>
          <w:lang w:eastAsia="zh-CN"/>
        </w:rPr>
        <w:t>Imatinib Synthon</w:t>
      </w:r>
      <w:r w:rsidRPr="00340F0C">
        <w:rPr>
          <w:rFonts w:ascii="Times New Roman" w:eastAsia="SimSun" w:hAnsi="Times New Roman"/>
          <w:lang w:eastAsia="zh-CN"/>
        </w:rPr>
        <w:t xml:space="preserve">per parą. Penkiems (5) pacientams buvo gautas atsakas, 3 – pilnas, o 2 - dalinis. Literatūroje skelbtų atvejų gydymo trukmės mediana buvo nuo 4 savaičių iki daugiau kaip 20 mėnesių. Translokacija t(17:22)[(q22:q13)] arba jos genų produktas buvo beveik visuose atsakuose į </w:t>
      </w:r>
      <w:r>
        <w:rPr>
          <w:rFonts w:ascii="Times New Roman" w:eastAsia="SimSun" w:hAnsi="Times New Roman"/>
          <w:lang w:eastAsia="zh-CN"/>
        </w:rPr>
        <w:t>Imatinib Synthon</w:t>
      </w:r>
      <w:r w:rsidRPr="00340F0C">
        <w:rPr>
          <w:rFonts w:ascii="Times New Roman" w:eastAsia="SimSun" w:hAnsi="Times New Roman"/>
          <w:lang w:eastAsia="zh-CN"/>
        </w:rPr>
        <w:t xml:space="preserve">terapiją.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iki 520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dalinis ir (arba) visiškas atsakas.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5.2</w:t>
      </w:r>
      <w:r w:rsidRPr="00340F0C">
        <w:rPr>
          <w:rFonts w:ascii="Times New Roman" w:eastAsia="SimSun" w:hAnsi="Times New Roman"/>
          <w:b/>
        </w:rPr>
        <w:tab/>
        <w:t>Farmakokinetinės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Imatinibo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farmakokinetika tirta vartojant nuo 25 mg iki 1 000 mg dozes. Plazmos farmakokinetikos pobūdis buvo tiriamas 1-ąją dieną ir 7-ąją arba 28-ąją dieną, kai koncentracija plazmoje pasidaro </w:t>
      </w:r>
      <w:r w:rsidRPr="00340F0C">
        <w:rPr>
          <w:rFonts w:ascii="Times New Roman" w:eastAsia="SimSun" w:hAnsi="Times New Roman"/>
          <w:lang w:eastAsia="zh-CN"/>
        </w:rPr>
        <w:lastRenderedPageBreak/>
        <w:t>pastovi.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Absorbcija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sumažėja 11% ir t</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Pasiskirstymas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susidaro kliniškai reikšminga imatinibo koncentracija, apie 95% vaistinio preparato jungiasi su plazmos baltymais (pagal eksperimentus </w:t>
      </w:r>
      <w:r w:rsidRPr="00340F0C">
        <w:rPr>
          <w:rFonts w:ascii="Times New Roman" w:eastAsia="SimSun" w:hAnsi="Times New Roman"/>
          <w:i/>
          <w:iCs/>
          <w:lang w:eastAsia="zh-CN"/>
        </w:rPr>
        <w:t>in vitro</w:t>
      </w:r>
      <w:r w:rsidRPr="00340F0C">
        <w:rPr>
          <w:rFonts w:ascii="Times New Roman" w:eastAsia="SimSun" w:hAnsi="Times New Roman"/>
          <w:lang w:eastAsia="zh-CN"/>
        </w:rPr>
        <w:t>), daugiausia su albuminu ir alfa rūgščiuoju glikoproteinu ir labai mažai su lipoproteinu.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Biotransformacija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Pagrindinis cirkuliuojantis metabolitas žmogaus organizme yra N-demetilintas piperazino derivatas, kuris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ir N-demetilintas metabolitas kartu sudaro 65% cirkuliuojančio radioaktyvumo (AUC</w:t>
      </w:r>
      <w:r w:rsidRPr="00340F0C">
        <w:rPr>
          <w:rFonts w:ascii="Times New Roman" w:eastAsia="SimSun" w:hAnsi="Times New Roman"/>
          <w:vertAlign w:val="subscript"/>
          <w:lang w:eastAsia="zh-CN"/>
        </w:rPr>
        <w:t>(0-48h)</w:t>
      </w:r>
      <w:r w:rsidRPr="00340F0C">
        <w:rPr>
          <w:rFonts w:ascii="Times New Roman" w:eastAsia="SimSun" w:hAnsi="Times New Roman"/>
          <w:lang w:eastAsia="zh-CN"/>
        </w:rPr>
        <w:t>). Kitas cirkuliuojantis radioaktyvumas priklauso nuo kelių mažesnių metabolitų.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Tyrimai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Eliminacija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Plazmos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GIST pacientų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w:t>
      </w:r>
      <w:r w:rsidRPr="00340F0C">
        <w:rPr>
          <w:rFonts w:ascii="Times New Roman" w:eastAsia="SimSun" w:hAnsi="Times New Roman"/>
          <w:lang w:eastAsia="zh-CN"/>
        </w:rPr>
        <w:lastRenderedPageBreak/>
        <w:t>susilpnėjusį metabolizmą.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Populiacijos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Abiejų I ir II fazės tyrimų metu nustatyta, kad vaikų, kaip ir suaugusiųjų, organizme išgertas imatinibas greitai absorbuojamas. Skiriant vaikams po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ir po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gauta tokia pat ekspozicija kaip ir suaugusiesiems skiriant atitinkamai po 400 mg ir 600 mg per parą. Lyginant AUC</w:t>
      </w:r>
      <w:r w:rsidRPr="00340F0C">
        <w:rPr>
          <w:rFonts w:ascii="Times New Roman" w:eastAsia="SimSun" w:hAnsi="Times New Roman"/>
          <w:vertAlign w:val="subscript"/>
          <w:lang w:eastAsia="zh-CN"/>
        </w:rPr>
        <w:t>(0-24)</w:t>
      </w:r>
      <w:r w:rsidRPr="00340F0C">
        <w:rPr>
          <w:rFonts w:ascii="Times New Roman" w:eastAsia="SimSun" w:hAnsi="Times New Roman"/>
          <w:lang w:eastAsia="zh-CN"/>
        </w:rPr>
        <w:t xml:space="preserve"> 8-ąją ir 1-ąją dienomis, nustatyta, kad vartojant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dozę būna 1,7 karto didesnė vaistinio preparato akumuliacija po kartotinio vieną kartą per parą dozavimo.</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dozę kartą per parą (neviršijant 400 mg kartą per parą) arba po 340 mg/m</w:t>
      </w:r>
      <w:r w:rsidRPr="00366C6D">
        <w:rPr>
          <w:rFonts w:ascii="Times New Roman" w:eastAsia="SimSun" w:hAnsi="Times New Roman"/>
          <w:vertAlign w:val="superscript"/>
          <w:lang w:eastAsia="zh-CN"/>
        </w:rPr>
        <w:t>2</w:t>
      </w:r>
      <w:r w:rsidRPr="00340F0C">
        <w:rPr>
          <w:rFonts w:ascii="Times New Roman" w:eastAsia="SimSun" w:hAnsi="Times New Roman"/>
          <w:lang w:eastAsia="zh-CN"/>
        </w:rPr>
        <w:t xml:space="preserve"> dozę kartą per parą (neviršijant 600 mg kartą per parą), buvo panaši kaip ekspozicija suaugusiųjų organizmuose, kai suaugusiesiems buvo skiriama po 400 mg arba 600 mg imatinibo dozę kartą per parą.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Organų funkcijos sutrikimas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b/>
          <w:lang w:eastAsia="zh-CN"/>
        </w:rPr>
      </w:pPr>
      <w:r w:rsidRPr="00340F0C">
        <w:rPr>
          <w:rFonts w:ascii="Times New Roman" w:eastAsia="SimSun" w:hAnsi="Times New Roman"/>
          <w:b/>
          <w:lang w:eastAsia="zh-CN"/>
        </w:rPr>
        <w:t>5.3</w:t>
      </w:r>
      <w:r w:rsidRPr="00340F0C">
        <w:rPr>
          <w:rFonts w:ascii="Times New Roman" w:eastAsia="SimSun" w:hAnsi="Times New Roman"/>
          <w:b/>
          <w:lang w:eastAsia="zh-CN"/>
        </w:rPr>
        <w:tab/>
        <w:t>Ikiklinikinių saugumo tyrimų duomenys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Ikiklinikinis imatinibo saugumo pobūdis įvertintas žiurkėms, šunims, beždžionėms ir triušiams.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Kartotinių dozių toksiškumo tyrimai atskleidė nesunkių ar vidutinio sunkumo hematologinių pokyčių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žiurkėms, šunims ir beždžionėms bei kaulų čiulpų pokyčių žiurkėms ir šunims.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340F0C">
        <w:rPr>
          <w:rFonts w:ascii="Times New Roman" w:hAnsi="Times New Roman"/>
          <w:u w:val="single"/>
          <w:lang w:eastAsia="zh-CN"/>
        </w:rPr>
        <w:t>&gt; </w:t>
      </w:r>
      <w:r w:rsidRPr="00340F0C">
        <w:rPr>
          <w:rFonts w:ascii="Times New Roman" w:eastAsia="SimSun" w:hAnsi="Times New Roman"/>
          <w:lang w:eastAsia="zh-CN"/>
        </w:rPr>
        <w:t>6 mg/kg dozę, stebėta inkstų spenelių ir šlapimo pūslės pereinamojo epitelio hiperplazija be serumo ar šlapimo rodiklių pokyčių. Ilgai gydomiems imatinibu gyvūnams stebėtas padidėjęs oportunistinių infekcijų dažnis.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nebuvo genotoksiškas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atliekant bakterijų ląstelių testus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testus),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tyrimus (pelių limfomos) ir </w:t>
      </w:r>
      <w:r w:rsidRPr="00340F0C">
        <w:rPr>
          <w:rFonts w:ascii="Times New Roman" w:eastAsia="SimSun" w:hAnsi="Times New Roman"/>
          <w:i/>
          <w:iCs/>
          <w:lang w:eastAsia="zh-CN"/>
        </w:rPr>
        <w:t xml:space="preserve">in vivo </w:t>
      </w:r>
      <w:r w:rsidRPr="00340F0C">
        <w:rPr>
          <w:rFonts w:ascii="Times New Roman" w:eastAsia="SimSun" w:hAnsi="Times New Roman"/>
          <w:iCs/>
          <w:lang w:eastAsia="zh-CN"/>
        </w:rPr>
        <w:t>ž</w:t>
      </w:r>
      <w:r w:rsidRPr="00340F0C">
        <w:rPr>
          <w:rFonts w:ascii="Times New Roman" w:eastAsia="SimSun" w:hAnsi="Times New Roman"/>
          <w:lang w:eastAsia="zh-CN"/>
        </w:rPr>
        <w:t xml:space="preserve">iurkių mikrobranduolių testus. Teigiamas imatinibo genotoksinis poveikis stebėtas atliekant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testų metu. Vienas šių tarpinių produktų buvo teigiamas pelių limfomos tyrimų metu.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340F0C">
        <w:rPr>
          <w:rFonts w:ascii="Times New Roman" w:hAnsi="Times New Roman"/>
          <w:u w:val="single"/>
          <w:lang w:eastAsia="zh-CN"/>
        </w:rPr>
        <w:t>&gt; </w:t>
      </w:r>
      <w:r w:rsidRPr="00340F0C">
        <w:rPr>
          <w:rFonts w:ascii="Times New Roman" w:eastAsia="SimSun" w:hAnsi="Times New Roman"/>
          <w:lang w:eastAsia="zh-C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Geriamojo vaistinio preparato prenatalinės ir ponatalinės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Dvejų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žiurkių kancerogeniškumo tyrimų radinių reikšmė ir mechanizmas žmonėms dar neaiškus.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Ankstesniuose tyrimuose nebuvo registruota kitų, ne neoplastinių širdies ir kraujagyslių sistemos,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kasos, endokrininių liaukų ir dantų pažeidimų. Svarbiausi pakitimai buvo širdies hipertrofija ir išsiplėtimas, dėl ko kai kuriems gyvūnėliams pasireiškė širdies nepakankamumo simptomai.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Nustatyta, kad veiklioji medžiaga imatinibas kelia pavojų nuosėdose aptinkamiems organizmams.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FARMACINĖ INFORMACIJA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6.1</w:t>
      </w:r>
      <w:r w:rsidRPr="00340F0C">
        <w:rPr>
          <w:rFonts w:ascii="Times New Roman" w:eastAsia="SimSun" w:hAnsi="Times New Roman"/>
          <w:b/>
        </w:rPr>
        <w:tab/>
        <w:t>Pagalbinių medžiagų sąrašas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 xml:space="preserve">Tabletės šerdis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Koloidinis bevandenis silicio dioksidas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Mikrokristalinė celiuliozė (E460)</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Krospovidonas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Hipromeliozė (E464)</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Magnio stearatas (E572)</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Tabletės plėvelė</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Polivinilo alkoholis (E1203)</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Makrogolis 3350 (E1521)</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Talkas (E553b)</w:t>
      </w:r>
    </w:p>
    <w:p w:rsidR="0031490F" w:rsidRPr="00340F0C"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Geltonasis geležies oksidas (E172) </w:t>
      </w:r>
    </w:p>
    <w:p w:rsidR="0031490F" w:rsidRPr="00340F0C"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Raudonasis geležies oksidas (E172)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Titano dioksidas (E171)</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6.2</w:t>
      </w:r>
      <w:r w:rsidRPr="00340F0C">
        <w:rPr>
          <w:rFonts w:ascii="Times New Roman" w:eastAsia="SimSun" w:hAnsi="Times New Roman"/>
          <w:b/>
        </w:rPr>
        <w:tab/>
        <w:t>Nesuderinamumas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Duomenys nebūtini.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6.3</w:t>
      </w:r>
      <w:r w:rsidRPr="00340F0C">
        <w:rPr>
          <w:rFonts w:ascii="Times New Roman" w:eastAsia="SimSun" w:hAnsi="Times New Roman"/>
          <w:b/>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 metai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6.4</w:t>
      </w:r>
      <w:r w:rsidRPr="00340F0C">
        <w:rPr>
          <w:rFonts w:ascii="Times New Roman" w:eastAsia="SimSun" w:hAnsi="Times New Roman"/>
          <w:b/>
        </w:rPr>
        <w:tab/>
        <w:t>Specialios laikymo sąlygos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žemesnėje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Pr>
          <w:rFonts w:ascii="Times New Roman" w:eastAsia="SimSun" w:hAnsi="Times New Roman"/>
          <w:lang w:eastAsia="zh-CN"/>
        </w:rPr>
        <w:t xml:space="preserve"> </w:t>
      </w:r>
      <w:r w:rsidRPr="0022585D">
        <w:rPr>
          <w:rFonts w:ascii="Times New Roman" w:hAnsi="Times New Roman"/>
          <w:noProof/>
        </w:rPr>
        <w:t>kad preparatas būtų apsaugotas nuo drėgmės</w:t>
      </w:r>
      <w:r w:rsidRPr="00340F0C">
        <w:rPr>
          <w:rFonts w:ascii="Times New Roman" w:eastAsia="SimSun" w:hAnsi="Times New Roman"/>
          <w:lang w:eastAsia="zh-CN"/>
        </w:rPr>
        <w:t>.</w:t>
      </w:r>
    </w:p>
    <w:p w:rsidR="0031490F" w:rsidRPr="009D1353" w:rsidRDefault="0031490F" w:rsidP="0031490F">
      <w:pPr>
        <w:keepNext/>
        <w:tabs>
          <w:tab w:val="left" w:pos="567"/>
        </w:tabs>
        <w:spacing w:after="0" w:line="240" w:lineRule="auto"/>
        <w:jc w:val="both"/>
        <w:outlineLvl w:val="3"/>
        <w:rPr>
          <w:rFonts w:ascii="Times New Roman" w:hAnsi="Times New Roman"/>
          <w:b/>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6.5</w:t>
      </w:r>
      <w:r w:rsidRPr="00340F0C">
        <w:rPr>
          <w:rFonts w:ascii="Times New Roman" w:eastAsia="SimSun" w:hAnsi="Times New Roman"/>
          <w:b/>
        </w:rPr>
        <w:tab/>
      </w:r>
      <w:r w:rsidRPr="00340F0C">
        <w:rPr>
          <w:rFonts w:ascii="Times New Roman" w:eastAsia="SimSun" w:hAnsi="Times New Roman"/>
          <w:b/>
          <w:bCs/>
        </w:rPr>
        <w:t>Talpyklės pobūdis ir jos turinys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PVC/aliuminio lizdinės plokštelės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PVC/PE/PVDC/aliuminio lizdinės plokštelės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jc w:val="both"/>
        <w:rPr>
          <w:rFonts w:ascii="Times New Roman" w:hAnsi="Times New Roman"/>
          <w:lang w:eastAsia="en-GB"/>
        </w:rPr>
      </w:pPr>
      <w:r w:rsidRPr="00340F0C">
        <w:rPr>
          <w:rFonts w:ascii="Times New Roman" w:hAnsi="Times New Roman"/>
          <w:lang w:eastAsia="en-GB"/>
        </w:rPr>
        <w:t xml:space="preserve">Pakuotėje yra 20, 30, 60, 90, 100, 120 arba 180 plėvele dengtų tablečių </w:t>
      </w:r>
    </w:p>
    <w:p w:rsidR="0031490F" w:rsidRPr="00340F0C" w:rsidRDefault="0031490F" w:rsidP="0031490F">
      <w:pPr>
        <w:spacing w:after="0" w:line="240" w:lineRule="auto"/>
        <w:jc w:val="both"/>
        <w:rPr>
          <w:rFonts w:ascii="Times New Roman" w:hAnsi="Times New Roman"/>
          <w:noProof/>
          <w:lang w:eastAsia="en-GB"/>
        </w:rPr>
      </w:pPr>
      <w:r w:rsidRPr="00340F0C">
        <w:rPr>
          <w:rFonts w:ascii="Times New Roman" w:hAnsi="Times New Roman"/>
          <w:lang w:eastAsia="en-GB"/>
        </w:rPr>
        <w:t xml:space="preserve">Vienadozėse pakuotėse gydymo įstaigoms: po 20 x 1, 30 x 1, 60 x 1, 90 x 1, 100 x 1, 120 x 1 arba 180 x 1 </w:t>
      </w:r>
      <w:r w:rsidRPr="00340F0C">
        <w:rPr>
          <w:rFonts w:ascii="Times New Roman" w:hAnsi="Times New Roman"/>
          <w:noProof/>
          <w:lang w:eastAsia="en-GB"/>
        </w:rPr>
        <w:t>plėvele dengtų tablečių.</w:t>
      </w:r>
    </w:p>
    <w:p w:rsidR="0031490F" w:rsidRPr="00340F0C" w:rsidRDefault="0031490F" w:rsidP="0031490F">
      <w:pPr>
        <w:spacing w:after="0" w:line="240" w:lineRule="auto"/>
        <w:jc w:val="both"/>
        <w:rPr>
          <w:rFonts w:ascii="Times New Roman" w:hAnsi="Times New Roman"/>
          <w:lang w:eastAsia="en-GB"/>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bookmarkStart w:id="0" w:name="OLE_LINK1"/>
      <w:r w:rsidRPr="00340F0C">
        <w:rPr>
          <w:rFonts w:ascii="Times New Roman" w:eastAsia="SimSun" w:hAnsi="Times New Roman"/>
          <w:b/>
        </w:rPr>
        <w:t>6.6</w:t>
      </w:r>
      <w:r w:rsidRPr="00340F0C">
        <w:rPr>
          <w:rFonts w:ascii="Times New Roman" w:eastAsia="SimSun" w:hAnsi="Times New Roman"/>
          <w:b/>
        </w:rPr>
        <w:tab/>
        <w:t>Specialūs reikalavimai atliekoms tvarkyti</w:t>
      </w:r>
    </w:p>
    <w:bookmarkEnd w:id="0"/>
    <w:p w:rsidR="0031490F" w:rsidRPr="00340F0C" w:rsidRDefault="0031490F" w:rsidP="0031490F">
      <w:pPr>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t>Specialių reikalavimų nėra.</w:t>
      </w:r>
    </w:p>
    <w:p w:rsidR="0031490F" w:rsidRPr="00340F0C" w:rsidRDefault="0031490F" w:rsidP="0031490F">
      <w:pPr>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7.</w:t>
      </w:r>
      <w:r w:rsidRPr="00340F0C">
        <w:rPr>
          <w:rFonts w:ascii="Times New Roman" w:eastAsia="SimSun" w:hAnsi="Times New Roman"/>
          <w:b/>
          <w:bCs/>
          <w:lang w:eastAsia="zh-CN"/>
        </w:rPr>
        <w:tab/>
        <w:t>RINKODAROS TEISĖS TURĖTOJAS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104BB2" w:rsidRDefault="0031490F" w:rsidP="0031490F">
      <w:pPr>
        <w:spacing w:after="0" w:line="240" w:lineRule="auto"/>
        <w:rPr>
          <w:rFonts w:ascii="Times New Roman" w:hAnsi="Times New Roman"/>
        </w:rPr>
      </w:pPr>
      <w:r w:rsidRPr="00104BB2">
        <w:rPr>
          <w:rFonts w:ascii="Times New Roman" w:hAnsi="Times New Roman"/>
        </w:rPr>
        <w:lastRenderedPageBreak/>
        <w:t>Synthon BV</w:t>
      </w:r>
    </w:p>
    <w:p w:rsidR="0031490F" w:rsidRPr="00104BB2" w:rsidRDefault="0031490F" w:rsidP="0031490F">
      <w:pPr>
        <w:spacing w:after="0" w:line="240" w:lineRule="auto"/>
        <w:rPr>
          <w:rFonts w:ascii="Times New Roman" w:hAnsi="Times New Roman"/>
        </w:rPr>
      </w:pPr>
      <w:r w:rsidRPr="00104BB2">
        <w:rPr>
          <w:rFonts w:ascii="Times New Roman" w:hAnsi="Times New Roman"/>
        </w:rPr>
        <w:t xml:space="preserve">Microweg 22 </w:t>
      </w:r>
    </w:p>
    <w:p w:rsidR="0031490F" w:rsidRPr="00104BB2" w:rsidRDefault="0031490F" w:rsidP="0031490F">
      <w:pPr>
        <w:spacing w:after="0" w:line="240" w:lineRule="auto"/>
        <w:rPr>
          <w:rFonts w:ascii="Times New Roman" w:hAnsi="Times New Roman"/>
        </w:rPr>
      </w:pPr>
      <w:r w:rsidRPr="00104BB2">
        <w:rPr>
          <w:rFonts w:ascii="Times New Roman" w:hAnsi="Times New Roman"/>
        </w:rPr>
        <w:t>6545 CM Nijmegen</w:t>
      </w:r>
    </w:p>
    <w:p w:rsidR="0031490F" w:rsidRPr="00104BB2" w:rsidRDefault="0031490F" w:rsidP="0031490F">
      <w:pPr>
        <w:spacing w:after="0" w:line="240" w:lineRule="auto"/>
        <w:rPr>
          <w:rFonts w:ascii="Times New Roman" w:hAnsi="Times New Roman"/>
        </w:rPr>
      </w:pPr>
      <w:r w:rsidRPr="00104BB2">
        <w:rPr>
          <w:rFonts w:ascii="Times New Roman" w:hAnsi="Times New Roman"/>
        </w:rPr>
        <w:t>Nyderlandai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8.</w:t>
      </w:r>
      <w:r w:rsidRPr="00340F0C">
        <w:rPr>
          <w:rFonts w:ascii="Times New Roman" w:eastAsia="SimSun" w:hAnsi="Times New Roman"/>
          <w:b/>
          <w:bCs/>
          <w:lang w:eastAsia="zh-CN"/>
        </w:rPr>
        <w:tab/>
        <w:t xml:space="preserve">RINKODAROS PAŽYMĖJIMO NUMERIS (-IAI)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922B02" w:rsidRDefault="0031490F" w:rsidP="0031490F">
      <w:pPr>
        <w:tabs>
          <w:tab w:val="left" w:pos="567"/>
        </w:tabs>
        <w:spacing w:after="0" w:line="240" w:lineRule="auto"/>
        <w:rPr>
          <w:rFonts w:ascii="Times New Roman" w:eastAsia="SimSun" w:hAnsi="Times New Roman"/>
          <w:u w:val="single"/>
          <w:lang w:eastAsia="zh-CN"/>
        </w:rPr>
      </w:pPr>
      <w:r w:rsidRPr="00922B02">
        <w:rPr>
          <w:rFonts w:ascii="Times New Roman" w:eastAsia="SimSun" w:hAnsi="Times New Roman"/>
          <w:u w:val="single"/>
          <w:lang w:eastAsia="zh-CN"/>
        </w:rPr>
        <w:t>Lizdinė plokštelė:</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N20 – LT/1/13/3317/001</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N30 – LT/1/13/3317/002</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 – LT/1/13/3317/003</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 – LT/1/13/3317/004</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N100 – LT/1/13/3317/005</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N120 – LT/1/13/3317/006</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N180 – LT/1/13/3317/007</w:t>
      </w:r>
    </w:p>
    <w:p w:rsidR="0031490F" w:rsidRPr="00922B02" w:rsidRDefault="0031490F" w:rsidP="0031490F">
      <w:pPr>
        <w:tabs>
          <w:tab w:val="left" w:pos="567"/>
        </w:tabs>
        <w:spacing w:after="0" w:line="240" w:lineRule="auto"/>
        <w:rPr>
          <w:rFonts w:ascii="Times New Roman" w:eastAsia="SimSun" w:hAnsi="Times New Roman"/>
          <w:u w:val="single"/>
          <w:lang w:eastAsia="zh-CN"/>
        </w:rPr>
      </w:pPr>
      <w:r w:rsidRPr="00922B02">
        <w:rPr>
          <w:rFonts w:ascii="Times New Roman" w:eastAsia="SimSun" w:hAnsi="Times New Roman"/>
          <w:u w:val="single"/>
          <w:lang w:eastAsia="zh-CN"/>
        </w:rPr>
        <w:t>Vienadozė lizdinė plokštelė gydymo įstaigai:</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N20x1 – LT/1/13/3317/008</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N30x1 – LT/1/13/3317/009</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N60x1 – LT/1/13/3317/010</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N90x1 – LT/1/13/3317/011</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N100x1 – LT/1/13/3317/012</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N120x1 – LT/1/13/3317/013</w:t>
      </w:r>
    </w:p>
    <w:p w:rsidR="0031490F" w:rsidRPr="00922B02" w:rsidRDefault="0031490F" w:rsidP="0031490F">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N180x1 – LT/1/13/3317/014</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9.</w:t>
      </w:r>
      <w:r w:rsidRPr="00340F0C">
        <w:rPr>
          <w:rFonts w:ascii="Times New Roman" w:eastAsia="SimSun" w:hAnsi="Times New Roman"/>
          <w:b/>
          <w:bCs/>
          <w:lang w:eastAsia="zh-CN"/>
        </w:rPr>
        <w:tab/>
        <w:t>RINKODAROS TEISĖS SUTEIKIMO / ATNAUJINIMO DATA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Rinkodaros teisė pirmą suteikta 2013 m. balandžio mėn. 26 d.</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10.</w:t>
      </w:r>
      <w:r w:rsidRPr="00340F0C">
        <w:rPr>
          <w:rFonts w:ascii="Times New Roman" w:eastAsia="SimSun" w:hAnsi="Times New Roman"/>
          <w:b/>
          <w:bCs/>
          <w:lang w:eastAsia="zh-CN"/>
        </w:rPr>
        <w:tab/>
        <w:t>TEKSTO PERŽIŪROS DATA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2015 12 11</w:t>
      </w:r>
    </w:p>
    <w:p w:rsidR="0031490F"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rsidR="0031490F" w:rsidRPr="00340F0C" w:rsidRDefault="0031490F" w:rsidP="0031490F">
      <w:pPr>
        <w:tabs>
          <w:tab w:val="left" w:pos="567"/>
          <w:tab w:val="left" w:pos="5954"/>
          <w:tab w:val="left" w:pos="6237"/>
          <w:tab w:val="left" w:pos="6663"/>
          <w:tab w:val="left" w:pos="6946"/>
        </w:tabs>
        <w:spacing w:after="0" w:line="240" w:lineRule="auto"/>
        <w:jc w:val="center"/>
        <w:rPr>
          <w:rFonts w:ascii="Times New Roman" w:eastAsia="SimSun" w:hAnsi="Times New Roman"/>
        </w:rPr>
      </w:pPr>
      <w:r w:rsidRPr="00340F0C">
        <w:rPr>
          <w:rFonts w:ascii="Times New Roman" w:eastAsia="SimSun" w:hAnsi="Times New Roman"/>
          <w:b/>
        </w:rPr>
        <w:br w:type="page"/>
      </w: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lastRenderedPageBreak/>
        <w:t>1.</w:t>
      </w:r>
      <w:r w:rsidRPr="00340F0C">
        <w:rPr>
          <w:rFonts w:ascii="Times New Roman" w:eastAsia="SimSun" w:hAnsi="Times New Roman"/>
          <w:b/>
          <w:bCs/>
          <w:lang w:eastAsia="zh-CN"/>
        </w:rPr>
        <w:tab/>
        <w:t>VAISTINIO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 plėvele dengtos tabletės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KOKYBINĖ IR KIEKYBINĖ SUDĖTIS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400 mg imatinibo (mesilato pavidalu).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Visos pagalbinės medžiagos išvardytos 6.1 skyriuje.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FARMACINĖ FORMA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Plėvele dengta tabletė (tabletė)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Ruda, pailga (10 x 18 mm), abipus išgaubta tabletė su įspaudu „I9AB 400“ vienoje pusėje.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KLINIKINĖ INFORMACIJA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4.1</w:t>
      </w:r>
      <w:r w:rsidRPr="00340F0C">
        <w:rPr>
          <w:rFonts w:ascii="Times New Roman" w:eastAsia="SimSun" w:hAnsi="Times New Roman"/>
          <w:b/>
        </w:rPr>
        <w:tab/>
        <w:t>Terapinės indikacijos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skiriama gydyti:</w:t>
      </w:r>
    </w:p>
    <w:p w:rsidR="0031490F" w:rsidRPr="00340F0C" w:rsidRDefault="0031490F" w:rsidP="0031490F">
      <w:pPr>
        <w:pStyle w:val="Sraopastraipa"/>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naujai diagnozuota Filadelfijos (</w:t>
      </w:r>
      <w:r w:rsidRPr="00340F0C">
        <w:rPr>
          <w:rFonts w:ascii="Times New Roman" w:eastAsia="SimSun" w:hAnsi="Times New Roman"/>
          <w:i/>
          <w:lang w:eastAsia="zh-CN"/>
        </w:rPr>
        <w:t>Philadelphia</w:t>
      </w:r>
      <w:r w:rsidRPr="00340F0C">
        <w:rPr>
          <w:rFonts w:ascii="Times New Roman" w:eastAsia="SimSun" w:hAnsi="Times New Roman"/>
          <w:lang w:eastAsia="zh-CN"/>
        </w:rPr>
        <w:t>) chromosomai (bcr-abl) teigiama (Ph+) lėtinė mieloleukemija (LML) ir kuriems kaulų čiulpų transplantacija nėra pirmo pasirinkimo gydymas;</w:t>
      </w:r>
    </w:p>
    <w:p w:rsidR="0031490F" w:rsidRPr="00340F0C" w:rsidRDefault="0031490F" w:rsidP="0031490F">
      <w:pPr>
        <w:pStyle w:val="Sraopastraipa"/>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yra Ph+ LML lėtinė fazė po neveiksmingo gydymo interferonu alfa arba akceleracijos fazė arba blastinė krizė;</w:t>
      </w:r>
    </w:p>
    <w:p w:rsidR="0031490F" w:rsidRPr="00340F0C" w:rsidRDefault="0031490F" w:rsidP="0031490F">
      <w:pPr>
        <w:pStyle w:val="Sraopastraipa"/>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kuriems yra Ph + LML blastinė krizė;</w:t>
      </w:r>
    </w:p>
    <w:p w:rsidR="0031490F" w:rsidRDefault="0031490F" w:rsidP="0031490F">
      <w:pPr>
        <w:numPr>
          <w:ilvl w:val="0"/>
          <w:numId w:val="23"/>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suaugusi</w:t>
      </w:r>
      <w:r w:rsidRPr="00340F0C">
        <w:rPr>
          <w:rFonts w:ascii="Times New Roman" w:eastAsia="SimSun" w:hAnsi="Times New Roman"/>
          <w:lang w:eastAsia="zh-CN"/>
        </w:rPr>
        <w:t>uosius</w:t>
      </w:r>
      <w:r w:rsidRPr="00366C6D">
        <w:rPr>
          <w:rFonts w:ascii="Times New Roman" w:eastAsia="SimSun" w:hAnsi="Times New Roman"/>
          <w:lang w:eastAsia="zh-CN"/>
        </w:rPr>
        <w:t xml:space="preserve"> ir vaik</w:t>
      </w:r>
      <w:r w:rsidRPr="00340F0C">
        <w:rPr>
          <w:rFonts w:ascii="Times New Roman" w:eastAsia="SimSun" w:hAnsi="Times New Roman"/>
          <w:lang w:eastAsia="zh-CN"/>
        </w:rPr>
        <w:t>us, kuriems</w:t>
      </w:r>
      <w:r w:rsidRPr="00366C6D">
        <w:rPr>
          <w:rFonts w:ascii="Times New Roman" w:eastAsia="SimSun" w:hAnsi="Times New Roman"/>
          <w:lang w:eastAsia="zh-CN"/>
        </w:rPr>
        <w:t xml:space="preserve"> naujai diagnozuot</w:t>
      </w:r>
      <w:r w:rsidRPr="00340F0C">
        <w:rPr>
          <w:rFonts w:ascii="Times New Roman" w:eastAsia="SimSun" w:hAnsi="Times New Roman"/>
          <w:lang w:eastAsia="zh-CN"/>
        </w:rPr>
        <w:t>a</w:t>
      </w:r>
      <w:r w:rsidRPr="00366C6D">
        <w:rPr>
          <w:rFonts w:ascii="Times New Roman" w:eastAsia="SimSun" w:hAnsi="Times New Roman"/>
          <w:lang w:eastAsia="zh-CN"/>
        </w:rPr>
        <w:t xml:space="preserve"> </w:t>
      </w:r>
      <w:r w:rsidRPr="00340F0C">
        <w:rPr>
          <w:rFonts w:ascii="Times New Roman" w:eastAsia="SimSun" w:hAnsi="Times New Roman"/>
          <w:lang w:eastAsia="zh-CN"/>
        </w:rPr>
        <w:t>Filadelfijos (</w:t>
      </w:r>
      <w:r w:rsidRPr="00366C6D">
        <w:rPr>
          <w:rFonts w:ascii="Times New Roman" w:eastAsia="SimSun" w:hAnsi="Times New Roman"/>
          <w:i/>
          <w:lang w:eastAsia="zh-CN"/>
        </w:rPr>
        <w:t>Philadelphia</w:t>
      </w:r>
      <w:r w:rsidRPr="00340F0C">
        <w:rPr>
          <w:rFonts w:ascii="Times New Roman" w:eastAsia="SimSun" w:hAnsi="Times New Roman"/>
          <w:i/>
          <w:lang w:eastAsia="zh-CN"/>
        </w:rPr>
        <w:t>)</w:t>
      </w:r>
      <w:r w:rsidRPr="00366C6D">
        <w:rPr>
          <w:rFonts w:ascii="Times New Roman" w:eastAsia="SimSun" w:hAnsi="Times New Roman"/>
          <w:lang w:eastAsia="zh-CN"/>
        </w:rPr>
        <w:t xml:space="preserve"> chromosomai teigiam</w:t>
      </w:r>
      <w:r w:rsidRPr="00340F0C">
        <w:rPr>
          <w:rFonts w:ascii="Times New Roman" w:eastAsia="SimSun" w:hAnsi="Times New Roman"/>
          <w:lang w:eastAsia="zh-CN"/>
        </w:rPr>
        <w:t>a</w:t>
      </w:r>
      <w:r w:rsidRPr="00366C6D">
        <w:rPr>
          <w:rFonts w:ascii="Times New Roman" w:eastAsia="SimSun" w:hAnsi="Times New Roman"/>
          <w:lang w:eastAsia="zh-CN"/>
        </w:rPr>
        <w:t xml:space="preserve"> ūminė limfoleukemij</w:t>
      </w:r>
      <w:r w:rsidRPr="00340F0C">
        <w:rPr>
          <w:rFonts w:ascii="Times New Roman" w:eastAsia="SimSun" w:hAnsi="Times New Roman"/>
          <w:lang w:eastAsia="zh-CN"/>
        </w:rPr>
        <w:t>a</w:t>
      </w:r>
      <w:r w:rsidRPr="00366C6D">
        <w:rPr>
          <w:rFonts w:ascii="Times New Roman" w:eastAsia="SimSun" w:hAnsi="Times New Roman"/>
          <w:lang w:eastAsia="zh-CN"/>
        </w:rPr>
        <w:t xml:space="preserve"> (Ph+ ŪLL)</w:t>
      </w:r>
      <w:r w:rsidRPr="00340F0C">
        <w:rPr>
          <w:rFonts w:ascii="Times New Roman" w:eastAsia="SimSun" w:hAnsi="Times New Roman"/>
          <w:lang w:eastAsia="zh-CN"/>
        </w:rPr>
        <w:t xml:space="preserve"> kartu su chemoterapija;</w:t>
      </w:r>
    </w:p>
    <w:p w:rsidR="0031490F" w:rsidRDefault="0031490F" w:rsidP="0031490F">
      <w:pPr>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366C6D">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366C6D">
        <w:rPr>
          <w:rFonts w:ascii="Times New Roman" w:eastAsia="SimSun" w:hAnsi="Times New Roman"/>
          <w:lang w:eastAsia="zh-CN"/>
        </w:rPr>
        <w:t>recidyvavusi ar refrakterinė Ph+ŪLL monoterapija</w:t>
      </w:r>
      <w:r w:rsidRPr="00340F0C">
        <w:rPr>
          <w:rFonts w:ascii="Times New Roman" w:eastAsia="SimSun" w:hAnsi="Times New Roman"/>
          <w:lang w:eastAsia="zh-CN"/>
        </w:rPr>
        <w:t>;</w:t>
      </w:r>
    </w:p>
    <w:p w:rsidR="0031490F" w:rsidRDefault="0031490F" w:rsidP="0031490F">
      <w:pPr>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Pr="00366C6D">
        <w:rPr>
          <w:rFonts w:ascii="Times New Roman" w:eastAsia="SimSun" w:hAnsi="Times New Roman"/>
          <w:lang w:eastAsia="zh-CN"/>
        </w:rPr>
        <w:t xml:space="preserve"> mielodisplazin</w:t>
      </w:r>
      <w:r w:rsidRPr="00340F0C">
        <w:rPr>
          <w:rFonts w:ascii="Times New Roman" w:eastAsia="SimSun" w:hAnsi="Times New Roman"/>
          <w:lang w:eastAsia="zh-CN"/>
        </w:rPr>
        <w:t>ėmis</w:t>
      </w:r>
      <w:r w:rsidRPr="00366C6D">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Pr="00366C6D">
        <w:rPr>
          <w:rFonts w:ascii="Times New Roman" w:eastAsia="SimSun" w:hAnsi="Times New Roman"/>
          <w:lang w:eastAsia="zh-CN"/>
        </w:rPr>
        <w:t xml:space="preserve"> lig</w:t>
      </w:r>
      <w:r w:rsidRPr="00340F0C">
        <w:rPr>
          <w:rFonts w:ascii="Times New Roman" w:eastAsia="SimSun" w:hAnsi="Times New Roman"/>
          <w:lang w:eastAsia="zh-CN"/>
        </w:rPr>
        <w:t>omi</w:t>
      </w:r>
      <w:r w:rsidRPr="00366C6D">
        <w:rPr>
          <w:rFonts w:ascii="Times New Roman" w:eastAsia="SimSun" w:hAnsi="Times New Roman"/>
          <w:lang w:eastAsia="zh-CN"/>
        </w:rPr>
        <w:t>s (MDS/MPL), susijusi</w:t>
      </w:r>
      <w:r w:rsidRPr="00340F0C">
        <w:rPr>
          <w:rFonts w:ascii="Times New Roman" w:eastAsia="SimSun" w:hAnsi="Times New Roman"/>
          <w:lang w:eastAsia="zh-CN"/>
        </w:rPr>
        <w:t>omis</w:t>
      </w:r>
      <w:r w:rsidRPr="00366C6D">
        <w:rPr>
          <w:rFonts w:ascii="Times New Roman" w:eastAsia="SimSun" w:hAnsi="Times New Roman"/>
          <w:lang w:eastAsia="zh-CN"/>
        </w:rPr>
        <w:t xml:space="preserve"> su trombocitų kilmės augimo faktoriaus receptoriaus (</w:t>
      </w:r>
      <w:r w:rsidRPr="00366C6D">
        <w:rPr>
          <w:rFonts w:ascii="Times New Roman" w:eastAsia="SimSun" w:hAnsi="Times New Roman"/>
          <w:i/>
          <w:lang w:eastAsia="zh-CN"/>
        </w:rPr>
        <w:t>PDGFR</w:t>
      </w:r>
      <w:r w:rsidRPr="00340F0C">
        <w:rPr>
          <w:rFonts w:ascii="Times New Roman" w:eastAsia="SimSun" w:hAnsi="Times New Roman"/>
          <w:lang w:eastAsia="zh-CN"/>
        </w:rPr>
        <w:t>) genų pakitimais;</w:t>
      </w:r>
    </w:p>
    <w:p w:rsidR="0031490F" w:rsidRDefault="0031490F" w:rsidP="0031490F">
      <w:pPr>
        <w:numPr>
          <w:ilvl w:val="0"/>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366C6D">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366C6D">
        <w:rPr>
          <w:rFonts w:ascii="Times New Roman" w:eastAsia="SimSun" w:hAnsi="Times New Roman"/>
          <w:lang w:eastAsia="zh-CN"/>
        </w:rPr>
        <w:t>progresav</w:t>
      </w:r>
      <w:r w:rsidRPr="00340F0C">
        <w:rPr>
          <w:rFonts w:ascii="Times New Roman" w:eastAsia="SimSun" w:hAnsi="Times New Roman"/>
          <w:lang w:eastAsia="zh-CN"/>
        </w:rPr>
        <w:t>ęs</w:t>
      </w:r>
      <w:r w:rsidRPr="00366C6D">
        <w:rPr>
          <w:rFonts w:ascii="Times New Roman" w:eastAsia="SimSun" w:hAnsi="Times New Roman"/>
          <w:lang w:eastAsia="zh-CN"/>
        </w:rPr>
        <w:t xml:space="preserve"> hipereozinofilijos sindrom</w:t>
      </w:r>
      <w:r w:rsidRPr="00340F0C">
        <w:rPr>
          <w:rFonts w:ascii="Times New Roman" w:eastAsia="SimSun" w:hAnsi="Times New Roman"/>
          <w:lang w:eastAsia="zh-CN"/>
        </w:rPr>
        <w:t>as</w:t>
      </w:r>
      <w:r w:rsidRPr="00366C6D">
        <w:rPr>
          <w:rFonts w:ascii="Times New Roman" w:eastAsia="SimSun" w:hAnsi="Times New Roman"/>
          <w:lang w:eastAsia="zh-CN"/>
        </w:rPr>
        <w:t xml:space="preserve"> (HES) </w:t>
      </w:r>
      <w:r w:rsidRPr="00340F0C">
        <w:rPr>
          <w:rFonts w:ascii="Times New Roman" w:eastAsia="SimSun" w:hAnsi="Times New Roman"/>
          <w:lang w:eastAsia="zh-CN"/>
        </w:rPr>
        <w:t>i</w:t>
      </w:r>
      <w:r w:rsidRPr="00366C6D">
        <w:rPr>
          <w:rFonts w:ascii="Times New Roman" w:eastAsia="SimSun" w:hAnsi="Times New Roman"/>
          <w:lang w:eastAsia="zh-CN"/>
        </w:rPr>
        <w:t>r (arba) lėtin</w:t>
      </w:r>
      <w:r w:rsidRPr="00340F0C">
        <w:rPr>
          <w:rFonts w:ascii="Times New Roman" w:eastAsia="SimSun" w:hAnsi="Times New Roman"/>
          <w:lang w:eastAsia="zh-CN"/>
        </w:rPr>
        <w:t>ė</w:t>
      </w:r>
      <w:r w:rsidRPr="00366C6D">
        <w:rPr>
          <w:rFonts w:ascii="Times New Roman" w:eastAsia="SimSun" w:hAnsi="Times New Roman"/>
          <w:lang w:eastAsia="zh-CN"/>
        </w:rPr>
        <w:t xml:space="preserve"> eozinofilin</w:t>
      </w:r>
      <w:r w:rsidRPr="00340F0C">
        <w:rPr>
          <w:rFonts w:ascii="Times New Roman" w:eastAsia="SimSun" w:hAnsi="Times New Roman"/>
          <w:lang w:eastAsia="zh-CN"/>
        </w:rPr>
        <w:t>ė</w:t>
      </w:r>
      <w:r w:rsidRPr="00366C6D">
        <w:rPr>
          <w:rFonts w:ascii="Times New Roman" w:eastAsia="SimSun" w:hAnsi="Times New Roman"/>
          <w:lang w:eastAsia="zh-CN"/>
        </w:rPr>
        <w:t xml:space="preserve"> leukemij</w:t>
      </w:r>
      <w:r w:rsidRPr="00340F0C">
        <w:rPr>
          <w:rFonts w:ascii="Times New Roman" w:eastAsia="SimSun" w:hAnsi="Times New Roman"/>
          <w:lang w:eastAsia="zh-CN"/>
        </w:rPr>
        <w:t>a</w:t>
      </w:r>
      <w:r w:rsidRPr="00366C6D">
        <w:rPr>
          <w:rFonts w:ascii="Times New Roman" w:eastAsia="SimSun" w:hAnsi="Times New Roman"/>
          <w:lang w:eastAsia="zh-CN"/>
        </w:rPr>
        <w:t xml:space="preserve"> (LEL) su FIP1L1-PDGFR pokyčiu.</w:t>
      </w:r>
    </w:p>
    <w:p w:rsidR="0031490F" w:rsidRPr="00340F0C" w:rsidRDefault="0031490F" w:rsidP="0031490F">
      <w:pPr>
        <w:tabs>
          <w:tab w:val="left" w:pos="567"/>
        </w:tabs>
        <w:spacing w:after="0" w:line="240" w:lineRule="auto"/>
        <w:ind w:left="567" w:hanging="567"/>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Imatinibo poveikis kaulų čiulpų transplantacijos rezultatams nenustatytas.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skiriama: </w:t>
      </w:r>
    </w:p>
    <w:p w:rsidR="0031490F" w:rsidRDefault="0031490F" w:rsidP="0031490F">
      <w:pPr>
        <w:pStyle w:val="Sraopastraipa"/>
        <w:numPr>
          <w:ilvl w:val="0"/>
          <w:numId w:val="15"/>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suaugusiesiems, kuriems yra Kit (CD 117) teigiamas nerezekuotinas ir (ar) metastazavęs piktybinis virškinimo trakto stromos navikas (VTSN), gydyti. </w:t>
      </w:r>
    </w:p>
    <w:p w:rsidR="0031490F" w:rsidRDefault="0031490F" w:rsidP="0031490F">
      <w:pPr>
        <w:pStyle w:val="Sraopastraipa"/>
        <w:numPr>
          <w:ilvl w:val="0"/>
          <w:numId w:val="15"/>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rsidR="0031490F" w:rsidRDefault="0031490F" w:rsidP="0031490F">
      <w:pPr>
        <w:pStyle w:val="Sraopastraipa"/>
        <w:numPr>
          <w:ilvl w:val="0"/>
          <w:numId w:val="15"/>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suaugusiesiems, kuriems yra nerezekuotina iškilioji dermatofibrosarkoma (DFSP) ar, kuriems yra pasikartojanti ir (ar) metastazavusi DFSP ir kurių negalima operuoti.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Suaugusiems pacientams ir vaikams imatinibo veiksmingumas grindžiamas bendru hematologinio ir citologinio atsako dažniu ir gyvenimo trukme be ligos progresavimo, kai yra LML, hematologiniu ir citogenetiniu atsako dažniu, kai yra Ph+ ŪLL, MDS/MPL, hematologiniu atsako dažniu, kai yra HES/LEL, objektyvia atsako dalimi suaugusiųjų pacientų, sergančių nerezekuotinu ir (ar) metastazavusiu VTSN ir DFSP, tarpe ir išgyvenamumo be ligos recidyvo trukme, kai preparato skiriama adjuvantiniam VTSN gydymui. Patirtis gydant </w:t>
      </w:r>
      <w:r>
        <w:rPr>
          <w:rFonts w:ascii="Times New Roman" w:eastAsia="SimSun" w:hAnsi="Times New Roman"/>
          <w:lang w:eastAsia="zh-CN"/>
        </w:rPr>
        <w:t>Imatinib Synthon</w:t>
      </w:r>
      <w:r w:rsidRPr="00340F0C">
        <w:rPr>
          <w:rFonts w:ascii="Times New Roman" w:eastAsia="SimSun" w:hAnsi="Times New Roman"/>
          <w:lang w:eastAsia="zh-CN"/>
        </w:rPr>
        <w:t xml:space="preserve"> pacientus, sergančius MDS/MPL, susijusia su PDGF geno pakitimais yra labai ribota (žr. 5.1 skyrių). Nėra kontroliuojamų </w:t>
      </w:r>
      <w:r w:rsidRPr="00340F0C">
        <w:rPr>
          <w:rFonts w:ascii="Times New Roman" w:eastAsia="SimSun" w:hAnsi="Times New Roman"/>
          <w:lang w:eastAsia="zh-CN"/>
        </w:rPr>
        <w:lastRenderedPageBreak/>
        <w:t>tyrimų, įrodančių klinikinę naudą ar pailgėjusią gyvenimo trukmę, kai yra kuri nors iš šių ligų, išskyrus naujai diagnozuotą lėtinę LML fazę.</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4.2</w:t>
      </w:r>
      <w:r w:rsidRPr="00340F0C">
        <w:rPr>
          <w:rFonts w:ascii="Times New Roman" w:eastAsia="SimSun" w:hAnsi="Times New Roman"/>
          <w:b/>
        </w:rPr>
        <w:tab/>
        <w:t>Dozavimas ir vartojimo metodas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Skirti vaistinį preparatą gali tik gydytojas, turintis patirties, kaip gydyti pacientus, sergančius piktybiniais hematologiniais navikais ar piktybine sarkoma.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skiriamo kitokia dozė nei 400 mg ir 800 mg (žr. dozavimo rekomendaciją žemiau), tiekiama 100 mg tabletė (nedaloma).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Paskirta dozė geriama valgant ir užgeriant didele stikline vandens, kad būtų sumažinta virškinimo trakto dirginimo rizika. 400 mg ar 600 mg dozę vartoti vieną kartą per parą, tuo tarpu 800 mg paros dozę reikėtų vartoti po 400 mg du kartus per parą, ryte ir vakare.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Dozavimas, kai yra suaugusiųjų LML</w:t>
      </w:r>
      <w:r w:rsidRPr="008650B3">
        <w:rPr>
          <w:rFonts w:ascii="Times New Roman" w:eastAsia="SimSun" w:hAnsi="Times New Roman"/>
          <w:u w:val="single"/>
          <w:lang w:eastAsia="zh-CN"/>
        </w:rPr>
        <w:t xml:space="preserve"> </w:t>
      </w:r>
      <w:r>
        <w:rPr>
          <w:rFonts w:ascii="Times New Roman" w:eastAsia="SimSun" w:hAnsi="Times New Roman"/>
          <w:u w:val="single"/>
          <w:lang w:eastAsia="zh-CN"/>
        </w:rPr>
        <w:t>blastine krizė</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Rekomenduojama imatinibo dozė suaugusiems pacientams, kuriems yra blastinė krizė, yra 600 mg per parą. Blastinė krizė diagnozuojama, kai blastų kraujyje ar kaulų čiulpuose ≥ 30% ar yra kitokia negu hepatosplenomegalija ekstramedulinė liga.</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Dozę galima didinti nuo 600 mg iki didžiausios 800 mg dozės (po 400 mg 2 kartus per parą), kai yra blastinė krizė ir nėra sunkių nepageidaujamų vaisto reakcijų ar sunkios su leukemija susijusios neutropenijos ar trombocitopemijos šiais atvejais: 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LML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lėtinė ir progresavusi LML fazė, vaikams rekomenduojama 340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nepasireiškė sunkus nepageidaujamas poveikis ir sunki ne su leukemija susijusi neutropenija arba trombocitopenija, dozė vaikams gali būti didinama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570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Ph+ ŪLL sergantiems suaugusiesiems pacientams rekomenduojama </w:t>
      </w:r>
      <w:r>
        <w:rPr>
          <w:rFonts w:ascii="Times New Roman" w:eastAsia="SimSun" w:hAnsi="Times New Roman"/>
          <w:u w:val="single"/>
          <w:lang w:eastAsia="zh-CN"/>
        </w:rPr>
        <w:t>Imatinib Synthon</w:t>
      </w:r>
      <w:r w:rsidRPr="00340F0C">
        <w:rPr>
          <w:rFonts w:ascii="Times New Roman" w:eastAsia="SimSun" w:hAnsi="Times New Roman"/>
          <w:u w:val="single"/>
          <w:lang w:eastAsia="zh-CN"/>
        </w:rPr>
        <w:t xml:space="preserve"> </w:t>
      </w:r>
      <w:r w:rsidRPr="00340F0C">
        <w:rPr>
          <w:rFonts w:ascii="Times New Roman" w:eastAsia="SimSun" w:hAnsi="Times New Roman"/>
          <w:lang w:eastAsia="zh-CN"/>
        </w:rPr>
        <w:t xml:space="preserve">dozė yra 600 mg per parą. Visų fazių metu gydymui turi vadovauti hematologai, turintys šios ligos gydymo patirties.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planas. Pagal turimus duomenis, </w:t>
      </w:r>
      <w:r>
        <w:rPr>
          <w:rFonts w:ascii="Times New Roman" w:eastAsia="SimSun" w:hAnsi="Times New Roman"/>
          <w:lang w:eastAsia="zh-CN"/>
        </w:rPr>
        <w:t>Imatinib Synthon</w:t>
      </w:r>
      <w:r w:rsidRPr="00340F0C">
        <w:rPr>
          <w:rFonts w:ascii="Times New Roman" w:eastAsia="SimSun" w:hAnsi="Times New Roman"/>
          <w:lang w:eastAsia="zh-CN"/>
        </w:rPr>
        <w:t xml:space="preserve"> 600 mg per parą dozė buvo efektyvi ir saugi kartu su chemoterapiniais preparatais pradinės, dozės didinimo ir palaikomosios chemoterapijos </w:t>
      </w:r>
      <w:r w:rsidRPr="00340F0C">
        <w:rPr>
          <w:rFonts w:ascii="Times New Roman" w:eastAsia="SimSun" w:hAnsi="Times New Roman"/>
          <w:lang w:eastAsia="zh-CN"/>
        </w:rPr>
        <w:lastRenderedPageBreak/>
        <w:t xml:space="preserve">fazės metu (žr. 5.1 skyrių) suaugusiems pacientams, kuriems pirmą kartą diagnozuota Ph+ ŪLL. Gydymo </w:t>
      </w:r>
      <w:r>
        <w:rPr>
          <w:rFonts w:ascii="Times New Roman" w:eastAsia="SimSun" w:hAnsi="Times New Roman"/>
          <w:lang w:eastAsia="zh-CN"/>
        </w:rPr>
        <w:t>Imatinib Synthon</w:t>
      </w:r>
      <w:r w:rsidRPr="00340F0C">
        <w:rPr>
          <w:rFonts w:ascii="Times New Roman" w:eastAsia="SimSun" w:hAnsi="Times New Roman"/>
          <w:lang w:eastAsia="zh-CN"/>
        </w:rPr>
        <w:t xml:space="preserve"> trukmė gali priklausyti nuo pasirinktos gydymo programos, bet dažniausiai ilgiau vartojant </w:t>
      </w:r>
      <w:r>
        <w:rPr>
          <w:rFonts w:ascii="Times New Roman" w:eastAsia="SimSun" w:hAnsi="Times New Roman"/>
          <w:lang w:eastAsia="zh-CN"/>
        </w:rPr>
        <w:t>Imatinib Synthon</w:t>
      </w:r>
      <w:r w:rsidRPr="00340F0C">
        <w:rPr>
          <w:rFonts w:ascii="Times New Roman" w:eastAsia="SimSun" w:hAnsi="Times New Roman"/>
          <w:lang w:eastAsia="zh-CN"/>
        </w:rPr>
        <w:t xml:space="preserve"> rezultatai buvo geresni.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Suaugusiesiems pacientams, kuriems yra recidyvas ar gydymui atspari Ph+ ŪLL, gydymas vien tik </w:t>
      </w:r>
      <w:r>
        <w:rPr>
          <w:rFonts w:ascii="Times New Roman" w:eastAsia="SimSun" w:hAnsi="Times New Roman"/>
          <w:lang w:eastAsia="zh-CN"/>
        </w:rPr>
        <w:t>Imatinib Synthon</w:t>
      </w:r>
      <w:r w:rsidRPr="00340F0C">
        <w:rPr>
          <w:rFonts w:ascii="Times New Roman" w:eastAsia="SimSun" w:hAnsi="Times New Roman"/>
          <w:lang w:eastAsia="zh-CN"/>
        </w:rPr>
        <w:t xml:space="preserve"> po 600 mg per parą yra saugus, efektyvus ir gali būti skiriamas, kol liga pradės progresuoti.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Ph+ ŪLL, vaikams rekomenduojama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paros dozė (bendros 600 mg dozės viršyti negalima).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MDS ar MPL sergantiems suaugusiesiems pacientams 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dozė yra 400 mg per parą.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Klinikinio tyrimo, tęsiamo iki šiol, metu gydymas </w:t>
      </w:r>
      <w:r>
        <w:rPr>
          <w:rFonts w:ascii="Times New Roman" w:eastAsia="SimSun" w:hAnsi="Times New Roman"/>
          <w:lang w:eastAsia="zh-CN"/>
        </w:rPr>
        <w:t>Imatinib Synthon</w:t>
      </w:r>
      <w:r w:rsidRPr="00340F0C">
        <w:rPr>
          <w:rFonts w:ascii="Times New Roman" w:eastAsia="SimSun" w:hAnsi="Times New Roman"/>
          <w:lang w:eastAsia="zh-CN"/>
        </w:rPr>
        <w:t xml:space="preserve"> buvo tęsiamas iki ligos progresavimo (žr. 5.1 skyrių). Tyrimo metu gydymo vidutinė trukmė buvo 47 mėnesiai (24 dienos – 60 mėnesių).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dozė suaugusiesiems pacientams, sergantiems HES/LEL, yra 100 mg per parą.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Galima didinti dozę nuo 100 mg iki 400 mg, jei nėra nepageidaujamų reakcijų ir jeigu įvertinimas rodo nepakankamą atsaką į gydymą.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Gydymą reikia tęsti tol, kol pacientui pastebimas teigiamas poveikis.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dozė suaugusiesiems pacientams, kuriems yra nerezekuotinas ir (arba) metastazavęs piktybinis VTSN, yra 400 mg per parą.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Dar mažai duomenų apie nuo 400 mg iki 600 mg ar 800 mg padidintos dozės poveikį pacientams, kuriems liga progresavo vartojant mažesnę dozę (žr. 5.1 skyrių).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Klinikinių tyrimų metu VTSN sergantys pacientai </w:t>
      </w:r>
      <w:r>
        <w:rPr>
          <w:rFonts w:ascii="Times New Roman" w:eastAsia="SimSun" w:hAnsi="Times New Roman"/>
          <w:lang w:eastAsia="zh-CN"/>
        </w:rPr>
        <w:t>Imatinib Synthon</w:t>
      </w:r>
      <w:r w:rsidRPr="00340F0C">
        <w:rPr>
          <w:rFonts w:ascii="Times New Roman" w:eastAsia="SimSun" w:hAnsi="Times New Roman"/>
          <w:lang w:eastAsia="zh-CN"/>
        </w:rPr>
        <w:t xml:space="preserve"> buvo gydomi iki ligos progresavimo. Analizės metu nustatyta, kad vidutinė gydymo trukmė buvo 7 mėnesiai (nuo 7 dienų iki 13 mėnesių). Gydymo nutraukimo poveikis po gauto atsako netirtas.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dozė adjuvantiniam suaugusiųjų, kuriems atlikta VTSN rezekcija, gydymui yra 400 mg per parą. Optimali gydymo trukmė kol kas nenustatyta. Klinikinių tyrimų duomenimis gydymo trukmė šiai indikacijai truko 36 mėnesius (žr. 5.1 skyrių).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DFSP sergantiems suaugusiesiems pacientams rekomenduojama </w:t>
      </w:r>
      <w:r>
        <w:rPr>
          <w:rFonts w:ascii="Times New Roman" w:eastAsia="SimSun" w:hAnsi="Times New Roman"/>
          <w:lang w:eastAsia="zh-CN"/>
        </w:rPr>
        <w:t>Imatinib Synthon</w:t>
      </w:r>
      <w:r w:rsidRPr="00340F0C">
        <w:rPr>
          <w:rFonts w:ascii="Times New Roman" w:eastAsia="SimSun" w:hAnsi="Times New Roman"/>
          <w:lang w:eastAsia="zh-CN"/>
        </w:rPr>
        <w:t xml:space="preserve"> dozė yra 800 mg per parą. </w:t>
      </w:r>
    </w:p>
    <w:p w:rsidR="0031490F" w:rsidRPr="00340F0C"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Dozės korekcija dėl nepageidaujamo poveikio</w:t>
      </w:r>
    </w:p>
    <w:p w:rsidR="0031490F" w:rsidRPr="00340F0C" w:rsidRDefault="0031490F" w:rsidP="0031490F">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Nehematologinės nepageidaujamos reakcijos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bilirubino koncentracija &gt; 3 kartus yra didesnė už nustatytą viršutinę normos ribą (VNR) ar kepenų transaminazių koncentracija &gt; 5 kartus didesnė už VNR, imatinibo nevartoti, kol bilirubino koncentracija sumažėja &lt; 1,5 karto už VNR ir transaminazių koncentracija &lt; 2,5 karto už VNR. </w:t>
      </w:r>
      <w:r w:rsidRPr="00340F0C">
        <w:rPr>
          <w:rFonts w:ascii="Times New Roman" w:eastAsia="SimSun" w:hAnsi="Times New Roman"/>
          <w:lang w:eastAsia="zh-CN"/>
        </w:rPr>
        <w:lastRenderedPageBreak/>
        <w:t>Gydymą galima tęsti sumažinta imatinibo paros doze. Suaugusiesiems dozę reikia sumažinti nuo 600 mg iki 400 mg, ar nuo 800 mg iki 600 mg, o vaikams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Hematologinės nepageidaujamos reakcijos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mažinimo ir gydymo pertraukimo rekomendacijos, išryškėjus sunkiai neutropenijai ar trombocitopenijai, nurodytos lentelėje žemiau.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korekcija, kai yra neutropenija ir trombocitopenija:</w:t>
      </w:r>
    </w:p>
    <w:p w:rsidR="0031490F" w:rsidRPr="00340F0C" w:rsidRDefault="0031490F" w:rsidP="0031490F">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HES/LEL (pradinė dozė – 100 mg)</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109°/l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anksčiau vartota doze (t.y. ta, kuri buvo vartota prieš pasireiškiant stipriai nepageidaujamai reakcijai).</w:t>
            </w:r>
          </w:p>
        </w:tc>
      </w:tr>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 mg) HES/LEL (400 mg dozė)</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anksčiau vartota doze (t.y. ta, kuri buvo vartota prieš pasireiškiant stipriai nepageidaujamai reakcijai).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 mg doze.</w:t>
            </w:r>
          </w:p>
        </w:tc>
      </w:tr>
      <w:tr w:rsidR="0031490F" w:rsidRPr="00340F0C" w:rsidTr="00536C1B">
        <w:trPr>
          <w:trHeight w:val="698"/>
        </w:trPr>
        <w:tc>
          <w:tcPr>
            <w:tcW w:w="2967" w:type="dxa"/>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lėtinė LML fazė</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dozė)</w:t>
            </w:r>
          </w:p>
        </w:tc>
        <w:tc>
          <w:tcPr>
            <w:tcW w:w="2967" w:type="dxa"/>
            <w:gridSpan w:val="2"/>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ir (arba)</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Imatinibo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2. Gydymą imatinibu atnaujinti anksčiau vartota doze (t.y. ta, kuri buvo vartota prieš pasireiškiant stipriai nepageidaujamai reakcijai).</w:t>
            </w:r>
          </w:p>
          <w:p w:rsidR="0031490F" w:rsidRPr="00340F0C" w:rsidRDefault="0031490F" w:rsidP="00536C1B">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kartoti nuo 1-ojo punkto ir (arba) gydymą imatinibu atnaujinti sumažinta 260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doze.</w:t>
            </w:r>
          </w:p>
        </w:tc>
      </w:tr>
      <w:tr w:rsidR="0031490F" w:rsidRPr="00340F0C" w:rsidTr="00536C1B">
        <w:trPr>
          <w:trHeight w:val="1433"/>
        </w:trPr>
        <w:tc>
          <w:tcPr>
            <w:tcW w:w="2967" w:type="dxa"/>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 xml:space="preserve">LML blastinė krizė (pradinė dozė 600 mg) </w:t>
            </w:r>
          </w:p>
        </w:tc>
        <w:tc>
          <w:tcPr>
            <w:tcW w:w="2967"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tc>
        <w:tc>
          <w:tcPr>
            <w:tcW w:w="3388" w:type="dxa"/>
            <w:gridSpan w:val="2"/>
          </w:tcPr>
          <w:p w:rsidR="0031490F" w:rsidRPr="00340F0C" w:rsidRDefault="0031490F" w:rsidP="00536C1B">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1. Ištirti, ar citopenija nesusijusi su leukemija (kaulų čiulpų aspiratas ar biopsija).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Jei citopenija nesusijusi su leukemija, imatinibo dozę sumažinti iki 400 mg. </w:t>
            </w:r>
          </w:p>
          <w:p w:rsidR="0031490F" w:rsidRPr="00340F0C" w:rsidRDefault="0031490F" w:rsidP="00536C1B">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300 mg.</w:t>
            </w:r>
          </w:p>
          <w:p w:rsidR="0031490F" w:rsidRPr="00340F0C" w:rsidRDefault="0031490F" w:rsidP="00536C1B">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4. Jei citopenija trunka 4 savaites ir yra nesusijusi su leukemija, imatinibo nevartoti tol, kol ANS bus ≥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paskui gydymą atnaujinti 300 mg doze. </w:t>
            </w:r>
          </w:p>
        </w:tc>
      </w:tr>
      <w:tr w:rsidR="0031490F" w:rsidRPr="00340F0C" w:rsidTr="00536C1B">
        <w:trPr>
          <w:trHeight w:val="1433"/>
        </w:trPr>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lastRenderedPageBreak/>
              <w:t>Vaikų LML akceleracijos fazė ir blastinė krizė (pradinė dozė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tc>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74" w:type="dxa"/>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1. Ištirti, ar citopenija nesusijusi su leukemija (kaulų čiulpų aspiratas ar biopsija).</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2. Jei citopenija nesusijusi su leukemija, imatinibo dozę sumažinti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4. Jei citopenija trunka 4 savaites ir yra nesusijusi su leukemija, imatinibo nevartoti tol, kol bus ANS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paskui gydymą atnaujinti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w:t>
            </w:r>
          </w:p>
        </w:tc>
      </w:tr>
      <w:tr w:rsidR="0031490F" w:rsidRPr="00340F0C" w:rsidTr="00536C1B">
        <w:trPr>
          <w:trHeight w:val="1433"/>
        </w:trPr>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DFSP (kai dozė – 800 mg)</w:t>
            </w:r>
          </w:p>
        </w:tc>
        <w:tc>
          <w:tcPr>
            <w:tcW w:w="2974" w:type="dxa"/>
            <w:gridSpan w:val="2"/>
          </w:tcPr>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r w:rsidRPr="00340F0C">
              <w:rPr>
                <w:rFonts w:ascii="Times New Roman" w:eastAsia="SimSun" w:hAnsi="Times New Roman"/>
                <w:vertAlign w:val="superscript"/>
                <w:lang w:eastAsia="zh-CN"/>
              </w:rPr>
              <w:t xml:space="preserve"> </w:t>
            </w:r>
          </w:p>
        </w:tc>
        <w:tc>
          <w:tcPr>
            <w:tcW w:w="3374" w:type="dxa"/>
          </w:tcPr>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1. </w:t>
            </w:r>
            <w:r>
              <w:rPr>
                <w:rFonts w:ascii="Times New Roman" w:eastAsia="SimSun" w:hAnsi="Times New Roman"/>
                <w:lang w:eastAsia="zh-CN"/>
              </w:rPr>
              <w:t>Imatinib Synthon</w:t>
            </w:r>
            <w:r w:rsidRPr="00340F0C">
              <w:rPr>
                <w:rFonts w:ascii="Times New Roman" w:eastAsia="SimSun" w:hAnsi="Times New Roman"/>
                <w:lang w:eastAsia="zh-CN"/>
              </w:rPr>
              <w:t xml:space="preserve">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2.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600 mg doze. </w:t>
            </w:r>
          </w:p>
          <w:p w:rsidR="0031490F" w:rsidRPr="00340F0C" w:rsidRDefault="0031490F" w:rsidP="00536C1B">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Pr>
                <w:rFonts w:ascii="Times New Roman" w:eastAsia="SimSun" w:hAnsi="Times New Roman"/>
                <w:lang w:eastAsia="zh-CN"/>
              </w:rPr>
              <w:t>Imatinib Synthon</w:t>
            </w:r>
            <w:r w:rsidRPr="00340F0C">
              <w:rPr>
                <w:rFonts w:ascii="Times New Roman" w:eastAsia="SimSun" w:hAnsi="Times New Roman"/>
                <w:lang w:eastAsia="zh-CN"/>
              </w:rPr>
              <w:t xml:space="preserve"> atnaujinti sumažinta 400 mg doze.</w:t>
            </w:r>
          </w:p>
        </w:tc>
      </w:tr>
      <w:tr w:rsidR="0031490F" w:rsidRPr="00340F0C" w:rsidTr="00536C1B">
        <w:trPr>
          <w:trHeight w:val="516"/>
        </w:trPr>
        <w:tc>
          <w:tcPr>
            <w:tcW w:w="9322" w:type="dxa"/>
            <w:gridSpan w:val="5"/>
          </w:tcPr>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 xml:space="preserve">ANS = absoliutus neutrofilų skaičius </w:t>
            </w:r>
          </w:p>
          <w:p w:rsidR="0031490F" w:rsidRPr="00340F0C" w:rsidRDefault="0031490F" w:rsidP="00536C1B">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 xml:space="preserve"> atsiranda mažiausiai po 1 gydymo mėnesio </w:t>
            </w:r>
          </w:p>
        </w:tc>
      </w:tr>
    </w:tbl>
    <w:p w:rsidR="0031490F" w:rsidRPr="00340F0C" w:rsidRDefault="0031490F" w:rsidP="0031490F">
      <w:pPr>
        <w:tabs>
          <w:tab w:val="left" w:pos="567"/>
        </w:tabs>
        <w:spacing w:after="0" w:line="240" w:lineRule="auto"/>
        <w:rPr>
          <w:rFonts w:ascii="Times New Roman" w:eastAsia="SimSun" w:hAnsi="Times New Roman"/>
          <w:i/>
          <w:iCs/>
          <w:lang w:eastAsia="zh-CN"/>
        </w:rPr>
      </w:pPr>
    </w:p>
    <w:p w:rsidR="0031490F" w:rsidRPr="00340F0C" w:rsidRDefault="0031490F" w:rsidP="0031490F">
      <w:pPr>
        <w:tabs>
          <w:tab w:val="left" w:pos="567"/>
        </w:tabs>
        <w:spacing w:after="0" w:line="240" w:lineRule="auto"/>
        <w:rPr>
          <w:rFonts w:ascii="Times New Roman" w:eastAsia="SimSun" w:hAnsi="Times New Roman"/>
          <w:iCs/>
          <w:u w:val="single"/>
          <w:lang w:eastAsia="zh-CN"/>
        </w:rPr>
      </w:pPr>
      <w:r w:rsidRPr="00340F0C">
        <w:rPr>
          <w:rFonts w:ascii="Times New Roman" w:eastAsia="SimSun" w:hAnsi="Times New Roman"/>
          <w:iCs/>
          <w:u w:val="single"/>
          <w:lang w:eastAsia="zh-CN"/>
        </w:rPr>
        <w:t>Ypatingos populiacijos</w:t>
      </w:r>
    </w:p>
    <w:p w:rsidR="0031490F" w:rsidRPr="00340F0C" w:rsidRDefault="0031490F" w:rsidP="0031490F">
      <w:pPr>
        <w:tabs>
          <w:tab w:val="left" w:pos="567"/>
        </w:tabs>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Vaikų populiacija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vaikams, jaunesniems kaip 2 metų ir sergantiems LML, patirties nėra (žr. 5.1 skyrių). Vartojimo patirtis vaikams, sergantiems MDS/MPL, DFSP, VTSN ir HES/LEL, labai ribota.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lang w:eastAsia="zh-CN"/>
        </w:rPr>
        <w:t>Klinikinių tyrimų metu imatinibo saugumas ir veiksmingumas jaunesniems kaip 18 metų vaikams, sergantiems MDS/MPL, DFSP, VTSN ir HES/LEL, neištirti. Turimi literatūros duomenys pateikiami 5.1 skyriuje, tačiau dozavimo rekomendacijų pateikti negalima.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Kepenų funkcijos sutrikimas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Daugiausia imatinibo metabolizuojama kepenyse. Pacientams, kuriems yra nesunkus, vidutinio sunkumo ar sunkus kepenų funkcijos sutrikimas, skirti mažiausią rekomenduojamą 400 mg paros dozę. Dozę galima mažinti, jeigu netoleruojama (žr. 4.4, 4.8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sutrikimų klasifikacija: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31490F" w:rsidRPr="00340F0C" w:rsidTr="00536C1B">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tyrimai</w:t>
            </w:r>
          </w:p>
        </w:tc>
      </w:tr>
      <w:tr w:rsidR="0031490F" w:rsidRPr="00340F0C" w:rsidTr="00536C1B">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 1,5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&gt; VNR (gali būti normali ar &lt; VNR, jei bendras bilirubinas &gt; VNR)</w:t>
            </w:r>
          </w:p>
        </w:tc>
      </w:tr>
      <w:tr w:rsidR="0031490F" w:rsidRPr="00340F0C" w:rsidTr="00536C1B">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1,5–3,0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r w:rsidR="0031490F" w:rsidRPr="00340F0C" w:rsidTr="00536C1B">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Sunkus</w:t>
            </w:r>
          </w:p>
        </w:tc>
        <w:tc>
          <w:tcPr>
            <w:tcW w:w="5918"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3–10 VNR</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VNR = viršutinė normos riba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 aspartataminotransferazė</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Inkstų funkcijos sutrikimas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kuriems yra inkstų funkcijos sutrikimas arba, kurie yra dializuojami, turi būti skiriama pradinė mažiausia rekomenduojama 400 mg paros dozė. Tačiau rekomenduojama imtis atsargumo </w:t>
      </w:r>
      <w:r w:rsidRPr="00340F0C">
        <w:rPr>
          <w:rFonts w:ascii="Times New Roman" w:eastAsia="SimSun" w:hAnsi="Times New Roman"/>
          <w:lang w:eastAsia="zh-CN"/>
        </w:rPr>
        <w:lastRenderedPageBreak/>
        <w:t>priemonių. Netoleruojamą dozę galima mažinti, jei dozė yra neveiksminga – didinti (žr. 4.4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Senyvi žmonės. </w:t>
      </w:r>
      <w:r w:rsidRPr="00340F0C">
        <w:rPr>
          <w:rFonts w:ascii="Times New Roman" w:eastAsia="SimSun" w:hAnsi="Times New Roman"/>
          <w:lang w:eastAsia="zh-CN"/>
        </w:rPr>
        <w:t>Senyvų žmonių imatinibo farmakokinetika nebuvo specialiai tirta. Klinikinių tyrimų, kuriuose dalyvavo daugiau kaip 20% 65 metų ir vyresnių pacientų, metu reikšmingų, su amžiumi susijusių farmakokinetikos pokyčių nestebėta. Senyviems žmonėms specifinis dozavimas nerekomenduojamas.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4.3</w:t>
      </w:r>
      <w:r w:rsidRPr="00340F0C">
        <w:rPr>
          <w:rFonts w:ascii="Times New Roman" w:eastAsia="SimSun" w:hAnsi="Times New Roman"/>
          <w:b/>
        </w:rPr>
        <w:tab/>
        <w:t>Kontraindikacijos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Padidėjęs jautrumas veikliajai arba bet kuriai 6.1 skyriuje nurodytai pagalbinei medžiagai.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4.4</w:t>
      </w:r>
      <w:r w:rsidRPr="00340F0C">
        <w:rPr>
          <w:rFonts w:ascii="Times New Roman" w:eastAsia="SimSun" w:hAnsi="Times New Roman"/>
          <w:b/>
        </w:rPr>
        <w:tab/>
        <w:t>Specialūs įspėjimai ir atsargumo priemonės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Hipotiroidizmas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Toksinis poveikis kepenims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koncentraciją (žr. 4.2, 4.8 ir 5.2 skyrius). Reikia pažymėti, kad pacientams, kuriems diagnozuotas virškinimo trakto </w:t>
      </w:r>
      <w:r w:rsidRPr="00340F0C">
        <w:rPr>
          <w:rFonts w:ascii="Times New Roman" w:eastAsia="SimSun" w:hAnsi="Times New Roman"/>
          <w:iCs/>
          <w:lang w:eastAsia="zh-CN"/>
        </w:rPr>
        <w:t>stromos navikas (angl.</w:t>
      </w:r>
      <w:r w:rsidRPr="00340F0C" w:rsidDel="0020661A">
        <w:rPr>
          <w:rFonts w:ascii="Times New Roman" w:eastAsia="SimSun" w:hAnsi="Times New Roman"/>
          <w:lang w:eastAsia="zh-CN"/>
        </w:rPr>
        <w:t xml:space="preserve"> </w:t>
      </w:r>
      <w:r w:rsidRPr="009D1353">
        <w:rPr>
          <w:rFonts w:ascii="Times New Roman" w:hAnsi="Times New Roman"/>
          <w:i/>
        </w:rPr>
        <w:t>gastrointestinal stromal tumor,</w:t>
      </w:r>
      <w:r w:rsidRPr="009D1353">
        <w:rPr>
          <w:rFonts w:ascii="Times New Roman" w:hAnsi="Times New Roman"/>
        </w:rPr>
        <w:t xml:space="preserve"> </w:t>
      </w:r>
      <w:r w:rsidRPr="00340F0C">
        <w:rPr>
          <w:rFonts w:ascii="Times New Roman" w:eastAsia="SimSun" w:hAnsi="Times New Roman"/>
          <w:lang w:eastAsia="zh-CN"/>
        </w:rPr>
        <w:t>GIST), gali būti metastazių kepenyse, kurios gali sąlygoti kepenų funkcijos sutrikimą.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Skysčių susilaikymas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Pacientai, sergantys širdies ligomis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imatinibu pradžioje hipereozinofiliniu sindromu (HES) sergantiems pacientams, kurių </w:t>
      </w:r>
      <w:r w:rsidRPr="00340F0C">
        <w:rPr>
          <w:rFonts w:ascii="Times New Roman" w:eastAsia="SimSun" w:hAnsi="Times New Roman"/>
          <w:lang w:eastAsia="zh-CN"/>
        </w:rPr>
        <w:lastRenderedPageBreak/>
        <w:t xml:space="preserve">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9D1353" w:rsidRDefault="0031490F" w:rsidP="0031490F">
      <w:pPr>
        <w:autoSpaceDE w:val="0"/>
        <w:autoSpaceDN w:val="0"/>
        <w:adjustRightInd w:val="0"/>
        <w:spacing w:after="0" w:line="240" w:lineRule="auto"/>
        <w:rPr>
          <w:rFonts w:ascii="Times New Roman" w:hAnsi="Times New Roman"/>
        </w:rPr>
      </w:pPr>
      <w:r w:rsidRPr="009D1353">
        <w:rPr>
          <w:rFonts w:ascii="Times New Roman" w:hAnsi="Times New Roman"/>
        </w:rPr>
        <w:t xml:space="preserve">Sergant mielodisplazinėmis ar mieloproliferacinėmis ligomis (MDS ar MPL) su trombocitų kilmės augimo faktoriaus receptoriaus (angl. </w:t>
      </w:r>
      <w:r w:rsidRPr="009D1353">
        <w:rPr>
          <w:rFonts w:ascii="Times New Roman" w:hAnsi="Times New Roman"/>
          <w:i/>
        </w:rPr>
        <w:t>platelet-derived growth factor receptor</w:t>
      </w:r>
      <w:r w:rsidRPr="009D1353">
        <w:rPr>
          <w:rFonts w:ascii="Times New Roman" w:hAnsi="Times New Roma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Kraujavimas iš virškinimo trakto</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Naviko lizės sindromas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Laboratoriniai tyrimai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Būtina reguliariai tirti imatinibą vartojančių pacientų kepenų funkciją (transaminazių, bilirubino, šarminės fosfatazės koncentraciją).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Gauta pranešimų apie augimo sulėtėjimą mažiems ir vyresniems vaikams, vartojusiems imatinibą. Ilgalaikis poveikis vaikų augimui, ilgai gydant imatinibu, nežinomas. Todėl rekomenduojama atidžiai stebėti vaikų augimą gydant imatinibu (žr. 4.8 skyrių).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4.5</w:t>
      </w:r>
      <w:r w:rsidRPr="00340F0C">
        <w:rPr>
          <w:rFonts w:ascii="Times New Roman" w:eastAsia="SimSun" w:hAnsi="Times New Roman"/>
          <w:b/>
        </w:rPr>
        <w:tab/>
        <w:t>Sąveika su kitais vaistiniais preparatais ir kitokia sąveika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didinti imatinibo</w:t>
      </w:r>
      <w:r w:rsidRPr="00340F0C">
        <w:rPr>
          <w:rFonts w:ascii="Times New Roman" w:eastAsia="SimSun" w:hAnsi="Times New Roman"/>
          <w:u w:val="single"/>
          <w:lang w:eastAsia="zh-CN"/>
        </w:rPr>
        <w:t xml:space="preserve">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Medžiagos, kurios slopina citochromo P450 izofermento CYP3A4 aktyvumą (pvz., ketokonazolas,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itrakonazolas, eritromicinas, klaritromicinas), gali slopinti imatinibo metabolizmą ir padidinti jo </w:t>
      </w:r>
      <w:r w:rsidRPr="00340F0C">
        <w:rPr>
          <w:rFonts w:ascii="Times New Roman" w:eastAsia="SimSun" w:hAnsi="Times New Roman"/>
          <w:lang w:eastAsia="zh-CN"/>
        </w:rPr>
        <w:lastRenderedPageBreak/>
        <w:t>koncentraciją. Nustatyta reikšmingai padidėjusi imatinibo ekspozicija (vidutinė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atitinkamai 26% ir 40%) sveikiems savanoriams, kurie kartu vartojo vienkartinę ketokonazolo (CYP3A4 inhibitoriaus) dozę. Būtina laikytis atsargumo priemonių, kai imatinibo skiriama kartu su CYP3A4 šeimos inhibitoriais.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mažinti imatinibo</w:t>
      </w:r>
      <w:r w:rsidRPr="00340F0C">
        <w:rPr>
          <w:rFonts w:ascii="Times New Roman" w:eastAsia="SimSun" w:hAnsi="Times New Roman"/>
          <w:u w:val="single"/>
          <w:lang w:eastAsia="zh-CN"/>
        </w:rPr>
        <w:t xml:space="preserve">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Veikliosios medžiagos, kurių koncentraciją plazmoje gali keisti imatinibas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padidina simvastatino (CYP3A4 substrato)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 xml:space="preserve">imatinibas slopina paracetamolio O-gliukuroninimą, kai Ki vertė yra 58,5 mikromol/l. Pavartojus 400 mg imatinibo ir 1 000 mg paracetamolio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tokio slopinimo nustatyta. Dėl didesnių imatinibo ir paracetamolio dozių vartojimo tyrimų neatlikta.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Todėl reikia atsargiai vartoti dideles imatinibo dozes kartu su paracetamoliu.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Yra klinikinės patirties kartu vartojant imatinibą ir chemoterapiją pacientų, sergančiųjų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4.6</w:t>
      </w:r>
      <w:r w:rsidRPr="00340F0C">
        <w:rPr>
          <w:rFonts w:ascii="Times New Roman" w:eastAsia="SimSun" w:hAnsi="Times New Roman"/>
          <w:b/>
          <w:bCs/>
          <w:lang w:eastAsia="zh-CN"/>
        </w:rPr>
        <w:tab/>
        <w:t>Vaisingumas, nėštumo ir žindymo laikotarpis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66C6D">
        <w:rPr>
          <w:rFonts w:ascii="Times New Roman" w:eastAsia="SimSun" w:hAnsi="Times New Roman"/>
          <w:u w:val="single"/>
          <w:lang w:eastAsia="zh-CN"/>
        </w:rPr>
        <w:t xml:space="preserve">Vaisingos moterys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Vaisingo amžiaus moterims reikia patarti, kad gydymo metu jos turi naudoti veiksmingą kontracepcijos metodą.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Nėštumas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Žindymas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Vaisingumas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4.7</w:t>
      </w:r>
      <w:r w:rsidRPr="00340F0C">
        <w:rPr>
          <w:rFonts w:ascii="Times New Roman" w:eastAsia="SimSun" w:hAnsi="Times New Roman"/>
          <w:b/>
          <w:bCs/>
          <w:lang w:eastAsia="zh-CN"/>
        </w:rPr>
        <w:tab/>
        <w:t>Poveikis gebėjimui vairuoti ir valdyti mechanizmus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outlineLvl w:val="3"/>
        <w:rPr>
          <w:rFonts w:ascii="Times New Roman" w:eastAsia="SimSun" w:hAnsi="Times New Roman"/>
          <w:b/>
        </w:rPr>
      </w:pPr>
      <w:r w:rsidRPr="00340F0C">
        <w:rPr>
          <w:rFonts w:ascii="Times New Roman" w:eastAsia="SimSun" w:hAnsi="Times New Roman"/>
          <w:b/>
        </w:rPr>
        <w:t>4.8</w:t>
      </w:r>
      <w:r w:rsidRPr="00340F0C">
        <w:rPr>
          <w:rFonts w:ascii="Times New Roman" w:eastAsia="SimSun" w:hAnsi="Times New Roman"/>
          <w:b/>
        </w:rPr>
        <w:tab/>
        <w:t>Nepageidaujamas poveikis</w:t>
      </w:r>
    </w:p>
    <w:p w:rsidR="0031490F" w:rsidRPr="00340F0C" w:rsidRDefault="0031490F" w:rsidP="0031490F">
      <w:pPr>
        <w:tabs>
          <w:tab w:val="left" w:pos="567"/>
        </w:tabs>
        <w:spacing w:after="0" w:line="240" w:lineRule="auto"/>
        <w:rPr>
          <w:rFonts w:ascii="Times New Roman" w:eastAsia="SimSun" w:hAnsi="Times New Roma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340F0C">
        <w:rPr>
          <w:rFonts w:ascii="Times New Roman" w:hAnsi="Times New Roman"/>
          <w:u w:val="single"/>
          <w:lang w:eastAsia="zh-CN"/>
        </w:rPr>
        <w:t>&gt;</w:t>
      </w:r>
      <w:r w:rsidRPr="00340F0C">
        <w:rPr>
          <w:rFonts w:ascii="Times New Roman" w:eastAsia="SimSun" w:hAnsi="Times New Roman"/>
          <w:lang w:eastAsia="zh-CN"/>
        </w:rPr>
        <w:t> 10%) su vaistu susijusios nepageidaujamos reakcijos abiem ligomis sergantiems pacientams buvo nestiprus 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Ph+ ŪLL sergantiems pacientams, vartojusiems imatinibą kartu su didelėmis chemoterapinių </w:t>
      </w:r>
      <w:r w:rsidRPr="00340F0C">
        <w:rPr>
          <w:rFonts w:ascii="Times New Roman" w:eastAsia="SimSun" w:hAnsi="Times New Roman"/>
          <w:lang w:eastAsia="zh-CN"/>
        </w:rPr>
        <w:lastRenderedPageBreak/>
        <w:t>preparatų dozėmis, stebėtas laikinas toksinis poveikis kepenims, pasireiškęs transaminazių aktyvumo padidėjimu ir hiperbilirubinemija.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Nepageidaujamos reakcijos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Kiekvienoje dažnio grupėje nepageidaujamas poveikis pateikiamas pagal pasireiškimo dažnumą. Dažniausiai pasireiškusieji pateikti pirmiausiai.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lentelėje išvardintos nepageidaujamos reakcijos ir jų pasireiškimo dažnumas nurodyti remiantis pagrindinių registracijos tyrimų duomenimis.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340F0C">
        <w:rPr>
          <w:rFonts w:ascii="Times New Roman" w:eastAsia="SimSun" w:hAnsi="Times New Roman"/>
          <w:lang w:eastAsia="zh-CN"/>
        </w:rPr>
        <w:t xml:space="preserve">1 lentelė. </w:t>
      </w:r>
      <w:r w:rsidRPr="00340F0C">
        <w:rPr>
          <w:rFonts w:ascii="Times New Roman" w:eastAsia="SimSun" w:hAnsi="Times New Roman"/>
          <w:bCs/>
          <w:lang w:eastAsia="zh-CN"/>
        </w:rPr>
        <w:t>Nepageidaujamos reakcijos, remiantis klinikinių tyrimų duomenimis.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Infekcijos ir infestacijos</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Herpes zoster</w:t>
            </w:r>
            <w:r w:rsidRPr="00340F0C">
              <w:rPr>
                <w:rFonts w:ascii="Times New Roman" w:eastAsia="SimSun" w:hAnsi="Times New Roman"/>
                <w:lang w:eastAsia="zh-CN"/>
              </w:rPr>
              <w:t xml:space="preserve">, </w:t>
            </w:r>
            <w:r w:rsidRPr="00340F0C">
              <w:rPr>
                <w:rFonts w:ascii="Times New Roman" w:eastAsia="SimSun" w:hAnsi="Times New Roman"/>
                <w:i/>
                <w:iCs/>
                <w:lang w:eastAsia="zh-CN"/>
              </w:rPr>
              <w:t>herpes simplex</w:t>
            </w:r>
            <w:r w:rsidRPr="00340F0C">
              <w:rPr>
                <w:rFonts w:ascii="Times New Roman" w:eastAsia="SimSun" w:hAnsi="Times New Roman"/>
                <w:lang w:eastAsia="zh-CN"/>
              </w:rPr>
              <w:t>, nosiaryklės uždegimas, pneumonija</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w:t>
            </w:r>
            <w:r w:rsidRPr="00340F0C" w:rsidDel="005B3852">
              <w:rPr>
                <w:rFonts w:ascii="Times New Roman" w:eastAsia="SimSun" w:hAnsi="Times New Roman"/>
                <w:lang w:eastAsia="zh-CN"/>
              </w:rPr>
              <w:t xml:space="preserve"> </w:t>
            </w:r>
            <w:r w:rsidRPr="00340F0C">
              <w:rPr>
                <w:rFonts w:ascii="Times New Roman" w:eastAsia="SimSun" w:hAnsi="Times New Roman"/>
                <w:lang w:eastAsia="zh-CN"/>
              </w:rPr>
              <w:t>sinusitas, puriojo ląstelyno uždegimas, viršutinių kvėpavimo takų infekcija, gripas, šlapimo takų infekcija, gastroenteritas, sepsis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Grybelinė infekcija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lizės sindromas</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Kraujo ir limfinės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Neutropenija, trombocitopenija, anemija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Pancitopenija, febrili neutropenija</w:t>
            </w:r>
          </w:p>
        </w:tc>
      </w:tr>
      <w:tr w:rsidR="0031490F" w:rsidRPr="00340F0C" w:rsidTr="00536C1B">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Trombocitopenija, limfocitopenija, kaulų čiulpų slopinimas, eozinofilija, limfadenopatija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Hemolizinė anemija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Metabolizmo ir mitybos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Hiperkalemija, hipomagnezemija</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Psichikos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Nemiga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Depresija, sumažėjęs lytinis potraukis, nerimas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Suglumimo būsena (delyras)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skausmas</w:t>
            </w:r>
            <w:r w:rsidRPr="00340F0C">
              <w:rPr>
                <w:rFonts w:ascii="Times New Roman" w:eastAsia="SimSun" w:hAnsi="Times New Roman"/>
                <w:vertAlign w:val="superscript"/>
                <w:lang w:eastAsia="zh-CN"/>
              </w:rPr>
              <w:t>2</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Svaigulys, parestezija, sutrikęs skonio jutimas, hipestezija</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Migrena, mieguistumas, sinkopė, periferinė neuropatija, atminties sutrikimai, išialgija, neramių kojų sindromas, tremoras, smegenų kraujosruvos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intrakranijinis spaudimas, traukuliai, regos nervo uždegimas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lastRenderedPageBreak/>
              <w:t>Akių sutrikimai</w:t>
            </w:r>
          </w:p>
        </w:tc>
      </w:tr>
      <w:tr w:rsidR="0031490F" w:rsidRPr="00340F0C" w:rsidTr="00536C1B">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vokų edema, padidėjęs ašarojimas, junginės kraujosruvos, konjunktyvitas, akių sausmė, neryškus matymas</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dirginimas, akių skausmas, akiduobės edema, odenos kraujosruvos, tinklainės kraujosruvos, blefaritas, geltonosios dėmės edema</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Katarakta, glaukoma, regos nervo disko edema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Ausų ir labirintų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svaigimas (</w:t>
            </w:r>
            <w:r w:rsidRPr="00340F0C">
              <w:rPr>
                <w:rFonts w:ascii="Times New Roman" w:eastAsia="SimSun" w:hAnsi="Times New Roman"/>
                <w:i/>
                <w:lang w:eastAsia="zh-CN"/>
              </w:rPr>
              <w:t>vertigo</w:t>
            </w:r>
            <w:r w:rsidRPr="00340F0C">
              <w:rPr>
                <w:rFonts w:ascii="Times New Roman" w:eastAsia="SimSun" w:hAnsi="Times New Roman"/>
                <w:lang w:eastAsia="zh-CN"/>
              </w:rPr>
              <w:t>), ūžimas ausyse, apkurtimas</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31490F" w:rsidRPr="00340F0C" w:rsidTr="00536C1B">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Stiprus ir greitas širdies plakimas, tachikardija, stazinis širdies nepakankamumas</w:t>
            </w:r>
            <w:r w:rsidRPr="00340F0C">
              <w:rPr>
                <w:rFonts w:ascii="Times New Roman" w:eastAsia="SimSun" w:hAnsi="Times New Roman"/>
                <w:vertAlign w:val="superscript"/>
                <w:lang w:eastAsia="zh-CN"/>
              </w:rPr>
              <w:t>3</w:t>
            </w:r>
            <w:r w:rsidRPr="00340F0C">
              <w:rPr>
                <w:rFonts w:ascii="Times New Roman" w:eastAsia="SimSun" w:hAnsi="Times New Roman"/>
                <w:lang w:eastAsia="zh-CN"/>
              </w:rPr>
              <w:t>, plaučių edema</w:t>
            </w:r>
          </w:p>
        </w:tc>
      </w:tr>
      <w:tr w:rsidR="0031490F" w:rsidRPr="00340F0C" w:rsidTr="00536C1B">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Aritmija, prieširdžių virpėjimas, širdies sustojimas, miokardo infarktas, krūtinės angina, skystis perikarde </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r w:rsidRPr="00340F0C">
              <w:rPr>
                <w:rFonts w:ascii="Times New Roman" w:eastAsia="SimSun" w:hAnsi="Times New Roman"/>
                <w:b/>
                <w:bCs/>
                <w:vertAlign w:val="superscript"/>
                <w:lang w:eastAsia="zh-CN"/>
              </w:rPr>
              <w:t>4</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Trumpalaikis veido ir kaklo paraudimas, hemoragija</w:t>
            </w:r>
          </w:p>
        </w:tc>
      </w:tr>
      <w:tr w:rsidR="0031490F" w:rsidRPr="00340F0C" w:rsidTr="00536C1B">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Hipertenzija, hematoma, periferinis šalimas, hipotenzija, Reino (</w:t>
            </w:r>
            <w:r w:rsidRPr="00340F0C">
              <w:rPr>
                <w:rFonts w:ascii="Times New Roman" w:eastAsia="SimSun" w:hAnsi="Times New Roman"/>
                <w:i/>
                <w:lang w:eastAsia="zh-CN"/>
              </w:rPr>
              <w:t>Raynaud</w:t>
            </w:r>
            <w:r w:rsidRPr="00340F0C">
              <w:rPr>
                <w:rFonts w:ascii="Times New Roman" w:eastAsia="SimSun" w:hAnsi="Times New Roman"/>
                <w:lang w:eastAsia="zh-CN"/>
              </w:rPr>
              <w:t>) sindromas</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Dusulys, kraujavimas iš nosies, kosulys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Skystis pleuros ertmėje</w:t>
            </w:r>
            <w:r w:rsidRPr="00340F0C">
              <w:rPr>
                <w:rFonts w:ascii="Times New Roman" w:eastAsia="SimSun" w:hAnsi="Times New Roman"/>
                <w:vertAlign w:val="superscript"/>
                <w:lang w:eastAsia="zh-CN"/>
              </w:rPr>
              <w:t>5</w:t>
            </w:r>
            <w:r w:rsidRPr="00340F0C">
              <w:rPr>
                <w:rFonts w:ascii="Times New Roman" w:eastAsia="SimSun" w:hAnsi="Times New Roman"/>
                <w:lang w:eastAsia="zh-CN"/>
              </w:rPr>
              <w:t>, ryklės ir gerklų skausmas, faringitas</w:t>
            </w:r>
          </w:p>
        </w:tc>
      </w:tr>
      <w:tr w:rsidR="0031490F" w:rsidRPr="00340F0C" w:rsidTr="00536C1B">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Pleuritinis skausmas, plaučių fibrozė, plaučių hipertenzija, kraujavimas iš plaučių </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Pykinimas, viduriavimas, vėmimas, dispepsija, pilvo skausmas</w:t>
            </w:r>
            <w:r w:rsidRPr="00340F0C">
              <w:rPr>
                <w:rFonts w:ascii="Times New Roman" w:eastAsia="SimSun" w:hAnsi="Times New Roman"/>
                <w:vertAlign w:val="superscript"/>
                <w:lang w:eastAsia="zh-CN"/>
              </w:rPr>
              <w:t>6</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Dujų susikaupimas žarnyne, pilvo pūtimas, gastroezofaginis refliuksas, vidurių užkietėjimas, burnos džiūvimas, gastritas</w:t>
            </w:r>
          </w:p>
        </w:tc>
      </w:tr>
      <w:tr w:rsidR="0031490F" w:rsidRPr="00340F0C" w:rsidTr="00536C1B">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Stomatitas, burnos išopėjimas, kraujavimas iš virškinimo trakto</w:t>
            </w:r>
            <w:r w:rsidRPr="00340F0C">
              <w:rPr>
                <w:rFonts w:ascii="Times New Roman" w:eastAsia="SimSun" w:hAnsi="Times New Roman"/>
                <w:vertAlign w:val="superscript"/>
                <w:lang w:eastAsia="zh-CN"/>
              </w:rPr>
              <w:t>7</w:t>
            </w:r>
            <w:r w:rsidRPr="00340F0C">
              <w:rPr>
                <w:rFonts w:ascii="Times New Roman" w:eastAsia="SimSun" w:hAnsi="Times New Roman"/>
                <w:lang w:eastAsia="zh-CN"/>
              </w:rPr>
              <w:t xml:space="preserve">, raugulys, melena, ezofagitas, ascitas, skrandžio opa, hematemezė, lūpos uždegimas, disfagija, pankreatitas </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Kolitas, žarnų nepraeinamumas, uždegiminė žarnų liga</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Kepenų, tulžies pūslės ir latakų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kepenų fermentų koncentracija</w:t>
            </w:r>
          </w:p>
        </w:tc>
      </w:tr>
      <w:tr w:rsidR="0031490F" w:rsidRPr="00340F0C" w:rsidTr="00536C1B">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Hiperbilirubinemija, hepatitas, gelta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nepakankamumas</w:t>
            </w:r>
            <w:r w:rsidRPr="00340F0C">
              <w:rPr>
                <w:rFonts w:ascii="Times New Roman" w:eastAsia="SimSun" w:hAnsi="Times New Roman"/>
                <w:vertAlign w:val="superscript"/>
                <w:lang w:eastAsia="zh-CN"/>
              </w:rPr>
              <w:t>8</w:t>
            </w:r>
            <w:r w:rsidRPr="00340F0C">
              <w:rPr>
                <w:rFonts w:ascii="Times New Roman" w:eastAsia="SimSun" w:hAnsi="Times New Roman"/>
                <w:lang w:eastAsia="zh-CN"/>
              </w:rPr>
              <w:t>, kepenų nekrozė</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Edema apie akis, dermatitas ar egzema, ar bėrimas</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Niežulys, veido edema, sausa oda, eritema, alopecija, naktinis prakaitavimas, fotosensibilizacijos reakcija</w:t>
            </w:r>
          </w:p>
        </w:tc>
      </w:tr>
      <w:tr w:rsidR="0031490F" w:rsidRPr="00340F0C" w:rsidTr="00536C1B">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31490F" w:rsidRPr="00340F0C" w:rsidTr="00536C1B">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Ūminė febrilinė neutrofilinė dermatozė (</w:t>
            </w:r>
            <w:r w:rsidRPr="00340F0C">
              <w:rPr>
                <w:rFonts w:ascii="Times New Roman" w:eastAsia="SimSun" w:hAnsi="Times New Roman"/>
                <w:i/>
                <w:lang w:eastAsia="zh-CN"/>
              </w:rPr>
              <w:t xml:space="preserve">Sweet </w:t>
            </w:r>
            <w:r w:rsidRPr="00340F0C">
              <w:rPr>
                <w:rFonts w:ascii="Times New Roman" w:eastAsia="SimSun" w:hAnsi="Times New Roman"/>
                <w:lang w:eastAsia="zh-CN"/>
              </w:rPr>
              <w:t>sindromas), nagų spalvos pakitimas, angioneurozinė edema, pūslelinis bėrimas, daugiaformė raudonė (eritema), leukocitoklastinis vaskulitas, Stivenso-Džonsono (</w:t>
            </w:r>
            <w:r w:rsidRPr="00340F0C">
              <w:rPr>
                <w:rFonts w:ascii="Times New Roman" w:eastAsia="SimSun" w:hAnsi="Times New Roman"/>
                <w:i/>
                <w:lang w:eastAsia="zh-CN"/>
              </w:rPr>
              <w:t>Stevens-Johnson</w:t>
            </w:r>
            <w:r w:rsidRPr="00340F0C">
              <w:rPr>
                <w:rFonts w:ascii="Times New Roman" w:eastAsia="SimSun" w:hAnsi="Times New Roman"/>
                <w:lang w:eastAsia="zh-CN"/>
              </w:rPr>
              <w:t>) sindromas, ūminė generalizuota egzanteminė pustuliozė (ŪGEP)</w:t>
            </w:r>
          </w:p>
        </w:tc>
      </w:tr>
      <w:tr w:rsidR="0031490F" w:rsidRPr="00340F0C" w:rsidTr="00536C1B">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31490F" w:rsidRPr="00340F0C" w:rsidTr="00536C1B">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spazmas ir mėšlungis, skeleto ir raumenų skausmas, taip pat mialgija, artralgija, kaulų skausmas</w:t>
            </w:r>
            <w:r w:rsidRPr="00340F0C">
              <w:rPr>
                <w:rFonts w:ascii="Times New Roman" w:eastAsia="SimSun" w:hAnsi="Times New Roman"/>
                <w:vertAlign w:val="superscript"/>
                <w:lang w:eastAsia="zh-CN"/>
              </w:rPr>
              <w:t>9</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tinimas</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ir raumenų sąstingis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silpnumas, artritas, rabdomiolizė ar miopatija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lastRenderedPageBreak/>
              <w:t>Inkstų ir šlapimo takų sutrikimai</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Inkstų skausmas, hematurija, ūminis inkstų nepakankamumas, padažnėjęs šlapinimasis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Lytinės sistemos ir krūties sutrikimai</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Geltonkūnio hemoragija ar hemoraginė kiaušidžių cista</w:t>
            </w:r>
          </w:p>
        </w:tc>
      </w:tr>
      <w:tr w:rsidR="0031490F" w:rsidRPr="00340F0C" w:rsidTr="00536C1B">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Bendrieji sutrikimai ir vartojimo vietos pažeidimai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Skysčių susilaikymas ir edema, nuovargis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Silpnumas, karščiavimas, odos vandenė, šaltkrėtis, sąstingis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Skausmas krūtinėje, bloga savijauta</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Tyrimai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kūno svoris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Sumažėjęs kūno svoris</w:t>
            </w:r>
          </w:p>
        </w:tc>
      </w:tr>
      <w:tr w:rsidR="0031490F" w:rsidRPr="00340F0C" w:rsidTr="00536C1B">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amilazės koncentracija kraujyje</w:t>
            </w: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Pneumonija dažniausiai registruota pacientams, kuriems buvo transformuota LML, ir pacientams, kuriems buvo GIST.</w:t>
      </w:r>
    </w:p>
    <w:p w:rsidR="0031490F" w:rsidRPr="00340F0C" w:rsidRDefault="0031490F" w:rsidP="0031490F">
      <w:pPr>
        <w:widowControl w:val="0"/>
        <w:numPr>
          <w:ilvl w:val="0"/>
          <w:numId w:val="2"/>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Galvos skausmas dažniausiai pasireiškė pacientams, kuriems buvo GIST.</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Vertinant pagal pacientų metus </w:t>
      </w:r>
      <w:r w:rsidRPr="00340F0C">
        <w:rPr>
          <w:rFonts w:ascii="Times New Roman" w:eastAsia="SimSun" w:hAnsi="Times New Roman"/>
          <w:i/>
          <w:iCs/>
          <w:lang w:eastAsia="zh-CN"/>
        </w:rPr>
        <w:t>(angl. patient-years</w:t>
      </w:r>
      <w:r w:rsidRPr="00340F0C">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rsidR="0031490F" w:rsidRPr="00340F0C"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rsidR="0031490F" w:rsidRPr="00340F0C" w:rsidRDefault="0031490F" w:rsidP="0031490F">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vertAlign w:val="superscript"/>
          <w:lang w:eastAsia="zh-CN"/>
        </w:rPr>
        <w:t>6+7</w:t>
      </w:r>
      <w:r w:rsidRPr="00340F0C">
        <w:rPr>
          <w:rFonts w:ascii="Times New Roman" w:eastAsia="SimSun" w:hAnsi="Times New Roman"/>
          <w:lang w:eastAsia="zh-CN"/>
        </w:rPr>
        <w:tab/>
        <w:t>Pilvo skausmas ir kraujavimas iš virškinimo trakto dažniausiai stebėtas pacientams, kuriems buvo GIST.</w:t>
      </w:r>
    </w:p>
    <w:p w:rsidR="0031490F" w:rsidRDefault="0031490F" w:rsidP="0031490F">
      <w:pPr>
        <w:widowControl w:val="0"/>
        <w:numPr>
          <w:ilvl w:val="0"/>
          <w:numId w:val="2"/>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340F0C">
        <w:rPr>
          <w:rFonts w:ascii="Times New Roman" w:eastAsia="SimSun" w:hAnsi="Times New Roman"/>
          <w:lang w:eastAsia="zh-CN"/>
        </w:rPr>
        <w:t>Registruoti keli mirtini kepenų nepakankamumo ir kepenų nekrozės atvejai.</w:t>
      </w:r>
    </w:p>
    <w:p w:rsidR="0031490F" w:rsidRDefault="0031490F" w:rsidP="0031490F">
      <w:pPr>
        <w:widowControl w:val="0"/>
        <w:numPr>
          <w:ilvl w:val="0"/>
          <w:numId w:val="2"/>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Skeleto ir raumenų skausmas bei susiję reiškiniai dažniau stebėti pacientams, sergantiems LML, nei pacientams, kuriems buvo GIST.</w:t>
      </w:r>
    </w:p>
    <w:p w:rsidR="0031490F" w:rsidRPr="00340F0C" w:rsidRDefault="0031490F" w:rsidP="0031490F">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Cs/>
          <w:lang w:eastAsia="zh-CN"/>
        </w:rPr>
        <w:t>2 lentelė. Nepageidaujamos reakcijos, remiantis po pateikimo į rinką gautais pranešimais.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kraujosruva ar naviko nekrozė</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Imuninės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Anafilaksinis šokas</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Smegenų edema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Stiklakūnio kraujosruva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Perikarditas, širdies tamponada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Trombozė ar embolija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Ūminis kvėpavimo nepakankamumas</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 intersticinė plaučių liga</w:t>
            </w:r>
          </w:p>
        </w:tc>
      </w:tr>
      <w:tr w:rsidR="0031490F" w:rsidRPr="00340F0C" w:rsidTr="00536C1B">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31490F" w:rsidRPr="00340F0C" w:rsidTr="00536C1B">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Žarnų nepraeinamumas ar žarnų obstrukcija, virškinimo trakto perforacija,</w:t>
            </w:r>
          </w:p>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divertikulitas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Delnų ir padų eritrodizestezijos sindromas</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Lichenoidinė keratozė, plokščioji kerpligė</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Toksinė epidermio nekrolizė</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31490F" w:rsidRPr="00340F0C" w:rsidTr="00536C1B">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31490F" w:rsidRPr="00340F0C" w:rsidTr="00536C1B">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Nevaskulinė nekrozė ar šlaunikaulio galvutės nekrozė</w:t>
            </w:r>
          </w:p>
        </w:tc>
      </w:tr>
      <w:tr w:rsidR="0031490F" w:rsidRPr="00340F0C" w:rsidTr="00536C1B">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31490F" w:rsidRPr="00340F0C"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augimo sulėtėjimas</w:t>
            </w:r>
          </w:p>
        </w:tc>
      </w:tr>
    </w:tbl>
    <w:p w:rsidR="0031490F" w:rsidRPr="00340F0C" w:rsidRDefault="0031490F" w:rsidP="0031490F">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340F0C">
        <w:rPr>
          <w:rFonts w:ascii="Times New Roman" w:eastAsia="SimSun" w:hAnsi="Times New Roman"/>
          <w:vertAlign w:val="superscript"/>
          <w:lang w:eastAsia="zh-CN"/>
        </w:rPr>
        <w:t xml:space="preserve">1 </w:t>
      </w:r>
      <w:r w:rsidRPr="00340F0C">
        <w:rPr>
          <w:rFonts w:ascii="Times New Roman" w:eastAsia="SimSun" w:hAnsi="Times New Roman"/>
          <w:lang w:eastAsia="zh-CN"/>
        </w:rPr>
        <w:t>Registruota pacientų, sergančių progresavusia liga, sunkiomis infekcijomis, sunkia neutropenija ir kitomis sunkiomis gretutinėmis būklėmis, mirties atvejų.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Pakitę laboratoriniai testai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Hematologija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Visų tyrimų metu LML sergantiems pacientams stebėta citopenija, ypač neutropenija ir trombocitopenija, dažniau vartojant dideles </w:t>
      </w:r>
      <w:r w:rsidRPr="00340F0C">
        <w:rPr>
          <w:rFonts w:ascii="Times New Roman" w:eastAsia="SimSun" w:hAnsi="Times New Roman"/>
          <w:spacing w:val="4"/>
          <w:u w:val="single"/>
          <w:lang w:eastAsia="zh-CN"/>
        </w:rPr>
        <w:t>&gt;</w:t>
      </w:r>
      <w:r w:rsidRPr="00340F0C">
        <w:rPr>
          <w:rFonts w:ascii="Times New Roman" w:eastAsia="SimSun" w:hAnsi="Times New Roman"/>
          <w:lang w:eastAsia="zh-CN"/>
        </w:rPr>
        <w:t> 750 mg dozes (I fazės tyrimas). Tačiau citopenijos aiškiai priklauso nuo ligos stadijos, III-IV laipsnio neutropenija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Biochemija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sergantiems pacientams stebėta labai padidėjusi transaminazių (&lt; 5%) 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 koncentracijos padidėjimas ir 4,8% - 3 ar 4 laipsnio AST (aspartataminotransferazių) padidėjimas. Bilirubino koncentracija didėjo mažiau kaip 3%.</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lastRenderedPageBreak/>
        <w:t>Pranešimas apie įtariamas nepageidaujamas reakcijas</w:t>
      </w:r>
    </w:p>
    <w:p w:rsidR="0031490F" w:rsidRPr="00340F0C" w:rsidRDefault="0031490F" w:rsidP="0031490F">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12"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4.9</w:t>
      </w:r>
      <w:r w:rsidRPr="00340F0C">
        <w:rPr>
          <w:rFonts w:ascii="Times New Roman" w:eastAsia="SimSun" w:hAnsi="Times New Roman"/>
          <w:b/>
        </w:rPr>
        <w:tab/>
        <w:t>Perdozavimas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Suaugusiųjų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1200</w:t>
      </w:r>
      <w:r w:rsidRPr="00340F0C">
        <w:rPr>
          <w:rFonts w:ascii="Times New Roman" w:eastAsia="SimSun" w:hAnsi="Times New Roman"/>
          <w:lang w:eastAsia="zh-CN"/>
        </w:rPr>
        <w:noBreakHyphen/>
        <w:t>1600 mg dozę (vartojimo trukmė buvo nuo 1 iki 10 dienų), pasireiškė pykinimas, vėmimas, viduriavimas, bėrimas, eritema, edema, patinimas, nuovargis, raumenų spazmai, trombocitopenija, pancitopenija, pilvo skausmas, galvos skausmas, sumažėjęs apetitas.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1800</w:t>
      </w:r>
      <w:r w:rsidRPr="00340F0C">
        <w:rPr>
          <w:rFonts w:ascii="Times New Roman" w:eastAsia="SimSun" w:hAnsi="Times New Roman"/>
          <w:lang w:eastAsia="zh-CN"/>
        </w:rPr>
        <w:noBreakHyphen/>
        <w:t>3200 mg dozę (daugiausia po 3200 mg per parą 6 dienas), pasireiškė silpnumas, raumenų skausmas, padidėjusi kreatinfosfokinazės koncentracija, padidėjusi bilirubino koncentracija, virškinimo trakto skausmas.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6400 mg (vienkartinę dozę): literatūros šaltiniuose pranešta apie vieną tokį atvejį, kai vienam pacientui pasireiškė pykinimas, vėmimas, pilvo skausmas, karščiavimas, veido patinimas, sumažėjęs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neutrofilų kiekis kraujyje, padidėjusi transaminazių koncentracija.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8</w:t>
      </w:r>
      <w:r w:rsidRPr="00340F0C">
        <w:rPr>
          <w:rFonts w:ascii="Times New Roman" w:eastAsia="SimSun" w:hAnsi="Times New Roman"/>
          <w:lang w:eastAsia="zh-CN"/>
        </w:rPr>
        <w:noBreakHyphen/>
        <w:t>10 g (vienkartinę dozę), pranešta apie pasireiškusį vėmimą ir virškinimo trakto skausmą.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Vienam 3 metų berniukui, kuris išgėrė vienkartinę 400 mg dozę, pasireiškė vėmimas, viduriavimas ir</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 o kitam 3 metų berniukui, kuris išgėrė vienkartinę 980 mg dozę, sumažėjo leukocitų kiekis kraujyje ir pasireiškė viduriavimas.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Pacientą, perdozavusį vaistinio preparato, reikia stebėti ir taikyti atitinkamas pagalbinio gydymo priemones.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FARMAKOLOGINĖS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5.1</w:t>
      </w:r>
      <w:r w:rsidRPr="00340F0C">
        <w:rPr>
          <w:rFonts w:ascii="Times New Roman" w:eastAsia="SimSun" w:hAnsi="Times New Roman"/>
          <w:b/>
        </w:rPr>
        <w:tab/>
        <w:t>Farmakodinaminės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Farmakoterapinė grupė – baltymo kinazės inhibitorius, ATC kodas – L01XE01.</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Veikimo mechanizmas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340F0C">
        <w:rPr>
          <w:rFonts w:ascii="Times New Roman" w:eastAsia="SimSun" w:hAnsi="Times New Roman"/>
          <w:i/>
          <w:iCs/>
          <w:lang w:eastAsia="zh-CN"/>
        </w:rPr>
        <w:t>stem cell factor – SCF</w:t>
      </w:r>
      <w:r w:rsidRPr="00340F0C">
        <w:rPr>
          <w:rFonts w:ascii="Times New Roman" w:eastAsia="SimSun" w:hAnsi="Times New Roman"/>
          <w:lang w:eastAsia="zh-CN"/>
        </w:rPr>
        <w:t xml:space="preserve">) receptorių, diskoidino domeno receptorius (DDR1 ir DDR2), kolonijas stimuliuojančio faktoriaus receptorių (angl. </w:t>
      </w:r>
      <w:r w:rsidRPr="00340F0C">
        <w:rPr>
          <w:rFonts w:ascii="Times New Roman" w:eastAsia="SimSun" w:hAnsi="Times New Roman"/>
          <w:i/>
          <w:iCs/>
          <w:lang w:eastAsia="zh-CN"/>
        </w:rPr>
        <w:t>colony stimulating factor receptor – CSF-1R</w:t>
      </w:r>
      <w:r w:rsidRPr="00340F0C">
        <w:rPr>
          <w:rFonts w:ascii="Times New Roman" w:eastAsia="SimSun" w:hAnsi="Times New Roman"/>
          <w:lang w:eastAsia="zh-CN"/>
        </w:rPr>
        <w:t xml:space="preserve">) bei trombocituose esančius augimo faktoriaus receptorius alfa ir beta (angl. </w:t>
      </w:r>
      <w:r w:rsidRPr="00340F0C">
        <w:rPr>
          <w:rFonts w:ascii="Times New Roman" w:eastAsia="SimSun" w:hAnsi="Times New Roman"/>
          <w:i/>
          <w:iCs/>
          <w:lang w:eastAsia="zh-CN"/>
        </w:rPr>
        <w:t>platelet-derived growth factor receptors – PDGFR-alpha, PDGFR-beta</w:t>
      </w:r>
      <w:r w:rsidRPr="00340F0C">
        <w:rPr>
          <w:rFonts w:ascii="Times New Roman" w:eastAsia="SimSun" w:hAnsi="Times New Roman"/>
          <w:lang w:eastAsia="zh-CN"/>
        </w:rPr>
        <w:t>). Imatinibas taip pat gali slopinti ląstelių procesus, kuriuos skatina šių receptorių kinazių aktyvinimas.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Farmakodinaminis poveikis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baltymo tirozino kinazės inhibitorius, kuris </w:t>
      </w:r>
      <w:r w:rsidRPr="00340F0C">
        <w:rPr>
          <w:rFonts w:ascii="Times New Roman" w:eastAsia="SimSun" w:hAnsi="Times New Roman"/>
          <w:i/>
          <w:iCs/>
          <w:lang w:eastAsia="zh-CN"/>
        </w:rPr>
        <w:t>in vitro</w:t>
      </w:r>
      <w:r w:rsidRPr="00340F0C">
        <w:rPr>
          <w:rFonts w:ascii="Times New Roman" w:eastAsia="SimSun" w:hAnsi="Times New Roman"/>
          <w:lang w:eastAsia="zh-CN"/>
        </w:rPr>
        <w:t xml:space="preserve">, ląstelės lygmenyje ir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teigiamų LML ir ūmine limfoblastine leukemija (ŪLL) sergančių pacientų.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gyvūnų modelyje su Bcr-Abl teigiamomis naviko ląstelėmis junginiui (monoterapijoje) būdingas antinavikinis aktyvumas.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66C6D">
        <w:rPr>
          <w:rFonts w:ascii="Times New Roman" w:eastAsia="SimSun" w:hAnsi="Times New Roman"/>
          <w:lang w:eastAsia="zh-CN"/>
        </w:rPr>
        <w:t>Imatinibas taip pat yra trombocitų kilmės augimo faktoriaus (platelet-derived growth factor, PDGF) tirozinkinazių receptorių, PDGF-R, kamieninių ląstelių faktoriaus (stem cell factor, SCF), c-Kit inhibitorius. Jis slopina PDGF ir SCF medijuojamus ląstelių procesus. In vitro imatinibas slopina proliferaciją ir indukuoja virškinimo trakto stromos naviko (VTSN) ląstelių, kurios ekspresuoja aktyvintą kit mutaciją, apoptozę. MDS/MPL, HES/LEL ir DFSP patogenezėje svarbus PDGF</w:t>
      </w:r>
      <w:r w:rsidRPr="00340F0C">
        <w:rPr>
          <w:rFonts w:ascii="Times New Roman" w:hAnsi="Times New Roman"/>
        </w:rPr>
        <w:t xml:space="preserve"> </w:t>
      </w:r>
      <w:r w:rsidRPr="00366C6D">
        <w:rPr>
          <w:rFonts w:ascii="Times New Roman" w:eastAsia="SimSun" w:hAnsi="Times New Roman"/>
          <w:lang w:eastAsia="zh-CN"/>
        </w:rPr>
        <w:t>receptorių ar Abl baltymo tirozino kinazės aktyvavymas, kurį gali skatinti jungimasis su įvairiais baltymais ar PDGF gamyba. Imatinibas slopina sutrikusio PDGFR ir Abl kinazės aktyvumo sukeltą signalo perdavimą ir ląstelių dauginimąsi.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lėtinės mieloleukemijos tyrimai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veiksmingumas nustatomas bendra hematologinio ir citogenetinio atsako dalimi ir gyvenimo trukme be ligos progresavimo. </w:t>
      </w:r>
      <w:r>
        <w:rPr>
          <w:rFonts w:ascii="Times New Roman" w:eastAsia="SimSun" w:hAnsi="Times New Roman"/>
          <w:lang w:eastAsia="zh-CN"/>
        </w:rPr>
        <w:t>K</w:t>
      </w:r>
      <w:r w:rsidRPr="00340F0C">
        <w:rPr>
          <w:rFonts w:ascii="Times New Roman" w:eastAsia="SimSun" w:hAnsi="Times New Roman"/>
          <w:lang w:eastAsia="zh-CN"/>
        </w:rPr>
        <w:t>ontroliuotų klinikinių tyrimų, įrodančių klinikinę naudą, t.y., nuo ligos priklausomų požymių išnykimą ar pailgėjusią gyvenimo trukmę, neatlikta.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Atlikti trys dideli tarptautiniai, atviri, nekontroliuojami II fazės tyrimai pacientams, kuriems buvo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38</w:t>
      </w:r>
      <w:r w:rsidRPr="00340F0C">
        <w:rPr>
          <w:rFonts w:ascii="Times New Roman" w:eastAsia="SimSun" w:hAnsi="Times New Roman"/>
          <w:lang w:eastAsia="zh-CN"/>
        </w:rPr>
        <w:noBreakHyphen/>
        <w:t xml:space="preserve">% visuose tyrimuose dalyvavusių pacientų buvo </w:t>
      </w:r>
      <w:r w:rsidRPr="00340F0C">
        <w:rPr>
          <w:rFonts w:ascii="Times New Roman" w:hAnsi="Times New Roman"/>
          <w:u w:val="single"/>
          <w:lang w:eastAsia="zh-CN"/>
        </w:rPr>
        <w:t>&gt; </w:t>
      </w:r>
      <w:r w:rsidRPr="00340F0C">
        <w:rPr>
          <w:rFonts w:ascii="Times New Roman" w:eastAsia="SimSun" w:hAnsi="Times New Roman"/>
          <w:lang w:eastAsia="zh-CN"/>
        </w:rPr>
        <w:t xml:space="preserve">60 metų ir 12% pacientų buvo </w:t>
      </w:r>
      <w:r w:rsidRPr="00340F0C">
        <w:rPr>
          <w:rFonts w:ascii="Times New Roman" w:hAnsi="Times New Roman"/>
          <w:u w:val="single"/>
          <w:lang w:eastAsia="zh-CN"/>
        </w:rPr>
        <w:t>&gt; </w:t>
      </w:r>
      <w:r w:rsidRPr="00340F0C">
        <w:rPr>
          <w:rFonts w:ascii="Times New Roman" w:eastAsia="SimSun" w:hAnsi="Times New Roman"/>
          <w:lang w:eastAsia="zh-CN"/>
        </w:rPr>
        <w:t>70 metų.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Mieloblastinė krizė</w:t>
      </w:r>
      <w:r w:rsidRPr="00340F0C">
        <w:rPr>
          <w:rFonts w:ascii="Times New Roman" w:eastAsia="SimSun" w:hAnsi="Times New Roman"/>
          <w:lang w:eastAsia="zh-C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kintamasis buvo hematologinio atsako, apibūdinamo visišku hematologiniu atsaku, išnykusia leukemija (pvz. blastų išnykimas iš kaulų čiulpų ir kraujo, bet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 visiško periferinio kraujo atsistatymo, kaip visiško atsako)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Limfoblastinė krizė</w:t>
      </w:r>
      <w:r w:rsidRPr="00340F0C">
        <w:rPr>
          <w:rFonts w:ascii="Times New Roman" w:eastAsia="SimSun" w:hAnsi="Times New Roman"/>
          <w:lang w:eastAsia="zh-CN"/>
        </w:rPr>
        <w:t>. Nedaug (n=10) pacientų buvo įtraukta į I fazės tyrimą. Hematologinio atsako dažnis buvo 70%, jo trukmė – 2–3 mėnesiai.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9D1353" w:rsidRDefault="0031490F" w:rsidP="0031490F">
      <w:pPr>
        <w:widowControl w:val="0"/>
        <w:tabs>
          <w:tab w:val="left" w:pos="567"/>
          <w:tab w:val="left" w:pos="1360"/>
        </w:tabs>
        <w:autoSpaceDE w:val="0"/>
        <w:autoSpaceDN w:val="0"/>
        <w:adjustRightInd w:val="0"/>
        <w:spacing w:after="0" w:line="240" w:lineRule="auto"/>
        <w:rPr>
          <w:rFonts w:ascii="Times New Roman" w:hAnsi="Times New Roman"/>
          <w:b/>
        </w:rPr>
      </w:pPr>
      <w:r w:rsidRPr="009D1353">
        <w:rPr>
          <w:rFonts w:ascii="Times New Roman" w:hAnsi="Times New Roman"/>
          <w:b/>
        </w:rPr>
        <w:t>3 lentelė. LML tyrimų suaugusiųjų tarpe atsakas.</w:t>
      </w:r>
    </w:p>
    <w:tbl>
      <w:tblPr>
        <w:tblW w:w="5000" w:type="pct"/>
        <w:tblLayout w:type="fixed"/>
        <w:tblCellMar>
          <w:left w:w="0" w:type="dxa"/>
          <w:right w:w="0" w:type="dxa"/>
        </w:tblCellMar>
        <w:tblLook w:val="0000" w:firstRow="0" w:lastRow="0" w:firstColumn="0" w:lastColumn="0" w:noHBand="0" w:noVBand="0"/>
      </w:tblPr>
      <w:tblGrid>
        <w:gridCol w:w="3974"/>
        <w:gridCol w:w="5107"/>
      </w:tblGrid>
      <w:tr w:rsidR="0031490F" w:rsidRPr="009D1033" w:rsidTr="00536C1B">
        <w:trPr>
          <w:trHeight w:hRule="exact" w:val="1781"/>
        </w:trPr>
        <w:tc>
          <w:tcPr>
            <w:tcW w:w="2188"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Tyrimas 0102</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38 mėnesių</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duomenys </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Mieloblastinė krizė </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(n=260)</w:t>
            </w:r>
          </w:p>
        </w:tc>
      </w:tr>
      <w:tr w:rsidR="0031490F" w:rsidRPr="009D1033" w:rsidTr="00536C1B">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9D1033">
              <w:rPr>
                <w:rFonts w:ascii="Times New Roman" w:eastAsia="SimSun" w:hAnsi="Times New Roman"/>
                <w:lang w:eastAsia="zh-CN"/>
              </w:rPr>
              <w:t>Pacientų procentinė dalis (PI 95%)</w:t>
            </w:r>
          </w:p>
        </w:tc>
      </w:tr>
      <w:tr w:rsidR="0031490F" w:rsidRPr="009D1033" w:rsidTr="00536C1B">
        <w:trPr>
          <w:trHeight w:hRule="exact" w:val="1555"/>
        </w:trPr>
        <w:tc>
          <w:tcPr>
            <w:tcW w:w="2188" w:type="pct"/>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lastRenderedPageBreak/>
              <w:t>Hematologinis atsakas</w:t>
            </w:r>
            <w:r w:rsidRPr="009D1033">
              <w:rPr>
                <w:rFonts w:ascii="Times New Roman" w:eastAsia="SimSun" w:hAnsi="Times New Roman"/>
                <w:vertAlign w:val="superscript"/>
                <w:lang w:eastAsia="zh-CN"/>
              </w:rPr>
              <w:t>1</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 hematologinis atsakas</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(VHA)</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 xml:space="preserve">Išnykusi leukemija (NEL) </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Grįžimas į lėtinę fazę (GLF)</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31% (25,2–36,8)</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5%</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18%</w:t>
            </w:r>
          </w:p>
        </w:tc>
      </w:tr>
      <w:tr w:rsidR="0031490F" w:rsidRPr="009D1033" w:rsidTr="00536C1B">
        <w:trPr>
          <w:trHeight w:hRule="exact" w:val="1833"/>
        </w:trPr>
        <w:tc>
          <w:tcPr>
            <w:tcW w:w="2188" w:type="pct"/>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t>Didysis citogenetinis atsakas</w:t>
            </w:r>
            <w:r w:rsidRPr="009D1033">
              <w:rPr>
                <w:rFonts w:ascii="Times New Roman" w:eastAsia="SimSun" w:hAnsi="Times New Roman"/>
                <w:vertAlign w:val="superscript"/>
                <w:lang w:eastAsia="zh-CN"/>
              </w:rPr>
              <w:t>2</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(Patvirtintas</w:t>
            </w:r>
            <w:r>
              <w:rPr>
                <w:rFonts w:ascii="Times New Roman" w:eastAsia="SimSun" w:hAnsi="Times New Roman"/>
                <w:vertAlign w:val="superscript"/>
                <w:lang w:eastAsia="zh-CN"/>
              </w:rPr>
              <w:t>3</w:t>
            </w:r>
            <w:r>
              <w:rPr>
                <w:rFonts w:ascii="Times New Roman" w:eastAsia="SimSun" w:hAnsi="Times New Roman"/>
                <w:lang w:eastAsia="zh-CN"/>
              </w:rPr>
              <w:t xml:space="preserve">) [95% PI] </w:t>
            </w:r>
          </w:p>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Dalinis</w:t>
            </w:r>
          </w:p>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31490F" w:rsidRPr="009D1033"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15% (11,2–20,4)</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7%</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(2%) [0,6–4,4]</w:t>
            </w:r>
          </w:p>
          <w:p w:rsidR="0031490F" w:rsidRDefault="0031490F" w:rsidP="00536C1B">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tc>
      </w:tr>
      <w:tr w:rsidR="0031490F" w:rsidRPr="009D1033" w:rsidTr="00536C1B">
        <w:trPr>
          <w:trHeight w:hRule="exact" w:val="2986"/>
        </w:trPr>
        <w:tc>
          <w:tcPr>
            <w:tcW w:w="5000" w:type="pct"/>
            <w:gridSpan w:val="2"/>
            <w:tcBorders>
              <w:top w:val="single" w:sz="4" w:space="0" w:color="000000"/>
              <w:left w:val="single" w:sz="4" w:space="0" w:color="000000"/>
              <w:bottom w:val="single" w:sz="4" w:space="0" w:color="000000"/>
              <w:right w:val="single" w:sz="4" w:space="0" w:color="000000"/>
            </w:tcBorders>
          </w:tcPr>
          <w:p w:rsidR="0031490F" w:rsidRPr="009D1033"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b/>
                <w:bCs/>
                <w:lang w:eastAsia="zh-CN"/>
              </w:rPr>
              <w:t xml:space="preserve">1 Hematologinio atsako kriterijai (visi atsakai turi būti patvirtinti po </w:t>
            </w:r>
            <w:r w:rsidRPr="009D1033">
              <w:rPr>
                <w:rFonts w:ascii="Times New Roman" w:hAnsi="Times New Roman"/>
                <w:u w:val="single"/>
                <w:lang w:eastAsia="zh-CN"/>
              </w:rPr>
              <w:t>&gt; </w:t>
            </w:r>
            <w:r w:rsidRPr="009D1033">
              <w:rPr>
                <w:rFonts w:ascii="Times New Roman" w:eastAsia="SimSun" w:hAnsi="Times New Roman"/>
                <w:b/>
                <w:bCs/>
                <w:lang w:eastAsia="zh-CN"/>
              </w:rPr>
              <w:t>4 savaičių):</w:t>
            </w:r>
          </w:p>
          <w:p w:rsidR="0031490F" w:rsidRPr="009D1033" w:rsidRDefault="0031490F" w:rsidP="00536C1B">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 xml:space="preserve">VHA: [ANS </w:t>
            </w:r>
            <w:r>
              <w:rPr>
                <w:rFonts w:ascii="Times New Roman" w:eastAsia="SimSun" w:hAnsi="Times New Roman" w:hint="eastAsia"/>
                <w:lang w:eastAsia="zh-CN"/>
              </w:rPr>
              <w:t>≥</w:t>
            </w:r>
            <w:r>
              <w:rPr>
                <w:rFonts w:ascii="Times New Roman" w:eastAsia="SimSun" w:hAnsi="Times New Roman"/>
                <w:lang w:eastAsia="zh-CN"/>
              </w:rPr>
              <w:t xml:space="preserve"> 1,5 x 10</w:t>
            </w:r>
            <w:r>
              <w:rPr>
                <w:rFonts w:ascii="Times New Roman" w:eastAsia="SimSun" w:hAnsi="Times New Roman"/>
                <w:vertAlign w:val="superscript"/>
                <w:lang w:eastAsia="zh-CN"/>
              </w:rPr>
              <w:t>9</w:t>
            </w:r>
            <w:r>
              <w:rPr>
                <w:rFonts w:ascii="Times New Roman" w:eastAsia="SimSun" w:hAnsi="Times New Roman"/>
                <w:lang w:eastAsia="zh-CN"/>
              </w:rPr>
              <w:t xml:space="preserve">/l, trombocitų </w:t>
            </w:r>
            <w:r>
              <w:rPr>
                <w:rFonts w:ascii="Times New Roman" w:eastAsia="SimSun" w:hAnsi="Times New Roman" w:hint="eastAsia"/>
                <w:lang w:eastAsia="zh-CN"/>
              </w:rPr>
              <w:t>≥</w:t>
            </w:r>
            <w:r>
              <w:rPr>
                <w:rFonts w:ascii="Times New Roman" w:eastAsia="SimSun" w:hAnsi="Times New Roman"/>
                <w:lang w:eastAsia="zh-CN"/>
              </w:rPr>
              <w:t xml:space="preserve"> 100 x 10</w:t>
            </w:r>
            <w:r>
              <w:rPr>
                <w:rFonts w:ascii="Times New Roman" w:eastAsia="SimSun" w:hAnsi="Times New Roman"/>
                <w:vertAlign w:val="superscript"/>
                <w:lang w:eastAsia="zh-CN"/>
              </w:rPr>
              <w:t>9</w:t>
            </w:r>
            <w:r>
              <w:rPr>
                <w:rFonts w:ascii="Times New Roman" w:eastAsia="SimSun" w:hAnsi="Times New Roman"/>
                <w:lang w:eastAsia="zh-CN"/>
              </w:rPr>
              <w:t>/l, nėra blastų kraujyje, blastų &lt; 5 % kaulų čiulpuose, nėra ekstramedulinės ligos]</w:t>
            </w:r>
          </w:p>
          <w:p w:rsidR="0031490F" w:rsidRPr="009D1033" w:rsidRDefault="0031490F" w:rsidP="00536C1B">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NEL</w:t>
            </w:r>
            <w:r>
              <w:rPr>
                <w:rFonts w:ascii="Times New Roman" w:eastAsia="SimSun" w:hAnsi="Times New Roman"/>
                <w:lang w:eastAsia="zh-CN"/>
              </w:rPr>
              <w:tab/>
              <w:t xml:space="preserve">Tokie pat kriterijai kaip VHA bet ANS </w:t>
            </w:r>
            <w:r>
              <w:rPr>
                <w:rFonts w:ascii="Times New Roman" w:hAnsi="Times New Roman"/>
                <w:u w:val="single"/>
                <w:lang w:eastAsia="zh-CN"/>
              </w:rPr>
              <w:t>&gt;</w:t>
            </w:r>
            <w:r>
              <w:rPr>
                <w:rFonts w:ascii="Times New Roman" w:eastAsia="SimSun" w:hAnsi="Times New Roman"/>
                <w:lang w:eastAsia="zh-CN"/>
              </w:rPr>
              <w:t> 1 x 10</w:t>
            </w:r>
            <w:r>
              <w:rPr>
                <w:rFonts w:ascii="Times New Roman" w:eastAsia="SimSun" w:hAnsi="Times New Roman"/>
                <w:vertAlign w:val="superscript"/>
                <w:lang w:eastAsia="zh-CN"/>
              </w:rPr>
              <w:t>9</w:t>
            </w:r>
            <w:r>
              <w:rPr>
                <w:rFonts w:ascii="Times New Roman" w:eastAsia="SimSun" w:hAnsi="Times New Roman"/>
                <w:lang w:eastAsia="zh-CN"/>
              </w:rPr>
              <w:t xml:space="preserve">/l ir trombocitų </w:t>
            </w:r>
            <w:r>
              <w:rPr>
                <w:rFonts w:ascii="Times New Roman" w:hAnsi="Times New Roman"/>
                <w:u w:val="single"/>
                <w:lang w:eastAsia="zh-CN"/>
              </w:rPr>
              <w:t>&gt; </w:t>
            </w:r>
            <w:r>
              <w:rPr>
                <w:rFonts w:ascii="Times New Roman" w:eastAsia="SimSun" w:hAnsi="Times New Roman"/>
                <w:lang w:eastAsia="zh-CN"/>
              </w:rPr>
              <w:t>20 x 10</w:t>
            </w:r>
            <w:r>
              <w:rPr>
                <w:rFonts w:ascii="Times New Roman" w:eastAsia="SimSun" w:hAnsi="Times New Roman"/>
                <w:vertAlign w:val="superscript"/>
                <w:lang w:eastAsia="zh-CN"/>
              </w:rPr>
              <w:t>9</w:t>
            </w:r>
            <w:r>
              <w:rPr>
                <w:rFonts w:ascii="Times New Roman" w:eastAsia="SimSun" w:hAnsi="Times New Roman"/>
                <w:lang w:eastAsia="zh-CN"/>
              </w:rPr>
              <w:t xml:space="preserve">/l </w:t>
            </w:r>
          </w:p>
          <w:p w:rsidR="0031490F" w:rsidRPr="009D1033" w:rsidRDefault="0031490F" w:rsidP="00536C1B">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GLF</w:t>
            </w:r>
            <w:r>
              <w:rPr>
                <w:rFonts w:ascii="Times New Roman" w:eastAsia="SimSun" w:hAnsi="Times New Roman"/>
                <w:lang w:eastAsia="zh-CN"/>
              </w:rPr>
              <w:tab/>
              <w:t>&lt; 15% blastų KČ ir PK, &lt; 30% blastų+promielocitų KČ ir PK, &lt; 20% bazofilų PK, nėra kitos, išskyrus blužnies ir kepenų, ekstramedulinės ligos</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KČ = kaulų čiulpai, PK = periferinis kraujas</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bCs/>
                <w:lang w:eastAsia="zh-CN"/>
              </w:rPr>
              <w:t>2 Citogenetinio atsako kriterijai:</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Didįjį atsaką sudaro visiškas ir dalinis atsakas: visiškas (0% Ph+ metafazių), dalinis (1–35%).</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lang w:eastAsia="zh-CN"/>
              </w:rPr>
              <w:t>3 Visiškas citogenetinis atsakas</w:t>
            </w:r>
            <w:r>
              <w:rPr>
                <w:rFonts w:ascii="Times New Roman" w:eastAsia="SimSun" w:hAnsi="Times New Roman"/>
                <w:lang w:eastAsia="zh-CN"/>
              </w:rPr>
              <w:t xml:space="preserve"> patvirtinamas antrą kartą citogenetiškai vertinant kaulų čiulpus praėjus mažiausiai vienam mėnesiui po pirminio kaulų čiulpų tyrimo.</w:t>
            </w:r>
          </w:p>
          <w:p w:rsidR="0031490F" w:rsidRDefault="0031490F" w:rsidP="00536C1B">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Vaikų populiacija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(n=9), 440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(n=7), 570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II fazės atvirame, daugiacentriame, vienos grupės tyrime dalyvavo 51 vaikas, sergantis naujai diagnozuota ir negydyta lėtinės fazės LML. Pacientai buvo gydomi imatinibo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340F0C">
        <w:rPr>
          <w:rFonts w:ascii="Times New Roman" w:eastAsia="SimSun" w:hAnsi="Times New Roman"/>
          <w:i/>
          <w:lang w:eastAsia="zh-CN"/>
        </w:rPr>
        <w:t>Kaplan-Meier</w:t>
      </w:r>
      <w:r w:rsidRPr="00340F0C">
        <w:rPr>
          <w:rFonts w:ascii="Times New Roman" w:eastAsia="SimSun" w:hAnsi="Times New Roman"/>
          <w:lang w:eastAsia="zh-CN"/>
        </w:rPr>
        <w:t xml:space="preserve"> 5,6 mėnesių išgyvenamumo rodikliu.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(bcr-abl translokacija) teigiama lėtine mieloleukemija (vartojimo vaikams informacija pateikiama 4.2 skyriuje).</w:t>
      </w:r>
    </w:p>
    <w:p w:rsidR="0031490F" w:rsidRPr="009D1353" w:rsidRDefault="0031490F" w:rsidP="0031490F">
      <w:pPr>
        <w:tabs>
          <w:tab w:val="left" w:pos="567"/>
        </w:tabs>
        <w:spacing w:after="0" w:line="240" w:lineRule="auto"/>
        <w:rPr>
          <w:rFonts w:ascii="Times New Roman" w:hAnsi="Times New Roman"/>
          <w:u w:val="single"/>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Ph+ ŪLL tyrimai</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Pirmą kartą diagnozuota Ph+ ŪLL</w:t>
      </w:r>
      <w:r w:rsidRPr="00340F0C">
        <w:rPr>
          <w:rFonts w:ascii="Times New Roman" w:eastAsia="SimSun" w:hAnsi="Times New Roman"/>
          <w:lang w:eastAsia="zh-CN"/>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w:t>
      </w:r>
      <w:r w:rsidRPr="00340F0C">
        <w:rPr>
          <w:rFonts w:ascii="Times New Roman" w:eastAsia="SimSun" w:hAnsi="Times New Roman"/>
          <w:lang w:eastAsia="zh-CN"/>
        </w:rPr>
        <w:lastRenderedPageBreak/>
        <w:t>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Keturių nekontroliuojamų tyrimų (AAU02, ADE04, AJP01 ir AUS01), kuriuose dalyvavo 211 pacientų, kuriems pirmą kartą diagnozuota Ph+ ŪLL, rezultatai atitinka anksčiau paminėto tyrimo rezultatus. Skiriant imatinibą kartu su pradine chemoterapija (žr. </w:t>
      </w:r>
      <w:r>
        <w:rPr>
          <w:rFonts w:ascii="Times New Roman" w:eastAsia="SimSun" w:hAnsi="Times New Roman"/>
          <w:lang w:eastAsia="zh-CN"/>
        </w:rPr>
        <w:t>4</w:t>
      </w:r>
      <w:r w:rsidRPr="00340F0C">
        <w:rPr>
          <w:rFonts w:ascii="Times New Roman" w:eastAsia="SimSun" w:hAnsi="Times New Roman"/>
          <w:lang w:eastAsia="zh-CN"/>
        </w:rPr>
        <w:t xml:space="preserve">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31490F" w:rsidRPr="00340F0C"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Pr="00340F0C">
        <w:rPr>
          <w:rFonts w:ascii="Times New Roman" w:eastAsia="SimSun" w:hAnsi="Times New Roman"/>
          <w:b/>
          <w:lang w:eastAsia="zh-CN"/>
        </w:rPr>
        <w:t xml:space="preserve"> Lentelė. 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66C6D">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 4, 5 dieną; MTX 12 mg intratekaliai, 1 dieną.</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6-7 dieną, 13-16 dieną; VCR 1 mg i.v., 7, 14 dieną; IDA 8 mg/m</w:t>
            </w:r>
            <w:r w:rsidRPr="00340F0C">
              <w:rPr>
                <w:rFonts w:ascii="Times New Roman" w:hAnsi="Times New Roman"/>
                <w:vertAlign w:val="superscript"/>
              </w:rPr>
              <w:t>2</w:t>
            </w:r>
            <w:r w:rsidRPr="00340F0C">
              <w:rPr>
                <w:rFonts w:ascii="Times New Roman" w:hAnsi="Times New Roman"/>
              </w:rPr>
              <w:t xml:space="preserve"> i.v. (0,5 valandos), 7, 8, 14, 15 dieną; CP 500 mg/m</w:t>
            </w:r>
            <w:r w:rsidRPr="00340F0C">
              <w:rPr>
                <w:rFonts w:ascii="Times New Roman" w:hAnsi="Times New Roman"/>
                <w:vertAlign w:val="superscript"/>
              </w:rPr>
              <w:t>2</w:t>
            </w:r>
            <w:r w:rsidRPr="00340F0C">
              <w:rPr>
                <w:rFonts w:ascii="Times New Roman" w:hAnsi="Times New Roman"/>
              </w:rPr>
              <w:t xml:space="preserve"> i.v.(1 valanda) 1 dieną; Ara-C 60 mg/m</w:t>
            </w:r>
            <w:r w:rsidRPr="00340F0C">
              <w:rPr>
                <w:rFonts w:ascii="Times New Roman" w:hAnsi="Times New Roman"/>
                <w:vertAlign w:val="superscript"/>
              </w:rPr>
              <w:t>2</w:t>
            </w:r>
            <w:r w:rsidRPr="00340F0C">
              <w:rPr>
                <w:rFonts w:ascii="Times New Roman" w:hAnsi="Times New Roman"/>
              </w:rPr>
              <w:t xml:space="preserve"> i.v., 22-25, 29-32 dienas.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 mg/m</w:t>
            </w:r>
            <w:r w:rsidRPr="00340F0C">
              <w:rPr>
                <w:rFonts w:ascii="Times New Roman" w:hAnsi="Times New Roman"/>
                <w:vertAlign w:val="superscript"/>
              </w:rPr>
              <w:t>2</w:t>
            </w:r>
            <w:r w:rsidRPr="00340F0C">
              <w:rPr>
                <w:rFonts w:ascii="Times New Roman" w:hAnsi="Times New Roman"/>
              </w:rPr>
              <w:t xml:space="preserve"> i.v. (24 valandos), 1, 15 dieną; gerti 6-MP 25 mg/m</w:t>
            </w:r>
            <w:r w:rsidRPr="00340F0C">
              <w:rPr>
                <w:rFonts w:ascii="Times New Roman" w:hAnsi="Times New Roman"/>
                <w:vertAlign w:val="superscript"/>
              </w:rPr>
              <w:t>2</w:t>
            </w:r>
            <w:r w:rsidRPr="00340F0C">
              <w:rPr>
                <w:rFonts w:ascii="Times New Roman" w:hAnsi="Times New Roman"/>
              </w:rPr>
              <w:t>, 1-20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 mg/m</w:t>
            </w:r>
            <w:r w:rsidRPr="00340F0C">
              <w:rPr>
                <w:rFonts w:ascii="Times New Roman" w:hAnsi="Times New Roman"/>
                <w:vertAlign w:val="superscript"/>
              </w:rPr>
              <w:t>2</w:t>
            </w:r>
            <w:r w:rsidRPr="00340F0C">
              <w:rPr>
                <w:rFonts w:ascii="Times New Roman" w:hAnsi="Times New Roman"/>
              </w:rPr>
              <w:t xml:space="preserve"> i.v. (1 valanda), 1-5 dienas; VM26 60 mg/m</w:t>
            </w:r>
            <w:r w:rsidRPr="00340F0C">
              <w:rPr>
                <w:rFonts w:ascii="Times New Roman" w:hAnsi="Times New Roman"/>
                <w:vertAlign w:val="superscript"/>
              </w:rPr>
              <w:t>2</w:t>
            </w:r>
            <w:r w:rsidRPr="00340F0C">
              <w:rPr>
                <w:rFonts w:ascii="Times New Roman" w:hAnsi="Times New Roman"/>
              </w:rPr>
              <w:t xml:space="preserve"> i.v. (1 valanda), 1-5 dienas.</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31490F" w:rsidRPr="00340F0C" w:rsidTr="00536C1B">
        <w:trPr>
          <w:trHeight w:val="640"/>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Pr="00340F0C">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 mg/m</w:t>
            </w:r>
            <w:r w:rsidRPr="00340F0C">
              <w:rPr>
                <w:rFonts w:ascii="Times New Roman" w:hAnsi="Times New Roman"/>
                <w:vertAlign w:val="superscript"/>
              </w:rPr>
              <w:t>2</w:t>
            </w:r>
            <w:r w:rsidRPr="00340F0C">
              <w:rPr>
                <w:rFonts w:ascii="Times New Roman" w:hAnsi="Times New Roman"/>
              </w:rPr>
              <w:t xml:space="preserve"> i.v., 1-3 dienas, 15-16 dienas; VCR bendra dozė 2 mg i.v., 1, 8, 15, 22 dieną; CP 750 mg/m</w:t>
            </w:r>
            <w:r w:rsidRPr="00340F0C">
              <w:rPr>
                <w:rFonts w:ascii="Times New Roman" w:hAnsi="Times New Roman"/>
                <w:vertAlign w:val="superscript"/>
              </w:rPr>
              <w:t>2</w:t>
            </w:r>
            <w:r w:rsidRPr="00340F0C">
              <w:rPr>
                <w:rFonts w:ascii="Times New Roman" w:hAnsi="Times New Roman"/>
              </w:rPr>
              <w:t xml:space="preserve"> i.v., 1, 8 dieną; gerti prednizoloną 60 mg/m</w:t>
            </w:r>
            <w:r w:rsidRPr="00340F0C">
              <w:rPr>
                <w:rFonts w:ascii="Times New Roman" w:hAnsi="Times New Roman"/>
                <w:vertAlign w:val="superscript"/>
              </w:rPr>
              <w:t>2</w:t>
            </w:r>
            <w:r w:rsidRPr="00340F0C">
              <w:rPr>
                <w:rFonts w:ascii="Times New Roman" w:hAnsi="Times New Roman"/>
              </w:rPr>
              <w:t>, 1-7, 15-21 dienas; gerti IDA 9 mg/m</w:t>
            </w:r>
            <w:r w:rsidRPr="00340F0C">
              <w:rPr>
                <w:rFonts w:ascii="Times New Roman" w:hAnsi="Times New Roman"/>
                <w:vertAlign w:val="superscript"/>
              </w:rPr>
              <w:t>2</w:t>
            </w:r>
            <w:r w:rsidRPr="00340F0C">
              <w:rPr>
                <w:rFonts w:ascii="Times New Roman" w:hAnsi="Times New Roman"/>
              </w:rPr>
              <w:t>, 1-28 dienas; MTX 15 mg intratekaliai, 1, 8, 15, 22 dieną; Ara-C 40 mg intratekaliai, 1, 8, 15, 22 dieną; metilprednizolonas 40 mg intratekaliai, 1, 8, 15, 22 dieną.</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 mg/m</w:t>
            </w:r>
            <w:r w:rsidRPr="00340F0C">
              <w:rPr>
                <w:rFonts w:ascii="Times New Roman" w:hAnsi="Times New Roman"/>
                <w:vertAlign w:val="superscript"/>
              </w:rPr>
              <w:t>2</w:t>
            </w:r>
            <w:r w:rsidRPr="00340F0C">
              <w:rPr>
                <w:rFonts w:ascii="Times New Roman" w:hAnsi="Times New Roman"/>
              </w:rPr>
              <w:t xml:space="preserve"> /12 h i.v.(3 valandos), 1-4 dienas; mitoksantronas 10 mg/m</w:t>
            </w:r>
            <w:r w:rsidRPr="00340F0C">
              <w:rPr>
                <w:rFonts w:ascii="Times New Roman" w:hAnsi="Times New Roman"/>
                <w:vertAlign w:val="superscript"/>
              </w:rPr>
              <w:t>2</w:t>
            </w:r>
            <w:r w:rsidRPr="00340F0C">
              <w:rPr>
                <w:rFonts w:ascii="Times New Roman" w:hAnsi="Times New Roman"/>
              </w:rPr>
              <w:t xml:space="preserve"> i.v. 3-5 dienas; MTX 15 mg intratekaliai, 1 dieną; metilprednizolonas 40 mg intratekaliai, 1 dieną.</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3-5 dienas; MTX 15 mg intratekaliai, 1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VCR 2 mg i.v., 6, 13, 20 dieną; daunorubicinas 45 mg/m</w:t>
            </w:r>
            <w:r w:rsidRPr="00340F0C">
              <w:rPr>
                <w:rFonts w:ascii="Times New Roman" w:hAnsi="Times New Roman"/>
                <w:vertAlign w:val="superscript"/>
              </w:rPr>
              <w:t>2</w:t>
            </w:r>
            <w:r w:rsidRPr="00340F0C">
              <w:rPr>
                <w:rFonts w:ascii="Times New Roman" w:hAnsi="Times New Roman"/>
              </w:rPr>
              <w:t xml:space="preserve"> i.v., 6-7, 13-14 dieną.</w:t>
            </w:r>
          </w:p>
        </w:tc>
      </w:tr>
      <w:tr w:rsidR="0031490F" w:rsidRPr="00340F0C" w:rsidTr="00536C1B">
        <w:trPr>
          <w:trHeight w:val="25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Pr="00340F0C">
              <w:rPr>
                <w:rFonts w:ascii="Times New Roman" w:hAnsi="Times New Roman"/>
                <w:vertAlign w:val="superscript"/>
              </w:rPr>
              <w:t>2</w:t>
            </w:r>
            <w:r w:rsidRPr="00340F0C">
              <w:rPr>
                <w:rFonts w:ascii="Times New Roman" w:hAnsi="Times New Roman"/>
              </w:rPr>
              <w:t xml:space="preserve"> i.v. (1 valanda), 26, 46 dieną; Ara-C 75 mg/m 2 i.v. (1 valanda), 28-31, 35-38, 42-45 dienas; gerti 6-MP 60 mg/m</w:t>
            </w:r>
            <w:r w:rsidRPr="00340F0C">
              <w:rPr>
                <w:rFonts w:ascii="Times New Roman" w:hAnsi="Times New Roman"/>
                <w:vertAlign w:val="superscript"/>
              </w:rPr>
              <w:t>2</w:t>
            </w:r>
            <w:r w:rsidRPr="00340F0C">
              <w:rPr>
                <w:rFonts w:ascii="Times New Roman" w:hAnsi="Times New Roman"/>
              </w:rPr>
              <w:t>, 26-46 dienas.</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vindezinas 3 mg/m</w:t>
            </w:r>
            <w:r w:rsidRPr="00340F0C">
              <w:rPr>
                <w:rFonts w:ascii="Times New Roman" w:hAnsi="Times New Roman"/>
                <w:vertAlign w:val="superscript"/>
              </w:rPr>
              <w:t>2</w:t>
            </w:r>
            <w:r w:rsidRPr="00340F0C">
              <w:rPr>
                <w:rFonts w:ascii="Times New Roman" w:hAnsi="Times New Roman"/>
              </w:rPr>
              <w:t xml:space="preserve"> i.v., 1 dieną; </w:t>
            </w:r>
          </w:p>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1,5 g/m</w:t>
            </w:r>
            <w:r w:rsidRPr="00340F0C">
              <w:rPr>
                <w:rFonts w:ascii="Times New Roman" w:hAnsi="Times New Roman"/>
                <w:vertAlign w:val="superscript"/>
              </w:rPr>
              <w:t>2</w:t>
            </w:r>
            <w:r w:rsidRPr="00340F0C">
              <w:rPr>
                <w:rFonts w:ascii="Times New Roman" w:hAnsi="Times New Roman"/>
              </w:rPr>
              <w:t xml:space="preserve"> i.v. (24 valandos), 1 dieną; etopozidas 250 mg/m</w:t>
            </w:r>
            <w:r w:rsidRPr="00340F0C">
              <w:rPr>
                <w:rFonts w:ascii="Times New Roman" w:hAnsi="Times New Roman"/>
                <w:vertAlign w:val="superscript"/>
              </w:rPr>
              <w:t>2</w:t>
            </w:r>
            <w:r w:rsidRPr="00340F0C">
              <w:rPr>
                <w:rFonts w:ascii="Times New Roman" w:hAnsi="Times New Roman"/>
              </w:rPr>
              <w:t xml:space="preserve"> i.v. (1 valanda) 4-5 dienas; Ara-C 2x 2 g/m</w:t>
            </w:r>
            <w:r w:rsidRPr="00340F0C">
              <w:rPr>
                <w:rFonts w:ascii="Times New Roman" w:hAnsi="Times New Roman"/>
                <w:vertAlign w:val="superscript"/>
              </w:rPr>
              <w:t>2</w:t>
            </w:r>
            <w:r w:rsidRPr="00340F0C">
              <w:rPr>
                <w:rFonts w:ascii="Times New Roman" w:hAnsi="Times New Roman"/>
              </w:rPr>
              <w:t xml:space="preserve"> i.v. (3 valandos, 12 valandų), 5 dieną.</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AJP01 tyrimas</w:t>
            </w:r>
          </w:p>
        </w:tc>
      </w:tr>
      <w:tr w:rsidR="0031490F" w:rsidRPr="00340F0C" w:rsidTr="00536C1B">
        <w:trPr>
          <w:trHeight w:val="381"/>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Pr="00340F0C">
              <w:rPr>
                <w:rFonts w:ascii="Times New Roman" w:hAnsi="Times New Roman"/>
                <w:vertAlign w:val="superscript"/>
              </w:rPr>
              <w:t>2</w:t>
            </w:r>
            <w:r w:rsidRPr="00340F0C">
              <w:rPr>
                <w:rFonts w:ascii="Times New Roman" w:hAnsi="Times New Roman"/>
              </w:rPr>
              <w:t xml:space="preserve"> i.v. (3 valandos), 1 dieną; daunorubicinas 60 mg/m</w:t>
            </w:r>
            <w:r w:rsidRPr="00340F0C">
              <w:rPr>
                <w:rFonts w:ascii="Times New Roman" w:hAnsi="Times New Roman"/>
                <w:vertAlign w:val="superscript"/>
              </w:rPr>
              <w:t>2</w:t>
            </w:r>
            <w:r w:rsidRPr="00340F0C">
              <w:rPr>
                <w:rFonts w:ascii="Times New Roman" w:hAnsi="Times New Roman"/>
              </w:rPr>
              <w:t xml:space="preserve"> i.v. (1 valanda), 1-3 dienas; vinkristinas 1,3 mg/m</w:t>
            </w:r>
            <w:r w:rsidRPr="00340F0C">
              <w:rPr>
                <w:rFonts w:ascii="Times New Roman" w:hAnsi="Times New Roman"/>
                <w:vertAlign w:val="superscript"/>
              </w:rPr>
              <w:t>2</w:t>
            </w:r>
            <w:r w:rsidRPr="00340F0C">
              <w:rPr>
                <w:rFonts w:ascii="Times New Roman" w:hAnsi="Times New Roman"/>
              </w:rPr>
              <w:t xml:space="preserve"> i.v., 1, 8, 15, 21 dieną; gerti prednizoloną 60 mg/m</w:t>
            </w:r>
            <w:r w:rsidRPr="00340F0C">
              <w:rPr>
                <w:rFonts w:ascii="Times New Roman" w:hAnsi="Times New Roman"/>
                <w:vertAlign w:val="superscript"/>
              </w:rPr>
              <w:t>2</w:t>
            </w:r>
            <w:r w:rsidRPr="00340F0C">
              <w:rPr>
                <w:rFonts w:ascii="Times New Roman" w:hAnsi="Times New Roman"/>
              </w:rPr>
              <w:t xml:space="preserve"> /per parą.</w:t>
            </w:r>
          </w:p>
        </w:tc>
      </w:tr>
      <w:tr w:rsidR="0031490F" w:rsidRPr="00340F0C" w:rsidTr="00536C1B">
        <w:trPr>
          <w:trHeight w:val="359"/>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 xml:space="preserve">Pakaitinis chemoterapijos kursas: aukštos dozės chemoterapija su MTX </w:t>
            </w:r>
            <w:r w:rsidRPr="00340F0C">
              <w:rPr>
                <w:rFonts w:ascii="Times New Roman" w:hAnsi="Times New Roman"/>
              </w:rPr>
              <w:lastRenderedPageBreak/>
              <w:t>1 g/m</w:t>
            </w:r>
            <w:r w:rsidRPr="00340F0C">
              <w:rPr>
                <w:rFonts w:ascii="Times New Roman" w:hAnsi="Times New Roman"/>
                <w:vertAlign w:val="superscript"/>
              </w:rPr>
              <w:t>2</w:t>
            </w:r>
            <w:r w:rsidRPr="00340F0C">
              <w:rPr>
                <w:rFonts w:ascii="Times New Roman" w:hAnsi="Times New Roman"/>
              </w:rPr>
              <w:t xml:space="preserve"> i.v. (24 valandos), 1 dieną, ir Ara-C 2 g/m</w:t>
            </w:r>
            <w:r w:rsidRPr="00340F0C">
              <w:rPr>
                <w:rFonts w:ascii="Times New Roman" w:hAnsi="Times New Roman"/>
                <w:vertAlign w:val="superscript"/>
              </w:rPr>
              <w:t>2</w:t>
            </w:r>
            <w:r w:rsidRPr="00340F0C">
              <w:rPr>
                <w:rFonts w:ascii="Times New Roman" w:hAnsi="Times New Roman"/>
              </w:rPr>
              <w:t xml:space="preserve"> i.v. (12 valandų), 2-3 dieną, 4 kursus.</w:t>
            </w:r>
          </w:p>
        </w:tc>
      </w:tr>
      <w:tr w:rsidR="0031490F" w:rsidRPr="00340F0C" w:rsidTr="00536C1B">
        <w:trPr>
          <w:trHeight w:val="122"/>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lastRenderedPageBreak/>
              <w:t>Palaikomasis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 i.v., 1 dieną; gerti prednizoloną 60 mg/m 2, 1-5 dienas.</w:t>
            </w:r>
          </w:p>
        </w:tc>
      </w:tr>
      <w:tr w:rsidR="0031490F" w:rsidRPr="00340F0C" w:rsidTr="00536C1B">
        <w:trPr>
          <w:trHeight w:val="98"/>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31490F" w:rsidRPr="00340F0C" w:rsidTr="00536C1B">
        <w:trPr>
          <w:trHeight w:val="640"/>
        </w:trPr>
        <w:tc>
          <w:tcPr>
            <w:tcW w:w="2636" w:type="dxa"/>
            <w:tcBorders>
              <w:top w:val="single" w:sz="4" w:space="0" w:color="auto"/>
              <w:left w:val="nil"/>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AUS01 tyrimas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31490F" w:rsidRPr="00340F0C" w:rsidTr="00536C1B">
        <w:trPr>
          <w:trHeight w:val="229"/>
        </w:trPr>
        <w:tc>
          <w:tcPr>
            <w:tcW w:w="2636" w:type="dxa"/>
            <w:tcBorders>
              <w:top w:val="single" w:sz="4" w:space="0" w:color="auto"/>
              <w:left w:val="nil"/>
              <w:bottom w:val="single" w:sz="4" w:space="0" w:color="auto"/>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31490F" w:rsidRPr="00340F0C" w:rsidRDefault="0031490F" w:rsidP="00536C1B">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 mg i.v. kas mėnesį 13 mėnesių; gerti prednizoloną po 200 mg, 5 dienas per mėnesį 13 mėnesių.</w:t>
            </w:r>
          </w:p>
        </w:tc>
      </w:tr>
      <w:tr w:rsidR="0031490F" w:rsidRPr="00340F0C" w:rsidTr="00536C1B">
        <w:trPr>
          <w:trHeight w:val="100"/>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31490F" w:rsidRPr="00340F0C" w:rsidTr="00536C1B">
        <w:trPr>
          <w:trHeight w:val="359"/>
        </w:trPr>
        <w:tc>
          <w:tcPr>
            <w:tcW w:w="9287" w:type="dxa"/>
            <w:gridSpan w:val="2"/>
            <w:tcBorders>
              <w:top w:val="single" w:sz="4" w:space="0" w:color="auto"/>
              <w:left w:val="nil"/>
              <w:bottom w:val="single" w:sz="4" w:space="0" w:color="auto"/>
              <w:right w:val="nil"/>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Vaikų populiacija:</w:t>
      </w:r>
      <w:r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Pr>
          <w:rFonts w:ascii="Times New Roman" w:eastAsia="SimSun" w:hAnsi="Times New Roman"/>
          <w:lang w:eastAsia="zh-CN"/>
        </w:rPr>
        <w:t>Imatinib Synthon</w:t>
      </w:r>
      <w:r w:rsidRPr="00340F0C">
        <w:rPr>
          <w:rFonts w:ascii="Times New Roman" w:eastAsia="SimSun" w:hAnsi="Times New Roman"/>
          <w:lang w:eastAsia="zh-CN"/>
        </w:rPr>
        <w:t xml:space="preserve"> (po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kartu su intensyvia chemoterapija. 1-5 kohortų pacientams </w:t>
      </w:r>
      <w:r>
        <w:rPr>
          <w:rFonts w:ascii="Times New Roman" w:eastAsia="SimSun" w:hAnsi="Times New Roman"/>
          <w:lang w:eastAsia="zh-CN"/>
        </w:rPr>
        <w:t>Imatinib Synthon</w:t>
      </w:r>
      <w:r w:rsidRPr="00340F0C">
        <w:rPr>
          <w:rFonts w:ascii="Times New Roman" w:eastAsia="SimSun" w:hAnsi="Times New Roman"/>
          <w:lang w:eastAsia="zh-CN"/>
        </w:rPr>
        <w:t xml:space="preserve">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Pr>
          <w:rFonts w:ascii="Times New Roman" w:eastAsia="SimSun" w:hAnsi="Times New Roman"/>
          <w:lang w:eastAsia="zh-CN"/>
        </w:rPr>
        <w:t>Imatinib Synthon</w:t>
      </w:r>
      <w:r w:rsidRPr="00340F0C">
        <w:rPr>
          <w:rFonts w:ascii="Times New Roman" w:eastAsia="SimSun" w:hAnsi="Times New Roman"/>
          <w:lang w:eastAsia="zh-CN"/>
        </w:rPr>
        <w:t xml:space="preserve">(ilgiausia vartojimo trukmė dienomis ir tęstinis </w:t>
      </w:r>
      <w:r>
        <w:rPr>
          <w:rFonts w:ascii="Times New Roman" w:eastAsia="SimSun" w:hAnsi="Times New Roman"/>
          <w:lang w:eastAsia="zh-CN"/>
        </w:rPr>
        <w:t>Imatinib Synthon</w:t>
      </w:r>
      <w:r w:rsidRPr="00340F0C">
        <w:rPr>
          <w:rFonts w:ascii="Times New Roman" w:eastAsia="SimSun" w:hAnsi="Times New Roman"/>
          <w:lang w:eastAsia="zh-CN"/>
        </w:rPr>
        <w:t xml:space="preserve">dozavimas kasdien pirmųjų chemoterapijos kursų metu). Skiriant tęstinį gydymą </w:t>
      </w:r>
      <w:r>
        <w:rPr>
          <w:rFonts w:ascii="Times New Roman" w:eastAsia="SimSun" w:hAnsi="Times New Roman"/>
          <w:lang w:eastAsia="zh-CN"/>
        </w:rPr>
        <w:t>Imatinib Synthon</w:t>
      </w:r>
      <w:r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Pr>
          <w:rFonts w:ascii="Times New Roman" w:eastAsia="SimSun" w:hAnsi="Times New Roman"/>
          <w:lang w:eastAsia="zh-CN"/>
        </w:rPr>
        <w:t>Imatinib Synthon</w:t>
      </w:r>
      <w:r w:rsidRPr="00340F0C">
        <w:rPr>
          <w:rFonts w:ascii="Times New Roman" w:eastAsia="SimSun" w:hAnsi="Times New Roman"/>
          <w:lang w:eastAsia="zh-CN"/>
        </w:rPr>
        <w:t>(atitinkamai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Pr="00340F0C">
        <w:rPr>
          <w:rFonts w:ascii="Times New Roman" w:eastAsia="SimSun" w:hAnsi="Times New Roman"/>
          <w:b/>
          <w:lang w:eastAsia="zh-CN"/>
        </w:rPr>
        <w:t xml:space="preserve"> lentelė. 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31490F" w:rsidRPr="00340F0C" w:rsidTr="00536C1B">
        <w:trPr>
          <w:trHeight w:val="77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1 (3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66C6D">
              <w:rPr>
                <w:rFonts w:ascii="Times New Roman" w:hAnsi="Times New Roman"/>
                <w:vertAlign w:val="superscript"/>
              </w:rPr>
              <w:t>2</w:t>
            </w:r>
            <w:r w:rsidRPr="00340F0C">
              <w:rPr>
                <w:rFonts w:ascii="Times New Roman" w:hAnsi="Times New Roman"/>
              </w:rPr>
              <w:t xml:space="preserve"> per parą, IV): 1-5 dienos</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Ifosfamidas (1,8 g/m</w:t>
            </w:r>
            <w:r w:rsidRPr="00366C6D">
              <w:rPr>
                <w:rFonts w:ascii="Times New Roman" w:hAnsi="Times New Roman"/>
                <w:vertAlign w:val="superscript"/>
              </w:rPr>
              <w:t>2</w:t>
            </w:r>
            <w:r w:rsidRPr="00340F0C">
              <w:rPr>
                <w:rFonts w:ascii="Times New Roman" w:hAnsi="Times New Roman"/>
              </w:rPr>
              <w:t xml:space="preserve"> per parą, IV): 1-5 dienos</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MESNA (po 360 mg/m</w:t>
            </w:r>
            <w:r w:rsidRPr="00366C6D">
              <w:rPr>
                <w:rFonts w:ascii="Times New Roman" w:hAnsi="Times New Roman"/>
                <w:vertAlign w:val="superscript"/>
              </w:rPr>
              <w:t>2</w:t>
            </w:r>
            <w:r w:rsidRPr="00340F0C">
              <w:rPr>
                <w:rFonts w:ascii="Times New Roman" w:hAnsi="Times New Roman"/>
              </w:rPr>
              <w:t xml:space="preserve"> dozę q3h, 8 dozės per parą, IV): 1-5 dienos</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G-CSF (5 μg/kg, SC): 6-15 dienos arba kol ANS bus &gt; 1500 nuo žemiausios reikšmės</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IT Metotreksatas (dozė priklausomai nuo amžiaus): TIK 1-ąją dieną</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Trigubas IT gydymas (dozė priklausomai nuo amžiaus): 8, 15 dienos</w:t>
            </w:r>
          </w:p>
        </w:tc>
      </w:tr>
      <w:tr w:rsidR="0031490F" w:rsidRPr="00340F0C" w:rsidTr="00536C1B">
        <w:trPr>
          <w:trHeight w:val="77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2 (3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6 dozės) iii: 2-ąją ir 3-iąją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dozė q12h x 4, IV): 2-ąją ir 3-iąją dienomis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G-CSF (5 μg/kg, SC): 4-13 dienos arba kol ANS bus &gt; 1500 nuo žemiausios reikšmės</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Reindukcinio gydymo blokas 1 (3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66C6D">
              <w:rPr>
                <w:rFonts w:ascii="Times New Roman" w:hAnsi="Times New Roman"/>
                <w:vertAlign w:val="superscript"/>
              </w:rPr>
              <w:t>2</w:t>
            </w:r>
            <w:r w:rsidRPr="00340F0C">
              <w:rPr>
                <w:rFonts w:ascii="Times New Roman" w:hAnsi="Times New Roman"/>
              </w:rPr>
              <w:t xml:space="preserve"> per parą, IV): 1, 8 ir 15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Pr="00366C6D">
              <w:rPr>
                <w:rFonts w:ascii="Times New Roman" w:hAnsi="Times New Roman"/>
                <w:vertAlign w:val="superscript"/>
              </w:rPr>
              <w:t>2</w:t>
            </w:r>
            <w:r w:rsidRPr="00340F0C">
              <w:rPr>
                <w:rFonts w:ascii="Times New Roman" w:hAnsi="Times New Roman"/>
              </w:rPr>
              <w:t xml:space="preserve"> per parą boliusu, IV): 1-ąją ir 2-ąją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Pr="00366C6D">
              <w:rPr>
                <w:rFonts w:ascii="Times New Roman" w:hAnsi="Times New Roman"/>
                <w:vertAlign w:val="superscript"/>
              </w:rPr>
              <w:t>2</w:t>
            </w:r>
            <w:r w:rsidRPr="00340F0C">
              <w:rPr>
                <w:rFonts w:ascii="Times New Roman" w:hAnsi="Times New Roman"/>
              </w:rPr>
              <w:t xml:space="preserve"> dozė q12h x 4 dozės, IV): 3-</w:t>
            </w:r>
            <w:r w:rsidRPr="00340F0C">
              <w:rPr>
                <w:rFonts w:ascii="Times New Roman" w:hAnsi="Times New Roman"/>
              </w:rPr>
              <w:lastRenderedPageBreak/>
              <w:t xml:space="preserve">iąją ir 4-ąją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bus &gt; 1500 nuo žemiausios reikšmės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Intensyvinimo blokas 1 (9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Reindukcinio gydymo blokas 2 (3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8 ir 15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Pr="00340F0C">
              <w:rPr>
                <w:rFonts w:ascii="Times New Roman" w:hAnsi="Times New Roman"/>
                <w:vertAlign w:val="superscript"/>
              </w:rPr>
              <w:t>2</w:t>
            </w:r>
            <w:r w:rsidRPr="00340F0C">
              <w:rPr>
                <w:rFonts w:ascii="Times New Roman" w:hAnsi="Times New Roman"/>
              </w:rPr>
              <w:t xml:space="preserve"> per parą boliusu, IV): 1-ąją ir 2-ąją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Pr="00340F0C">
              <w:rPr>
                <w:rFonts w:ascii="Times New Roman" w:hAnsi="Times New Roman"/>
                <w:vertAlign w:val="superscript"/>
              </w:rPr>
              <w:t>2</w:t>
            </w:r>
            <w:r w:rsidRPr="00340F0C">
              <w:rPr>
                <w:rFonts w:ascii="Times New Roman" w:hAnsi="Times New Roman"/>
              </w:rPr>
              <w:t xml:space="preserve"> dozė q12h x 4 dozės, IV): 3-iąją ir 4-ąją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bus &gt; 1500 nuo žemiausios reikšmės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Intensyvinimo blokas 2 (9 savaitės)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1–4 ciklai</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MTX (5 g/m</w:t>
            </w:r>
            <w:r w:rsidRPr="00340F0C">
              <w:rPr>
                <w:rFonts w:ascii="Times New Roman" w:hAnsi="Times New Roman"/>
                <w:vertAlign w:val="superscript"/>
              </w:rPr>
              <w:t>2</w:t>
            </w:r>
            <w:r w:rsidRPr="00340F0C">
              <w:rPr>
                <w:rFonts w:ascii="Times New Roman" w:hAnsi="Times New Roman"/>
              </w:rPr>
              <w:t xml:space="preserve"> per 24 valandas, IV): 1-ąją dieną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66C6D">
              <w:rPr>
                <w:rFonts w:ascii="Times New Roman" w:hAnsi="Times New Roman"/>
                <w:vertAlign w:val="superscript"/>
              </w:rPr>
              <w:t>2</w:t>
            </w:r>
            <w:r w:rsidRPr="00340F0C">
              <w:rPr>
                <w:rFonts w:ascii="Times New Roman" w:hAnsi="Times New Roman"/>
              </w:rPr>
              <w:t xml:space="preserve"> IV ar PO q6h x 6 dozės) iii: 2-ąją ir 3-iąją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w:t>
            </w:r>
            <w:r w:rsidRPr="00340F0C">
              <w:rPr>
                <w:rFonts w:ascii="Times New Roman" w:hAnsi="Times New Roman"/>
              </w:rPr>
              <w:lastRenderedPageBreak/>
              <w:t xml:space="preserve">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8-28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22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IV):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IV):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MESNA IV 29-33 dienos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G-CSF (5 μg/kg, SC): 34-43 dienos</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Palaikomasis gydymas (8 savaičių trukmės ciklai) 5-asis ciklas</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Kaukolės švitinimas (tik 5-asis blokas)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12 Gy per 8 frakcijas visiems pacientams, kuriems nustatyta CNS1 ir CNS2 diagnozė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 xml:space="preserve">18 Gy per 10 frakcijų pacientams, kuriems nustatyta CNS3 diagnozė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22, 29, 36, 43, 50 dienomis</w:t>
            </w:r>
          </w:p>
        </w:tc>
      </w:tr>
      <w:tr w:rsidR="0031490F" w:rsidRPr="00340F0C" w:rsidTr="00536C1B">
        <w:trPr>
          <w:trHeight w:val="900"/>
        </w:trPr>
        <w:tc>
          <w:tcPr>
            <w:tcW w:w="4535" w:type="dxa"/>
          </w:tcPr>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6-12 ciklai</w:t>
            </w:r>
          </w:p>
        </w:tc>
        <w:tc>
          <w:tcPr>
            <w:tcW w:w="4535" w:type="dxa"/>
          </w:tcPr>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w:t>
            </w:r>
          </w:p>
          <w:p w:rsidR="0031490F" w:rsidRPr="00340F0C" w:rsidRDefault="0031490F" w:rsidP="00536C1B">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1-56 dienos </w:t>
            </w:r>
          </w:p>
          <w:p w:rsidR="0031490F" w:rsidRPr="00340F0C" w:rsidRDefault="0031490F" w:rsidP="00536C1B">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Pr="00366C6D">
              <w:rPr>
                <w:rFonts w:ascii="Times New Roman" w:hAnsi="Times New Roman"/>
                <w:vertAlign w:val="superscript"/>
              </w:rPr>
              <w:t>2</w:t>
            </w:r>
            <w:r w:rsidRPr="00340F0C">
              <w:rPr>
                <w:rFonts w:ascii="Times New Roman" w:hAnsi="Times New Roman"/>
              </w:rPr>
              <w:t xml:space="preserve"> per savaitę, PO): 1, 8, 15, 22, 29, 36, 43, 50 dienomis</w:t>
            </w:r>
          </w:p>
        </w:tc>
      </w:tr>
    </w:tbl>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Recidyvavusi ar refrakterinė Ph+ ŪLL</w:t>
      </w:r>
      <w:r w:rsidRPr="00340F0C">
        <w:rPr>
          <w:rFonts w:ascii="Times New Roman" w:eastAsia="SimSun" w:hAnsi="Times New Roman"/>
          <w:lang w:eastAsia="zh-C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MDS ir MPL tyrimai</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ligų gydymo </w:t>
      </w:r>
      <w:r>
        <w:rPr>
          <w:rFonts w:ascii="Times New Roman" w:eastAsia="SimSun" w:hAnsi="Times New Roman"/>
          <w:lang w:eastAsia="zh-CN"/>
        </w:rPr>
        <w:t>Imatinib Synthon</w:t>
      </w:r>
      <w:r w:rsidRPr="00340F0C">
        <w:rPr>
          <w:rFonts w:ascii="Times New Roman" w:eastAsia="SimSun" w:hAnsi="Times New Roman"/>
          <w:lang w:eastAsia="zh-CN"/>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Pr>
          <w:rFonts w:ascii="Times New Roman" w:eastAsia="SimSun" w:hAnsi="Times New Roman"/>
          <w:lang w:eastAsia="zh-CN"/>
        </w:rPr>
        <w:t>Imatinib Synthon</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Tyrime </w:t>
      </w:r>
      <w:r w:rsidRPr="00340F0C">
        <w:rPr>
          <w:rFonts w:ascii="Times New Roman" w:eastAsia="SimSun" w:hAnsi="Times New Roman"/>
          <w:lang w:eastAsia="zh-CN"/>
        </w:rPr>
        <w:lastRenderedPageBreak/>
        <w:t xml:space="preserve">dalyvavo 7 pacientai, sergantys MDS/MPL, kurie buvo gydomi </w:t>
      </w:r>
      <w:r>
        <w:rPr>
          <w:rFonts w:ascii="Times New Roman" w:eastAsia="SimSun" w:hAnsi="Times New Roman"/>
          <w:lang w:eastAsia="zh-CN"/>
        </w:rPr>
        <w:t>Imatinib Synthon</w:t>
      </w:r>
      <w:r w:rsidRPr="00340F0C">
        <w:rPr>
          <w:rFonts w:ascii="Times New Roman" w:eastAsia="SimSun" w:hAnsi="Times New Roman"/>
          <w:lang w:eastAsia="zh-CN"/>
        </w:rPr>
        <w:t xml:space="preserve">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w:t>
      </w:r>
      <w:r>
        <w:rPr>
          <w:rFonts w:ascii="Times New Roman" w:eastAsia="SimSun" w:hAnsi="Times New Roman"/>
          <w:lang w:eastAsia="zh-CN"/>
        </w:rPr>
        <w:t>Imatinib Synthon</w:t>
      </w:r>
      <w:r w:rsidRPr="00340F0C">
        <w:rPr>
          <w:rFonts w:ascii="Times New Roman" w:eastAsia="SimSun" w:hAnsi="Times New Roman"/>
          <w:lang w:eastAsia="zh-CN"/>
        </w:rPr>
        <w:t xml:space="preserve">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Pr>
          <w:rFonts w:ascii="Times New Roman" w:eastAsia="SimSun" w:hAnsi="Times New Roman"/>
          <w:lang w:eastAsia="zh-CN"/>
        </w:rPr>
        <w:t>Imatinib Synthon</w:t>
      </w:r>
      <w:r w:rsidRPr="00340F0C">
        <w:rPr>
          <w:rFonts w:ascii="Times New Roman" w:eastAsia="SimSun" w:hAnsi="Times New Roman"/>
          <w:lang w:eastAsia="zh-CN"/>
        </w:rPr>
        <w:t>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w:t>
      </w:r>
      <w:r>
        <w:rPr>
          <w:rFonts w:ascii="Times New Roman" w:eastAsia="SimSun" w:hAnsi="Times New Roman"/>
          <w:lang w:eastAsia="zh-CN"/>
        </w:rPr>
        <w:t xml:space="preserve"> Synthon</w:t>
      </w:r>
      <w:r w:rsidRPr="00340F0C">
        <w:rPr>
          <w:rFonts w:ascii="Times New Roman" w:eastAsia="SimSun" w:hAnsi="Times New Roman"/>
          <w:lang w:eastAsia="zh-CN"/>
        </w:rPr>
        <w:t xml:space="preserve"> paskyrimas pacientams be genetinių translokacijų bendrai pagerėjimo nesukėlė.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visiškas hematologinis atsakas, citogenetinis atsakas ir (arba) klinikinis atsakas.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HES/LEL tyrimai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atvirame, daugiacentriame, II fazės klinikiniame tyrime (tyrimas B2225) buvo tiriamas </w:t>
      </w:r>
      <w:r>
        <w:rPr>
          <w:rFonts w:ascii="Times New Roman" w:eastAsia="SimSun" w:hAnsi="Times New Roman"/>
          <w:lang w:eastAsia="zh-CN"/>
        </w:rPr>
        <w:t>Imatinib Synthon</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Šio tyrimo metu 14 pacientų, sergantys HES/LEL, buvo gydomi </w:t>
      </w:r>
      <w:r>
        <w:rPr>
          <w:rFonts w:ascii="Times New Roman" w:eastAsia="SimSun" w:hAnsi="Times New Roman"/>
          <w:lang w:eastAsia="zh-CN"/>
        </w:rPr>
        <w:t>Imatinib Synthon</w:t>
      </w:r>
      <w:r w:rsidRPr="00340F0C">
        <w:rPr>
          <w:rFonts w:ascii="Times New Roman" w:eastAsia="SimSun" w:hAnsi="Times New Roman"/>
          <w:lang w:eastAsia="zh-CN"/>
        </w:rPr>
        <w:t>100–1</w:t>
      </w:r>
      <w:r>
        <w:rPr>
          <w:rFonts w:ascii="Times New Roman" w:eastAsia="SimSun" w:hAnsi="Times New Roman"/>
          <w:lang w:eastAsia="zh-CN"/>
        </w:rPr>
        <w:t> </w:t>
      </w:r>
      <w:r w:rsidRPr="00340F0C">
        <w:rPr>
          <w:rFonts w:ascii="Times New Roman" w:eastAsia="SimSun" w:hAnsi="Times New Roman"/>
          <w:lang w:eastAsia="zh-CN"/>
        </w:rPr>
        <w:t xml:space="preserve">000 mg dozėmis per parą. Kiti 162 pacientai, sergantys HES/LEL, aprašyti 35 atvejų pranešimuose ir atvejų serijose gavo 75–800 mg </w:t>
      </w:r>
      <w:r>
        <w:rPr>
          <w:rFonts w:ascii="Times New Roman" w:eastAsia="SimSun" w:hAnsi="Times New Roman"/>
          <w:lang w:eastAsia="zh-CN"/>
        </w:rPr>
        <w:t>Imatinib Synthon</w:t>
      </w:r>
      <w:r w:rsidRPr="00340F0C">
        <w:rPr>
          <w:rFonts w:ascii="Times New Roman" w:eastAsia="SimSun" w:hAnsi="Times New Roman"/>
          <w:lang w:eastAsia="zh-CN"/>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arba nuo 200 mg iki 400 mg per parą imatinibo dozė. Visiems pacientams pasiektas visiškas hematologinis atsakas, visiškas citogenetinis atsakas ir (arba) visiškas molekulinis atsakas.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pacientų, kuriems buvo nerezekuotinas ir (ar) metastazavęs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įrodymas – objektyvus atsako dažnis. Buvo reikalaujama naviką išmatuoti bent vienoje vietoje. Atsakas apibūdintas pagal Southwestern Oncology Group (SWOG) kriterijus. Duomenys pateikti 7 lentelėje. </w:t>
      </w:r>
    </w:p>
    <w:p w:rsidR="0031490F" w:rsidRPr="00340F0C" w:rsidRDefault="0031490F" w:rsidP="0031490F">
      <w:pPr>
        <w:tabs>
          <w:tab w:val="left" w:pos="0"/>
        </w:tabs>
        <w:spacing w:after="0" w:line="240" w:lineRule="auto"/>
        <w:rPr>
          <w:rFonts w:ascii="Times New Roman" w:eastAsia="SimSun" w:hAnsi="Times New Roman"/>
          <w:b/>
          <w:lang w:eastAsia="zh-CN"/>
        </w:rPr>
      </w:pPr>
    </w:p>
    <w:p w:rsidR="0031490F" w:rsidRPr="00340F0C" w:rsidRDefault="0031490F" w:rsidP="0031490F">
      <w:pPr>
        <w:tabs>
          <w:tab w:val="left" w:pos="0"/>
        </w:tabs>
        <w:spacing w:after="0" w:line="240" w:lineRule="auto"/>
        <w:rPr>
          <w:rFonts w:ascii="Times New Roman" w:hAnsi="Times New Roman"/>
          <w:b/>
        </w:rPr>
      </w:pPr>
      <w:r>
        <w:rPr>
          <w:rFonts w:ascii="Times New Roman" w:eastAsia="SimSun" w:hAnsi="Times New Roman"/>
          <w:b/>
          <w:lang w:eastAsia="zh-CN"/>
        </w:rPr>
        <w:t>6</w:t>
      </w:r>
      <w:r w:rsidRPr="00340F0C">
        <w:rPr>
          <w:rFonts w:ascii="Times New Roman" w:eastAsia="SimSun" w:hAnsi="Times New Roman"/>
          <w:b/>
          <w:lang w:eastAsia="zh-CN"/>
        </w:rPr>
        <w:t xml:space="preserve"> lentelė. Geriausias naviko atsakas STIB2222 (VTSN) tyrimo metu</w:t>
      </w:r>
    </w:p>
    <w:p w:rsidR="0031490F" w:rsidRPr="00340F0C" w:rsidRDefault="0031490F" w:rsidP="0031490F">
      <w:pPr>
        <w:tabs>
          <w:tab w:val="left" w:pos="0"/>
        </w:tabs>
        <w:spacing w:after="0" w:line="240" w:lineRule="auto"/>
        <w:rPr>
          <w:rFonts w:ascii="Times New Roman" w:hAnsi="Times New Roman"/>
          <w:b/>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31490F" w:rsidRPr="00340F0C" w:rsidTr="00536C1B">
        <w:trPr>
          <w:trHeight w:val="489"/>
        </w:trPr>
        <w:tc>
          <w:tcPr>
            <w:tcW w:w="3828" w:type="dxa"/>
            <w:vAlign w:val="bottom"/>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400 mg (n=73)</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600 mg (n=74)</w:t>
            </w:r>
          </w:p>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31490F" w:rsidRPr="00340F0C" w:rsidTr="00536C1B">
        <w:trPr>
          <w:trHeight w:val="100"/>
        </w:trPr>
        <w:tc>
          <w:tcPr>
            <w:tcW w:w="3828" w:type="dxa"/>
            <w:tcBorders>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Visiškas atsakas</w:t>
            </w:r>
          </w:p>
        </w:tc>
        <w:tc>
          <w:tcPr>
            <w:tcW w:w="3828" w:type="dxa"/>
            <w:tcBorders>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1(0,7)</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98 (66,7)</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23 (15,6)</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18 (12,2)</w:t>
            </w:r>
          </w:p>
        </w:tc>
      </w:tr>
      <w:tr w:rsidR="0031490F" w:rsidRPr="00340F0C" w:rsidTr="00536C1B">
        <w:trPr>
          <w:trHeight w:val="100"/>
        </w:trPr>
        <w:tc>
          <w:tcPr>
            <w:tcW w:w="3828" w:type="dxa"/>
            <w:tcBorders>
              <w:top w:val="nil"/>
              <w:bottom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5 (3,4)</w:t>
            </w:r>
          </w:p>
        </w:tc>
      </w:tr>
      <w:tr w:rsidR="0031490F" w:rsidRPr="00340F0C" w:rsidTr="00536C1B">
        <w:trPr>
          <w:trHeight w:val="100"/>
        </w:trPr>
        <w:tc>
          <w:tcPr>
            <w:tcW w:w="3828" w:type="dxa"/>
            <w:tcBorders>
              <w:top w:val="nil"/>
            </w:tcBorders>
          </w:tcPr>
          <w:p w:rsidR="0031490F" w:rsidRPr="00340F0C" w:rsidRDefault="0031490F" w:rsidP="00536C1B">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rsidR="0031490F" w:rsidRPr="00340F0C" w:rsidRDefault="0031490F" w:rsidP="00536C1B">
            <w:pPr>
              <w:pStyle w:val="Default"/>
              <w:tabs>
                <w:tab w:val="left" w:pos="426"/>
              </w:tabs>
              <w:ind w:left="426" w:hanging="426"/>
              <w:jc w:val="center"/>
              <w:rPr>
                <w:color w:val="auto"/>
                <w:sz w:val="22"/>
                <w:szCs w:val="22"/>
                <w:lang w:val="lt-LT"/>
              </w:rPr>
            </w:pPr>
            <w:r w:rsidRPr="00340F0C">
              <w:rPr>
                <w:color w:val="auto"/>
                <w:sz w:val="22"/>
                <w:szCs w:val="22"/>
                <w:lang w:val="lt-LT"/>
              </w:rPr>
              <w:t>2 (1,4)</w:t>
            </w:r>
          </w:p>
        </w:tc>
      </w:tr>
    </w:tbl>
    <w:p w:rsidR="0031490F" w:rsidRPr="00340F0C" w:rsidRDefault="0031490F" w:rsidP="0031490F">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Pr>
          <w:rFonts w:ascii="Times New Roman" w:eastAsia="SimSun" w:hAnsi="Times New Roman"/>
          <w:lang w:eastAsia="zh-CN"/>
        </w:rPr>
        <w:t>Imatinib Synthon</w:t>
      </w:r>
      <w:r w:rsidRPr="00340F0C">
        <w:rPr>
          <w:rFonts w:ascii="Times New Roman" w:eastAsia="SimSun" w:hAnsi="Times New Roman"/>
          <w:lang w:eastAsia="zh-CN"/>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Pr>
          <w:rFonts w:ascii="Times New Roman" w:eastAsia="SimSun" w:hAnsi="Times New Roman"/>
          <w:lang w:eastAsia="zh-CN"/>
        </w:rPr>
        <w:t>Imatinib Synthon</w:t>
      </w:r>
      <w:r w:rsidRPr="00340F0C">
        <w:rPr>
          <w:rFonts w:ascii="Times New Roman" w:eastAsia="SimSun" w:hAnsi="Times New Roman"/>
          <w:lang w:eastAsia="zh-CN"/>
        </w:rPr>
        <w:t>saugumo rodiklių, atrodo nepaveikė.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adjuvantinio VTSN gydymo tyrimai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Pr>
          <w:rFonts w:ascii="Times New Roman" w:eastAsia="SimSun" w:hAnsi="Times New Roman"/>
          <w:lang w:eastAsia="zh-CN"/>
        </w:rPr>
        <w:t>vartojamas</w:t>
      </w:r>
      <w:r w:rsidRPr="00340F0C">
        <w:rPr>
          <w:rFonts w:ascii="Times New Roman" w:eastAsia="SimSun" w:hAnsi="Times New Roman"/>
          <w:lang w:eastAsia="zh-CN"/>
        </w:rPr>
        <w:t xml:space="preserve"> </w:t>
      </w:r>
      <w:r>
        <w:rPr>
          <w:rFonts w:ascii="Times New Roman" w:eastAsia="SimSun" w:hAnsi="Times New Roman"/>
          <w:lang w:eastAsia="zh-CN"/>
        </w:rPr>
        <w:t>Imatinib Synthon</w:t>
      </w:r>
      <w:r w:rsidRPr="00340F0C">
        <w:rPr>
          <w:rFonts w:ascii="Times New Roman" w:eastAsia="SimSun" w:hAnsi="Times New Roman"/>
          <w:lang w:eastAsia="zh-CN"/>
        </w:rPr>
        <w:t>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Imatinib</w:t>
      </w:r>
      <w:r>
        <w:rPr>
          <w:rFonts w:ascii="Times New Roman" w:eastAsia="SimSun" w:hAnsi="Times New Roman"/>
          <w:lang w:eastAsia="zh-CN"/>
        </w:rPr>
        <w:t xml:space="preserve"> Synthon </w:t>
      </w:r>
      <w:r w:rsidRPr="00340F0C">
        <w:rPr>
          <w:rFonts w:ascii="Times New Roman" w:eastAsia="SimSun" w:hAnsi="Times New Roman"/>
          <w:lang w:eastAsia="zh-CN"/>
        </w:rPr>
        <w:t>400 mg per parą arba placebo grupes (gydymas buvo skiriamas vienerius metus).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w:t>
      </w:r>
      <w:r>
        <w:rPr>
          <w:rFonts w:ascii="Times New Roman" w:eastAsia="SimSun" w:hAnsi="Times New Roman"/>
          <w:lang w:eastAsia="zh-CN"/>
        </w:rPr>
        <w:t xml:space="preserve"> Synthon </w:t>
      </w:r>
      <w:r w:rsidRPr="00340F0C">
        <w:rPr>
          <w:rFonts w:ascii="Times New Roman" w:eastAsia="SimSun" w:hAnsi="Times New Roman"/>
          <w:lang w:eastAsia="zh-CN"/>
        </w:rPr>
        <w:t xml:space="preserve">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w:t>
      </w:r>
      <w:r>
        <w:rPr>
          <w:rFonts w:ascii="Times New Roman" w:eastAsia="SimSun" w:hAnsi="Times New Roman"/>
          <w:lang w:eastAsia="zh-CN"/>
        </w:rPr>
        <w:t>Imatinib Synthon</w:t>
      </w:r>
      <w:r w:rsidRPr="00340F0C">
        <w:rPr>
          <w:rFonts w:ascii="Times New Roman" w:eastAsia="SimSun" w:hAnsi="Times New Roman"/>
          <w:lang w:eastAsia="zh-CN"/>
        </w:rPr>
        <w:t xml:space="preserve">grupėje buvo reikšmingai geresnis lyginant su placebo grupe (atitinkamai 97,7 % ir 82,3 %; p&lt;0,0001). Taigi, ligos recidyvo atsiradimo rizika buvo sumažinta apytiksliai 89 %, lyginant su placebu (rizikos santykis = 0,113 [0,049-0,264]).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w:t>
      </w:r>
      <w:r w:rsidRPr="00340F0C">
        <w:rPr>
          <w:rFonts w:ascii="Times New Roman" w:eastAsia="SimSun" w:hAnsi="Times New Roman"/>
          <w:lang w:eastAsia="zh-CN"/>
        </w:rPr>
        <w:lastRenderedPageBreak/>
        <w:t>(Armed Forces Institute of Pathology – AFIP) sudaryta rizikos klasifikacija, pacientų pogrupių analizės rezultatai pateikti 8 lentelėje. Žemos ir labai žemos rizikos grupėje vaistinio preparato naudos nepastebėta. Bendram išgyvenamumui naudos nepastebėta.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7</w:t>
      </w:r>
      <w:r w:rsidRPr="00340F0C">
        <w:rPr>
          <w:rFonts w:ascii="Times New Roman" w:eastAsia="SimSun" w:hAnsi="Times New Roman"/>
          <w:b/>
          <w:lang w:eastAsia="zh-CN"/>
        </w:rPr>
        <w:t xml:space="preserve"> lentelė. Z9001 klinikinio tyrimo RFS analizės pagal NIH ir AFIP rizikos klasifikacijas santrauka</w:t>
      </w: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3"/>
        <w:gridCol w:w="1701"/>
        <w:gridCol w:w="1559"/>
        <w:gridCol w:w="1559"/>
      </w:tblGrid>
      <w:tr w:rsidR="0031490F" w:rsidRPr="00340F0C" w:rsidTr="00536C1B">
        <w:tc>
          <w:tcPr>
            <w:tcW w:w="851" w:type="dxa"/>
            <w:vMerge w:val="restart"/>
          </w:tcPr>
          <w:p w:rsidR="0031490F" w:rsidRPr="00340F0C" w:rsidRDefault="0031490F" w:rsidP="00536C1B">
            <w:pPr>
              <w:spacing w:after="0" w:line="240" w:lineRule="auto"/>
              <w:rPr>
                <w:rFonts w:ascii="Times New Roman" w:hAnsi="Times New Roman"/>
                <w:b/>
                <w:lang w:eastAsia="en-GB"/>
              </w:rPr>
            </w:pPr>
            <w:r w:rsidRPr="00340F0C">
              <w:rPr>
                <w:rFonts w:ascii="Times New Roman" w:hAnsi="Times New Roman"/>
              </w:rPr>
              <w:t>Rizikos kriterijai</w:t>
            </w:r>
          </w:p>
          <w:p w:rsidR="0031490F" w:rsidRPr="00340F0C" w:rsidRDefault="0031490F" w:rsidP="00536C1B">
            <w:pPr>
              <w:spacing w:after="0" w:line="240" w:lineRule="auto"/>
              <w:rPr>
                <w:rFonts w:ascii="Times New Roman" w:hAnsi="Times New Roman"/>
                <w:b/>
                <w:lang w:eastAsia="en-GB"/>
              </w:rPr>
            </w:pPr>
          </w:p>
        </w:tc>
        <w:tc>
          <w:tcPr>
            <w:tcW w:w="1134"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Rizikos lygis</w:t>
            </w:r>
          </w:p>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p>
        </w:tc>
        <w:tc>
          <w:tcPr>
            <w:tcW w:w="1134"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Pacientų skaičius %</w:t>
            </w:r>
          </w:p>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p>
        </w:tc>
        <w:tc>
          <w:tcPr>
            <w:tcW w:w="1843"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Atvejų skaičius / Pacientų skaičius</w:t>
            </w:r>
          </w:p>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p>
        </w:tc>
        <w:tc>
          <w:tcPr>
            <w:tcW w:w="1701" w:type="dxa"/>
            <w:vMerge w:val="restart"/>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Bendrasis rizikos santykis (95 % PI)*</w:t>
            </w:r>
          </w:p>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p>
        </w:tc>
        <w:tc>
          <w:tcPr>
            <w:tcW w:w="3118" w:type="dxa"/>
            <w:gridSpan w:val="2"/>
          </w:tcPr>
          <w:p w:rsidR="0031490F" w:rsidRPr="00340F0C" w:rsidRDefault="0031490F" w:rsidP="00536C1B">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RFS dažnis (%)</w:t>
            </w:r>
          </w:p>
        </w:tc>
      </w:tr>
      <w:tr w:rsidR="0031490F" w:rsidRPr="00340F0C" w:rsidTr="00536C1B">
        <w:tc>
          <w:tcPr>
            <w:tcW w:w="851" w:type="dxa"/>
            <w:vMerge/>
          </w:tcPr>
          <w:p w:rsidR="0031490F" w:rsidRPr="00340F0C" w:rsidRDefault="0031490F" w:rsidP="00536C1B">
            <w:pPr>
              <w:spacing w:after="0" w:line="240" w:lineRule="auto"/>
              <w:rPr>
                <w:rFonts w:ascii="Times New Roman" w:hAnsi="Times New Roman"/>
                <w:b/>
                <w:lang w:eastAsia="en-GB"/>
              </w:rPr>
            </w:pPr>
          </w:p>
        </w:tc>
        <w:tc>
          <w:tcPr>
            <w:tcW w:w="1134" w:type="dxa"/>
            <w:vMerge/>
          </w:tcPr>
          <w:p w:rsidR="0031490F" w:rsidRPr="00340F0C" w:rsidRDefault="0031490F" w:rsidP="00536C1B">
            <w:pPr>
              <w:spacing w:after="0" w:line="240" w:lineRule="auto"/>
              <w:rPr>
                <w:rFonts w:ascii="Times New Roman" w:hAnsi="Times New Roman"/>
                <w:b/>
                <w:lang w:eastAsia="en-GB"/>
              </w:rPr>
            </w:pPr>
          </w:p>
        </w:tc>
        <w:tc>
          <w:tcPr>
            <w:tcW w:w="1134" w:type="dxa"/>
            <w:vMerge/>
          </w:tcPr>
          <w:p w:rsidR="0031490F" w:rsidRPr="00340F0C" w:rsidRDefault="0031490F" w:rsidP="00536C1B">
            <w:pPr>
              <w:spacing w:after="0" w:line="240" w:lineRule="auto"/>
              <w:rPr>
                <w:rFonts w:ascii="Times New Roman" w:hAnsi="Times New Roman"/>
                <w:b/>
                <w:lang w:eastAsia="en-GB"/>
              </w:rPr>
            </w:pPr>
          </w:p>
        </w:tc>
        <w:tc>
          <w:tcPr>
            <w:tcW w:w="1843" w:type="dxa"/>
            <w:vMerge/>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p>
        </w:tc>
        <w:tc>
          <w:tcPr>
            <w:tcW w:w="1701" w:type="dxa"/>
            <w:vMerge/>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p>
        </w:tc>
        <w:tc>
          <w:tcPr>
            <w:tcW w:w="1559" w:type="dxa"/>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12 mėn.</w:t>
            </w:r>
          </w:p>
        </w:tc>
        <w:tc>
          <w:tcPr>
            <w:tcW w:w="1559" w:type="dxa"/>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24 mėn.</w:t>
            </w:r>
          </w:p>
        </w:tc>
      </w:tr>
      <w:tr w:rsidR="0031490F" w:rsidRPr="00340F0C" w:rsidTr="00536C1B">
        <w:tc>
          <w:tcPr>
            <w:tcW w:w="851" w:type="dxa"/>
            <w:vMerge/>
          </w:tcPr>
          <w:p w:rsidR="0031490F" w:rsidRPr="00340F0C" w:rsidRDefault="0031490F" w:rsidP="00536C1B">
            <w:pPr>
              <w:spacing w:after="0" w:line="240" w:lineRule="auto"/>
              <w:rPr>
                <w:rFonts w:ascii="Times New Roman" w:hAnsi="Times New Roman"/>
                <w:b/>
                <w:lang w:eastAsia="en-GB"/>
              </w:rPr>
            </w:pPr>
          </w:p>
        </w:tc>
        <w:tc>
          <w:tcPr>
            <w:tcW w:w="1134" w:type="dxa"/>
            <w:vMerge/>
            <w:tcBorders>
              <w:bottom w:val="single" w:sz="4" w:space="0" w:color="auto"/>
            </w:tcBorders>
          </w:tcPr>
          <w:p w:rsidR="0031490F" w:rsidRPr="00340F0C" w:rsidRDefault="0031490F" w:rsidP="00536C1B">
            <w:pPr>
              <w:spacing w:after="0" w:line="240" w:lineRule="auto"/>
              <w:rPr>
                <w:rFonts w:ascii="Times New Roman" w:hAnsi="Times New Roman"/>
                <w:b/>
                <w:lang w:eastAsia="en-GB"/>
              </w:rPr>
            </w:pPr>
          </w:p>
        </w:tc>
        <w:tc>
          <w:tcPr>
            <w:tcW w:w="1134" w:type="dxa"/>
            <w:vMerge/>
            <w:tcBorders>
              <w:bottom w:val="single" w:sz="4" w:space="0" w:color="auto"/>
            </w:tcBorders>
          </w:tcPr>
          <w:p w:rsidR="0031490F" w:rsidRPr="00340F0C" w:rsidRDefault="0031490F" w:rsidP="00536C1B">
            <w:pPr>
              <w:spacing w:after="0" w:line="240" w:lineRule="auto"/>
              <w:rPr>
                <w:rFonts w:ascii="Times New Roman" w:hAnsi="Times New Roman"/>
                <w:b/>
                <w:lang w:eastAsia="en-GB"/>
              </w:rPr>
            </w:pPr>
          </w:p>
        </w:tc>
        <w:tc>
          <w:tcPr>
            <w:tcW w:w="1843" w:type="dxa"/>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Imatinib</w:t>
            </w:r>
            <w:r>
              <w:rPr>
                <w:rFonts w:ascii="Times New Roman" w:hAnsi="Times New Roman"/>
              </w:rPr>
              <w:t xml:space="preserve"> Synthon</w:t>
            </w:r>
            <w:r w:rsidRPr="00340F0C">
              <w:rPr>
                <w:rFonts w:ascii="Times New Roman" w:hAnsi="Times New Roman"/>
              </w:rPr>
              <w:t>lyginant su placebu</w:t>
            </w:r>
          </w:p>
        </w:tc>
        <w:tc>
          <w:tcPr>
            <w:tcW w:w="1701" w:type="dxa"/>
            <w:vMerge/>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p>
        </w:tc>
        <w:tc>
          <w:tcPr>
            <w:tcW w:w="1559" w:type="dxa"/>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Imatinib</w:t>
            </w:r>
            <w:r>
              <w:rPr>
                <w:rFonts w:ascii="Times New Roman" w:hAnsi="Times New Roman"/>
              </w:rPr>
              <w:t xml:space="preserve"> Synthon</w:t>
            </w:r>
            <w:r w:rsidRPr="00340F0C">
              <w:rPr>
                <w:rFonts w:ascii="Times New Roman" w:hAnsi="Times New Roman"/>
              </w:rPr>
              <w:t>lyginant su placebu</w:t>
            </w:r>
          </w:p>
        </w:tc>
        <w:tc>
          <w:tcPr>
            <w:tcW w:w="1559" w:type="dxa"/>
            <w:tcBorders>
              <w:bottom w:val="single" w:sz="4" w:space="0" w:color="auto"/>
            </w:tcBorders>
          </w:tcPr>
          <w:p w:rsidR="0031490F" w:rsidRPr="00340F0C" w:rsidRDefault="0031490F" w:rsidP="00536C1B">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Imatinib</w:t>
            </w:r>
            <w:r>
              <w:rPr>
                <w:rFonts w:ascii="Times New Roman" w:hAnsi="Times New Roman"/>
              </w:rPr>
              <w:t xml:space="preserve"> Synthon</w:t>
            </w:r>
            <w:r w:rsidRPr="00340F0C">
              <w:rPr>
                <w:rFonts w:ascii="Times New Roman" w:hAnsi="Times New Roman"/>
              </w:rPr>
              <w:t>lyginant su placebu</w:t>
            </w:r>
          </w:p>
        </w:tc>
      </w:tr>
      <w:tr w:rsidR="0031490F" w:rsidRPr="00340F0C" w:rsidTr="00536C1B">
        <w:tc>
          <w:tcPr>
            <w:tcW w:w="851" w:type="dxa"/>
            <w:vMerge w:val="restar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NIH</w:t>
            </w:r>
          </w:p>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29,5</w:t>
            </w:r>
          </w:p>
        </w:tc>
        <w:tc>
          <w:tcPr>
            <w:tcW w:w="1843"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0/86 ir 2/90</w:t>
            </w:r>
          </w:p>
        </w:tc>
        <w:tc>
          <w:tcPr>
            <w:tcW w:w="1701"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N.E. </w:t>
            </w:r>
          </w:p>
        </w:tc>
        <w:tc>
          <w:tcPr>
            <w:tcW w:w="1559"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98,7</w:t>
            </w:r>
          </w:p>
        </w:tc>
        <w:tc>
          <w:tcPr>
            <w:tcW w:w="1559"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95,5</w:t>
            </w:r>
          </w:p>
        </w:tc>
      </w:tr>
      <w:tr w:rsidR="0031490F" w:rsidRPr="00340F0C" w:rsidTr="00536C1B">
        <w:tc>
          <w:tcPr>
            <w:tcW w:w="851" w:type="dxa"/>
            <w:vMerge/>
          </w:tcPr>
          <w:p w:rsidR="0031490F" w:rsidRPr="00340F0C" w:rsidRDefault="0031490F" w:rsidP="00536C1B">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25,7</w:t>
            </w:r>
          </w:p>
        </w:tc>
        <w:tc>
          <w:tcPr>
            <w:tcW w:w="1843"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4/75 ir 6/78 </w:t>
            </w:r>
          </w:p>
        </w:tc>
        <w:tc>
          <w:tcPr>
            <w:tcW w:w="1701"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0,59 (0,17; 2,10) </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94,8</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97.8 ir 89,5</w:t>
            </w:r>
          </w:p>
        </w:tc>
      </w:tr>
      <w:tr w:rsidR="0031490F" w:rsidRPr="00340F0C" w:rsidTr="00536C1B">
        <w:tc>
          <w:tcPr>
            <w:tcW w:w="851" w:type="dxa"/>
            <w:vMerge/>
          </w:tcPr>
          <w:p w:rsidR="0031490F" w:rsidRPr="00340F0C" w:rsidRDefault="0031490F" w:rsidP="00536C1B">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44,8</w:t>
            </w:r>
          </w:p>
        </w:tc>
        <w:tc>
          <w:tcPr>
            <w:tcW w:w="1843"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21/140 ir 51/127 </w:t>
            </w:r>
          </w:p>
        </w:tc>
        <w:tc>
          <w:tcPr>
            <w:tcW w:w="1701"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0,29 (0,18; 0,49) </w:t>
            </w:r>
          </w:p>
        </w:tc>
        <w:tc>
          <w:tcPr>
            <w:tcW w:w="1559"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94,8 ir 64,0</w:t>
            </w:r>
          </w:p>
        </w:tc>
        <w:tc>
          <w:tcPr>
            <w:tcW w:w="1559" w:type="dxa"/>
            <w:tcBorders>
              <w:top w:val="nil"/>
              <w:bottom w:val="single" w:sz="4" w:space="0" w:color="auto"/>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80.7 ir 46,6</w:t>
            </w:r>
          </w:p>
        </w:tc>
      </w:tr>
      <w:tr w:rsidR="0031490F" w:rsidRPr="00340F0C" w:rsidTr="00536C1B">
        <w:tc>
          <w:tcPr>
            <w:tcW w:w="851" w:type="dxa"/>
            <w:vMerge w:val="restart"/>
          </w:tcPr>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AFIP</w:t>
            </w:r>
          </w:p>
          <w:p w:rsidR="0031490F" w:rsidRPr="00340F0C" w:rsidRDefault="0031490F" w:rsidP="00536C1B">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Labai maža</w:t>
            </w:r>
          </w:p>
        </w:tc>
        <w:tc>
          <w:tcPr>
            <w:tcW w:w="1134"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20,7</w:t>
            </w:r>
          </w:p>
        </w:tc>
        <w:tc>
          <w:tcPr>
            <w:tcW w:w="1843"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0/52 ir 2/63 </w:t>
            </w:r>
          </w:p>
        </w:tc>
        <w:tc>
          <w:tcPr>
            <w:tcW w:w="1701"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98,1</w:t>
            </w:r>
          </w:p>
        </w:tc>
        <w:tc>
          <w:tcPr>
            <w:tcW w:w="1559" w:type="dxa"/>
            <w:tcBorders>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93,0</w:t>
            </w:r>
          </w:p>
        </w:tc>
      </w:tr>
      <w:tr w:rsidR="0031490F" w:rsidRPr="00340F0C" w:rsidTr="00536C1B">
        <w:tc>
          <w:tcPr>
            <w:tcW w:w="851" w:type="dxa"/>
            <w:vMerge/>
          </w:tcPr>
          <w:p w:rsidR="0031490F" w:rsidRPr="00340F0C" w:rsidRDefault="0031490F" w:rsidP="00536C1B">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25,0</w:t>
            </w:r>
          </w:p>
        </w:tc>
        <w:tc>
          <w:tcPr>
            <w:tcW w:w="1843"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2/70 ir 0/69 </w:t>
            </w:r>
          </w:p>
        </w:tc>
        <w:tc>
          <w:tcPr>
            <w:tcW w:w="1701"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100 ir 100</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97,8 ir 100</w:t>
            </w:r>
          </w:p>
        </w:tc>
      </w:tr>
      <w:tr w:rsidR="0031490F" w:rsidRPr="00340F0C" w:rsidTr="00536C1B">
        <w:tc>
          <w:tcPr>
            <w:tcW w:w="851" w:type="dxa"/>
            <w:vMerge/>
          </w:tcPr>
          <w:p w:rsidR="0031490F" w:rsidRPr="00340F0C" w:rsidRDefault="0031490F" w:rsidP="00536C1B">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24,6</w:t>
            </w:r>
          </w:p>
        </w:tc>
        <w:tc>
          <w:tcPr>
            <w:tcW w:w="1843"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2/70 ir 11/67 </w:t>
            </w:r>
          </w:p>
        </w:tc>
        <w:tc>
          <w:tcPr>
            <w:tcW w:w="1701"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0,16 (0,03; 0,70) </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97,9 ir 90,8</w:t>
            </w:r>
          </w:p>
        </w:tc>
        <w:tc>
          <w:tcPr>
            <w:tcW w:w="1559" w:type="dxa"/>
            <w:tcBorders>
              <w:top w:val="nil"/>
              <w:bottom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97,9 ir 73,3</w:t>
            </w:r>
          </w:p>
        </w:tc>
      </w:tr>
      <w:tr w:rsidR="0031490F" w:rsidRPr="00340F0C" w:rsidTr="00536C1B">
        <w:tc>
          <w:tcPr>
            <w:tcW w:w="851" w:type="dxa"/>
            <w:vMerge/>
          </w:tcPr>
          <w:p w:rsidR="0031490F" w:rsidRPr="00340F0C" w:rsidRDefault="0031490F" w:rsidP="00536C1B">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29,7</w:t>
            </w:r>
          </w:p>
        </w:tc>
        <w:tc>
          <w:tcPr>
            <w:tcW w:w="1843"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16/84 ir 39/81 </w:t>
            </w:r>
          </w:p>
        </w:tc>
        <w:tc>
          <w:tcPr>
            <w:tcW w:w="1701"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 xml:space="preserve">0,27 (0,15; 0,48) </w:t>
            </w:r>
          </w:p>
        </w:tc>
        <w:tc>
          <w:tcPr>
            <w:tcW w:w="1559"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98,7 ir 56,1</w:t>
            </w:r>
          </w:p>
        </w:tc>
        <w:tc>
          <w:tcPr>
            <w:tcW w:w="1559" w:type="dxa"/>
            <w:tcBorders>
              <w:top w:val="nil"/>
            </w:tcBorders>
          </w:tcPr>
          <w:p w:rsidR="0031490F" w:rsidRPr="00340F0C" w:rsidRDefault="0031490F" w:rsidP="00536C1B">
            <w:pPr>
              <w:spacing w:after="0" w:line="240" w:lineRule="auto"/>
              <w:jc w:val="both"/>
              <w:rPr>
                <w:rFonts w:ascii="Times New Roman" w:eastAsia="Times New Roman" w:hAnsi="Times New Roman"/>
                <w:lang w:eastAsia="en-GB"/>
              </w:rPr>
            </w:pPr>
            <w:r w:rsidRPr="00340F0C">
              <w:rPr>
                <w:rFonts w:ascii="Times New Roman" w:hAnsi="Times New Roman"/>
              </w:rPr>
              <w:t>79,9 ir 41,5</w:t>
            </w:r>
          </w:p>
        </w:tc>
      </w:tr>
    </w:tbl>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Atlikto antrojo daugiacentrio atvirojo III fazės tyrimo (SSG XVIII/AIO) metu buvo lyginamas VTSN sergančių pacientų po chirurginės naviko rezekcijos 12 mėnesių trukmės gydymas su 36 mėnesių trukmės gydymu 400 mg </w:t>
      </w:r>
      <w:r>
        <w:rPr>
          <w:rFonts w:ascii="Times New Roman" w:eastAsia="SimSun" w:hAnsi="Times New Roman"/>
          <w:lang w:eastAsia="zh-CN"/>
        </w:rPr>
        <w:t>Imatinib Synthon</w:t>
      </w:r>
      <w:r w:rsidRPr="00340F0C">
        <w:rPr>
          <w:rFonts w:ascii="Times New Roman" w:eastAsia="SimSun" w:hAnsi="Times New Roman"/>
          <w:lang w:eastAsia="zh-CN"/>
        </w:rPr>
        <w:t xml:space="preserve">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tyrimo vertinamoji baigtis buvo išgyvenamumas be ligos recidyvo (angl. recurrence-free survival – RFS), nustatomas kaip laikas nuo randomizacijos dienos iki recidyvo pasireiškimo dienos arba mirties dėl bet kokios priežasties.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Pr>
          <w:rFonts w:ascii="Times New Roman" w:eastAsia="SimSun" w:hAnsi="Times New Roman"/>
          <w:lang w:eastAsia="zh-CN"/>
        </w:rPr>
        <w:t>Imatinib Synthon</w:t>
      </w:r>
      <w:r w:rsidRPr="00340F0C">
        <w:rPr>
          <w:rFonts w:ascii="Times New Roman" w:eastAsia="SimSun" w:hAnsi="Times New Roman"/>
          <w:lang w:eastAsia="zh-CN"/>
        </w:rPr>
        <w:t xml:space="preserve">reikšmingai pailgino RFS rodiklį, lyginant su 12 mėnesių trukmės gydymu </w:t>
      </w:r>
      <w:r>
        <w:rPr>
          <w:rFonts w:ascii="Times New Roman" w:eastAsia="SimSun" w:hAnsi="Times New Roman"/>
          <w:lang w:eastAsia="zh-CN"/>
        </w:rPr>
        <w:t>Imatinib Synthon</w:t>
      </w:r>
      <w:r w:rsidRPr="00340F0C">
        <w:rPr>
          <w:rFonts w:ascii="Times New Roman" w:eastAsia="SimSun" w:hAnsi="Times New Roman"/>
          <w:lang w:eastAsia="zh-CN"/>
        </w:rPr>
        <w:t xml:space="preserve">(bendrasis rizikos santykis (RS) lygus 0,46 [0,32, 0,65], p&lt;0,0001) (žr. </w:t>
      </w:r>
      <w:r>
        <w:rPr>
          <w:rFonts w:ascii="Times New Roman" w:eastAsia="SimSun" w:hAnsi="Times New Roman"/>
          <w:lang w:eastAsia="zh-CN"/>
        </w:rPr>
        <w:t>8</w:t>
      </w:r>
      <w:r w:rsidRPr="00340F0C">
        <w:rPr>
          <w:rFonts w:ascii="Times New Roman" w:eastAsia="SimSun" w:hAnsi="Times New Roman"/>
          <w:lang w:eastAsia="zh-CN"/>
        </w:rPr>
        <w:t xml:space="preserve"> lentelę, 1 pav.).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 to, trisdešimt šešių (36) mėnesių trukmės gydymas </w:t>
      </w:r>
      <w:r>
        <w:rPr>
          <w:rFonts w:ascii="Times New Roman" w:eastAsia="SimSun" w:hAnsi="Times New Roman"/>
          <w:lang w:eastAsia="zh-CN"/>
        </w:rPr>
        <w:t>Imatinib Synthon</w:t>
      </w:r>
      <w:r w:rsidRPr="00340F0C">
        <w:rPr>
          <w:rFonts w:ascii="Times New Roman" w:eastAsia="SimSun" w:hAnsi="Times New Roman"/>
          <w:lang w:eastAsia="zh-CN"/>
        </w:rPr>
        <w:t xml:space="preserve">reikšmingai pailgino bendrojo išgyvenamumo rodiklį, lyginant su 12 mėnesių trukmės gydymu </w:t>
      </w:r>
      <w:r>
        <w:rPr>
          <w:rFonts w:ascii="Times New Roman" w:eastAsia="SimSun" w:hAnsi="Times New Roman"/>
          <w:lang w:eastAsia="zh-CN"/>
        </w:rPr>
        <w:t>Imatinib Synthon</w:t>
      </w:r>
      <w:r w:rsidRPr="00340F0C">
        <w:rPr>
          <w:rFonts w:ascii="Times New Roman" w:eastAsia="SimSun" w:hAnsi="Times New Roman"/>
          <w:lang w:eastAsia="zh-CN"/>
        </w:rPr>
        <w:t xml:space="preserve">(RS = 0,45 [0,22, 0,89], p=0,0187) (žr. </w:t>
      </w:r>
      <w:r>
        <w:rPr>
          <w:rFonts w:ascii="Times New Roman" w:eastAsia="SimSun" w:hAnsi="Times New Roman"/>
          <w:lang w:eastAsia="zh-CN"/>
        </w:rPr>
        <w:t>8</w:t>
      </w:r>
      <w:r w:rsidRPr="00340F0C">
        <w:rPr>
          <w:rFonts w:ascii="Times New Roman" w:eastAsia="SimSun" w:hAnsi="Times New Roman"/>
          <w:lang w:eastAsia="zh-CN"/>
        </w:rPr>
        <w:t xml:space="preserve"> lentelę, 2 pav.).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w:t>
      </w:r>
      <w:r w:rsidRPr="00340F0C">
        <w:rPr>
          <w:rFonts w:ascii="Times New Roman" w:eastAsia="SimSun" w:hAnsi="Times New Roman"/>
          <w:lang w:eastAsia="zh-CN"/>
        </w:rPr>
        <w:lastRenderedPageBreak/>
        <w:t xml:space="preserve">0,22, 0,56]. Kadangi pasireiškusių recidyvų skaičius buvo nedidelis, negalima pateikti jokių išvadų apie vaisto poveikį pacientų, kuriems nustatytos kitos retesnės mutacijos, pogrupiams.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8</w:t>
      </w:r>
      <w:r w:rsidRPr="00340F0C">
        <w:rPr>
          <w:rFonts w:ascii="Times New Roman" w:eastAsia="SimSun" w:hAnsi="Times New Roman"/>
          <w:b/>
          <w:lang w:eastAsia="zh-CN"/>
        </w:rPr>
        <w:t xml:space="preserve"> lentelė. 12 mėnesių ir 36 mėnesių trukmės gydymas </w:t>
      </w:r>
      <w:r>
        <w:rPr>
          <w:rFonts w:ascii="Times New Roman" w:eastAsia="SimSun" w:hAnsi="Times New Roman"/>
          <w:b/>
          <w:lang w:eastAsia="zh-CN"/>
        </w:rPr>
        <w:t>Imatinib Synthon</w:t>
      </w:r>
      <w:r w:rsidRPr="00340F0C">
        <w:rPr>
          <w:rFonts w:ascii="Times New Roman" w:eastAsia="SimSun" w:hAnsi="Times New Roman"/>
          <w:b/>
          <w:lang w:eastAsia="zh-CN"/>
        </w:rPr>
        <w:t xml:space="preserve"> (SSGXVIII/AIO klinikinis tyrimas)</w:t>
      </w:r>
    </w:p>
    <w:tbl>
      <w:tblPr>
        <w:tblpPr w:leftFromText="180" w:rightFromText="180" w:vertAnchor="text" w:horzAnchor="margin" w:tblpY="331"/>
        <w:tblW w:w="7730" w:type="dxa"/>
        <w:tblBorders>
          <w:top w:val="single" w:sz="4" w:space="0" w:color="auto"/>
          <w:bottom w:val="single" w:sz="4" w:space="0" w:color="auto"/>
        </w:tblBorders>
        <w:tblLayout w:type="fixed"/>
        <w:tblLook w:val="0000" w:firstRow="0" w:lastRow="0" w:firstColumn="0" w:lastColumn="0" w:noHBand="0" w:noVBand="0"/>
      </w:tblPr>
      <w:tblGrid>
        <w:gridCol w:w="2032"/>
        <w:gridCol w:w="2849"/>
        <w:gridCol w:w="2849"/>
      </w:tblGrid>
      <w:tr w:rsidR="0031490F" w:rsidRPr="00340F0C" w:rsidTr="00536C1B">
        <w:trPr>
          <w:trHeight w:val="98"/>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b/>
                <w:bCs/>
              </w:rPr>
            </w:pP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12 mėnesių trukmės gydymo grupė</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36 mėnesių trukmės gydymo grupė</w:t>
            </w:r>
          </w:p>
        </w:tc>
      </w:tr>
      <w:tr w:rsidR="0031490F" w:rsidRPr="00340F0C" w:rsidTr="00536C1B">
        <w:trPr>
          <w:trHeight w:val="98"/>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RFS rodiklis</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12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93,7 (89,2-96,4)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95,9 (91,9-97,9) </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24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75,4 (68,6-81,0)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90,7 (85,6-94,0) </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60,1 (52,5-66,9)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86,6 (80,8-90,8) </w:t>
            </w:r>
          </w:p>
        </w:tc>
      </w:tr>
      <w:tr w:rsidR="0031490F" w:rsidRPr="00340F0C" w:rsidTr="00536C1B">
        <w:trPr>
          <w:trHeight w:val="100"/>
        </w:trPr>
        <w:tc>
          <w:tcPr>
            <w:tcW w:w="2032" w:type="dxa"/>
            <w:tcBorders>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Borders>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52,3 (44,0-59,8) </w:t>
            </w:r>
          </w:p>
        </w:tc>
        <w:tc>
          <w:tcPr>
            <w:tcW w:w="2849" w:type="dxa"/>
            <w:tcBorders>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78,3 (70,8-84,1) </w:t>
            </w:r>
          </w:p>
        </w:tc>
      </w:tr>
      <w:tr w:rsidR="0031490F" w:rsidRPr="00340F0C" w:rsidTr="00536C1B">
        <w:trPr>
          <w:trHeight w:val="100"/>
        </w:trPr>
        <w:tc>
          <w:tcPr>
            <w:tcW w:w="2032" w:type="dxa"/>
            <w:tcBorders>
              <w:top w:val="nil"/>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Borders>
              <w:top w:val="nil"/>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47,9 (39,0-56,3) </w:t>
            </w:r>
          </w:p>
        </w:tc>
        <w:tc>
          <w:tcPr>
            <w:tcW w:w="2849" w:type="dxa"/>
            <w:tcBorders>
              <w:top w:val="nil"/>
              <w:bottom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65,6 (56,1-73,4) </w:t>
            </w:r>
          </w:p>
        </w:tc>
      </w:tr>
      <w:tr w:rsidR="0031490F" w:rsidRPr="00340F0C" w:rsidTr="00536C1B">
        <w:trPr>
          <w:trHeight w:val="98"/>
        </w:trPr>
        <w:tc>
          <w:tcPr>
            <w:tcW w:w="7730" w:type="dxa"/>
            <w:gridSpan w:val="3"/>
            <w:tcBorders>
              <w:top w:val="nil"/>
            </w:tcBorders>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Išgyvenamumas</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94,0 (89,5-96,7)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96,3 (92,4-98,2) </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87,9 (81,1-92,3)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95,6 (91,2-97,8) </w:t>
            </w:r>
          </w:p>
        </w:tc>
      </w:tr>
      <w:tr w:rsidR="0031490F" w:rsidRPr="00340F0C" w:rsidTr="00536C1B">
        <w:trPr>
          <w:trHeight w:val="100"/>
        </w:trPr>
        <w:tc>
          <w:tcPr>
            <w:tcW w:w="2032"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81,7 (73,0-87,8) </w:t>
            </w:r>
          </w:p>
        </w:tc>
        <w:tc>
          <w:tcPr>
            <w:tcW w:w="2849" w:type="dxa"/>
          </w:tcPr>
          <w:p w:rsidR="0031490F" w:rsidRDefault="0031490F" w:rsidP="00536C1B">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92,0 (85,3-95,7) </w:t>
            </w:r>
          </w:p>
        </w:tc>
      </w:tr>
    </w:tbl>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Default="0031490F" w:rsidP="0031490F">
      <w:pPr>
        <w:spacing w:after="0" w:line="240" w:lineRule="auto"/>
        <w:rPr>
          <w:rFonts w:ascii="Times New Roman" w:eastAsia="Times New Roman" w:hAnsi="Times New Roman"/>
          <w:b/>
          <w:lang w:eastAsia="en-GB"/>
        </w:rPr>
      </w:pPr>
    </w:p>
    <w:p w:rsidR="0031490F" w:rsidRPr="00340F0C" w:rsidRDefault="0031490F" w:rsidP="0031490F">
      <w:pPr>
        <w:spacing w:after="0" w:line="240" w:lineRule="auto"/>
        <w:jc w:val="both"/>
        <w:rPr>
          <w:rFonts w:ascii="Times New Roman" w:eastAsia="Times New Roman" w:hAnsi="Times New Roman"/>
          <w:lang w:eastAsia="en-GB"/>
        </w:rPr>
      </w:pPr>
    </w:p>
    <w:p w:rsidR="0031490F" w:rsidRPr="00340F0C" w:rsidRDefault="0031490F" w:rsidP="0031490F">
      <w:p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1 pav.</w:t>
      </w:r>
      <w:r w:rsidRPr="00340F0C">
        <w:rPr>
          <w:rFonts w:ascii="Times New Roman" w:eastAsia="SimSun" w:hAnsi="Times New Roman"/>
          <w:b/>
          <w:lang w:eastAsia="zh-CN"/>
        </w:rPr>
        <w:tab/>
        <w:t xml:space="preserve"> Pirminės vertinamosios baigties išgyvenamumo be ligos recidyvo duomenys, Kaplan-Meier kreivė (ITT populiacija)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hAnsi="Times New Roman"/>
          <w:noProof/>
          <w:lang w:eastAsia="lt-LT"/>
        </w:rPr>
        <w:drawing>
          <wp:inline distT="0" distB="0" distL="0" distR="0" wp14:anchorId="5ADF9E3F" wp14:editId="4FC6C2EF">
            <wp:extent cx="5762625" cy="275272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31490F" w:rsidRPr="00340F0C" w:rsidRDefault="0031490F" w:rsidP="0031490F">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r>
      <w:r w:rsidRPr="00340F0C">
        <w:rPr>
          <w:rFonts w:ascii="Times New Roman" w:eastAsia="SimSun" w:hAnsi="Times New Roman"/>
          <w:lang w:eastAsia="zh-CN"/>
        </w:rPr>
        <w:tab/>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rsidR="0031490F" w:rsidRPr="00340F0C" w:rsidRDefault="0031490F" w:rsidP="0031490F">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Pr="00340F0C">
        <w:rPr>
          <w:rFonts w:ascii="Times New Roman" w:eastAsia="SimSun" w:hAnsi="Times New Roman"/>
          <w:lang w:eastAsia="zh-CN"/>
        </w:rPr>
        <w:tab/>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rsidR="0031490F" w:rsidRPr="00340F0C" w:rsidRDefault="0031490F" w:rsidP="0031490F">
      <w:pPr>
        <w:tabs>
          <w:tab w:val="left" w:pos="227"/>
          <w:tab w:val="left" w:pos="284"/>
          <w:tab w:val="left" w:pos="567"/>
        </w:tabs>
        <w:spacing w:after="0" w:line="240" w:lineRule="auto"/>
        <w:rPr>
          <w:rFonts w:ascii="Times New Roman" w:eastAsia="SimSun" w:hAnsi="Times New Roman"/>
          <w:lang w:eastAsia="zh-CN"/>
        </w:rPr>
      </w:pPr>
    </w:p>
    <w:p w:rsidR="0031490F" w:rsidRPr="00340F0C" w:rsidRDefault="0031490F" w:rsidP="0031490F">
      <w:pPr>
        <w:tabs>
          <w:tab w:val="left" w:pos="227"/>
          <w:tab w:val="left" w:pos="284"/>
          <w:tab w:val="left" w:pos="567"/>
        </w:tabs>
        <w:spacing w:after="0" w:line="240" w:lineRule="auto"/>
        <w:ind w:left="284" w:hanging="284"/>
        <w:rPr>
          <w:rFonts w:ascii="Times New Roman" w:eastAsia="SimSun" w:hAnsi="Times New Roman"/>
          <w:b/>
          <w:lang w:eastAsia="zh-CN"/>
        </w:rPr>
      </w:pPr>
      <w:r w:rsidRPr="00340F0C">
        <w:rPr>
          <w:rFonts w:ascii="Times New Roman" w:eastAsia="SimSun" w:hAnsi="Times New Roman"/>
          <w:b/>
          <w:lang w:eastAsia="zh-CN"/>
        </w:rPr>
        <w:t xml:space="preserve">2 pav. </w:t>
      </w:r>
      <w:r w:rsidRPr="00340F0C">
        <w:rPr>
          <w:rFonts w:ascii="Times New Roman" w:eastAsia="SimSun" w:hAnsi="Times New Roman"/>
          <w:b/>
          <w:lang w:eastAsia="zh-CN"/>
        </w:rPr>
        <w:tab/>
        <w:t>Bendrojo išgyvenamumo duomenys, Kaplan-Meier kreivė (ITT populiacija)</w:t>
      </w:r>
    </w:p>
    <w:p w:rsidR="0031490F" w:rsidRPr="00340F0C" w:rsidRDefault="0031490F" w:rsidP="0031490F">
      <w:pPr>
        <w:tabs>
          <w:tab w:val="left" w:pos="227"/>
          <w:tab w:val="left" w:pos="284"/>
          <w:tab w:val="left" w:pos="567"/>
        </w:tabs>
        <w:spacing w:after="0" w:line="240" w:lineRule="auto"/>
        <w:ind w:left="284" w:hanging="284"/>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hAnsi="Times New Roman"/>
          <w:noProof/>
          <w:lang w:eastAsia="lt-LT"/>
        </w:rPr>
        <w:lastRenderedPageBreak/>
        <w:drawing>
          <wp:inline distT="0" distB="0" distL="0" distR="0" wp14:anchorId="173121D2" wp14:editId="52EB2458">
            <wp:extent cx="5762625" cy="23907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rsidR="0031490F" w:rsidRPr="00340F0C" w:rsidRDefault="0031490F" w:rsidP="0031490F">
      <w:pPr>
        <w:shd w:val="clear" w:color="auto" w:fill="FFFFFF"/>
        <w:tabs>
          <w:tab w:val="left" w:pos="426"/>
          <w:tab w:val="left" w:pos="1248"/>
        </w:tabs>
        <w:spacing w:after="0" w:line="240" w:lineRule="auto"/>
        <w:ind w:left="426" w:hanging="426"/>
        <w:jc w:val="both"/>
        <w:rPr>
          <w:rFonts w:ascii="Times New Roman" w:eastAsia="Times New Roman" w:hAnsi="Times New Roman"/>
          <w:u w:val="single"/>
          <w:lang w:eastAsia="en-GB"/>
        </w:rPr>
      </w:pPr>
    </w:p>
    <w:p w:rsidR="0031490F" w:rsidRPr="00340F0C" w:rsidRDefault="0031490F" w:rsidP="0031490F">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p>
    <w:p w:rsidR="0031490F" w:rsidRPr="00340F0C" w:rsidRDefault="0031490F" w:rsidP="0031490F">
      <w:pPr>
        <w:tabs>
          <w:tab w:val="left" w:pos="567"/>
        </w:tabs>
        <w:spacing w:after="0" w:line="240" w:lineRule="auto"/>
        <w:rPr>
          <w:rFonts w:ascii="Times New Roman" w:eastAsia="Times New Roman" w:hAnsi="Times New Roman"/>
          <w:lang w:eastAsia="en-GB"/>
        </w:rPr>
      </w:pPr>
    </w:p>
    <w:p w:rsidR="0031490F" w:rsidRPr="00340F0C" w:rsidRDefault="0031490F" w:rsidP="0031490F">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DFSP klinikiniai tyrimai </w:t>
      </w:r>
    </w:p>
    <w:p w:rsidR="0031490F" w:rsidRPr="00340F0C" w:rsidRDefault="0031490F" w:rsidP="0031490F">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Viename II fazės, atvirame, daugiacentriniame, klinikiniame tyrime (tyrimas B2225) dalyvavo 12 DFSP sergančių pacientų, vartojusių 800 mg </w:t>
      </w:r>
      <w:r>
        <w:rPr>
          <w:rFonts w:ascii="Times New Roman" w:eastAsia="Times New Roman" w:hAnsi="Times New Roman"/>
          <w:lang w:eastAsia="en-GB"/>
        </w:rPr>
        <w:t>Imatinib Synthon</w:t>
      </w:r>
      <w:r w:rsidRPr="00340F0C">
        <w:rPr>
          <w:rFonts w:ascii="Times New Roman" w:eastAsia="Times New Roman" w:hAnsi="Times New Roman"/>
          <w:lang w:eastAsia="en-GB"/>
        </w:rPr>
        <w:t xml:space="preserve">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w:t>
      </w:r>
      <w:r>
        <w:rPr>
          <w:rFonts w:ascii="Times New Roman" w:eastAsia="Times New Roman" w:hAnsi="Times New Roman"/>
          <w:lang w:eastAsia="en-GB"/>
        </w:rPr>
        <w:t xml:space="preserve"> Synthon</w:t>
      </w:r>
      <w:r w:rsidRPr="00340F0C">
        <w:rPr>
          <w:rFonts w:ascii="Times New Roman" w:eastAsia="Times New Roman" w:hAnsi="Times New Roman"/>
          <w:lang w:eastAsia="en-GB"/>
        </w:rPr>
        <w:t xml:space="preserve">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w:t>
      </w:r>
      <w:r>
        <w:rPr>
          <w:rFonts w:ascii="Times New Roman" w:eastAsia="Times New Roman" w:hAnsi="Times New Roman"/>
          <w:lang w:eastAsia="en-GB"/>
        </w:rPr>
        <w:t>Imatinib Synthon</w:t>
      </w:r>
      <w:r w:rsidRPr="00340F0C">
        <w:rPr>
          <w:rFonts w:ascii="Times New Roman" w:eastAsia="Times New Roman" w:hAnsi="Times New Roman"/>
          <w:lang w:eastAsia="en-GB"/>
        </w:rPr>
        <w:t xml:space="preserve"> per parą. Penkiems (5) pacientams buvo gautas atsakas, 3 – pilnas, o 2 - dalinis. Literatūroje skelbtų atvejų gydymo trukmės mediana buvo nuo 4 savaičių iki daugiau kaip 20 mėnesių. Translokacija t(17:22)[(q22:q13)] arba jos genų produktas buvo beveik visuose atsakuose į </w:t>
      </w:r>
      <w:r>
        <w:rPr>
          <w:rFonts w:ascii="Times New Roman" w:eastAsia="Times New Roman" w:hAnsi="Times New Roman"/>
          <w:lang w:eastAsia="en-GB"/>
        </w:rPr>
        <w:t>Imatinib Synthon</w:t>
      </w:r>
      <w:r w:rsidRPr="00340F0C">
        <w:rPr>
          <w:rFonts w:ascii="Times New Roman" w:eastAsia="Times New Roman" w:hAnsi="Times New Roman"/>
          <w:lang w:eastAsia="en-GB"/>
        </w:rPr>
        <w:t xml:space="preserve">terapiją. </w:t>
      </w:r>
    </w:p>
    <w:p w:rsidR="0031490F" w:rsidRPr="00340F0C" w:rsidRDefault="0031490F" w:rsidP="0031490F">
      <w:pPr>
        <w:tabs>
          <w:tab w:val="left" w:pos="567"/>
        </w:tabs>
        <w:spacing w:after="0" w:line="240" w:lineRule="auto"/>
        <w:rPr>
          <w:rFonts w:ascii="Times New Roman" w:eastAsia="Times New Roman" w:hAnsi="Times New Roman"/>
          <w:lang w:eastAsia="en-GB"/>
        </w:rPr>
      </w:pPr>
    </w:p>
    <w:p w:rsidR="0031490F" w:rsidRPr="00340F0C" w:rsidRDefault="0031490F" w:rsidP="0031490F">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366C6D">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iki 520 mg/m</w:t>
      </w:r>
      <w:r w:rsidRPr="00366C6D">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kūno paviršiaus ploto per parą dozė. Visiems pacientams pasiektas dalinis ir (arba) visiškas atsakas.</w:t>
      </w:r>
    </w:p>
    <w:p w:rsidR="0031490F" w:rsidRPr="009D1353" w:rsidRDefault="0031490F" w:rsidP="0031490F">
      <w:pPr>
        <w:keepNext/>
        <w:tabs>
          <w:tab w:val="left" w:pos="567"/>
        </w:tabs>
        <w:spacing w:after="0" w:line="240" w:lineRule="auto"/>
        <w:jc w:val="both"/>
        <w:outlineLvl w:val="3"/>
        <w:rPr>
          <w:rFonts w:ascii="Times New Roman" w:hAnsi="Times New Roman"/>
          <w:b/>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5.2</w:t>
      </w:r>
      <w:r w:rsidRPr="00340F0C">
        <w:rPr>
          <w:rFonts w:ascii="Times New Roman" w:eastAsia="SimSun" w:hAnsi="Times New Roman"/>
          <w:b/>
        </w:rPr>
        <w:tab/>
        <w:t>Farmakokinetinės savybės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Imatinibo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farmakokinetika tirta vartojant nuo 25 mg iki 1 000 mg dozes. Plazmos farmakokinetikos pobūdis buvo tiriamas 1-ąją dieną ir 7-ąją arba 28-ąją dieną, kai koncentracija plazmoje pasidaro </w:t>
      </w:r>
      <w:r w:rsidRPr="00340F0C">
        <w:rPr>
          <w:rFonts w:ascii="Times New Roman" w:eastAsia="SimSun" w:hAnsi="Times New Roman"/>
          <w:lang w:eastAsia="zh-CN"/>
        </w:rPr>
        <w:lastRenderedPageBreak/>
        <w:t>pastovi.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Absorbcija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sumažėja 11% ir t</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Pasiskirstymas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susidaro kliniškai reikšminga imatinibo koncentracija, apie 95% vaistinio preparato jungiasi su plazmos baltymais (pagal eksperimentus </w:t>
      </w:r>
      <w:r w:rsidRPr="00340F0C">
        <w:rPr>
          <w:rFonts w:ascii="Times New Roman" w:eastAsia="SimSun" w:hAnsi="Times New Roman"/>
          <w:i/>
          <w:iCs/>
          <w:lang w:eastAsia="zh-CN"/>
        </w:rPr>
        <w:t>in vitro</w:t>
      </w:r>
      <w:r w:rsidRPr="00340F0C">
        <w:rPr>
          <w:rFonts w:ascii="Times New Roman" w:eastAsia="SimSun" w:hAnsi="Times New Roman"/>
          <w:lang w:eastAsia="zh-CN"/>
        </w:rPr>
        <w:t>), daugiausia su albuminu ir alfa rūgščiuoju glikoproteinu ir labai mažai su lipoproteinu.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Biotransformacija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Pagrindinis cirkuliuojantis metabolitas žmogaus organizme yra N-demetilintas piperazino derivatas, kuris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ir N-demetilintas metabolitas kartu sudaro 65% cirkuliuojančio radioaktyvumo (AUC</w:t>
      </w:r>
      <w:r w:rsidRPr="00340F0C">
        <w:rPr>
          <w:rFonts w:ascii="Times New Roman" w:eastAsia="SimSun" w:hAnsi="Times New Roman"/>
          <w:vertAlign w:val="subscript"/>
          <w:lang w:eastAsia="zh-CN"/>
        </w:rPr>
        <w:t>(0-48h)</w:t>
      </w:r>
      <w:r w:rsidRPr="00340F0C">
        <w:rPr>
          <w:rFonts w:ascii="Times New Roman" w:eastAsia="SimSun" w:hAnsi="Times New Roman"/>
          <w:lang w:eastAsia="zh-CN"/>
        </w:rPr>
        <w:t>). Kitas cirkuliuojantis radioaktyvumas priklauso nuo kelių mažesnių metabolitų.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Tyrimai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Eliminacija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Plazmos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GIST pacientų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w:t>
      </w:r>
      <w:r w:rsidRPr="00340F0C">
        <w:rPr>
          <w:rFonts w:ascii="Times New Roman" w:eastAsia="SimSun" w:hAnsi="Times New Roman"/>
          <w:lang w:eastAsia="zh-CN"/>
        </w:rPr>
        <w:lastRenderedPageBreak/>
        <w:t>susilpnėjusį metabolizmą.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Populiacijos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farmakokinetika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Abiejų I ir II fazės tyrimų metu nustatyta, kad vaikų, kaip ir suaugusiųjų, organizme išgertas imatinibas greitai absorbuojamas. Skiriant vaikams po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ir po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gauta tokia pat ekspozicija kaip ir suaugusiesiems skiriant atitinkamai po 400 mg ir 600 mg per parą. Lyginant AUC</w:t>
      </w:r>
      <w:r w:rsidRPr="00340F0C">
        <w:rPr>
          <w:rFonts w:ascii="Times New Roman" w:eastAsia="SimSun" w:hAnsi="Times New Roman"/>
          <w:vertAlign w:val="subscript"/>
          <w:lang w:eastAsia="zh-CN"/>
        </w:rPr>
        <w:t>(0-24)</w:t>
      </w:r>
      <w:r w:rsidRPr="00340F0C">
        <w:rPr>
          <w:rFonts w:ascii="Times New Roman" w:eastAsia="SimSun" w:hAnsi="Times New Roman"/>
          <w:lang w:eastAsia="zh-CN"/>
        </w:rPr>
        <w:t xml:space="preserve"> 8-ąją ir 1-ąją dienomis, nustatyta, kad vartojant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dozę būna 1,7 karto didesnė vaistinio preparato akumuliacija po kartotinio vieną kartą per parą dozavimo.</w:t>
      </w:r>
    </w:p>
    <w:p w:rsidR="0031490F" w:rsidRPr="00340F0C" w:rsidRDefault="0031490F" w:rsidP="0031490F">
      <w:pPr>
        <w:shd w:val="clear" w:color="auto" w:fill="FFFFFF"/>
        <w:spacing w:after="0" w:line="240" w:lineRule="auto"/>
        <w:jc w:val="both"/>
        <w:rPr>
          <w:rFonts w:ascii="Times New Roman" w:eastAsia="Times New Roman" w:hAnsi="Times New Roman"/>
          <w:lang w:eastAsia="en-GB"/>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366C6D">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400 mg kartą per parą) arba po 340 mg/m</w:t>
      </w:r>
      <w:r w:rsidRPr="00366C6D">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600 mg kartą per parą), buvo panaši kaip ekspozicija suaugusiųjų organizmuose, kai suaugusiesiems buvo skiriama po 400 mg arba 600 mg imatinibo dozę kartą per parą.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Times New Roman" w:hAnsi="Times New Roman"/>
          <w:lang w:eastAsia="en-GB"/>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Organų funkcijos sutrikimas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b/>
          <w:lang w:eastAsia="zh-CN"/>
        </w:rPr>
      </w:pPr>
      <w:r w:rsidRPr="00340F0C">
        <w:rPr>
          <w:rFonts w:ascii="Times New Roman" w:eastAsia="SimSun" w:hAnsi="Times New Roman"/>
          <w:b/>
          <w:lang w:eastAsia="zh-CN"/>
        </w:rPr>
        <w:t>5.3</w:t>
      </w:r>
      <w:r w:rsidRPr="00340F0C">
        <w:rPr>
          <w:rFonts w:ascii="Times New Roman" w:eastAsia="SimSun" w:hAnsi="Times New Roman"/>
          <w:b/>
          <w:lang w:eastAsia="zh-CN"/>
        </w:rPr>
        <w:tab/>
        <w:t>Ikiklinikinių saugumo tyrimų duomenys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Ikiklinikinis imatinibo saugumo pobūdis įvertintas žiurkėms, šunims, beždžionėms ir triušiams.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Kartotinių dozių toksiškumo tyrimai atskleidė nesunkių ar vidutinio sunkumo hematologinių pokyčių</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žiurkėms, šunims ir beždžionėms bei kaulų čiulpų pokyčių žiurkėms ir šunims.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340F0C">
        <w:rPr>
          <w:rFonts w:ascii="Times New Roman" w:hAnsi="Times New Roman"/>
          <w:u w:val="single"/>
          <w:lang w:eastAsia="zh-CN"/>
        </w:rPr>
        <w:t>&gt; </w:t>
      </w:r>
      <w:r w:rsidRPr="00340F0C">
        <w:rPr>
          <w:rFonts w:ascii="Times New Roman" w:eastAsia="SimSun" w:hAnsi="Times New Roman"/>
          <w:lang w:eastAsia="zh-CN"/>
        </w:rPr>
        <w:t>6 mg/kg dozę, stebėta inkstų spenelių ir šlapimo pūslės pereinamojo epitelio hiperplazija be serumo ar šlapimo rodiklių pokyčių. Ilgai gydomiems imatinibu gyvūnams stebėtas padidėjęs oportunistinių infekcijų dažnis.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nebuvo genotoksiškas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atliekant bakterijų ląstelių testus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testus),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tyrimus (pelių limfomos) ir </w:t>
      </w:r>
      <w:r w:rsidRPr="00340F0C">
        <w:rPr>
          <w:rFonts w:ascii="Times New Roman" w:eastAsia="SimSun" w:hAnsi="Times New Roman"/>
          <w:i/>
          <w:iCs/>
          <w:lang w:eastAsia="zh-CN"/>
        </w:rPr>
        <w:t xml:space="preserve">in vivo </w:t>
      </w:r>
      <w:r w:rsidRPr="00340F0C">
        <w:rPr>
          <w:rFonts w:ascii="Times New Roman" w:eastAsia="SimSun" w:hAnsi="Times New Roman"/>
          <w:iCs/>
          <w:lang w:eastAsia="zh-CN"/>
        </w:rPr>
        <w:t>ž</w:t>
      </w:r>
      <w:r w:rsidRPr="00340F0C">
        <w:rPr>
          <w:rFonts w:ascii="Times New Roman" w:eastAsia="SimSun" w:hAnsi="Times New Roman"/>
          <w:lang w:eastAsia="zh-CN"/>
        </w:rPr>
        <w:t xml:space="preserve">iurkių mikrobranduolių testus. Teigiamas imatinibo genotoksinis poveikis stebėtas atliekant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testų metu. Vienas šių tarpinių produktų buvo teigiamas pelių limfomos tyrimų metu.</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340F0C">
        <w:rPr>
          <w:rFonts w:ascii="Times New Roman" w:hAnsi="Times New Roman"/>
          <w:u w:val="single"/>
          <w:lang w:eastAsia="zh-CN"/>
        </w:rPr>
        <w:t>&gt; </w:t>
      </w:r>
      <w:r w:rsidRPr="00340F0C">
        <w:rPr>
          <w:rFonts w:ascii="Times New Roman" w:eastAsia="SimSun" w:hAnsi="Times New Roman"/>
          <w:lang w:eastAsia="zh-C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Geriamojo vaistinio preparato prenatalinės ir ponatalinės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Dvejų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žiurkių kancerogeniškumo tyrimų radinių reikšmė ir mechanizmas žmonėms dar neaiškus.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Ankstesniuose tyrimuose nebuvo registruota kitų, ne neoplastinių širdies ir kraujagyslių sistemos,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kasos, endokrininių liaukų ir dantų pažeidimų. Svarbiausi pakitimai buvo širdies hipertrofija ir išsiplėtimas, dėl ko kai kuriems gyvūnėliams pasireiškė širdies nepakankamumo simptomai.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Times New Roman" w:hAnsi="Times New Roman"/>
          <w:lang w:eastAsia="en-GB"/>
        </w:rPr>
        <w:t>Nustatyta, kad veiklioji medžiaga imatinibas kelia pavojų nuosėdose aptinkamiems organizmams.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FARMACINĖ INFORMACIJA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6.1</w:t>
      </w:r>
      <w:r w:rsidRPr="00340F0C">
        <w:rPr>
          <w:rFonts w:ascii="Times New Roman" w:eastAsia="SimSun" w:hAnsi="Times New Roman"/>
          <w:b/>
        </w:rPr>
        <w:tab/>
        <w:t>Pagalbinių medžiagų sąrašas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 xml:space="preserve">Tabletės šerdis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Koloidinis bevandenis silicio dioksidas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Mikrokristalinė celiuliozė (E460)</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Krospovidonas</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Hipromeliozė (E464)</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Magnio stearatas (E572)</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Tabletės plėvelė</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Polivinilo alkoholis (E1203)</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Makrogolis 3350 (E1521)</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Talkas (E553b)</w:t>
      </w:r>
    </w:p>
    <w:p w:rsidR="0031490F" w:rsidRPr="00340F0C"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Geltonasis geležies oksidas (E172) </w:t>
      </w:r>
    </w:p>
    <w:p w:rsidR="0031490F" w:rsidRPr="00340F0C" w:rsidRDefault="0031490F" w:rsidP="0031490F">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Raudonasis geležies oksidas (E172) </w:t>
      </w:r>
    </w:p>
    <w:p w:rsidR="0031490F" w:rsidRPr="00340F0C" w:rsidRDefault="0031490F" w:rsidP="0031490F">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Titano dioksidas (E171)</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6.2</w:t>
      </w:r>
      <w:r w:rsidRPr="00340F0C">
        <w:rPr>
          <w:rFonts w:ascii="Times New Roman" w:eastAsia="SimSun" w:hAnsi="Times New Roman"/>
          <w:b/>
        </w:rPr>
        <w:tab/>
        <w:t>Nesuderinamumas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Duomenys nebūtini.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6.3</w:t>
      </w:r>
      <w:r w:rsidRPr="00340F0C">
        <w:rPr>
          <w:rFonts w:ascii="Times New Roman" w:eastAsia="SimSun" w:hAnsi="Times New Roman"/>
          <w:b/>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 metai</w:t>
      </w:r>
      <w:r w:rsidRPr="00340F0C" w:rsidDel="000D03D3">
        <w:rPr>
          <w:rFonts w:ascii="Times New Roman" w:eastAsia="SimSun" w:hAnsi="Times New Roman"/>
          <w:lang w:eastAsia="zh-CN"/>
        </w:rPr>
        <w:t xml:space="preserv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6.4</w:t>
      </w:r>
      <w:r w:rsidRPr="00340F0C">
        <w:rPr>
          <w:rFonts w:ascii="Times New Roman" w:eastAsia="SimSun" w:hAnsi="Times New Roman"/>
          <w:b/>
        </w:rPr>
        <w:tab/>
        <w:t>Specialios laikymo sąlygos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žemesnėje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Pr>
          <w:rFonts w:ascii="Times New Roman" w:eastAsia="SimSun" w:hAnsi="Times New Roman"/>
          <w:lang w:eastAsia="zh-CN"/>
        </w:rPr>
        <w:t xml:space="preserve">, </w:t>
      </w:r>
      <w:r w:rsidRPr="0022585D">
        <w:rPr>
          <w:rFonts w:ascii="Times New Roman" w:hAnsi="Times New Roman"/>
          <w:noProof/>
        </w:rPr>
        <w:t>kad preparatas būtų apsaugotas nuo drėgmės</w:t>
      </w:r>
      <w:r w:rsidRPr="00340F0C">
        <w:rPr>
          <w:rFonts w:ascii="Times New Roman" w:eastAsia="SimSun" w:hAnsi="Times New Roman"/>
          <w:lang w:eastAsia="zh-CN"/>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6.5</w:t>
      </w:r>
      <w:r w:rsidRPr="00340F0C">
        <w:rPr>
          <w:rFonts w:ascii="Times New Roman" w:eastAsia="SimSun" w:hAnsi="Times New Roman"/>
          <w:b/>
        </w:rPr>
        <w:tab/>
      </w:r>
      <w:r w:rsidRPr="00340F0C">
        <w:rPr>
          <w:rFonts w:ascii="Times New Roman" w:eastAsia="SimSun" w:hAnsi="Times New Roman"/>
          <w:b/>
          <w:bCs/>
        </w:rPr>
        <w:t>Talpyklės pobūdis ir jos turinys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PVC/PE/PVDC/aliuminio lizdinės plokštelės</w:t>
      </w:r>
    </w:p>
    <w:p w:rsidR="0031490F" w:rsidRPr="00340F0C" w:rsidRDefault="0031490F" w:rsidP="0031490F">
      <w:pPr>
        <w:spacing w:after="0" w:line="240" w:lineRule="auto"/>
        <w:rPr>
          <w:rFonts w:ascii="Times New Roman" w:hAnsi="Times New Roman"/>
          <w:lang w:eastAsia="en-GB"/>
        </w:rPr>
      </w:pPr>
      <w:r w:rsidRPr="00340F0C">
        <w:rPr>
          <w:rFonts w:ascii="Times New Roman" w:hAnsi="Times New Roman"/>
          <w:lang w:eastAsia="en-GB"/>
        </w:rPr>
        <w:t>Pakuotėje yra 10, 20, 30, 60 arba 90 plėvele dengtų tablečių.</w:t>
      </w:r>
    </w:p>
    <w:p w:rsidR="0031490F" w:rsidRPr="00340F0C" w:rsidRDefault="0031490F" w:rsidP="0031490F">
      <w:pPr>
        <w:spacing w:after="0" w:line="240" w:lineRule="auto"/>
        <w:rPr>
          <w:rFonts w:ascii="Times New Roman" w:hAnsi="Times New Roman"/>
          <w:lang w:eastAsia="en-GB"/>
        </w:rPr>
      </w:pPr>
      <w:r w:rsidRPr="00340F0C">
        <w:rPr>
          <w:rFonts w:ascii="Times New Roman" w:hAnsi="Times New Roman"/>
          <w:lang w:eastAsia="en-GB"/>
        </w:rPr>
        <w:t xml:space="preserve">Vienadozėse pakuotėse gydymo įstaigoms: </w:t>
      </w:r>
      <w:r w:rsidRPr="00340F0C">
        <w:rPr>
          <w:rFonts w:ascii="Times New Roman" w:hAnsi="Times New Roman"/>
          <w:noProof/>
          <w:lang w:eastAsia="en-GB"/>
        </w:rPr>
        <w:t>po</w:t>
      </w:r>
      <w:r w:rsidRPr="00340F0C">
        <w:rPr>
          <w:rFonts w:ascii="Times New Roman" w:hAnsi="Times New Roman"/>
          <w:lang w:eastAsia="en-GB"/>
        </w:rPr>
        <w:t xml:space="preserve"> 10 x 1, 20 x 1, 30 x 1, 60 x 1, arba 90 x 1 </w:t>
      </w:r>
      <w:r w:rsidRPr="00340F0C">
        <w:rPr>
          <w:rFonts w:ascii="Times New Roman" w:hAnsi="Times New Roman"/>
          <w:noProof/>
          <w:lang w:eastAsia="en-GB"/>
        </w:rPr>
        <w:t>plėvele dengtų tablečių.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6.6</w:t>
      </w:r>
      <w:r w:rsidRPr="00340F0C">
        <w:rPr>
          <w:rFonts w:ascii="Times New Roman" w:eastAsia="SimSun" w:hAnsi="Times New Roman"/>
          <w:b/>
        </w:rPr>
        <w:tab/>
        <w:t>Specialūs reikalavimai atliekoms tvarkyti</w:t>
      </w:r>
    </w:p>
    <w:p w:rsidR="0031490F" w:rsidRPr="00340F0C" w:rsidRDefault="0031490F" w:rsidP="0031490F">
      <w:pPr>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t>Specialių reikalavimų nėra.</w:t>
      </w:r>
    </w:p>
    <w:p w:rsidR="0031490F" w:rsidRPr="00340F0C" w:rsidRDefault="0031490F" w:rsidP="0031490F">
      <w:pPr>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7.</w:t>
      </w:r>
      <w:r w:rsidRPr="00340F0C">
        <w:rPr>
          <w:rFonts w:ascii="Times New Roman" w:eastAsia="SimSun" w:hAnsi="Times New Roman"/>
          <w:b/>
          <w:bCs/>
          <w:lang w:eastAsia="zh-CN"/>
        </w:rPr>
        <w:tab/>
        <w:t>RINKODAROS TEISĖS TURĖTOJAS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104BB2" w:rsidRDefault="0031490F" w:rsidP="0031490F">
      <w:pPr>
        <w:spacing w:after="0" w:line="240" w:lineRule="auto"/>
        <w:rPr>
          <w:rFonts w:ascii="Times New Roman" w:hAnsi="Times New Roman"/>
        </w:rPr>
      </w:pPr>
      <w:r w:rsidRPr="00104BB2">
        <w:rPr>
          <w:rFonts w:ascii="Times New Roman" w:hAnsi="Times New Roman"/>
        </w:rPr>
        <w:t>Synthon BV</w:t>
      </w:r>
    </w:p>
    <w:p w:rsidR="0031490F" w:rsidRPr="00104BB2" w:rsidRDefault="0031490F" w:rsidP="0031490F">
      <w:pPr>
        <w:spacing w:after="0" w:line="240" w:lineRule="auto"/>
        <w:rPr>
          <w:rFonts w:ascii="Times New Roman" w:hAnsi="Times New Roman"/>
        </w:rPr>
      </w:pPr>
      <w:r w:rsidRPr="00104BB2">
        <w:rPr>
          <w:rFonts w:ascii="Times New Roman" w:hAnsi="Times New Roman"/>
        </w:rPr>
        <w:t xml:space="preserve">Microweg 22 </w:t>
      </w:r>
    </w:p>
    <w:p w:rsidR="0031490F" w:rsidRPr="00104BB2" w:rsidRDefault="0031490F" w:rsidP="0031490F">
      <w:pPr>
        <w:spacing w:after="0" w:line="240" w:lineRule="auto"/>
        <w:rPr>
          <w:rFonts w:ascii="Times New Roman" w:hAnsi="Times New Roman"/>
        </w:rPr>
      </w:pPr>
      <w:r w:rsidRPr="00104BB2">
        <w:rPr>
          <w:rFonts w:ascii="Times New Roman" w:hAnsi="Times New Roman"/>
        </w:rPr>
        <w:t>6545 CM Nijmegen</w:t>
      </w:r>
    </w:p>
    <w:p w:rsidR="0031490F" w:rsidRPr="00104BB2" w:rsidRDefault="0031490F" w:rsidP="0031490F">
      <w:pPr>
        <w:spacing w:after="0" w:line="240" w:lineRule="auto"/>
        <w:rPr>
          <w:rFonts w:ascii="Times New Roman" w:hAnsi="Times New Roman"/>
        </w:rPr>
      </w:pPr>
      <w:r w:rsidRPr="00104BB2">
        <w:rPr>
          <w:rFonts w:ascii="Times New Roman" w:hAnsi="Times New Roman"/>
        </w:rPr>
        <w:lastRenderedPageBreak/>
        <w:t>Nyderlandai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8.</w:t>
      </w:r>
      <w:r w:rsidRPr="00340F0C">
        <w:rPr>
          <w:rFonts w:ascii="Times New Roman" w:eastAsia="SimSun" w:hAnsi="Times New Roman"/>
          <w:b/>
          <w:bCs/>
          <w:lang w:eastAsia="zh-CN"/>
        </w:rPr>
        <w:tab/>
        <w:t xml:space="preserve">RINKODAROS PAŽYMĖJIMO NUMERIS (-IAI) </w:t>
      </w:r>
    </w:p>
    <w:p w:rsidR="0031490F" w:rsidRPr="00104BB2" w:rsidRDefault="0031490F" w:rsidP="0031490F">
      <w:pPr>
        <w:tabs>
          <w:tab w:val="left" w:pos="567"/>
        </w:tabs>
        <w:spacing w:after="0" w:line="240" w:lineRule="auto"/>
        <w:rPr>
          <w:rFonts w:ascii="Times New Roman" w:eastAsia="SimSun" w:hAnsi="Times New Roman"/>
          <w:lang w:eastAsia="zh-CN"/>
        </w:rPr>
      </w:pPr>
    </w:p>
    <w:p w:rsidR="0031490F" w:rsidRDefault="0031490F" w:rsidP="0031490F">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Lizdinė plokštelė:</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 – LT/1/13/3317/015</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LT/1/13/3317/016</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LT/1/13/3317/017</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LT/1/13/3317/018</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LT/1/13/3317/019</w:t>
      </w: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Vienadozė lizdinė plokštelė gydymo įstaigai:</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N10x1 – LT/1/13/3317/020</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LT/1/13/3317/021</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LT/1/13/3317/022</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LT/1/13/3317/023</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LT/1/13/3317/024</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9.</w:t>
      </w:r>
      <w:r w:rsidRPr="00340F0C">
        <w:rPr>
          <w:rFonts w:ascii="Times New Roman" w:eastAsia="SimSun" w:hAnsi="Times New Roman"/>
          <w:b/>
          <w:bCs/>
          <w:lang w:eastAsia="zh-CN"/>
        </w:rPr>
        <w:tab/>
        <w:t>RINKODAROS TEISĖS SUTEIKIMO / ATNAUJINIMO DATA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Rinkodaros teisė pirmą suteikta 2013 m. balandžio mėn. 26 d.</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10.</w:t>
      </w:r>
      <w:r w:rsidRPr="00340F0C">
        <w:rPr>
          <w:rFonts w:ascii="Times New Roman" w:eastAsia="SimSun" w:hAnsi="Times New Roman"/>
          <w:b/>
          <w:bCs/>
          <w:lang w:eastAsia="zh-CN"/>
        </w:rPr>
        <w:tab/>
        <w:t>TEKSTO PERŽIŪROS DATA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2015 12 11</w:t>
      </w:r>
    </w:p>
    <w:p w:rsidR="0031490F"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rsidR="0031490F" w:rsidRPr="009D1353" w:rsidRDefault="0031490F" w:rsidP="0031490F">
      <w:pPr>
        <w:spacing w:after="0" w:line="240" w:lineRule="auto"/>
        <w:rPr>
          <w:rFonts w:ascii="Times New Roman" w:hAnsi="Times New Roman"/>
        </w:rPr>
      </w:pPr>
      <w:r w:rsidRPr="00340F0C">
        <w:rPr>
          <w:rFonts w:ascii="Times New Roman" w:eastAsia="SimSun" w:hAnsi="Times New Roman"/>
          <w:b/>
          <w:lang w:eastAsia="zh-CN"/>
        </w:rPr>
        <w:br w:type="page"/>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9D1353" w:rsidRDefault="0031490F" w:rsidP="0031490F">
      <w:pPr>
        <w:keepNext/>
        <w:tabs>
          <w:tab w:val="left" w:pos="567"/>
        </w:tabs>
        <w:spacing w:after="0" w:line="240" w:lineRule="auto"/>
        <w:jc w:val="center"/>
        <w:outlineLvl w:val="1"/>
        <w:rPr>
          <w:rFonts w:ascii="Times New Roman" w:hAnsi="Times New Roman"/>
          <w:b/>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II PRIEDAS</w:t>
      </w:r>
    </w:p>
    <w:p w:rsidR="0031490F" w:rsidRPr="00340F0C" w:rsidRDefault="0031490F" w:rsidP="0031490F">
      <w:pPr>
        <w:tabs>
          <w:tab w:val="left" w:pos="567"/>
        </w:tabs>
        <w:spacing w:after="0" w:line="240" w:lineRule="auto"/>
        <w:rPr>
          <w:rFonts w:ascii="Times New Roman" w:eastAsia="SimSun" w:hAnsi="Times New Roman"/>
          <w:b/>
          <w:i/>
          <w:lang w:eastAsia="zh-CN"/>
        </w:rPr>
      </w:pPr>
    </w:p>
    <w:p w:rsidR="0031490F" w:rsidRPr="00340F0C" w:rsidRDefault="0031490F" w:rsidP="0031490F">
      <w:pPr>
        <w:tabs>
          <w:tab w:val="left" w:pos="567"/>
        </w:tabs>
        <w:spacing w:after="0" w:line="240" w:lineRule="auto"/>
        <w:jc w:val="center"/>
        <w:rPr>
          <w:rFonts w:ascii="Times New Roman" w:eastAsia="SimSun" w:hAnsi="Times New Roman"/>
          <w:i/>
          <w:lang w:eastAsia="zh-CN"/>
        </w:rPr>
      </w:pPr>
      <w:r w:rsidRPr="00340F0C">
        <w:rPr>
          <w:rFonts w:ascii="Times New Roman" w:eastAsia="SimSun" w:hAnsi="Times New Roman"/>
          <w:b/>
        </w:rPr>
        <w:t>RINKODAROS SĄLYGOS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tabs>
          <w:tab w:val="left" w:pos="567"/>
        </w:tabs>
        <w:spacing w:after="0" w:line="240" w:lineRule="auto"/>
        <w:ind w:left="1418"/>
        <w:rPr>
          <w:rFonts w:ascii="Times New Roman" w:eastAsia="SimSun" w:hAnsi="Times New Roman"/>
          <w:b/>
          <w:lang w:eastAsia="zh-CN"/>
        </w:rPr>
      </w:pPr>
      <w:r w:rsidRPr="00340F0C">
        <w:rPr>
          <w:rFonts w:ascii="Times New Roman" w:eastAsia="SimSun" w:hAnsi="Times New Roman"/>
          <w:b/>
          <w:lang w:eastAsia="zh-CN"/>
        </w:rPr>
        <w:t>A.</w:t>
      </w:r>
      <w:r w:rsidRPr="00340F0C">
        <w:rPr>
          <w:rFonts w:ascii="Times New Roman" w:eastAsia="SimSun" w:hAnsi="Times New Roman"/>
          <w:b/>
          <w:lang w:eastAsia="zh-CN"/>
        </w:rPr>
        <w:tab/>
        <w:t>GAMINTOJAS, ATSAKINGAS UŽ SERIJŲ IŠLEIDIMĄ</w:t>
      </w:r>
    </w:p>
    <w:p w:rsidR="0031490F" w:rsidRPr="00340F0C" w:rsidRDefault="0031490F" w:rsidP="0031490F">
      <w:pPr>
        <w:suppressLineNumbers/>
        <w:tabs>
          <w:tab w:val="left" w:pos="567"/>
        </w:tabs>
        <w:spacing w:after="0" w:line="240" w:lineRule="auto"/>
        <w:ind w:left="1418"/>
        <w:rPr>
          <w:rFonts w:ascii="Times New Roman" w:eastAsia="SimSun" w:hAnsi="Times New Roman"/>
          <w:b/>
          <w:lang w:eastAsia="zh-CN"/>
        </w:rPr>
      </w:pPr>
    </w:p>
    <w:p w:rsidR="0031490F" w:rsidRPr="00340F0C" w:rsidRDefault="0031490F" w:rsidP="0031490F">
      <w:pPr>
        <w:suppressLineNumbers/>
        <w:tabs>
          <w:tab w:val="left" w:pos="567"/>
        </w:tabs>
        <w:spacing w:after="0" w:line="240" w:lineRule="auto"/>
        <w:ind w:left="1418"/>
        <w:rPr>
          <w:rFonts w:ascii="Times New Roman" w:eastAsia="SimSun" w:hAnsi="Times New Roman"/>
          <w:b/>
          <w:lang w:eastAsia="zh-CN"/>
        </w:rPr>
      </w:pPr>
      <w:r w:rsidRPr="00340F0C">
        <w:rPr>
          <w:rFonts w:ascii="Times New Roman" w:eastAsia="SimSun" w:hAnsi="Times New Roman"/>
          <w:b/>
          <w:lang w:eastAsia="zh-CN"/>
        </w:rPr>
        <w:t>B.</w:t>
      </w:r>
      <w:r w:rsidRPr="00340F0C">
        <w:rPr>
          <w:rFonts w:ascii="Times New Roman" w:eastAsia="SimSun" w:hAnsi="Times New Roman"/>
          <w:b/>
          <w:lang w:eastAsia="zh-CN"/>
        </w:rPr>
        <w:tab/>
        <w:t>TIEKIMO IR VARTOJIMO SĄLYGOS AR APRIBOJIMAI</w:t>
      </w:r>
    </w:p>
    <w:p w:rsidR="0031490F" w:rsidRPr="00340F0C" w:rsidRDefault="0031490F" w:rsidP="0031490F">
      <w:pPr>
        <w:suppressLineNumbers/>
        <w:tabs>
          <w:tab w:val="left" w:pos="567"/>
        </w:tabs>
        <w:spacing w:after="0" w:line="240" w:lineRule="auto"/>
        <w:ind w:left="1418"/>
        <w:rPr>
          <w:rFonts w:ascii="Times New Roman" w:eastAsia="SimSun" w:hAnsi="Times New Roman"/>
          <w:b/>
          <w:lang w:eastAsia="zh-CN"/>
        </w:rPr>
      </w:pPr>
    </w:p>
    <w:p w:rsidR="0031490F" w:rsidRPr="00340F0C" w:rsidRDefault="0031490F" w:rsidP="0031490F">
      <w:pPr>
        <w:tabs>
          <w:tab w:val="left" w:pos="567"/>
        </w:tabs>
        <w:spacing w:after="0" w:line="240" w:lineRule="auto"/>
        <w:rPr>
          <w:rFonts w:ascii="Times New Roman" w:eastAsia="SimSun" w:hAnsi="Times New Roman"/>
          <w:b/>
          <w:lang w:eastAsia="zh-CN"/>
        </w:rPr>
      </w:pPr>
      <w:r w:rsidRPr="00340F0C">
        <w:rPr>
          <w:rFonts w:ascii="Times New Roman" w:eastAsia="SimSun" w:hAnsi="Times New Roman"/>
          <w:iCs/>
          <w:lang w:eastAsia="zh-CN"/>
        </w:rPr>
        <w:br w:type="page"/>
      </w:r>
      <w:r w:rsidRPr="00340F0C">
        <w:rPr>
          <w:rFonts w:ascii="Times New Roman" w:eastAsia="SimSun" w:hAnsi="Times New Roman"/>
          <w:b/>
          <w:lang w:eastAsia="zh-CN"/>
        </w:rPr>
        <w:lastRenderedPageBreak/>
        <w:t>A.</w:t>
      </w:r>
      <w:r w:rsidRPr="00340F0C">
        <w:rPr>
          <w:rFonts w:ascii="Times New Roman" w:eastAsia="SimSun" w:hAnsi="Times New Roman"/>
          <w:b/>
          <w:lang w:eastAsia="zh-CN"/>
        </w:rPr>
        <w:tab/>
        <w:t>GAMINTOJAS (-AI), ATSAKINGAS (-I) UŽ SERIJŲ IŠLEIDIMĄ</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Gamintojo (-ų), atsakingo (-ų) už serijų išleidimą, pavadinimas (-ai) ir adresas (-ai)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BV</w:t>
      </w:r>
    </w:p>
    <w:p w:rsidR="0031490F" w:rsidRPr="00340F0C" w:rsidRDefault="0031490F" w:rsidP="0031490F">
      <w:pPr>
        <w:spacing w:after="0" w:line="240" w:lineRule="auto"/>
        <w:rPr>
          <w:rFonts w:ascii="Times New Roman" w:hAnsi="Times New Roman"/>
        </w:rPr>
      </w:pPr>
      <w:r w:rsidRPr="00340F0C">
        <w:rPr>
          <w:rFonts w:ascii="Times New Roman" w:hAnsi="Times New Roman"/>
        </w:rPr>
        <w:t xml:space="preserve">Microweg 22 </w:t>
      </w:r>
    </w:p>
    <w:p w:rsidR="0031490F" w:rsidRPr="00340F0C" w:rsidRDefault="0031490F" w:rsidP="0031490F">
      <w:pPr>
        <w:spacing w:after="0" w:line="240" w:lineRule="auto"/>
        <w:rPr>
          <w:rFonts w:ascii="Times New Roman" w:hAnsi="Times New Roman"/>
        </w:rPr>
      </w:pPr>
      <w:r w:rsidRPr="00340F0C">
        <w:rPr>
          <w:rFonts w:ascii="Times New Roman" w:hAnsi="Times New Roman"/>
        </w:rPr>
        <w:t>6545 CM Nijmegen</w:t>
      </w:r>
    </w:p>
    <w:p w:rsidR="0031490F" w:rsidRPr="00340F0C" w:rsidRDefault="0031490F" w:rsidP="0031490F">
      <w:pPr>
        <w:spacing w:after="0" w:line="240" w:lineRule="auto"/>
        <w:rPr>
          <w:rFonts w:ascii="Times New Roman" w:hAnsi="Times New Roman"/>
        </w:rPr>
      </w:pPr>
      <w:r w:rsidRPr="00340F0C">
        <w:rPr>
          <w:rFonts w:ascii="Times New Roman" w:hAnsi="Times New Roman"/>
        </w:rPr>
        <w:t>Nyderlandai</w:t>
      </w:r>
    </w:p>
    <w:p w:rsidR="0031490F" w:rsidRPr="00340F0C" w:rsidRDefault="0031490F" w:rsidP="0031490F">
      <w:pPr>
        <w:spacing w:after="0" w:line="240" w:lineRule="auto"/>
        <w:rPr>
          <w:rFonts w:ascii="Times New Roman" w:hAnsi="Times New Roman"/>
          <w:i/>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arba</w:t>
      </w:r>
    </w:p>
    <w:p w:rsidR="0031490F" w:rsidRPr="00340F0C" w:rsidRDefault="0031490F" w:rsidP="0031490F">
      <w:pPr>
        <w:spacing w:after="0" w:line="240" w:lineRule="auto"/>
        <w:rPr>
          <w:rFonts w:ascii="Times New Roman" w:hAnsi="Times New Roma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Hispania, S.L.</w:t>
      </w:r>
    </w:p>
    <w:p w:rsidR="0031490F" w:rsidRPr="00340F0C" w:rsidRDefault="0031490F" w:rsidP="0031490F">
      <w:pPr>
        <w:spacing w:after="0" w:line="240" w:lineRule="auto"/>
        <w:rPr>
          <w:rFonts w:ascii="Times New Roman" w:hAnsi="Times New Roman"/>
        </w:rPr>
      </w:pPr>
      <w:r w:rsidRPr="00340F0C">
        <w:rPr>
          <w:rFonts w:ascii="Times New Roman" w:hAnsi="Times New Roman"/>
        </w:rPr>
        <w:t>C/Caste</w:t>
      </w:r>
      <w:r w:rsidRPr="009D1353">
        <w:rPr>
          <w:rFonts w:ascii="Times New Roman" w:hAnsi="Times New Roman"/>
        </w:rPr>
        <w:t>lló</w:t>
      </w:r>
      <w:r w:rsidRPr="00340F0C">
        <w:rPr>
          <w:rFonts w:ascii="Times New Roman" w:hAnsi="Times New Roman"/>
        </w:rPr>
        <w:t xml:space="preserve"> no1</w:t>
      </w:r>
    </w:p>
    <w:p w:rsidR="0031490F" w:rsidRPr="00340F0C" w:rsidRDefault="0031490F" w:rsidP="0031490F">
      <w:pPr>
        <w:spacing w:after="0" w:line="240" w:lineRule="auto"/>
        <w:rPr>
          <w:rFonts w:ascii="Times New Roman" w:hAnsi="Times New Roman"/>
        </w:rPr>
      </w:pPr>
      <w:r w:rsidRPr="00340F0C">
        <w:rPr>
          <w:rFonts w:ascii="Times New Roman" w:hAnsi="Times New Roman"/>
        </w:rPr>
        <w:t>Pol. Las Salinas</w:t>
      </w:r>
    </w:p>
    <w:p w:rsidR="0031490F" w:rsidRPr="00340F0C" w:rsidRDefault="0031490F" w:rsidP="0031490F">
      <w:pPr>
        <w:spacing w:after="0" w:line="240" w:lineRule="auto"/>
        <w:rPr>
          <w:rFonts w:ascii="Times New Roman" w:hAnsi="Times New Roman"/>
        </w:rPr>
      </w:pPr>
      <w:r w:rsidRPr="00340F0C">
        <w:rPr>
          <w:rFonts w:ascii="Times New Roman" w:hAnsi="Times New Roman"/>
        </w:rPr>
        <w:t>Sant Boi de Llobregat</w:t>
      </w:r>
    </w:p>
    <w:p w:rsidR="0031490F" w:rsidRPr="00340F0C" w:rsidRDefault="0031490F" w:rsidP="0031490F">
      <w:pPr>
        <w:spacing w:after="0" w:line="240" w:lineRule="auto"/>
        <w:rPr>
          <w:rFonts w:ascii="Times New Roman" w:hAnsi="Times New Roman"/>
        </w:rPr>
      </w:pPr>
      <w:r w:rsidRPr="00340F0C">
        <w:rPr>
          <w:rFonts w:ascii="Times New Roman" w:hAnsi="Times New Roman"/>
        </w:rPr>
        <w:t>08830 Barcelona</w:t>
      </w:r>
    </w:p>
    <w:p w:rsidR="0031490F" w:rsidRPr="00340F0C" w:rsidRDefault="0031490F" w:rsidP="0031490F">
      <w:pPr>
        <w:spacing w:after="0" w:line="240" w:lineRule="auto"/>
        <w:rPr>
          <w:rFonts w:ascii="Times New Roman" w:hAnsi="Times New Roman"/>
        </w:rPr>
      </w:pPr>
      <w:r w:rsidRPr="00340F0C">
        <w:rPr>
          <w:rFonts w:ascii="Times New Roman" w:hAnsi="Times New Roman"/>
        </w:rPr>
        <w:t>Ispanija</w:t>
      </w:r>
    </w:p>
    <w:p w:rsidR="0031490F" w:rsidRPr="00340F0C" w:rsidRDefault="0031490F" w:rsidP="0031490F">
      <w:pPr>
        <w:spacing w:after="0" w:line="240" w:lineRule="auto"/>
        <w:rPr>
          <w:rFonts w:ascii="Times New Roman" w:hAnsi="Times New Roman"/>
          <w:highlight w:val="yellow"/>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Su pakuote pateikiamame lapelyje nurodomas gamintojo, atsakingo už konkrečios serijos išleidimą, pavadinimas ir adresas.</w:t>
      </w:r>
    </w:p>
    <w:p w:rsidR="0031490F" w:rsidRPr="00340F0C" w:rsidRDefault="0031490F" w:rsidP="0031490F">
      <w:pPr>
        <w:tabs>
          <w:tab w:val="left" w:pos="567"/>
        </w:tabs>
        <w:spacing w:after="0" w:line="240" w:lineRule="auto"/>
        <w:rPr>
          <w:rFonts w:ascii="Times New Roman" w:hAnsi="Times New Roman"/>
          <w:snapToGrid w:val="0"/>
          <w:lang w:eastAsia="lt-LT"/>
        </w:rPr>
      </w:pPr>
    </w:p>
    <w:p w:rsidR="0031490F" w:rsidRPr="00340F0C" w:rsidRDefault="0031490F" w:rsidP="0031490F">
      <w:pPr>
        <w:tabs>
          <w:tab w:val="left" w:pos="567"/>
        </w:tabs>
        <w:spacing w:after="0" w:line="240" w:lineRule="auto"/>
        <w:rPr>
          <w:rFonts w:ascii="Times New Roman" w:eastAsia="SimSun" w:hAnsi="Times New Roman"/>
          <w:b/>
          <w:lang w:eastAsia="zh-CN"/>
        </w:rPr>
      </w:pPr>
    </w:p>
    <w:p w:rsidR="0031490F" w:rsidRPr="00340F0C" w:rsidRDefault="0031490F" w:rsidP="0031490F">
      <w:pPr>
        <w:suppressLineNumbers/>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B.</w:t>
      </w:r>
      <w:r w:rsidRPr="00340F0C">
        <w:rPr>
          <w:rFonts w:ascii="Times New Roman" w:eastAsia="SimSun" w:hAnsi="Times New Roman"/>
          <w:b/>
          <w:lang w:eastAsia="zh-CN"/>
        </w:rPr>
        <w:tab/>
        <w:t>TIEKIMO IR VARTOJIMO SĄLYGOS AR APRIBOJIMAI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Riboto išrašymo receptinis vaistinis preparatas (žr. I priedo [preparato charakteristikų santraukos] 4.2 skyrių).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III PRIEDAS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ŽENKLINIMAS IR PAKUOTĖS LAPELIS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A. ŽENKLINIMAS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INFORMACIJA ANT IŠORINĖS PAKUOTĖS</w:t>
      </w: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KARTONO DĖŽUTĖ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 plėvele dengtos tabletės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t>VEIKLIOJI (-IOS) MEDŽIAGA (-OS) IR JOS (-Ų) KIEKIS (-IAI)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100 mg imatinibo (mesilato pavidalu).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PAGALBINIŲ MEDŽIAGŲ SĄRAŠAS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FARMACINĖ FORMA IR KIEKIS PAKUOTĖJE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jc w:val="both"/>
        <w:rPr>
          <w:rFonts w:ascii="Times New Roman" w:hAnsi="Times New Roman"/>
          <w:noProof/>
          <w:highlight w:val="yellow"/>
          <w:lang w:eastAsia="en-GB"/>
        </w:rPr>
      </w:pPr>
      <w:r w:rsidRPr="00340F0C">
        <w:rPr>
          <w:rFonts w:ascii="Times New Roman" w:hAnsi="Times New Roman"/>
          <w:noProof/>
          <w:lang w:eastAsia="en-GB"/>
        </w:rPr>
        <w:t>20 plėvele dengtų tablečių</w:t>
      </w:r>
    </w:p>
    <w:p w:rsidR="0031490F" w:rsidRPr="00922B02" w:rsidRDefault="0031490F" w:rsidP="0031490F">
      <w:pPr>
        <w:spacing w:after="0" w:line="240" w:lineRule="auto"/>
        <w:jc w:val="both"/>
        <w:rPr>
          <w:rFonts w:ascii="Times New Roman" w:hAnsi="Times New Roman"/>
          <w:highlight w:val="lightGray"/>
        </w:rPr>
      </w:pPr>
      <w:r w:rsidRPr="00922B02">
        <w:rPr>
          <w:rFonts w:ascii="Times New Roman" w:hAnsi="Times New Roman"/>
          <w:highlight w:val="lightGray"/>
        </w:rPr>
        <w:t>30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60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90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100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 xml:space="preserve">120 plėvele dengtų tablečių </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180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20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30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60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90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100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120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180 x 1 plėvele dengtų tablečių (vienadozė pakuotė gydymo įstaigoms)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VARTOJIMO METODAS IR BŪDAS (-AI)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Prieš vartojimą perskaitykite pakuotės lapelį.</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Vartoti per burną.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6.</w:t>
      </w:r>
      <w:r w:rsidRPr="00340F0C">
        <w:rPr>
          <w:rFonts w:ascii="Times New Roman" w:eastAsia="SimSun" w:hAnsi="Times New Roman"/>
          <w:b/>
          <w:lang w:eastAsia="zh-CN"/>
        </w:rPr>
        <w:tab/>
        <w:t>SPECIALUS ĮSPĖJIMAS, KAD VAISTINĮ PREPARATĄ BŪTINA LAIKYTI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7.</w:t>
      </w:r>
      <w:r w:rsidRPr="00340F0C">
        <w:rPr>
          <w:rFonts w:ascii="Times New Roman" w:eastAsia="SimSun" w:hAnsi="Times New Roman"/>
          <w:b/>
          <w:lang w:eastAsia="zh-CN"/>
        </w:rPr>
        <w:tab/>
        <w:t>KITAS (-I) SPECIALUS (-ŪS) ĮSPĖJIMAS (-AI) (JEI REIKIA)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8.</w:t>
      </w:r>
      <w:r w:rsidRPr="00340F0C">
        <w:rPr>
          <w:rFonts w:ascii="Times New Roman" w:eastAsia="SimSun" w:hAnsi="Times New Roman"/>
          <w:b/>
          <w:lang w:eastAsia="zh-CN"/>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Tinka iki {mm/MMMM}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lastRenderedPageBreak/>
        <w:t>9.</w:t>
      </w:r>
      <w:r w:rsidRPr="00340F0C">
        <w:rPr>
          <w:rFonts w:ascii="Times New Roman" w:eastAsia="SimSun" w:hAnsi="Times New Roman"/>
          <w:b/>
          <w:lang w:eastAsia="zh-CN"/>
        </w:rPr>
        <w:tab/>
        <w:t>SPECIALIOS LAIKYMO SĄLYGOS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 kad preparatas būtų apsaugotas nuo drėgmės.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10.</w:t>
      </w:r>
      <w:r w:rsidRPr="00340F0C">
        <w:rPr>
          <w:rFonts w:ascii="Times New Roman" w:eastAsia="SimSun" w:hAnsi="Times New Roman"/>
          <w:b/>
          <w:lang w:eastAsia="zh-CN"/>
        </w:rPr>
        <w:tab/>
        <w:t>SPECIALIOS ATSARGUMO PRIEMONĖS DĖL NESUVARTOTO VAISTINIO PREPARATO AR JO ATLIEKŲ TVARKYMO (JEI REIKIA)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11.</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 IR ADRESAS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BV</w:t>
      </w:r>
    </w:p>
    <w:p w:rsidR="0031490F" w:rsidRPr="00340F0C" w:rsidRDefault="0031490F" w:rsidP="0031490F">
      <w:pPr>
        <w:spacing w:after="0" w:line="240" w:lineRule="auto"/>
        <w:rPr>
          <w:rFonts w:ascii="Times New Roman" w:hAnsi="Times New Roman"/>
        </w:rPr>
      </w:pPr>
      <w:r w:rsidRPr="00340F0C">
        <w:rPr>
          <w:rFonts w:ascii="Times New Roman" w:hAnsi="Times New Roman"/>
        </w:rPr>
        <w:t xml:space="preserve">Microweg 22 </w:t>
      </w:r>
    </w:p>
    <w:p w:rsidR="0031490F" w:rsidRPr="00340F0C" w:rsidRDefault="0031490F" w:rsidP="0031490F">
      <w:pPr>
        <w:spacing w:after="0" w:line="240" w:lineRule="auto"/>
        <w:rPr>
          <w:rFonts w:ascii="Times New Roman" w:hAnsi="Times New Roman"/>
        </w:rPr>
      </w:pPr>
      <w:r w:rsidRPr="00340F0C">
        <w:rPr>
          <w:rFonts w:ascii="Times New Roman" w:hAnsi="Times New Roman"/>
        </w:rPr>
        <w:t>6545 CM Nijmegen</w:t>
      </w:r>
    </w:p>
    <w:p w:rsidR="0031490F" w:rsidRPr="00340F0C" w:rsidRDefault="0031490F" w:rsidP="0031490F">
      <w:pPr>
        <w:spacing w:after="0" w:line="240" w:lineRule="auto"/>
        <w:rPr>
          <w:rFonts w:ascii="Times New Roman" w:hAnsi="Times New Roman"/>
        </w:rPr>
      </w:pPr>
      <w:r w:rsidRPr="00340F0C">
        <w:rPr>
          <w:rFonts w:ascii="Times New Roman" w:hAnsi="Times New Roman"/>
        </w:rPr>
        <w:t>Nyderlandai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12.</w:t>
      </w:r>
      <w:r w:rsidRPr="00340F0C">
        <w:rPr>
          <w:rFonts w:ascii="Times New Roman" w:eastAsia="SimSun" w:hAnsi="Times New Roman"/>
          <w:b/>
          <w:lang w:eastAsia="zh-CN"/>
        </w:rPr>
        <w:tab/>
        <w:t xml:space="preserve">RINKODAROS TEISĖS NUMERIS (-IAI)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Lizdinė plokštelė:</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LT/1/13/3317/001</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LT/1/13/3317/002</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LT/1/13/3317/003</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 – LT/1/13/3317/004</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N100 – LT/1/13/3317/005</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N120 – LT/1/13/3317/006</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N180 – LT/1/13/3317/007</w:t>
      </w:r>
    </w:p>
    <w:p w:rsidR="0031490F" w:rsidRDefault="0031490F" w:rsidP="0031490F">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Vienadozė lizdinė plokštelė gydymo įstaigai:</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LT/1/13/3317/008</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LT/1/13/3317/009</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LT/1/13/3317/010</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LT/1/13/3317/011</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N100x1 – LT/1/13/3317/012</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N120x1 – LT/1/13/3317/013</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N180x1 – LT/1/13/3317/014</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13.</w:t>
      </w:r>
      <w:r w:rsidRPr="00340F0C">
        <w:rPr>
          <w:rFonts w:ascii="Times New Roman" w:eastAsia="SimSun" w:hAnsi="Times New Roman"/>
          <w:b/>
          <w:lang w:eastAsia="zh-CN"/>
        </w:rPr>
        <w:tab/>
        <w:t xml:space="preserve">SERIJOS NUMERIS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Serija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14.</w:t>
      </w:r>
      <w:r w:rsidRPr="00340F0C">
        <w:rPr>
          <w:rFonts w:ascii="Times New Roman" w:eastAsia="SimSun" w:hAnsi="Times New Roman"/>
          <w:b/>
          <w:lang w:eastAsia="zh-CN"/>
        </w:rPr>
        <w:tab/>
        <w:t>PARDAVIMO (IŠDAVIMO) TVARKA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Receptinis vaistinis preparatas.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15.</w:t>
      </w:r>
      <w:r w:rsidRPr="00340F0C">
        <w:rPr>
          <w:rFonts w:ascii="Times New Roman" w:eastAsia="SimSun" w:hAnsi="Times New Roman"/>
          <w:b/>
          <w:lang w:eastAsia="zh-CN"/>
        </w:rPr>
        <w:tab/>
        <w:t>VARTOJIMO INSTRUKCIJA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922B02" w:rsidRDefault="0031490F" w:rsidP="0031490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340F0C">
        <w:rPr>
          <w:rFonts w:ascii="Times New Roman" w:eastAsia="SimSun" w:hAnsi="Times New Roman"/>
          <w:b/>
          <w:lang w:eastAsia="zh-CN"/>
        </w:rPr>
        <w:t>16.</w:t>
      </w:r>
      <w:r w:rsidRPr="00340F0C">
        <w:rPr>
          <w:rFonts w:ascii="Times New Roman" w:eastAsia="SimSun" w:hAnsi="Times New Roman"/>
          <w:b/>
          <w:lang w:eastAsia="zh-CN"/>
        </w:rPr>
        <w:tab/>
        <w:t>INFORMACIJA BRAILIO RAŠTU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w:t>
      </w: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INFORMACIJA ANT IŠORINĖS PAKUOTĖS</w:t>
      </w: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KARTONO DĖŽUTĖ</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 plėvele dengtos tabletės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t>VEIKLIOJI (-IOS) MEDŽIAGA (-OS) IR JOS (-Ų) KIEKIS (-IAI)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400 mg imatinibo (mesilato pavidalu).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PAGALBINIŲ MEDŽIAGŲ SĄRAŠAS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FARMACINĖ FORMA IR KIEKIS PAKUOTĖJE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jc w:val="both"/>
        <w:rPr>
          <w:rFonts w:ascii="Times New Roman" w:hAnsi="Times New Roman"/>
          <w:noProof/>
          <w:lang w:eastAsia="en-GB"/>
        </w:rPr>
      </w:pPr>
      <w:r w:rsidRPr="00340F0C">
        <w:rPr>
          <w:rFonts w:ascii="Times New Roman" w:hAnsi="Times New Roman"/>
          <w:noProof/>
          <w:lang w:eastAsia="en-GB"/>
        </w:rPr>
        <w:t>10 plėvele dengtų tablečių</w:t>
      </w:r>
    </w:p>
    <w:p w:rsidR="0031490F" w:rsidRPr="00922B02" w:rsidRDefault="0031490F" w:rsidP="0031490F">
      <w:pPr>
        <w:spacing w:after="0" w:line="240" w:lineRule="auto"/>
        <w:jc w:val="both"/>
        <w:rPr>
          <w:rFonts w:ascii="Times New Roman" w:hAnsi="Times New Roman"/>
          <w:highlight w:val="lightGray"/>
        </w:rPr>
      </w:pPr>
      <w:r w:rsidRPr="00922B02">
        <w:rPr>
          <w:rFonts w:ascii="Times New Roman" w:hAnsi="Times New Roman"/>
          <w:highlight w:val="lightGray"/>
        </w:rPr>
        <w:t>20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30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60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90 plėvele dengtų tablečių</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10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20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30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60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r w:rsidRPr="009D1353">
        <w:rPr>
          <w:rFonts w:ascii="Times New Roman" w:hAnsi="Times New Roman"/>
          <w:highlight w:val="lightGray"/>
        </w:rPr>
        <w:t>90 x 1 plėvele dengtų tablečių (vienadozė pakuotė gydymo įstaigoms)</w:t>
      </w:r>
    </w:p>
    <w:p w:rsidR="0031490F" w:rsidRPr="009D1353" w:rsidRDefault="0031490F" w:rsidP="0031490F">
      <w:pPr>
        <w:spacing w:after="0" w:line="240" w:lineRule="auto"/>
        <w:jc w:val="both"/>
        <w:rPr>
          <w:rFonts w:ascii="Times New Roman" w:hAnsi="Times New Roman"/>
          <w:highlight w:val="lightGray"/>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VARTOJIMO METODAS IR BŪDAS (-AI)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Prieš vartojimą perskaitykite pakuotės lapelį.</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Vartoti per burną.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6.</w:t>
      </w:r>
      <w:r w:rsidRPr="00340F0C">
        <w:rPr>
          <w:rFonts w:ascii="Times New Roman" w:eastAsia="SimSun" w:hAnsi="Times New Roman"/>
          <w:b/>
          <w:lang w:eastAsia="zh-CN"/>
        </w:rPr>
        <w:tab/>
        <w:t>SPECIALUS ĮSPĖJIMAS, KAD VAISTINĮ PREPARATĄ BŪTINA LAIKYTI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7.</w:t>
      </w:r>
      <w:r w:rsidRPr="00340F0C">
        <w:rPr>
          <w:rFonts w:ascii="Times New Roman" w:eastAsia="SimSun" w:hAnsi="Times New Roman"/>
          <w:b/>
          <w:lang w:eastAsia="zh-CN"/>
        </w:rPr>
        <w:tab/>
        <w:t>KITAS (-I) SPECIALUS (-ŪS) ĮSPĖJIMAS (-AI) (JEI REIKIA)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8.</w:t>
      </w:r>
      <w:r w:rsidRPr="00340F0C">
        <w:rPr>
          <w:rFonts w:ascii="Times New Roman" w:eastAsia="SimSun" w:hAnsi="Times New Roman"/>
          <w:b/>
          <w:lang w:eastAsia="zh-CN"/>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Tinka iki {mm/MMMM}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9.</w:t>
      </w:r>
      <w:r w:rsidRPr="00340F0C">
        <w:rPr>
          <w:rFonts w:ascii="Times New Roman" w:eastAsia="SimSun" w:hAnsi="Times New Roman"/>
          <w:b/>
          <w:lang w:eastAsia="zh-CN"/>
        </w:rPr>
        <w:tab/>
        <w:t>SPECIALIOS LAIKYMO SĄLYGOS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Laikyti ne aukštesnėje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 kad preparatas būtų apsaugotas nuo drėgmės.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10.</w:t>
      </w:r>
      <w:r w:rsidRPr="00340F0C">
        <w:rPr>
          <w:rFonts w:ascii="Times New Roman" w:eastAsia="SimSun" w:hAnsi="Times New Roman"/>
          <w:b/>
          <w:lang w:eastAsia="zh-CN"/>
        </w:rPr>
        <w:tab/>
        <w:t>SPECIALIOS ATSARGUMO PRIEMONĖS DĖL NESUVARTOTO VAISTINIO PREPARATO AR JO ATLIEKŲ TVARKYMO (JEI REIKIA)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11.</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 IR ADRESAS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BV</w:t>
      </w:r>
    </w:p>
    <w:p w:rsidR="0031490F" w:rsidRPr="00340F0C" w:rsidRDefault="0031490F" w:rsidP="0031490F">
      <w:pPr>
        <w:spacing w:after="0" w:line="240" w:lineRule="auto"/>
        <w:rPr>
          <w:rFonts w:ascii="Times New Roman" w:hAnsi="Times New Roman"/>
        </w:rPr>
      </w:pPr>
      <w:r w:rsidRPr="00340F0C">
        <w:rPr>
          <w:rFonts w:ascii="Times New Roman" w:hAnsi="Times New Roman"/>
        </w:rPr>
        <w:t xml:space="preserve">Microweg 22 </w:t>
      </w:r>
    </w:p>
    <w:p w:rsidR="0031490F" w:rsidRPr="00340F0C" w:rsidRDefault="0031490F" w:rsidP="0031490F">
      <w:pPr>
        <w:spacing w:after="0" w:line="240" w:lineRule="auto"/>
        <w:rPr>
          <w:rFonts w:ascii="Times New Roman" w:hAnsi="Times New Roman"/>
        </w:rPr>
      </w:pPr>
      <w:r w:rsidRPr="00340F0C">
        <w:rPr>
          <w:rFonts w:ascii="Times New Roman" w:hAnsi="Times New Roman"/>
        </w:rPr>
        <w:t>6545 CM Nijmegen</w:t>
      </w:r>
    </w:p>
    <w:p w:rsidR="0031490F" w:rsidRPr="00340F0C" w:rsidRDefault="0031490F" w:rsidP="0031490F">
      <w:pPr>
        <w:spacing w:after="0" w:line="240" w:lineRule="auto"/>
        <w:rPr>
          <w:rFonts w:ascii="Times New Roman" w:hAnsi="Times New Roman"/>
        </w:rPr>
      </w:pPr>
      <w:r w:rsidRPr="00340F0C">
        <w:rPr>
          <w:rFonts w:ascii="Times New Roman" w:hAnsi="Times New Roman"/>
        </w:rPr>
        <w:t>Nyderlandai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12.</w:t>
      </w:r>
      <w:r w:rsidRPr="00340F0C">
        <w:rPr>
          <w:rFonts w:ascii="Times New Roman" w:eastAsia="SimSun" w:hAnsi="Times New Roman"/>
          <w:b/>
          <w:lang w:eastAsia="zh-CN"/>
        </w:rPr>
        <w:tab/>
        <w:t xml:space="preserve">RINKODAROS TEISĖS NUMERIS (-IAI)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Lizdinė plokštelė:</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 – LT/1/13/3317/015</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LT/1/13/3317/016</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LT/1/13/3317/017</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LT/1/13/3317/018</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LT/1/13/3317/019</w:t>
      </w:r>
    </w:p>
    <w:p w:rsidR="0031490F" w:rsidRDefault="0031490F" w:rsidP="0031490F">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Vienadozė lizdinė plokštelė gydymo įstaigai:</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N10x1 – LT/1/13/3317/020</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LT/1/13/3317/021</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LT/1/13/3317/022</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LT/1/13/3317/023</w:t>
      </w:r>
    </w:p>
    <w:p w:rsidR="0031490F"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LT/1/13/3317/024</w:t>
      </w:r>
    </w:p>
    <w:p w:rsidR="0031490F" w:rsidRDefault="0031490F" w:rsidP="0031490F">
      <w:pPr>
        <w:tabs>
          <w:tab w:val="left" w:pos="567"/>
        </w:tabs>
        <w:spacing w:after="0" w:line="240" w:lineRule="auto"/>
        <w:rPr>
          <w:rFonts w:ascii="Times New Roman" w:eastAsia="SimSun" w:hAnsi="Times New Roman"/>
          <w:u w:val="single"/>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13.</w:t>
      </w:r>
      <w:r w:rsidRPr="00340F0C">
        <w:rPr>
          <w:rFonts w:ascii="Times New Roman" w:eastAsia="SimSun" w:hAnsi="Times New Roman"/>
          <w:b/>
          <w:lang w:eastAsia="zh-CN"/>
        </w:rPr>
        <w:tab/>
        <w:t xml:space="preserve">SERIJOS NUMERIS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Serija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14.</w:t>
      </w:r>
      <w:r w:rsidRPr="00340F0C">
        <w:rPr>
          <w:rFonts w:ascii="Times New Roman" w:eastAsia="SimSun" w:hAnsi="Times New Roman"/>
          <w:b/>
          <w:lang w:eastAsia="zh-CN"/>
        </w:rPr>
        <w:tab/>
        <w:t>PARDAVIMO (IŠDAVIMO) TVARKA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Receptinis vaistinis preparatas.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15.</w:t>
      </w:r>
      <w:r w:rsidRPr="00340F0C">
        <w:rPr>
          <w:rFonts w:ascii="Times New Roman" w:eastAsia="SimSun" w:hAnsi="Times New Roman"/>
          <w:b/>
          <w:lang w:eastAsia="zh-CN"/>
        </w:rPr>
        <w:tab/>
        <w:t>VARTOJIMO INSTRUKCIJA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9D1353" w:rsidRDefault="0031490F" w:rsidP="0031490F">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340F0C">
        <w:rPr>
          <w:rFonts w:ascii="Times New Roman" w:eastAsia="SimSun" w:hAnsi="Times New Roman"/>
          <w:b/>
          <w:lang w:eastAsia="zh-CN"/>
        </w:rPr>
        <w:t>16.</w:t>
      </w:r>
      <w:r w:rsidRPr="00340F0C">
        <w:rPr>
          <w:rFonts w:ascii="Times New Roman" w:eastAsia="SimSun" w:hAnsi="Times New Roman"/>
          <w:b/>
          <w:lang w:eastAsia="zh-CN"/>
        </w:rPr>
        <w:tab/>
        <w:t>INFORMACIJA BRAILIO RAŠTU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br w:type="page"/>
      </w:r>
      <w:r w:rsidRPr="00340F0C">
        <w:rPr>
          <w:rFonts w:ascii="Times New Roman" w:eastAsia="SimSun" w:hAnsi="Times New Roman"/>
          <w:b/>
          <w:lang w:eastAsia="zh-CN"/>
        </w:rPr>
        <w:lastRenderedPageBreak/>
        <w:t>MINIMALI INFORMACIJA ANT LIZDINIŲ PLOKŠTELIŲ ARBA DVISLUOKSNIŲ JUOSTELIŲ</w:t>
      </w:r>
      <w:r w:rsidRPr="00340F0C">
        <w:rPr>
          <w:rFonts w:ascii="Times New Roman" w:eastAsia="SimSun" w:hAnsi="Times New Roman"/>
          <w:b/>
          <w:lang w:eastAsia="zh-CN"/>
        </w:rPr>
        <w:br/>
      </w:r>
      <w:r w:rsidRPr="00340F0C">
        <w:rPr>
          <w:rFonts w:ascii="Times New Roman" w:eastAsia="SimSun" w:hAnsi="Times New Roman"/>
          <w:b/>
          <w:lang w:eastAsia="zh-CN"/>
        </w:rPr>
        <w:br/>
        <w:t>PVC/aliuminio lizdinės plokštelės</w:t>
      </w:r>
    </w:p>
    <w:p w:rsidR="0031490F" w:rsidRPr="00340F0C" w:rsidRDefault="0031490F" w:rsidP="003149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PVC/PE/PVDC/aliuminio lizdinės plokštelės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 </w:t>
      </w:r>
      <w:r w:rsidRPr="00922B02">
        <w:rPr>
          <w:rFonts w:ascii="Times New Roman" w:hAnsi="Times New Roman"/>
          <w:highlight w:val="lightGray"/>
        </w:rPr>
        <w:t>plėvele dengtos</w:t>
      </w:r>
      <w:r w:rsidRPr="00340F0C">
        <w:rPr>
          <w:rFonts w:ascii="Times New Roman" w:eastAsia="SimSun" w:hAnsi="Times New Roman"/>
          <w:lang w:eastAsia="zh-CN"/>
        </w:rPr>
        <w:t xml:space="preserve"> tabletės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rPr>
      </w:pPr>
      <w:r>
        <w:rPr>
          <w:rFonts w:ascii="Times New Roman" w:eastAsia="SimSun" w:hAnsi="Times New Roman"/>
        </w:rPr>
        <w:t>Synthon</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EXP {mm/MMMM}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SERIJOS NUMERIS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Lot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KITA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MINIMALI INFORMACIJA ANT LIZDINIŲ PLOKŠTELIŲ ARBA DVISLUOKSNIŲ JUOSTELIŲ</w:t>
      </w:r>
      <w:r w:rsidRPr="00340F0C">
        <w:rPr>
          <w:rFonts w:ascii="Times New Roman" w:eastAsia="SimSun" w:hAnsi="Times New Roman"/>
          <w:b/>
          <w:lang w:eastAsia="zh-CN"/>
        </w:rPr>
        <w:br/>
      </w:r>
    </w:p>
    <w:p w:rsidR="0031490F" w:rsidRPr="00340F0C" w:rsidRDefault="0031490F" w:rsidP="003149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PVC/PE/PVDC/aliuminio lizdinės plokštelės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 </w:t>
      </w:r>
      <w:r w:rsidRPr="00922B02">
        <w:rPr>
          <w:rFonts w:ascii="Times New Roman" w:hAnsi="Times New Roman"/>
          <w:highlight w:val="lightGray"/>
        </w:rPr>
        <w:t>plėvele dengtos</w:t>
      </w:r>
      <w:r w:rsidRPr="00340F0C">
        <w:rPr>
          <w:rFonts w:ascii="Times New Roman" w:eastAsia="SimSun" w:hAnsi="Times New Roman"/>
          <w:lang w:eastAsia="zh-CN"/>
        </w:rPr>
        <w:t xml:space="preserve"> tabletės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rPr>
      </w:pPr>
      <w:r>
        <w:rPr>
          <w:rFonts w:ascii="Times New Roman" w:eastAsia="SimSun" w:hAnsi="Times New Roman"/>
        </w:rPr>
        <w:t>Synthon</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TINKAMUMO LAIKAS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EXP {mm/MMMM}</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SERIJOS NUMERIS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Lot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KITA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B. PAKUOTĖS LAPELIS</w:t>
      </w: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i/>
        </w:rPr>
        <w:br w:type="page"/>
      </w:r>
      <w:r w:rsidRPr="00340F0C">
        <w:rPr>
          <w:rFonts w:ascii="Times New Roman" w:eastAsia="SimSun" w:hAnsi="Times New Roman"/>
          <w:b/>
          <w:iCs/>
        </w:rPr>
        <w:lastRenderedPageBreak/>
        <w:t>Pakuotės lapelis: informacija vartotojui</w:t>
      </w:r>
    </w:p>
    <w:p w:rsidR="0031490F" w:rsidRPr="00340F0C" w:rsidRDefault="0031490F" w:rsidP="0031490F">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rsidR="0031490F" w:rsidRPr="00340F0C" w:rsidRDefault="0031490F" w:rsidP="0031490F">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Synthon</w:t>
      </w:r>
      <w:r w:rsidRPr="00340F0C">
        <w:rPr>
          <w:rFonts w:ascii="Times New Roman" w:eastAsia="SimSun" w:hAnsi="Times New Roman"/>
          <w:b/>
          <w:bCs/>
          <w:lang w:eastAsia="zh-CN"/>
        </w:rPr>
        <w:t xml:space="preserve"> 100 mg plėvele dengtos tabletės</w:t>
      </w:r>
    </w:p>
    <w:p w:rsidR="0031490F" w:rsidRPr="00340F0C" w:rsidRDefault="0031490F" w:rsidP="0031490F">
      <w:pPr>
        <w:numPr>
          <w:ilvl w:val="12"/>
          <w:numId w:val="0"/>
        </w:numPr>
        <w:tabs>
          <w:tab w:val="left" w:pos="567"/>
        </w:tabs>
        <w:spacing w:after="0" w:line="240" w:lineRule="auto"/>
        <w:jc w:val="center"/>
        <w:rPr>
          <w:rFonts w:ascii="Times New Roman" w:eastAsia="SimSun" w:hAnsi="Times New Roman"/>
          <w:lang w:eastAsia="zh-CN"/>
        </w:rPr>
      </w:pPr>
      <w:r w:rsidRPr="00340F0C">
        <w:rPr>
          <w:rFonts w:ascii="Times New Roman" w:eastAsia="SimSun" w:hAnsi="Times New Roman"/>
          <w:lang w:eastAsia="zh-CN"/>
        </w:rPr>
        <w:t>Imatinibas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uppressAutoHyphens/>
        <w:spacing w:after="0" w:line="240" w:lineRule="auto"/>
        <w:rPr>
          <w:rFonts w:ascii="Times New Roman" w:eastAsia="SimSun" w:hAnsi="Times New Roman"/>
          <w:lang w:eastAsia="zh-CN"/>
        </w:rPr>
      </w:pPr>
      <w:r w:rsidRPr="00340F0C">
        <w:rPr>
          <w:rFonts w:ascii="Times New Roman" w:eastAsia="SimSun" w:hAnsi="Times New Roman"/>
          <w:b/>
          <w:lang w:eastAsia="zh-CN"/>
        </w:rPr>
        <w:t>Atidžiai perskaitykite visą šį lapelį, prieš pradėdami vartoti vaistą, nes jame pateikiama Jums svarbi informacija.</w:t>
      </w:r>
    </w:p>
    <w:p w:rsidR="0031490F" w:rsidRPr="00340F0C" w:rsidRDefault="0031490F" w:rsidP="0031490F">
      <w:pPr>
        <w:numPr>
          <w:ilvl w:val="0"/>
          <w:numId w:val="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Neišmeskite šio lapelio, nes vėl gali prireikti jį perskaityti. </w:t>
      </w:r>
    </w:p>
    <w:p w:rsidR="0031490F" w:rsidRPr="00340F0C" w:rsidRDefault="0031490F" w:rsidP="0031490F">
      <w:pPr>
        <w:numPr>
          <w:ilvl w:val="0"/>
          <w:numId w:val="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kiltų daugiau klausimų, kreipkitės į gydytoją, vaistininką arba slaugytoją.</w:t>
      </w:r>
    </w:p>
    <w:p w:rsidR="0031490F" w:rsidRPr="00340F0C" w:rsidRDefault="0031490F" w:rsidP="0031490F">
      <w:pPr>
        <w:numPr>
          <w:ilvl w:val="1"/>
          <w:numId w:val="6"/>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9D1353">
        <w:rPr>
          <w:rFonts w:ascii="Times New Roman" w:hAnsi="Times New Roman"/>
        </w:rPr>
        <w:t xml:space="preserve"> </w:t>
      </w:r>
    </w:p>
    <w:p w:rsidR="0031490F" w:rsidRPr="00340F0C" w:rsidRDefault="0031490F" w:rsidP="0031490F">
      <w:pPr>
        <w:numPr>
          <w:ilvl w:val="1"/>
          <w:numId w:val="6"/>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pasireiškė šalutinis poveikis (net jeigu jis šiame lapelyje nenurodytas), kreipkitės į gydytoją, vaistininką arba slaugytoją. Žr. 4 skyrių.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Apie ką rašoma šiame lapelyje?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 xml:space="preserve">Kas yra </w:t>
      </w:r>
      <w:r>
        <w:rPr>
          <w:rFonts w:ascii="Times New Roman" w:eastAsia="SimSun" w:hAnsi="Times New Roman"/>
          <w:lang w:eastAsia="zh-CN"/>
        </w:rPr>
        <w:t>Imatinib Synthon</w:t>
      </w:r>
      <w:r w:rsidRPr="00340F0C">
        <w:rPr>
          <w:rFonts w:ascii="Times New Roman" w:eastAsia="SimSun" w:hAnsi="Times New Roman"/>
          <w:lang w:eastAsia="zh-CN"/>
        </w:rPr>
        <w:t xml:space="preserve"> ir kam jis vartojamas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 xml:space="preserve">Kas žinotina prieš vartojant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w:t>
      </w:r>
      <w:r w:rsidRPr="00340F0C">
        <w:rPr>
          <w:rFonts w:ascii="Times New Roman" w:eastAsia="SimSun" w:hAnsi="Times New Roman"/>
          <w:lang w:eastAsia="zh-CN"/>
        </w:rPr>
        <w:tab/>
        <w:t xml:space="preserve">Kaip vartoti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4.</w:t>
      </w:r>
      <w:r w:rsidRPr="00340F0C">
        <w:rPr>
          <w:rFonts w:ascii="Times New Roman" w:eastAsia="SimSun" w:hAnsi="Times New Roman"/>
          <w:lang w:eastAsia="zh-CN"/>
        </w:rPr>
        <w:tab/>
        <w:t xml:space="preserve">Galimas šalutinis poveikis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5.</w:t>
      </w:r>
      <w:r w:rsidRPr="00340F0C">
        <w:rPr>
          <w:rFonts w:ascii="Times New Roman" w:eastAsia="SimSun" w:hAnsi="Times New Roman"/>
          <w:lang w:eastAsia="zh-CN"/>
        </w:rPr>
        <w:tab/>
        <w:t xml:space="preserve">Kaip laikyti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6.</w:t>
      </w:r>
      <w:r w:rsidRPr="00340F0C">
        <w:rPr>
          <w:rFonts w:ascii="Times New Roman" w:eastAsia="SimSun" w:hAnsi="Times New Roman"/>
          <w:lang w:eastAsia="zh-CN"/>
        </w:rPr>
        <w:tab/>
        <w:t>Pakuotės turinys ir kita informacija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1.</w:t>
      </w:r>
      <w:r w:rsidRPr="00340F0C">
        <w:rPr>
          <w:rFonts w:ascii="Times New Roman" w:eastAsia="SimSun" w:hAnsi="Times New Roman"/>
          <w:b/>
        </w:rPr>
        <w:tab/>
        <w:t xml:space="preserve">Kas yra </w:t>
      </w:r>
      <w:r>
        <w:rPr>
          <w:rFonts w:ascii="Times New Roman" w:eastAsia="SimSun" w:hAnsi="Times New Roman"/>
          <w:b/>
        </w:rPr>
        <w:t>Imatinib Synthon</w:t>
      </w:r>
      <w:r w:rsidRPr="00340F0C">
        <w:rPr>
          <w:rFonts w:ascii="Times New Roman" w:eastAsia="SimSun" w:hAnsi="Times New Roman"/>
          <w:b/>
        </w:rPr>
        <w:t xml:space="preserve"> ir kam jis vartojamas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yra vaist</w:t>
      </w:r>
      <w:r>
        <w:rPr>
          <w:rFonts w:ascii="Times New Roman" w:eastAsia="SimSun" w:hAnsi="Times New Roman"/>
          <w:lang w:eastAsia="zh-CN"/>
        </w:rPr>
        <w:t>as</w:t>
      </w:r>
      <w:r w:rsidRPr="00340F0C">
        <w:rPr>
          <w:rFonts w:ascii="Times New Roman" w:eastAsia="SimSun" w:hAnsi="Times New Roman"/>
          <w:lang w:eastAsia="zh-CN"/>
        </w:rPr>
        <w:t>, kurio sudėtyje yra veikliosios medžiagos imatinibo. Šis vaistas veikia slopindamas nenormalių ląstelių augimą, sergant toliau išvardytomis ligomis. Jos apima ir kai kurių tipų vėžinius susirgimus.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Imatinibas vartojamas gydyti suaugusiuosius ir vaikus sergančius:</w:t>
      </w:r>
    </w:p>
    <w:p w:rsidR="0031490F" w:rsidRDefault="0031490F" w:rsidP="0031490F">
      <w:pPr>
        <w:pStyle w:val="Sraopastraipa"/>
        <w:numPr>
          <w:ilvl w:val="0"/>
          <w:numId w:val="1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Lėtine mieloleukemija (LML).</w:t>
      </w:r>
      <w:r w:rsidRPr="00340F0C">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rsidR="0031490F" w:rsidRDefault="0031490F" w:rsidP="0031490F">
      <w:pPr>
        <w:pStyle w:val="Sraopastraipa"/>
        <w:tabs>
          <w:tab w:val="left" w:pos="567"/>
        </w:tabs>
        <w:spacing w:after="0" w:line="240" w:lineRule="auto"/>
        <w:ind w:left="567"/>
        <w:rPr>
          <w:rFonts w:ascii="Times New Roman" w:eastAsia="SimSun" w:hAnsi="Times New Roman"/>
          <w:lang w:eastAsia="zh-CN"/>
        </w:rPr>
      </w:pPr>
    </w:p>
    <w:p w:rsidR="0031490F" w:rsidRDefault="0031490F" w:rsidP="0031490F">
      <w:pPr>
        <w:pStyle w:val="Sraopastraipa"/>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rsidR="0031490F" w:rsidRDefault="0031490F" w:rsidP="0031490F">
      <w:pPr>
        <w:pStyle w:val="Sraopastraipa"/>
        <w:tabs>
          <w:tab w:val="left" w:pos="567"/>
        </w:tabs>
        <w:spacing w:after="0" w:line="240" w:lineRule="auto"/>
        <w:ind w:left="567"/>
        <w:rPr>
          <w:rFonts w:ascii="Times New Roman" w:eastAsia="SimSun" w:hAnsi="Times New Roman"/>
          <w:lang w:eastAsia="zh-CN"/>
        </w:rPr>
      </w:pPr>
    </w:p>
    <w:p w:rsidR="0031490F"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Pr>
          <w:rFonts w:ascii="Times New Roman" w:eastAsia="SimSun" w:hAnsi="Times New Roman"/>
          <w:lang w:eastAsia="zh-CN"/>
        </w:rPr>
        <w:t>Imatinib Synthon</w:t>
      </w:r>
      <w:r w:rsidRPr="00366C6D">
        <w:rPr>
          <w:rFonts w:ascii="Times New Roman" w:eastAsia="SimSun" w:hAnsi="Times New Roman"/>
          <w:lang w:eastAsia="zh-CN"/>
        </w:rPr>
        <w:t xml:space="preserve"> slopina šių ląstelių augimą.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9D1353" w:rsidRDefault="0031490F" w:rsidP="0031490F">
      <w:pPr>
        <w:numPr>
          <w:ilvl w:val="12"/>
          <w:numId w:val="0"/>
        </w:numPr>
        <w:tabs>
          <w:tab w:val="left" w:pos="567"/>
        </w:tabs>
        <w:spacing w:after="0" w:line="240" w:lineRule="auto"/>
        <w:rPr>
          <w:rFonts w:ascii="Times New Roman" w:hAnsi="Times New Roman"/>
        </w:rPr>
      </w:pPr>
      <w:r w:rsidRPr="009D1353">
        <w:rPr>
          <w:rFonts w:ascii="Times New Roman" w:hAnsi="Times New Roman"/>
        </w:rPr>
        <w:t xml:space="preserve">Imatinib Synthon </w:t>
      </w:r>
      <w:r w:rsidRPr="00340F0C">
        <w:rPr>
          <w:rFonts w:ascii="Times New Roman" w:eastAsia="SimSun" w:hAnsi="Times New Roman"/>
          <w:lang w:eastAsia="zh-CN"/>
        </w:rPr>
        <w:t xml:space="preserve">taip pat vartojama gydyti suaugusiųjų: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66C6D">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 sergant tam tikrais šių ligų potipiais. </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66C6D">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 sergant tam tikrais šių ligų potipiais. </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66C6D">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Pr="00366C6D">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 tai po oda esančio audinio vėžys, kurio metu kai kurios ląstelės pradeda nekontroliuojamai augti.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Toliau pakuotės lapelyje</w:t>
      </w:r>
      <w:r w:rsidRPr="00340F0C">
        <w:rPr>
          <w:rFonts w:ascii="Times New Roman" w:hAnsi="Times New Roman"/>
        </w:rPr>
        <w:t xml:space="preserve"> </w:t>
      </w:r>
      <w:r w:rsidRPr="00340F0C">
        <w:rPr>
          <w:rFonts w:ascii="Times New Roman" w:eastAsia="SimSun" w:hAnsi="Times New Roman"/>
          <w:lang w:eastAsia="zh-CN"/>
        </w:rPr>
        <w:t>apibūdinant minėtas ligas bus naudojamos nurodytos santrumpos.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Jums kiltų kokių nors klausimų apie </w:t>
      </w:r>
      <w:r>
        <w:rPr>
          <w:rFonts w:ascii="Times New Roman" w:eastAsia="SimSun" w:hAnsi="Times New Roman"/>
          <w:lang w:eastAsia="zh-CN"/>
        </w:rPr>
        <w:t>Imatinib Synthon</w:t>
      </w:r>
      <w:r w:rsidRPr="00340F0C">
        <w:rPr>
          <w:rFonts w:ascii="Times New Roman" w:eastAsia="SimSun" w:hAnsi="Times New Roman"/>
          <w:lang w:eastAsia="zh-CN"/>
        </w:rPr>
        <w:t xml:space="preserve"> veikimą arba kodėl Jums jį paskyrė, klauskite gydytojo.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 xml:space="preserve">Kas žinotina prieš vartojant </w:t>
      </w:r>
      <w:r>
        <w:rPr>
          <w:rFonts w:ascii="Times New Roman" w:eastAsia="SimSun" w:hAnsi="Times New Roman"/>
          <w:b/>
        </w:rPr>
        <w:t>Imatinib Synthon</w:t>
      </w:r>
      <w:r w:rsidRPr="00340F0C">
        <w:rPr>
          <w:rFonts w:ascii="Times New Roman" w:eastAsia="SimSun" w:hAnsi="Times New Roman"/>
          <w:b/>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Jums paskirs tik gydytojas, turintis kraujo vėžio arba solidinių navikų gydymo vaistais patirties.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Tiksliai laikykitės visų gydytojo nurodymų, net jei jie skiriasi nuo bendrosios šiame lapelyje esančios informacijos.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w:t>
      </w:r>
      <w:r w:rsidRPr="00340F0C">
        <w:rPr>
          <w:rFonts w:ascii="Times New Roman" w:eastAsia="SimSun" w:hAnsi="Times New Roman"/>
          <w:b/>
        </w:rPr>
        <w:t xml:space="preserve"> vartoti negalima:</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yra alergija imatinibui arba bet kuriai pagalbinei šio vaisto medžiagai (jos išvardytos 6 skyriuje).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ši sąlyga Jums tinka,</w:t>
      </w:r>
      <w:r w:rsidRPr="00340F0C">
        <w:rPr>
          <w:rFonts w:ascii="Times New Roman" w:eastAsia="SimSun" w:hAnsi="Times New Roman"/>
          <w:b/>
          <w:lang w:eastAsia="zh-CN"/>
        </w:rPr>
        <w:t xml:space="preserve"> nevartokite </w:t>
      </w:r>
      <w:r>
        <w:rPr>
          <w:rFonts w:ascii="Times New Roman" w:eastAsia="SimSun" w:hAnsi="Times New Roman"/>
          <w:b/>
          <w:lang w:eastAsia="zh-CN"/>
        </w:rPr>
        <w:t>Imatinib Synthon</w:t>
      </w:r>
      <w:r w:rsidRPr="00340F0C">
        <w:rPr>
          <w:rFonts w:ascii="Times New Roman" w:eastAsia="SimSun" w:hAnsi="Times New Roman"/>
          <w:b/>
          <w:lang w:eastAsia="zh-CN"/>
        </w:rPr>
        <w:t xml:space="preserve"> ir apie tai pasakykite gydytojui</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manote, kad galite būti alergiškas, bet nesate tikras, kreipkitės patarimo į gydytoją.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Įspėjimai ir atsargumo priemonės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Pasitarkite su gydytoju, prieš pradėdami vartoti </w:t>
      </w:r>
      <w:r>
        <w:rPr>
          <w:rFonts w:ascii="Times New Roman" w:eastAsia="SimSun" w:hAnsi="Times New Roman"/>
          <w:lang w:eastAsia="zh-CN"/>
        </w:rPr>
        <w:t>Imatinib Synthon</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Jums yra ar kada nors yra buvę</w:t>
      </w:r>
      <w:r w:rsidRPr="009D1353">
        <w:rPr>
          <w:rFonts w:ascii="Times New Roman" w:hAnsi="Times New Roman"/>
          <w:b/>
        </w:rPr>
        <w:t xml:space="preserve"> </w:t>
      </w:r>
      <w:r w:rsidRPr="00340F0C">
        <w:rPr>
          <w:rFonts w:ascii="Times New Roman" w:eastAsia="SimSun" w:hAnsi="Times New Roman"/>
          <w:b/>
          <w:lang w:eastAsia="zh-CN"/>
        </w:rPr>
        <w:t>kepenų, inkstų ar širdies sutrikimų</w:t>
      </w:r>
      <w:r w:rsidRPr="009D1353">
        <w:rPr>
          <w:rFonts w:ascii="Times New Roman" w:hAnsi="Times New Roma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 xml:space="preserve">jeigu dėl pašalintos skydliaukės vartojate vaisto </w:t>
      </w:r>
      <w:r w:rsidRPr="00340F0C">
        <w:rPr>
          <w:rFonts w:ascii="Times New Roman" w:eastAsia="SimSun" w:hAnsi="Times New Roman"/>
          <w:b/>
          <w:lang w:eastAsia="zh-CN"/>
        </w:rPr>
        <w:t>levotiroksino</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t xml:space="preserve">Jei bet kuri šių sąlygų Jums tinka, </w:t>
      </w:r>
      <w:r w:rsidRPr="00340F0C">
        <w:rPr>
          <w:rFonts w:ascii="Times New Roman" w:eastAsia="SimSun" w:hAnsi="Times New Roman"/>
          <w:b/>
          <w:lang w:eastAsia="zh-CN"/>
        </w:rPr>
        <w:t xml:space="preserve">prieš pradėdami vartoti </w:t>
      </w:r>
      <w:r>
        <w:rPr>
          <w:rFonts w:ascii="Times New Roman" w:eastAsia="SimSun" w:hAnsi="Times New Roman"/>
          <w:b/>
          <w:lang w:eastAsia="zh-CN"/>
        </w:rPr>
        <w:t>Imatinib Synthon</w:t>
      </w:r>
      <w:r w:rsidRPr="00340F0C">
        <w:rPr>
          <w:rFonts w:ascii="Times New Roman" w:eastAsia="SimSun" w:hAnsi="Times New Roman"/>
          <w:b/>
          <w:lang w:eastAsia="zh-CN"/>
        </w:rPr>
        <w:t>, 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Synthon</w:t>
      </w:r>
      <w:r w:rsidRPr="00340F0C">
        <w:rPr>
          <w:rFonts w:ascii="Times New Roman" w:eastAsia="SimSun" w:hAnsi="Times New Roman"/>
          <w:b/>
          <w:lang w:eastAsia="zh-CN"/>
        </w:rPr>
        <w:t xml:space="preserve"> vartojimo metu nedelsdami kreipkitės į gydytoją</w:t>
      </w:r>
      <w:r w:rsidRPr="00340F0C">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Imatinib Synthon</w:t>
      </w:r>
      <w:r w:rsidRPr="00340F0C">
        <w:rPr>
          <w:rFonts w:ascii="Times New Roman" w:eastAsia="SimSun" w:hAnsi="Times New Roman"/>
          <w:lang w:eastAsia="zh-CN"/>
        </w:rPr>
        <w:t xml:space="preserve"> poveikio Jūsų kūne gali kauptis skysčių (pasireikšti sunkus skysčių susilaikymas).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Jums vartojant </w:t>
      </w:r>
      <w:r>
        <w:rPr>
          <w:rFonts w:ascii="Times New Roman" w:eastAsia="SimSun" w:hAnsi="Times New Roman"/>
          <w:lang w:eastAsia="zh-CN"/>
        </w:rPr>
        <w:t>Imatinib Synthon</w:t>
      </w:r>
      <w:r w:rsidRPr="00340F0C">
        <w:rPr>
          <w:rFonts w:ascii="Times New Roman" w:eastAsia="SimSun" w:hAnsi="Times New Roman"/>
          <w:lang w:eastAsia="zh-CN"/>
        </w:rPr>
        <w:t>, gydytojas reguliariai tikrins, ar vaistas veikia. Jums taip pat reguliariai tirs kraują ir kūno svorį.</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Vaikams ir paaugliams</w:t>
      </w:r>
    </w:p>
    <w:p w:rsidR="0031490F" w:rsidRPr="00340F0C" w:rsidRDefault="0031490F" w:rsidP="0031490F">
      <w:pPr>
        <w:tabs>
          <w:tab w:val="left" w:pos="567"/>
        </w:tabs>
        <w:spacing w:after="0" w:line="240" w:lineRule="auto"/>
        <w:rPr>
          <w:rFonts w:ascii="Times New Roman" w:eastAsia="SimSun" w:hAnsi="Times New Roman"/>
        </w:rPr>
      </w:pPr>
      <w:r>
        <w:rPr>
          <w:rFonts w:ascii="Times New Roman" w:eastAsia="SimSun" w:hAnsi="Times New Roman"/>
        </w:rPr>
        <w:t>Imatinib Synthon</w:t>
      </w:r>
      <w:r w:rsidRPr="00340F0C">
        <w:rPr>
          <w:rFonts w:ascii="Times New Roman" w:eastAsia="SimSun" w:hAnsi="Times New Roman"/>
        </w:rPr>
        <w:t xml:space="preserve"> taip pat gydomi vaikai, sergantys LML. Vartojimo patirties vaikams, jaunesniems kaip 2 metų ir sergantiems LML, nėra.</w:t>
      </w:r>
      <w:r w:rsidRPr="00340F0C">
        <w:rPr>
          <w:rFonts w:ascii="Times New Roman" w:hAnsi="Times New Roman"/>
        </w:rPr>
        <w:t xml:space="preserve"> </w:t>
      </w:r>
      <w:r w:rsidRPr="00340F0C">
        <w:rPr>
          <w:rFonts w:ascii="Times New Roman" w:eastAsia="SimSun" w:hAnsi="Times New Roman"/>
        </w:rPr>
        <w:t>Vartojimo patirties vaikams, sergantiems Ph teigiama ŪLL, yra nedaug, o vartojimo patirties vaikams, sergantiems MDS/MPL, DFSP, VTSN ir HES/LEL, yra labai nedaug.</w:t>
      </w:r>
    </w:p>
    <w:p w:rsidR="0031490F" w:rsidRPr="00340F0C" w:rsidRDefault="0031490F" w:rsidP="0031490F">
      <w:p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kurių vaikų ir paauglių, vartojančių </w:t>
      </w:r>
      <w:r>
        <w:rPr>
          <w:rFonts w:ascii="Times New Roman" w:eastAsia="SimSun" w:hAnsi="Times New Roman"/>
          <w:lang w:eastAsia="zh-CN"/>
        </w:rPr>
        <w:t>Imatinib Synthon</w:t>
      </w:r>
      <w:r w:rsidRPr="00340F0C">
        <w:rPr>
          <w:rFonts w:ascii="Times New Roman" w:eastAsia="SimSun" w:hAnsi="Times New Roman"/>
          <w:lang w:eastAsia="zh-CN"/>
        </w:rPr>
        <w:t>, augimas gali būti lėtesnis nei įprasta. Todėl gydytojas tikrins augimą įprastų vizitų metu.</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Kiti vaistai ir </w:t>
      </w:r>
      <w:r>
        <w:rPr>
          <w:rFonts w:ascii="Times New Roman" w:eastAsia="SimSun" w:hAnsi="Times New Roman"/>
          <w:b/>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Jeigu vartojate ar </w:t>
      </w:r>
      <w:r w:rsidRPr="00340F0C">
        <w:rPr>
          <w:rFonts w:ascii="Times New Roman" w:eastAsia="SimSun" w:hAnsi="Times New Roman"/>
          <w:b/>
          <w:lang w:eastAsia="zh-CN"/>
        </w:rPr>
        <w:t>neseniai vartojote kitų vaistų</w:t>
      </w:r>
      <w:r w:rsidRPr="00340F0C">
        <w:rPr>
          <w:rFonts w:ascii="Times New Roman" w:eastAsia="SimSun" w:hAnsi="Times New Roman"/>
          <w:lang w:eastAsia="zh-CN"/>
        </w:rPr>
        <w:t xml:space="preserve">, įskaitant įsigytus be recepto (tokių kaip </w:t>
      </w:r>
      <w:r w:rsidRPr="00340F0C">
        <w:rPr>
          <w:rFonts w:ascii="Times New Roman" w:eastAsia="SimSun" w:hAnsi="Times New Roman"/>
          <w:b/>
          <w:lang w:eastAsia="zh-CN"/>
        </w:rPr>
        <w:t>paracetamolio</w:t>
      </w:r>
      <w:r w:rsidRPr="00340F0C">
        <w:rPr>
          <w:rFonts w:ascii="Times New Roman" w:eastAsia="SimSun" w:hAnsi="Times New Roman"/>
          <w:lang w:eastAsia="zh-CN"/>
        </w:rPr>
        <w:t xml:space="preserve">) ir taip pat augalinių (tokių kaip </w:t>
      </w:r>
      <w:r w:rsidRPr="00340F0C">
        <w:rPr>
          <w:rFonts w:ascii="Times New Roman" w:eastAsia="SimSun" w:hAnsi="Times New Roman"/>
          <w:b/>
          <w:lang w:eastAsia="zh-CN"/>
        </w:rPr>
        <w:t>jonažolės preparatų</w:t>
      </w:r>
      <w:r w:rsidRPr="00340F0C">
        <w:rPr>
          <w:rFonts w:ascii="Times New Roman" w:eastAsia="SimSun" w:hAnsi="Times New Roman"/>
          <w:lang w:eastAsia="zh-CN"/>
        </w:rPr>
        <w:t xml:space="preserve">), arba dėl to nesate tikri, apie tai pasakykite gydytojui arba vaistininkui. Kai kurie vaistai vartojami kartu gali sąveikauti su </w:t>
      </w:r>
      <w:r>
        <w:rPr>
          <w:rFonts w:ascii="Times New Roman" w:eastAsia="SimSun" w:hAnsi="Times New Roman"/>
          <w:lang w:eastAsia="zh-CN"/>
        </w:rPr>
        <w:t>Imatinib Synthon</w:t>
      </w:r>
      <w:r w:rsidRPr="00340F0C">
        <w:rPr>
          <w:rFonts w:ascii="Times New Roman" w:eastAsia="SimSun" w:hAnsi="Times New Roman"/>
          <w:lang w:eastAsia="zh-CN"/>
        </w:rPr>
        <w:t xml:space="preserve">. Jie gali padidinti arba sumažinti </w:t>
      </w:r>
      <w:r>
        <w:rPr>
          <w:rFonts w:ascii="Times New Roman" w:eastAsia="SimSun" w:hAnsi="Times New Roman"/>
          <w:lang w:eastAsia="zh-CN"/>
        </w:rPr>
        <w:t>Imatinib Synthon</w:t>
      </w:r>
      <w:r w:rsidRPr="00340F0C">
        <w:rPr>
          <w:rFonts w:ascii="Times New Roman" w:eastAsia="SimSun" w:hAnsi="Times New Roman"/>
          <w:lang w:eastAsia="zh-CN"/>
        </w:rPr>
        <w:t xml:space="preserve"> poveikį, arba padidindami nepageidaujamų poveikių pasireiškimo dažnį, arba mažindami </w:t>
      </w:r>
      <w:r>
        <w:rPr>
          <w:rFonts w:ascii="Times New Roman" w:eastAsia="SimSun" w:hAnsi="Times New Roman"/>
          <w:lang w:eastAsia="zh-CN"/>
        </w:rPr>
        <w:t>Imatinib Synthon</w:t>
      </w:r>
      <w:r w:rsidRPr="00340F0C">
        <w:rPr>
          <w:rFonts w:ascii="Times New Roman" w:eastAsia="SimSun" w:hAnsi="Times New Roman"/>
          <w:lang w:eastAsia="zh-CN"/>
        </w:rPr>
        <w:t xml:space="preserve"> veiksmingumą. </w:t>
      </w:r>
      <w:r>
        <w:rPr>
          <w:rFonts w:ascii="Times New Roman" w:eastAsia="SimSun" w:hAnsi="Times New Roman"/>
          <w:lang w:eastAsia="zh-CN"/>
        </w:rPr>
        <w:t>Imatinib Synthon</w:t>
      </w:r>
      <w:r w:rsidRPr="00340F0C">
        <w:rPr>
          <w:rFonts w:ascii="Times New Roman" w:eastAsia="SimSun" w:hAnsi="Times New Roman"/>
          <w:lang w:eastAsia="zh-CN"/>
        </w:rPr>
        <w:t xml:space="preserve"> gali panašiai veikti kai kuriuos kitus vaistus.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Pasakykite gydytojui, jei vartojate vaistų, kurie apsaugo nuo kraujo krešulių susidarymo.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Nėštumas, žindymo laikotarpis ir vaisingumas</w:t>
      </w:r>
    </w:p>
    <w:p w:rsidR="0031490F" w:rsidRDefault="0031490F" w:rsidP="0031490F">
      <w:pPr>
        <w:pStyle w:val="Sraopastraipa"/>
        <w:numPr>
          <w:ilvl w:val="0"/>
          <w:numId w:val="17"/>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Jeigu esate nėščia, žindote kūdikį, manote, kad galbūt esate nėščia arba planuojate pastoti, tai prieš vartodama šį vaistą pasitarkite su gydytoju.</w:t>
      </w:r>
    </w:p>
    <w:p w:rsidR="0031490F" w:rsidRPr="00340F0C" w:rsidRDefault="0031490F" w:rsidP="0031490F">
      <w:pPr>
        <w:tabs>
          <w:tab w:val="left" w:pos="567"/>
        </w:tabs>
        <w:spacing w:after="0" w:line="240" w:lineRule="auto"/>
        <w:ind w:left="567" w:hanging="567"/>
        <w:rPr>
          <w:rFonts w:ascii="Times New Roman" w:eastAsia="SimSun" w:hAnsi="Times New Roman"/>
          <w:lang w:eastAsia="zh-CN"/>
        </w:rPr>
      </w:pPr>
    </w:p>
    <w:p w:rsidR="0031490F" w:rsidRDefault="0031490F" w:rsidP="0031490F">
      <w:pPr>
        <w:pStyle w:val="Sraopastraipa"/>
        <w:numPr>
          <w:ilvl w:val="0"/>
          <w:numId w:val="17"/>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Imatinib Synthon</w:t>
      </w:r>
      <w:r w:rsidRPr="00366C6D">
        <w:rPr>
          <w:rFonts w:ascii="Times New Roman" w:eastAsia="SimSun" w:hAnsi="Times New Roman"/>
          <w:lang w:eastAsia="zh-CN"/>
        </w:rPr>
        <w:t xml:space="preserve"> </w:t>
      </w:r>
      <w:r w:rsidRPr="00366C6D">
        <w:rPr>
          <w:rFonts w:ascii="Times New Roman" w:eastAsia="SimSun" w:hAnsi="Times New Roman"/>
          <w:b/>
          <w:lang w:eastAsia="zh-CN"/>
        </w:rPr>
        <w:t>nerekomenduojama vartoti nėščiosioms,</w:t>
      </w:r>
      <w:r w:rsidRPr="00366C6D">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Imatinib Synthon</w:t>
      </w:r>
      <w:r w:rsidRPr="00366C6D">
        <w:rPr>
          <w:rFonts w:ascii="Times New Roman" w:eastAsia="SimSun" w:hAnsi="Times New Roman"/>
          <w:lang w:eastAsia="zh-CN"/>
        </w:rPr>
        <w:t xml:space="preserve"> vartojimo nėštumo laikotarpiu rizika.</w:t>
      </w:r>
    </w:p>
    <w:p w:rsidR="0031490F" w:rsidRPr="00340F0C" w:rsidRDefault="0031490F" w:rsidP="0031490F">
      <w:pPr>
        <w:tabs>
          <w:tab w:val="left" w:pos="567"/>
        </w:tabs>
        <w:spacing w:after="0" w:line="240" w:lineRule="auto"/>
        <w:ind w:left="567" w:hanging="567"/>
        <w:rPr>
          <w:rFonts w:ascii="Times New Roman" w:eastAsia="SimSun" w:hAnsi="Times New Roman"/>
          <w:lang w:eastAsia="zh-CN"/>
        </w:rPr>
      </w:pPr>
    </w:p>
    <w:p w:rsidR="0031490F" w:rsidRDefault="0031490F" w:rsidP="0031490F">
      <w:pPr>
        <w:pStyle w:val="Sraopastraipa"/>
        <w:numPr>
          <w:ilvl w:val="0"/>
          <w:numId w:val="17"/>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Moterims, galinčioms pastoti, gydantis šiuo vaistu rekomenduojama taikyti efektyvias kontracepcijos priemones.</w:t>
      </w:r>
    </w:p>
    <w:p w:rsidR="0031490F" w:rsidRPr="00340F0C" w:rsidRDefault="0031490F" w:rsidP="0031490F">
      <w:pPr>
        <w:tabs>
          <w:tab w:val="left" w:pos="567"/>
        </w:tabs>
        <w:spacing w:after="0" w:line="240" w:lineRule="auto"/>
        <w:ind w:left="567" w:hanging="567"/>
        <w:rPr>
          <w:rFonts w:ascii="Times New Roman" w:eastAsia="SimSun" w:hAnsi="Times New Roman"/>
          <w:lang w:eastAsia="zh-CN"/>
        </w:rPr>
      </w:pPr>
    </w:p>
    <w:p w:rsidR="0031490F" w:rsidRDefault="0031490F" w:rsidP="0031490F">
      <w:pPr>
        <w:pStyle w:val="Sraopastraipa"/>
        <w:numPr>
          <w:ilvl w:val="0"/>
          <w:numId w:val="17"/>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Vartodama </w:t>
      </w:r>
      <w:r>
        <w:rPr>
          <w:rFonts w:ascii="Times New Roman" w:eastAsia="SimSun" w:hAnsi="Times New Roman"/>
          <w:lang w:eastAsia="zh-CN"/>
        </w:rPr>
        <w:t>Imatinib Synthon</w:t>
      </w:r>
      <w:r w:rsidRPr="00366C6D">
        <w:rPr>
          <w:rFonts w:ascii="Times New Roman" w:eastAsia="SimSun" w:hAnsi="Times New Roman"/>
          <w:lang w:eastAsia="zh-CN"/>
        </w:rPr>
        <w:t xml:space="preserve">, </w:t>
      </w:r>
      <w:r w:rsidRPr="00366C6D">
        <w:rPr>
          <w:rFonts w:ascii="Times New Roman" w:eastAsia="SimSun" w:hAnsi="Times New Roman"/>
          <w:b/>
          <w:lang w:eastAsia="zh-CN"/>
        </w:rPr>
        <w:t>kūdikio nežindykite.</w:t>
      </w:r>
    </w:p>
    <w:p w:rsidR="0031490F" w:rsidRPr="00340F0C" w:rsidRDefault="0031490F" w:rsidP="0031490F">
      <w:pPr>
        <w:tabs>
          <w:tab w:val="left" w:pos="567"/>
        </w:tabs>
        <w:spacing w:after="0" w:line="240" w:lineRule="auto"/>
        <w:ind w:left="567" w:hanging="567"/>
        <w:rPr>
          <w:rFonts w:ascii="Times New Roman" w:eastAsia="SimSun" w:hAnsi="Times New Roman"/>
          <w:lang w:eastAsia="zh-CN"/>
        </w:rPr>
      </w:pPr>
    </w:p>
    <w:p w:rsidR="0031490F" w:rsidRDefault="0031490F" w:rsidP="0031490F">
      <w:pPr>
        <w:pStyle w:val="Sraopastraipa"/>
        <w:numPr>
          <w:ilvl w:val="0"/>
          <w:numId w:val="17"/>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Pacientai </w:t>
      </w:r>
      <w:r>
        <w:rPr>
          <w:rFonts w:ascii="Times New Roman" w:eastAsia="SimSun" w:hAnsi="Times New Roman"/>
          <w:lang w:eastAsia="zh-CN"/>
        </w:rPr>
        <w:t>Imatinib Synthon</w:t>
      </w:r>
      <w:r w:rsidRPr="00366C6D">
        <w:rPr>
          <w:rFonts w:ascii="Times New Roman" w:eastAsia="SimSun" w:hAnsi="Times New Roman"/>
          <w:lang w:eastAsia="zh-CN"/>
        </w:rPr>
        <w:t xml:space="preserve"> vartojimo laikotarpiu dėl savo vaisingumo turi konsultuotis su gydytoju.</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Vairavimas ir mechanizmų valdymas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 xml:space="preserve">Kaip vartoti </w:t>
      </w:r>
      <w:r>
        <w:rPr>
          <w:rFonts w:ascii="Times New Roman" w:eastAsia="SimSun" w:hAnsi="Times New Roman"/>
          <w:b/>
          <w:bCs/>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Jūsų gydytojas Jums paskyrė </w:t>
      </w:r>
      <w:r>
        <w:rPr>
          <w:rFonts w:ascii="Times New Roman" w:eastAsia="SimSun" w:hAnsi="Times New Roman"/>
          <w:lang w:eastAsia="zh-CN"/>
        </w:rPr>
        <w:t>Imatinib Synthon</w:t>
      </w:r>
      <w:r w:rsidRPr="00340F0C">
        <w:rPr>
          <w:rFonts w:ascii="Times New Roman" w:eastAsia="SimSun" w:hAnsi="Times New Roman"/>
          <w:lang w:eastAsia="zh-CN"/>
        </w:rPr>
        <w:t xml:space="preserve">, kadangi sergate sunkia liga. </w:t>
      </w:r>
      <w:r>
        <w:rPr>
          <w:rFonts w:ascii="Times New Roman" w:eastAsia="SimSun" w:hAnsi="Times New Roman"/>
          <w:lang w:eastAsia="zh-CN"/>
        </w:rPr>
        <w:t>Imatinib Synthon</w:t>
      </w:r>
      <w:r w:rsidRPr="00340F0C">
        <w:rPr>
          <w:rFonts w:ascii="Times New Roman" w:eastAsia="SimSun" w:hAnsi="Times New Roman"/>
          <w:lang w:eastAsia="zh-CN"/>
        </w:rPr>
        <w:t xml:space="preserve"> gali Jums padėti kovojant su šia būkle.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Pr="009D1353">
        <w:rPr>
          <w:rFonts w:ascii="Times New Roman" w:hAnsi="Times New Roman"/>
        </w:rPr>
        <w:t>Imatinib Synthon</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Kiek vartoti </w:t>
      </w:r>
      <w:r>
        <w:rPr>
          <w:rFonts w:ascii="Times New Roman" w:eastAsia="SimSun" w:hAnsi="Times New Roman"/>
          <w:b/>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Vartojimas suaugusiesiems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Jums tiksliai nurodys, kiek </w:t>
      </w:r>
      <w:r>
        <w:rPr>
          <w:rFonts w:ascii="Times New Roman" w:eastAsia="SimSun" w:hAnsi="Times New Roman"/>
          <w:lang w:eastAsia="zh-CN"/>
        </w:rPr>
        <w:t>Imatinib Synthon</w:t>
      </w:r>
      <w:r w:rsidRPr="00340F0C">
        <w:rPr>
          <w:rFonts w:ascii="Times New Roman" w:eastAsia="SimSun" w:hAnsi="Times New Roman"/>
          <w:lang w:eastAsia="zh-CN"/>
        </w:rPr>
        <w:t xml:space="preserve"> tablečių gerti.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t>Jei gydoma LML</w:t>
      </w:r>
      <w:r w:rsidRPr="00C42552">
        <w:rPr>
          <w:rFonts w:ascii="Times New Roman" w:eastAsia="SimSun" w:hAnsi="Times New Roman"/>
          <w:b/>
          <w:lang w:eastAsia="zh-CN"/>
        </w:rPr>
        <w:t xml:space="preserve"> </w:t>
      </w:r>
      <w:r>
        <w:rPr>
          <w:rFonts w:ascii="Times New Roman" w:eastAsia="SimSun" w:hAnsi="Times New Roman"/>
          <w:b/>
          <w:lang w:eastAsia="zh-CN"/>
        </w:rPr>
        <w:t>blastinė krizė buvo gydyta</w:t>
      </w:r>
      <w:r w:rsidRPr="00366C6D">
        <w:rPr>
          <w:rFonts w:ascii="Times New Roman" w:eastAsia="SimSun" w:hAnsi="Times New Roman"/>
          <w:b/>
          <w:lang w:eastAsia="zh-CN"/>
        </w:rPr>
        <w:t xml:space="preserve">: </w:t>
      </w:r>
    </w:p>
    <w:p w:rsidR="0031490F" w:rsidRPr="00810C90" w:rsidRDefault="0031490F" w:rsidP="0031490F">
      <w:pPr>
        <w:pStyle w:val="Sraopastraipa"/>
        <w:numPr>
          <w:ilvl w:val="0"/>
          <w:numId w:val="16"/>
        </w:numPr>
        <w:tabs>
          <w:tab w:val="left" w:pos="567"/>
        </w:tabs>
        <w:spacing w:after="0" w:line="240" w:lineRule="auto"/>
        <w:ind w:left="1134" w:hanging="567"/>
        <w:rPr>
          <w:b/>
        </w:rPr>
      </w:pPr>
      <w:r w:rsidRPr="009D1353">
        <w:rPr>
          <w:rFonts w:ascii="Times New Roman" w:hAnsi="Times New Roman"/>
          <w:b/>
        </w:rPr>
        <w:t>600 mg</w:t>
      </w:r>
      <w:r w:rsidRPr="00366C6D">
        <w:rPr>
          <w:rFonts w:ascii="Times New Roman" w:eastAsia="SimSun" w:hAnsi="Times New Roman"/>
          <w:lang w:eastAsia="zh-CN"/>
        </w:rPr>
        <w:t>, vartojant po 6</w:t>
      </w:r>
      <w:r w:rsidRPr="00340F0C">
        <w:rPr>
          <w:rFonts w:ascii="Times New Roman" w:eastAsia="SimSun" w:hAnsi="Times New Roman"/>
          <w:lang w:eastAsia="zh-CN"/>
        </w:rPr>
        <w:t xml:space="preserve"> tabletes</w:t>
      </w:r>
      <w:r w:rsidRPr="00366C6D">
        <w:rPr>
          <w:rFonts w:ascii="Times New Roman" w:eastAsia="SimSun" w:hAnsi="Times New Roman"/>
          <w:lang w:eastAsia="zh-CN"/>
        </w:rPr>
        <w:t xml:space="preserve"> </w:t>
      </w:r>
      <w:r w:rsidRPr="009D1353">
        <w:rPr>
          <w:rFonts w:ascii="Times New Roman" w:hAnsi="Times New Roman"/>
          <w:b/>
        </w:rPr>
        <w:t>kartą</w:t>
      </w:r>
      <w:r w:rsidRPr="00366C6D">
        <w:rPr>
          <w:rFonts w:ascii="Times New Roman" w:eastAsia="SimSun" w:hAnsi="Times New Roman"/>
          <w:lang w:eastAsia="zh-CN"/>
        </w:rPr>
        <w:t xml:space="preserve"> per parą. </w:t>
      </w:r>
    </w:p>
    <w:p w:rsidR="0031490F" w:rsidRPr="009D1353" w:rsidRDefault="0031490F" w:rsidP="0031490F">
      <w:pPr>
        <w:numPr>
          <w:ilvl w:val="12"/>
          <w:numId w:val="0"/>
        </w:numPr>
        <w:tabs>
          <w:tab w:val="left" w:pos="567"/>
        </w:tabs>
        <w:spacing w:after="0" w:line="240" w:lineRule="auto"/>
        <w:rPr>
          <w:rFonts w:ascii="Times New Roman" w:hAnsi="Times New Roman"/>
          <w:b/>
        </w:rPr>
      </w:pPr>
    </w:p>
    <w:p w:rsidR="0031490F"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t xml:space="preserve">Jei gydoma VTSN: </w:t>
      </w:r>
    </w:p>
    <w:p w:rsidR="0031490F" w:rsidRDefault="0031490F" w:rsidP="0031490F">
      <w:pPr>
        <w:numPr>
          <w:ilvl w:val="12"/>
          <w:numId w:val="0"/>
        </w:numPr>
        <w:tabs>
          <w:tab w:val="left" w:pos="567"/>
        </w:tabs>
        <w:spacing w:after="0" w:line="240" w:lineRule="auto"/>
        <w:ind w:left="567"/>
        <w:rPr>
          <w:rFonts w:ascii="Times New Roman" w:eastAsia="SimSun" w:hAnsi="Times New Roman"/>
          <w:b/>
          <w:lang w:eastAsia="zh-CN"/>
        </w:rPr>
      </w:pPr>
      <w:r w:rsidRPr="00366C6D">
        <w:rPr>
          <w:rFonts w:ascii="Times New Roman" w:eastAsia="SimSun" w:hAnsi="Times New Roman"/>
          <w:lang w:eastAsia="zh-CN"/>
        </w:rPr>
        <w:t xml:space="preserve">Pradinė dozė yra 400 mg, vartojant po </w:t>
      </w:r>
      <w:r w:rsidRPr="00340F0C">
        <w:rPr>
          <w:rFonts w:ascii="Times New Roman" w:eastAsia="SimSun" w:hAnsi="Times New Roman"/>
          <w:lang w:eastAsia="zh-CN"/>
        </w:rPr>
        <w:t>4</w:t>
      </w:r>
      <w:r w:rsidRPr="00366C6D">
        <w:rPr>
          <w:rFonts w:ascii="Times New Roman" w:eastAsia="SimSun" w:hAnsi="Times New Roman"/>
          <w:lang w:eastAsia="zh-CN"/>
        </w:rPr>
        <w:t xml:space="preserve"> </w:t>
      </w:r>
      <w:r w:rsidRPr="00340F0C">
        <w:rPr>
          <w:rFonts w:ascii="Times New Roman" w:eastAsia="SimSun" w:hAnsi="Times New Roman"/>
          <w:lang w:eastAsia="zh-CN"/>
        </w:rPr>
        <w:t>tabletes</w:t>
      </w:r>
      <w:r w:rsidRPr="00366C6D">
        <w:rPr>
          <w:rFonts w:ascii="Times New Roman" w:eastAsia="SimSun" w:hAnsi="Times New Roman"/>
          <w:lang w:eastAsia="zh-CN"/>
        </w:rPr>
        <w:t xml:space="preserve"> </w:t>
      </w:r>
      <w:r w:rsidRPr="00340F0C">
        <w:rPr>
          <w:rFonts w:ascii="Times New Roman" w:eastAsia="SimSun" w:hAnsi="Times New Roman"/>
          <w:b/>
          <w:lang w:eastAsia="zh-CN"/>
        </w:rPr>
        <w:t>kartą</w:t>
      </w:r>
      <w:r w:rsidRPr="00366C6D">
        <w:rPr>
          <w:rFonts w:ascii="Times New Roman" w:eastAsia="SimSun" w:hAnsi="Times New Roman"/>
          <w:lang w:eastAsia="zh-CN"/>
        </w:rPr>
        <w:t xml:space="preserve"> per parą.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t>Jeigu sergate LML ar VTSN,</w:t>
      </w:r>
      <w:r w:rsidRPr="009D1353">
        <w:rPr>
          <w:rFonts w:ascii="Times New Roman" w:hAnsi="Times New Roman"/>
          <w:b/>
        </w:rPr>
        <w:t xml:space="preserve"> gydytojas gali paskirti vartoti didesnę arba mažesnę dozę, atsižvelgdamas į Jūsų atsaką į gydymą. </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Jeigu vartojate 800 mg paros dozę (8 tabletes), reikia gerti 4 tabletes ryte ir 4 tabletes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600 mg, vartojant po 6 tabletes </w:t>
      </w:r>
      <w:r w:rsidRPr="00366C6D">
        <w:rPr>
          <w:rFonts w:ascii="Times New Roman" w:eastAsia="SimSun" w:hAnsi="Times New Roman"/>
          <w:b/>
          <w:lang w:eastAsia="zh-CN"/>
        </w:rPr>
        <w:t>kartą</w:t>
      </w:r>
      <w:r w:rsidRPr="00340F0C">
        <w:rPr>
          <w:rFonts w:ascii="Times New Roman" w:eastAsia="SimSun" w:hAnsi="Times New Roman"/>
          <w:lang w:eastAsia="zh-CN"/>
        </w:rPr>
        <w:t xml:space="preserve"> per parą. </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p>
    <w:p w:rsidR="0031490F"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t>Jeigu gydoma MDS/MPL:</w:t>
      </w:r>
    </w:p>
    <w:p w:rsidR="0031490F"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400 mg, vartojant po 4 tabletes </w:t>
      </w:r>
      <w:r w:rsidRPr="00366C6D">
        <w:rPr>
          <w:rFonts w:ascii="Times New Roman" w:eastAsia="SimSun" w:hAnsi="Times New Roman"/>
          <w:b/>
          <w:lang w:eastAsia="zh-CN"/>
        </w:rPr>
        <w:t>kartą</w:t>
      </w:r>
      <w:r w:rsidRPr="00340F0C">
        <w:rPr>
          <w:rFonts w:ascii="Times New Roman" w:eastAsia="SimSun" w:hAnsi="Times New Roman"/>
          <w:lang w:eastAsia="zh-CN"/>
        </w:rPr>
        <w:t xml:space="preserve"> per parą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lastRenderedPageBreak/>
        <w:t>Jeigu gydoma HES/LEL:</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100 mg, vartojant po vieną 100 mg tabletę </w:t>
      </w:r>
      <w:r w:rsidRPr="00366C6D">
        <w:rPr>
          <w:rFonts w:ascii="Times New Roman" w:eastAsia="SimSun" w:hAnsi="Times New Roman"/>
          <w:b/>
          <w:lang w:eastAsia="zh-CN"/>
        </w:rPr>
        <w:t>kartą</w:t>
      </w:r>
      <w:r w:rsidRPr="00340F0C">
        <w:rPr>
          <w:rFonts w:ascii="Times New Roman" w:eastAsia="SimSun" w:hAnsi="Times New Roman"/>
          <w:lang w:eastAsia="zh-CN"/>
        </w:rPr>
        <w:t xml:space="preserve"> per parą. Priklausomai nuo Jūsų atsako į gydymą, Jūsų gydytojas gali nuspręsti padidinti dozę iki 400 mg, vartojant po 4 tabletes kartą per parą.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66C6D">
        <w:rPr>
          <w:rFonts w:ascii="Times New Roman" w:eastAsia="SimSun" w:hAnsi="Times New Roman"/>
          <w:b/>
          <w:lang w:eastAsia="zh-CN"/>
        </w:rPr>
        <w:t>Jeigu gydoma DF</w:t>
      </w:r>
      <w:r w:rsidRPr="00340F0C">
        <w:rPr>
          <w:rFonts w:ascii="Times New Roman" w:eastAsia="SimSun" w:hAnsi="Times New Roman"/>
          <w:b/>
          <w:lang w:eastAsia="zh-CN"/>
        </w:rPr>
        <w:t>SP:</w:t>
      </w:r>
    </w:p>
    <w:p w:rsidR="0031490F"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Dozė yra 800 mg per parą (8 tabletės), vartojant po 4 tabletes ryte ir 4 tabletes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Vartojimas vaikams ir paaugliams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nurodys, kiek </w:t>
      </w:r>
      <w:r>
        <w:rPr>
          <w:rFonts w:ascii="Times New Roman" w:eastAsia="SimSun" w:hAnsi="Times New Roman"/>
          <w:lang w:eastAsia="zh-CN"/>
        </w:rPr>
        <w:t>Imatinib Synthon</w:t>
      </w:r>
      <w:r w:rsidRPr="00340F0C">
        <w:rPr>
          <w:rFonts w:ascii="Times New Roman" w:eastAsia="SimSun" w:hAnsi="Times New Roman"/>
          <w:lang w:eastAsia="zh-CN"/>
        </w:rPr>
        <w:t xml:space="preserve"> tablečių reikia duoti gerti vaikui. </w:t>
      </w:r>
      <w:r>
        <w:rPr>
          <w:rFonts w:ascii="Times New Roman" w:eastAsia="SimSun" w:hAnsi="Times New Roman"/>
          <w:lang w:eastAsia="zh-CN"/>
        </w:rPr>
        <w:t>Imatinib Synthon</w:t>
      </w:r>
      <w:r w:rsidRPr="00340F0C">
        <w:rPr>
          <w:rFonts w:ascii="Times New Roman" w:eastAsia="SimSun" w:hAnsi="Times New Roman"/>
          <w:lang w:eastAsia="zh-CN"/>
        </w:rPr>
        <w:t xml:space="preserve"> dozė priklausys nuo vaiko būklės, kūno masės ir ūgio. Bendroji vaikų paros dozė neturi būti didesnė kaip 800 mg. Vaistą galima vartoti vieną kartą per parą arba paros dozę padalyti į dvi dalis (pusę dozės vartoti ryte ir kitą pusę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Kada ir kaip vartoti </w:t>
      </w:r>
      <w:r>
        <w:rPr>
          <w:rFonts w:ascii="Times New Roman" w:eastAsia="SimSun" w:hAnsi="Times New Roman"/>
          <w:b/>
          <w:lang w:eastAsia="zh-CN"/>
        </w:rPr>
        <w:t>Imatinib Synthon</w:t>
      </w:r>
    </w:p>
    <w:p w:rsidR="0031490F" w:rsidRDefault="0031490F" w:rsidP="0031490F">
      <w:pPr>
        <w:pStyle w:val="Sraopastraipa"/>
        <w:numPr>
          <w:ilvl w:val="0"/>
          <w:numId w:val="24"/>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b/>
          <w:lang w:eastAsia="zh-CN"/>
        </w:rPr>
        <w:t>Imatinib Synthon</w:t>
      </w:r>
      <w:r w:rsidRPr="00366C6D">
        <w:rPr>
          <w:rFonts w:ascii="Times New Roman" w:eastAsia="SimSun" w:hAnsi="Times New Roman"/>
          <w:b/>
          <w:lang w:eastAsia="zh-CN"/>
        </w:rPr>
        <w:t xml:space="preserve"> gerkite valgio metu.</w:t>
      </w:r>
      <w:r w:rsidRPr="00366C6D">
        <w:rPr>
          <w:rFonts w:ascii="Times New Roman" w:eastAsia="SimSun" w:hAnsi="Times New Roman"/>
          <w:lang w:eastAsia="zh-CN"/>
        </w:rPr>
        <w:t xml:space="preserve"> Tai padės išvengti skrandžio sutrikimų </w:t>
      </w:r>
      <w:r>
        <w:rPr>
          <w:rFonts w:ascii="Times New Roman" w:eastAsia="SimSun" w:hAnsi="Times New Roman"/>
          <w:lang w:eastAsia="zh-CN"/>
        </w:rPr>
        <w:t>Imatinib Synthon</w:t>
      </w:r>
      <w:r w:rsidRPr="00366C6D">
        <w:rPr>
          <w:rFonts w:ascii="Times New Roman" w:eastAsia="SimSun" w:hAnsi="Times New Roman"/>
          <w:lang w:eastAsia="zh-CN"/>
        </w:rPr>
        <w:t xml:space="preserve"> vartojimo metu.</w:t>
      </w:r>
    </w:p>
    <w:p w:rsidR="0031490F" w:rsidRDefault="0031490F" w:rsidP="0031490F">
      <w:pPr>
        <w:pStyle w:val="Sraopastraipa"/>
        <w:numPr>
          <w:ilvl w:val="0"/>
          <w:numId w:val="24"/>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b/>
          <w:lang w:eastAsia="zh-CN"/>
        </w:rPr>
        <w:t>Nurykite visą tabletę užgerdami didele stikline vandens. Tablečių negalima atidaryti ir laužyti, nebent jas sunku nuryti (pvz., vaikams).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b/>
        <w:t>Jeigu negalite nuryti tabletės, ištirpinkite ją stiklinėje negazuoto vandens ar obuolių sulčių.</w:t>
      </w:r>
    </w:p>
    <w:p w:rsidR="0031490F" w:rsidRPr="00340F0C" w:rsidRDefault="0031490F" w:rsidP="0031490F">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Kiekvienai 100 mg tabletei vartokite maždaug 50 ml vandens ar sulčių.</w:t>
      </w:r>
    </w:p>
    <w:p w:rsidR="0031490F" w:rsidRPr="00340F0C" w:rsidRDefault="0031490F" w:rsidP="0031490F">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Pamaišykite šaukštu, kol tabletė visiškai ištirps.</w:t>
      </w:r>
    </w:p>
    <w:p w:rsidR="0031490F" w:rsidRPr="00340F0C" w:rsidRDefault="0031490F" w:rsidP="0031490F">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Kai tabletė ištirps, nedelsdami išgerkite visą stiklinės turinį. Ištirpusios tabletės liekanų gali likti stiklinėje.</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Kaip ilgai vartoti </w:t>
      </w:r>
      <w:r>
        <w:rPr>
          <w:rFonts w:ascii="Times New Roman" w:eastAsia="SimSun" w:hAnsi="Times New Roman"/>
          <w:b/>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vartokite kasdien, tiek laiko, kiek nurodė Jūsų gydytojas.</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Ką daryti pavartojus per didelę </w:t>
      </w:r>
      <w:r>
        <w:rPr>
          <w:rFonts w:ascii="Times New Roman" w:eastAsia="SimSun" w:hAnsi="Times New Roman"/>
          <w:b/>
          <w:lang w:eastAsia="zh-CN"/>
        </w:rPr>
        <w:t>Imatinib Synthon</w:t>
      </w:r>
      <w:r w:rsidRPr="00340F0C">
        <w:rPr>
          <w:rFonts w:ascii="Times New Roman" w:eastAsia="SimSun" w:hAnsi="Times New Roman"/>
          <w:b/>
          <w:lang w:eastAsia="zh-CN"/>
        </w:rPr>
        <w:t xml:space="preserve"> dozę?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atsitiktinai išgėrėte per daug tablečių</w:t>
      </w:r>
      <w:r w:rsidRPr="00340F0C">
        <w:rPr>
          <w:rFonts w:ascii="Times New Roman" w:eastAsia="SimSun" w:hAnsi="Times New Roman"/>
          <w:b/>
          <w:lang w:eastAsia="zh-CN"/>
        </w:rPr>
        <w:t xml:space="preserve">, iš karto </w:t>
      </w:r>
      <w:r w:rsidRPr="00340F0C">
        <w:rPr>
          <w:rFonts w:ascii="Times New Roman" w:eastAsia="SimSun" w:hAnsi="Times New Roman"/>
          <w:lang w:eastAsia="zh-CN"/>
        </w:rPr>
        <w:t>kreipkitės į gydytoją. Jums gali prireikti medicininės pagalbos. Pasiimkite su savimi vaisto pakuotę.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Pamiršus pavartoti </w:t>
      </w:r>
      <w:r>
        <w:rPr>
          <w:rFonts w:ascii="Times New Roman" w:eastAsia="SimSun" w:hAnsi="Times New Roman"/>
          <w:b/>
          <w:lang w:eastAsia="zh-CN"/>
        </w:rPr>
        <w:t>Imatinib Synthon</w:t>
      </w:r>
    </w:p>
    <w:p w:rsidR="0031490F" w:rsidRDefault="0031490F" w:rsidP="0031490F">
      <w:pPr>
        <w:pStyle w:val="Sraopastraipa"/>
        <w:numPr>
          <w:ilvl w:val="0"/>
          <w:numId w:val="20"/>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Pamiršus pavartoti vaisto dozę, ją išgerkite kai tik prisiminėte. Tačiau jei jau beveik laikas gerti kitą dozę, praleistos dozės nevartokite. </w:t>
      </w:r>
    </w:p>
    <w:p w:rsidR="0031490F" w:rsidRDefault="0031490F" w:rsidP="0031490F">
      <w:pPr>
        <w:pStyle w:val="Sraopastraipa"/>
        <w:numPr>
          <w:ilvl w:val="0"/>
          <w:numId w:val="20"/>
        </w:numPr>
        <w:tabs>
          <w:tab w:val="left" w:pos="567"/>
        </w:tabs>
        <w:spacing w:after="0" w:line="240" w:lineRule="auto"/>
        <w:ind w:left="567" w:hanging="567"/>
        <w:rPr>
          <w:rFonts w:ascii="Times New Roman" w:hAnsi="Times New Roman"/>
          <w:lang w:eastAsia="zh-CN"/>
        </w:rPr>
      </w:pPr>
      <w:r w:rsidRPr="00340F0C">
        <w:rPr>
          <w:rFonts w:ascii="Times New Roman" w:hAnsi="Times New Roman"/>
          <w:lang w:eastAsia="zh-CN"/>
        </w:rPr>
        <w:t>Vėliau tęskite vaisto vartojimą įprastu režimu.</w:t>
      </w:r>
    </w:p>
    <w:p w:rsidR="0031490F" w:rsidRDefault="0031490F" w:rsidP="0031490F">
      <w:pPr>
        <w:pStyle w:val="Sraopastraipa"/>
        <w:numPr>
          <w:ilvl w:val="0"/>
          <w:numId w:val="20"/>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Negalima vartoti dvigubos dozės norint kompensuoti praleistą dozę.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SynthonImatinib Synthon</w:t>
      </w:r>
      <w:r w:rsidRPr="00340F0C">
        <w:rPr>
          <w:rFonts w:ascii="Times New Roman" w:eastAsia="SimSun" w:hAnsi="Times New Roman"/>
          <w:lang w:eastAsia="zh-CN"/>
        </w:rPr>
        <w:t>Jeigu kiltų daugiau klausimų dėl šio vaisto vartojimo, kreipkitės į gydytoją, vaistininką arba slaugytoją.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Galimas šalutinis poveikis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Šis vaistas, kaip ir visi kiti, gali sukelti šalutinį poveikį, nors jis pasireiškia ne visiems žmonėms. Paprastai jis būna nesunkus ar vidutinio sunkumo.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Kai kurie šalutiniai poveikiai gali būti sunkūs. Nedelsiant pasakykite gydytojui, jeigu Jums pasireikštų kuris nors iš toliau išvardytų poveikių.</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 ir dažni (gali pasireikšti ne daugiau kaip 1 žmogui iš 10:</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Greitai padidėjęs kūno svoris. Vartojant </w:t>
      </w:r>
      <w:r>
        <w:rPr>
          <w:rFonts w:ascii="Times New Roman" w:eastAsia="SimSun" w:hAnsi="Times New Roman"/>
        </w:rPr>
        <w:t>Imatinib Synthon</w:t>
      </w:r>
      <w:r w:rsidRPr="00340F0C">
        <w:rPr>
          <w:rFonts w:ascii="Times New Roman" w:eastAsia="SimSun" w:hAnsi="Times New Roman"/>
        </w:rPr>
        <w:t xml:space="preserve"> organizme gali pradėti kauptis skystis (t.y. pasireikšti sunkus skysčių susilaikymas).</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Infekcijos požymiai – pavyzdžiui, karščiavimas, stiprus šaltkrėtis, gerklės skausmas ar burnos išopėjimas. </w:t>
      </w:r>
      <w:r>
        <w:rPr>
          <w:rFonts w:ascii="Times New Roman" w:eastAsia="SimSun" w:hAnsi="Times New Roman"/>
        </w:rPr>
        <w:t>Imatinib Synthon</w:t>
      </w:r>
      <w:r w:rsidRPr="00340F0C">
        <w:rPr>
          <w:rFonts w:ascii="Times New Roman" w:eastAsia="SimSun" w:hAnsi="Times New Roman"/>
        </w:rPr>
        <w:t xml:space="preserve"> gali sumažinti baltųjų kraujo kūnelių skaičių, todėl galite greičiau užsikrėsti infekcinėmis ligomis.</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Netikėtas kraujavimas ar mėlynių susidarymas (be jokio sužalojimo).</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Nedažni (gali pasireikšti ne daugiau kaip 1 žmogui iš 100) ir reti (gali pasireikšti ne daugiau kaip 1 žmogui iš 1 000):</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krūtinėje, nereguliarus širdies ritmas (širdies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Kosulys, pasunkėjęs kvėpavimas arba skausmingas kvėpavimas (plaučių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Apsvaigimas, svaigulys ar alpimas (žemo kraujospūdžio požymiai).</w:t>
      </w:r>
    </w:p>
    <w:p w:rsidR="0031490F"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taip pat apetito trūkumas, tamsios spalvos šlapimas, pageltusi oda ar akių baltymai (kepenų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pilvo skausmas, vėmimas, tuštinimasis ar šlapinimasis su kraujo priemaiša, juodos spalvos išmatos (virškinimo trakto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Labai sumažėjęs šlapimo kiekis, troškulys (inkstų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kartu su viduriavimu ir vėmimu, pilvo skausmas arba karščiavimas (žarnų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galvos skausmas, silpnumas arba galūnių ar veido paralyžius, pasunkėjusi kalba, staigus sąmonės praradimas (nervų sistemos sutrikimų, pavyzdžiui, kraujavimo kaukolės ertmėje ar galvos smegenų patinimo,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Išblyškusi oda, nuovargis ir dusulys, tamsus šlapimas (sumažėjusio raudonųjų kraujo ląstelių skaičiaus požymiai).</w:t>
      </w:r>
    </w:p>
    <w:p w:rsidR="0031490F"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Akies skausmas ar pablogėjusi rega, kraujavimas į akies vidų.</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klubo sąnariuose ar pasunkėjęs vaikščiojimas.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Kojų ir rankų pirštų nutirpimas ar šalimas (Reino [</w:t>
      </w:r>
      <w:r w:rsidRPr="00340F0C">
        <w:rPr>
          <w:rFonts w:ascii="Times New Roman" w:eastAsia="SimSun" w:hAnsi="Times New Roman"/>
          <w:i/>
          <w:iCs/>
        </w:rPr>
        <w:t>Raynaud</w:t>
      </w:r>
      <w:r w:rsidRPr="00340F0C">
        <w:rPr>
          <w:rFonts w:ascii="Times New Roman" w:eastAsia="SimSun" w:hAnsi="Times New Roman"/>
        </w:rPr>
        <w:t>] sindromo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Staigus odos patinimas ir paraudimas (odos infekcijos, vadinamos celiulitu,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Sutrikusi klausa.</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silpnumas ir spazmai kartu su sutrikusiu širdies ritmu (požymiai, rodantys, kad pakito kalio kiekis Jūsų kraujyje).</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Mėlynės.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Skrandžio skausmas kartu su šleikštuliu (pykinimu).</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spazmai ir kartu pasireiškiantis karščiavimas, raudonai rudos spalvos šlapimas, raumenų skausmas ar silpnumas (raumenų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rsidR="0031490F"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rsidR="0031490F" w:rsidRDefault="0031490F" w:rsidP="0031490F">
      <w:pPr>
        <w:tabs>
          <w:tab w:val="left" w:pos="567"/>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w:t>
      </w:r>
      <w:r w:rsidRPr="009D1033">
        <w:rPr>
          <w:rFonts w:ascii="Times New Roman" w:eastAsia="SimSun" w:hAnsi="Times New Roman"/>
        </w:rPr>
        <w:tab/>
        <w:t xml:space="preserve">Išplitusio sunkaus išbėrimo, pykinimo, karščiavimo, padidėjusios tam tikrų baltųjų kraujo ląstelių koncentracijos kraujyje arba pageltusios odos ar akių (geltos požymiai) kartu su dusuliu, krūtinės skausmu ar diskomforto pojūčiu, </w:t>
      </w:r>
      <w:r>
        <w:rPr>
          <w:rFonts w:ascii="Times New Roman" w:eastAsia="SimSun" w:hAnsi="Times New Roman"/>
        </w:rPr>
        <w:t>labai sumažėjusiu šlapimo išsiskyrimu ir troškulio pojūčiu (alerginės reakcijos, susijusios su gydymu, požymiai) ir t.t. deriniai.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rPr>
        <w:t xml:space="preserve">Jeigu Jums pasireikštų bet kuris iš anksčiau nurodytų poveikių, </w:t>
      </w:r>
      <w:r w:rsidRPr="00340F0C">
        <w:rPr>
          <w:rFonts w:ascii="Times New Roman" w:eastAsia="SimSun" w:hAnsi="Times New Roman"/>
          <w:b/>
        </w:rPr>
        <w:t>nedelsiant 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Taip pat gali pasireikšti kiti šalutiniai poveikiai: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Galvos skausmas ar nuovargis.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vėmimas, viduriavimas ar nevirškinimas.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Mėšlungis arba sąnarių, raumenų ir kaulų skausmas.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Tinimas, pavyzdžiui, patinusios kulkšnys ar paburkę akių vokai.</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b/>
        </w:rPr>
      </w:pPr>
      <w:r w:rsidRPr="00340F0C">
        <w:rPr>
          <w:rFonts w:ascii="Times New Roman" w:eastAsia="SimSun" w:hAnsi="Times New Roman"/>
        </w:rPr>
        <w:lastRenderedPageBreak/>
        <w:t>Padidėjęs kūno svoris.</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reiškinių tampa sunkiu, </w:t>
      </w:r>
      <w:r w:rsidRPr="00366C6D">
        <w:rPr>
          <w:rFonts w:ascii="Times New Roman" w:eastAsia="SimSun" w:hAnsi="Times New Roman"/>
          <w:b/>
        </w:rPr>
        <w:t>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Dažni (gali pasireikšti ne daugiau kaip 1 žmogui iš 100):</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Anoreksija, sumažėjęs kūno svoris, sutrikęs skonio jutimas.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Svaigulys arba silpnumas.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Sunkumas užmigti (nemiga).</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Išskyros iš akies kartu su niežuliu, paraudimu ir patinimu (konjunktyvitas), ašarojimas, neryškus matymas.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Kraujavimas iš nosies.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Pilvo skausmas ar patinimas, vidurių pūtimas, rėmuo, vidurių užkietėjimas.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Niežulys.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Neįprastas plaukų slinkimas ar plonėjimas.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Plaštakų ar pėdų tirpimas.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išopėjimas.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Sąnarių skausmas ir patinimas.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odos ar akių džiūvimas.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Sumažėjęs arba padidėjęs odos jautrumas.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Karščio pylimai, drebulys, naktinis prakaitavimas.</w:t>
      </w:r>
    </w:p>
    <w:p w:rsidR="0031490F" w:rsidRPr="00340F0C" w:rsidRDefault="0031490F" w:rsidP="0031490F">
      <w:pPr>
        <w:spacing w:after="0" w:line="240" w:lineRule="auto"/>
        <w:rPr>
          <w:rFonts w:ascii="Times New Roman" w:eastAsia="SimSun" w:hAnsi="Times New Roman"/>
        </w:rPr>
      </w:pPr>
      <w:r w:rsidRPr="00340F0C">
        <w:rPr>
          <w:rFonts w:ascii="Times New Roman" w:eastAsia="SimSun" w:hAnsi="Times New Roman"/>
        </w:rPr>
        <w:t xml:space="preserve">Jei bet kuris iš šių reiškinių tampa sunkiu, </w:t>
      </w:r>
      <w:r w:rsidRPr="00366C6D">
        <w:rPr>
          <w:rFonts w:ascii="Times New Roman" w:eastAsia="SimSun" w:hAnsi="Times New Roman"/>
          <w:b/>
        </w:rPr>
        <w:t>pasakykite gydytojui</w:t>
      </w:r>
      <w:r w:rsidRPr="00340F0C">
        <w:rPr>
          <w:rFonts w:ascii="Times New Roman" w:eastAsia="SimSun" w:hAnsi="Times New Roma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9D1353" w:rsidRDefault="0031490F" w:rsidP="0031490F">
      <w:pPr>
        <w:numPr>
          <w:ilvl w:val="12"/>
          <w:numId w:val="0"/>
        </w:numPr>
        <w:tabs>
          <w:tab w:val="left" w:pos="567"/>
        </w:tabs>
        <w:spacing w:after="0" w:line="240" w:lineRule="auto"/>
        <w:rPr>
          <w:rFonts w:ascii="Times New Roman" w:hAnsi="Times New Roman"/>
        </w:rPr>
      </w:pPr>
      <w:r w:rsidRPr="00340F0C">
        <w:rPr>
          <w:rFonts w:ascii="Times New Roman" w:eastAsia="SimSun" w:hAnsi="Times New Roman"/>
          <w:b/>
        </w:rPr>
        <w:t xml:space="preserve">Dažnis nežinomas </w:t>
      </w:r>
      <w:r w:rsidRPr="00366C6D">
        <w:rPr>
          <w:rFonts w:ascii="Times New Roman" w:eastAsia="SimSun" w:hAnsi="Times New Roman"/>
        </w:rPr>
        <w:t>(negali būti apskaičiuotas pagal turimus duomenis):</w:t>
      </w:r>
    </w:p>
    <w:p w:rsidR="0031490F" w:rsidRPr="00340F0C" w:rsidRDefault="0031490F" w:rsidP="0031490F">
      <w:pPr>
        <w:numPr>
          <w:ilvl w:val="0"/>
          <w:numId w:val="1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Delnų ir padų paraudimas ir (arba) patinimas, kurie gali pasireikšti kartu su dilgčiojimo pojūčiu ir deginančiu skausmu.</w:t>
      </w:r>
    </w:p>
    <w:p w:rsidR="0031490F" w:rsidRPr="00340F0C" w:rsidRDefault="0031490F" w:rsidP="0031490F">
      <w:pPr>
        <w:numPr>
          <w:ilvl w:val="0"/>
          <w:numId w:val="1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Sulėtėjęs vaikų ir paauglių augimas.</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poveikių tampa sunkiu, </w:t>
      </w:r>
      <w:r w:rsidRPr="00340F0C">
        <w:rPr>
          <w:rFonts w:ascii="Times New Roman" w:eastAsia="SimSun" w:hAnsi="Times New Roman"/>
          <w:b/>
        </w:rPr>
        <w:t>pasakykite gydytojui</w:t>
      </w:r>
      <w:r w:rsidRPr="00340F0C">
        <w:rPr>
          <w:rFonts w:ascii="Times New Roman" w:eastAsia="SimSun" w:hAnsi="Times New Roma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07C04" w:rsidRDefault="0031490F" w:rsidP="0031490F">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rsidR="0031490F" w:rsidRPr="009D1353" w:rsidRDefault="0031490F" w:rsidP="0031490F">
      <w:pPr>
        <w:tabs>
          <w:tab w:val="left" w:pos="567"/>
        </w:tabs>
        <w:spacing w:after="0" w:line="260" w:lineRule="exact"/>
        <w:ind w:right="-449"/>
        <w:rPr>
          <w:rFonts w:ascii="Times New Roman" w:hAnsi="Times New Roman"/>
        </w:rPr>
      </w:pPr>
      <w:r w:rsidRPr="009D1353">
        <w:rPr>
          <w:rFonts w:ascii="Times New Roman" w:hAnsi="Times New Roman"/>
        </w:rPr>
        <w:t>Jeigu pasireiškė šalutinis poveikis, įskaitant šiame lapelyje nenurodytą, pasakykite gydytojui</w:t>
      </w:r>
      <w:r w:rsidRPr="00340F0C">
        <w:rPr>
          <w:rFonts w:ascii="Times New Roman" w:eastAsia="Times New Roman" w:hAnsi="Times New Roman"/>
          <w:noProof/>
          <w:snapToGrid w:val="0"/>
          <w:szCs w:val="24"/>
        </w:rPr>
        <w:t xml:space="preserve"> </w:t>
      </w:r>
      <w:r w:rsidRPr="00307C04">
        <w:rPr>
          <w:rFonts w:ascii="Times New Roman" w:eastAsia="Times New Roman" w:hAnsi="Times New Roman"/>
          <w:noProof/>
          <w:snapToGrid w:val="0"/>
          <w:szCs w:val="24"/>
        </w:rPr>
        <w:t>arba</w:t>
      </w:r>
      <w:r w:rsidRPr="009D1353">
        <w:rPr>
          <w:rFonts w:ascii="Times New Roman" w:hAnsi="Times New Roman"/>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4"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5"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r w:rsidRPr="009D1353">
        <w:rPr>
          <w:rFonts w:ascii="Times New Roman" w:hAnsi="Times New Roma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 xml:space="preserve">Kaip laikyti </w:t>
      </w:r>
      <w:r>
        <w:rPr>
          <w:rFonts w:ascii="Times New Roman" w:eastAsia="SimSun" w:hAnsi="Times New Roman"/>
          <w:b/>
          <w:bCs/>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Šį vaistą laikykite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Ant dėžutės po „Tinka iki“ ir lizdinės plokštelės po „EXP” nurodytam tinkamumo laikui pasibaigus, šio vaisto vartoti negalima. Pirmieji du skaitmenys žymi mėnesį, kiti keturi – metus. Vaistas tinkamas vartoti iki paskutinės nurodyto mėnesio dienos.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Pr>
          <w:rFonts w:ascii="Times New Roman" w:eastAsia="SimSun" w:hAnsi="Times New Roman"/>
          <w:lang w:eastAsia="zh-CN"/>
        </w:rPr>
        <w:t>, kad preparatas būtų apsaugotas nuo drėgmės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Pakuotės turinys ir kita informacija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w:t>
      </w:r>
      <w:r w:rsidRPr="00340F0C">
        <w:rPr>
          <w:rFonts w:ascii="Times New Roman" w:eastAsia="SimSun" w:hAnsi="Times New Roman"/>
          <w:b/>
        </w:rPr>
        <w:t xml:space="preserve"> sudėtis </w:t>
      </w:r>
    </w:p>
    <w:p w:rsidR="0031490F" w:rsidRPr="00340F0C" w:rsidRDefault="0031490F" w:rsidP="0031490F">
      <w:pPr>
        <w:numPr>
          <w:ilvl w:val="0"/>
          <w:numId w:val="11"/>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Veiklioji medžiaga yra imatinibas. Kiekvienoje 100 mg tabletėje yra 100 mg imatinibo (mesilato pavidalu).Pagalbinės medžiagos yra </w:t>
      </w:r>
    </w:p>
    <w:p w:rsidR="0031490F" w:rsidRPr="00340F0C" w:rsidRDefault="0031490F" w:rsidP="0031490F">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lastRenderedPageBreak/>
        <w:t>Tabletės šerdis: koloidinis bevandenis silicio dioksidas, mikrokristalinė celiuliozė (E460), krospovidonas, hipromeliozė (E464) ir magnio stearatas (E572).</w:t>
      </w:r>
    </w:p>
    <w:p w:rsidR="0031490F" w:rsidRPr="00340F0C" w:rsidRDefault="0031490F" w:rsidP="0031490F">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plėvelė: polivinilo alkoholis (E1203), makrogolis 3350 (E1521), talkas (E553b), geltonasis geležies oksidas (E172), raudonasis geležies oksidas (E172), titano dioksidas (E171)</w:t>
      </w: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w:t>
      </w:r>
      <w:r w:rsidRPr="00340F0C">
        <w:rPr>
          <w:rFonts w:ascii="Times New Roman" w:eastAsia="SimSun" w:hAnsi="Times New Roman"/>
          <w:b/>
        </w:rPr>
        <w:t xml:space="preserve"> išvaizda ir kiekis pakuotėje</w:t>
      </w: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 plėvele dengta tabletė yra ruda, apvali (9 mm), abipus išgaubta tabletė su dalijimo vagele vienoje pusėje ir įspaudu „I9AB 100“ – kitoje. </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spacing w:after="0" w:line="240" w:lineRule="auto"/>
        <w:rPr>
          <w:rFonts w:ascii="Times New Roman" w:hAnsi="Times New Roman"/>
          <w:lang w:eastAsia="en-GB"/>
        </w:rPr>
      </w:pPr>
      <w:r>
        <w:rPr>
          <w:rFonts w:ascii="Times New Roman" w:eastAsia="SimSun" w:hAnsi="Times New Roman"/>
          <w:lang w:eastAsia="zh-CN"/>
        </w:rPr>
        <w:t>Imatinib Synthon</w:t>
      </w:r>
      <w:r w:rsidRPr="00340F0C">
        <w:rPr>
          <w:rFonts w:ascii="Times New Roman" w:eastAsia="SimSun" w:hAnsi="Times New Roman"/>
          <w:lang w:eastAsia="zh-CN"/>
        </w:rPr>
        <w:t xml:space="preserve"> 100 mg plėvele dengtos tabletės tiekiamos lizdinių plokštelių</w:t>
      </w:r>
      <w:r w:rsidRPr="00340F0C">
        <w:rPr>
          <w:rFonts w:ascii="Times New Roman" w:hAnsi="Times New Roman"/>
          <w:lang w:eastAsia="en-GB"/>
        </w:rPr>
        <w:t xml:space="preserve"> pakuotėse po 20, 30, 60, 90, 100, 120 arba 180 plėvele dengtų tablečių.</w:t>
      </w:r>
    </w:p>
    <w:p w:rsidR="0031490F" w:rsidRPr="00340F0C" w:rsidRDefault="0031490F" w:rsidP="0031490F">
      <w:pPr>
        <w:spacing w:after="0" w:line="240" w:lineRule="auto"/>
        <w:jc w:val="both"/>
        <w:rPr>
          <w:rFonts w:ascii="Times New Roman" w:hAnsi="Times New Roman"/>
          <w:noProof/>
          <w:lang w:eastAsia="en-GB"/>
        </w:rPr>
      </w:pPr>
      <w:r w:rsidRPr="00340F0C">
        <w:rPr>
          <w:rFonts w:ascii="Times New Roman" w:hAnsi="Times New Roman"/>
          <w:lang w:eastAsia="en-GB"/>
        </w:rPr>
        <w:t xml:space="preserve">Vienadozėse pakuotėse gydymo įstaigoms: po 20 x 1, 30 x 1, 60 x 1, 90 x 1, 100 x 1, 120 x 1 arba 180 x 1 </w:t>
      </w:r>
      <w:r w:rsidRPr="00340F0C">
        <w:rPr>
          <w:rFonts w:ascii="Times New Roman" w:hAnsi="Times New Roman"/>
          <w:noProof/>
          <w:lang w:eastAsia="en-GB"/>
        </w:rPr>
        <w:t>plėvele dengtų tablečių.</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Rinkodaros teisės turėtojas ir gamintojas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i/>
          <w:lang w:eastAsia="zh-CN" w:bidi="mni-IN"/>
        </w:rPr>
      </w:pPr>
      <w:r w:rsidRPr="00340F0C">
        <w:rPr>
          <w:rFonts w:ascii="Times New Roman" w:eastAsia="SimSun" w:hAnsi="Times New Roman"/>
          <w:i/>
          <w:lang w:eastAsia="zh-CN" w:bidi="mni-IN"/>
        </w:rPr>
        <w:t>Rinkodaros teisės turėtojas</w:t>
      </w:r>
    </w:p>
    <w:p w:rsidR="0031490F" w:rsidRPr="00104BB2" w:rsidRDefault="0031490F" w:rsidP="0031490F">
      <w:pPr>
        <w:spacing w:after="0" w:line="240" w:lineRule="auto"/>
        <w:rPr>
          <w:rFonts w:ascii="Times New Roman" w:hAnsi="Times New Roman"/>
        </w:rPr>
      </w:pPr>
      <w:r w:rsidRPr="00104BB2">
        <w:rPr>
          <w:rFonts w:ascii="Times New Roman" w:hAnsi="Times New Roman"/>
        </w:rPr>
        <w:t>Synthon BV</w:t>
      </w:r>
    </w:p>
    <w:p w:rsidR="0031490F" w:rsidRPr="00104BB2" w:rsidRDefault="0031490F" w:rsidP="0031490F">
      <w:pPr>
        <w:spacing w:after="0" w:line="240" w:lineRule="auto"/>
        <w:rPr>
          <w:rFonts w:ascii="Times New Roman" w:hAnsi="Times New Roman"/>
        </w:rPr>
      </w:pPr>
      <w:r w:rsidRPr="00104BB2">
        <w:rPr>
          <w:rFonts w:ascii="Times New Roman" w:hAnsi="Times New Roman"/>
        </w:rPr>
        <w:t xml:space="preserve">Microweg 22 </w:t>
      </w:r>
    </w:p>
    <w:p w:rsidR="0031490F" w:rsidRPr="00104BB2" w:rsidRDefault="0031490F" w:rsidP="0031490F">
      <w:pPr>
        <w:spacing w:after="0" w:line="240" w:lineRule="auto"/>
        <w:rPr>
          <w:rFonts w:ascii="Times New Roman" w:hAnsi="Times New Roman"/>
        </w:rPr>
      </w:pPr>
      <w:r w:rsidRPr="00104BB2">
        <w:rPr>
          <w:rFonts w:ascii="Times New Roman" w:hAnsi="Times New Roman"/>
        </w:rPr>
        <w:t>6545 CM Nijmegen</w:t>
      </w:r>
    </w:p>
    <w:p w:rsidR="0031490F" w:rsidRPr="00104BB2" w:rsidRDefault="0031490F" w:rsidP="0031490F">
      <w:pPr>
        <w:spacing w:after="0" w:line="240" w:lineRule="auto"/>
        <w:rPr>
          <w:rFonts w:ascii="Times New Roman" w:hAnsi="Times New Roman"/>
        </w:rPr>
      </w:pPr>
      <w:r w:rsidRPr="00104BB2">
        <w:rPr>
          <w:rFonts w:ascii="Times New Roman" w:hAnsi="Times New Roman"/>
        </w:rPr>
        <w:t>Nyderlandai</w:t>
      </w:r>
    </w:p>
    <w:p w:rsidR="0031490F" w:rsidRPr="00340F0C" w:rsidRDefault="0031490F" w:rsidP="0031490F">
      <w:pPr>
        <w:widowControl w:val="0"/>
        <w:tabs>
          <w:tab w:val="left" w:pos="567"/>
        </w:tabs>
        <w:spacing w:after="0" w:line="240" w:lineRule="auto"/>
        <w:ind w:right="7956"/>
        <w:rPr>
          <w:rFonts w:ascii="Times New Roman" w:eastAsia="SimSun" w:hAnsi="Times New Roman"/>
          <w:b/>
          <w:bCs/>
          <w:highlight w:val="yellow"/>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Cs/>
          <w:i/>
          <w:lang w:eastAsia="zh-CN"/>
        </w:rPr>
        <w:t>Gamintojai</w:t>
      </w: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BV</w:t>
      </w:r>
    </w:p>
    <w:p w:rsidR="0031490F" w:rsidRPr="00340F0C" w:rsidRDefault="0031490F" w:rsidP="0031490F">
      <w:pPr>
        <w:spacing w:after="0" w:line="240" w:lineRule="auto"/>
        <w:rPr>
          <w:rFonts w:ascii="Times New Roman" w:hAnsi="Times New Roman"/>
        </w:rPr>
      </w:pPr>
      <w:r w:rsidRPr="00340F0C">
        <w:rPr>
          <w:rFonts w:ascii="Times New Roman" w:hAnsi="Times New Roman"/>
        </w:rPr>
        <w:t xml:space="preserve">Microweg 22 </w:t>
      </w:r>
    </w:p>
    <w:p w:rsidR="0031490F" w:rsidRPr="00340F0C" w:rsidRDefault="0031490F" w:rsidP="0031490F">
      <w:pPr>
        <w:spacing w:after="0" w:line="240" w:lineRule="auto"/>
        <w:rPr>
          <w:rFonts w:ascii="Times New Roman" w:hAnsi="Times New Roman"/>
        </w:rPr>
      </w:pPr>
      <w:r w:rsidRPr="00340F0C">
        <w:rPr>
          <w:rFonts w:ascii="Times New Roman" w:hAnsi="Times New Roman"/>
        </w:rPr>
        <w:t>6545 CM Nijmegen</w:t>
      </w:r>
    </w:p>
    <w:p w:rsidR="0031490F" w:rsidRPr="00340F0C" w:rsidRDefault="0031490F" w:rsidP="0031490F">
      <w:pPr>
        <w:spacing w:after="0" w:line="240" w:lineRule="auto"/>
        <w:rPr>
          <w:rFonts w:ascii="Times New Roman" w:hAnsi="Times New Roman"/>
        </w:rPr>
      </w:pPr>
      <w:r w:rsidRPr="00340F0C">
        <w:rPr>
          <w:rFonts w:ascii="Times New Roman" w:hAnsi="Times New Roman"/>
        </w:rPr>
        <w:t>Nyderlandai</w:t>
      </w:r>
    </w:p>
    <w:p w:rsidR="0031490F" w:rsidRPr="00340F0C" w:rsidRDefault="0031490F" w:rsidP="0031490F">
      <w:pPr>
        <w:spacing w:after="0" w:line="240" w:lineRule="auto"/>
        <w:rPr>
          <w:rFonts w:ascii="Times New Roman" w:hAnsi="Times New Roman"/>
          <w:i/>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arba</w:t>
      </w:r>
    </w:p>
    <w:p w:rsidR="0031490F" w:rsidRPr="00340F0C" w:rsidRDefault="0031490F" w:rsidP="0031490F">
      <w:pPr>
        <w:spacing w:after="0" w:line="240" w:lineRule="auto"/>
        <w:rPr>
          <w:rFonts w:ascii="Times New Roman" w:hAnsi="Times New Roma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Hispania, S.L.</w:t>
      </w:r>
    </w:p>
    <w:p w:rsidR="0031490F" w:rsidRPr="00340F0C" w:rsidRDefault="0031490F" w:rsidP="0031490F">
      <w:pPr>
        <w:spacing w:after="0" w:line="240" w:lineRule="auto"/>
        <w:rPr>
          <w:rFonts w:ascii="Times New Roman" w:hAnsi="Times New Roman"/>
        </w:rPr>
      </w:pPr>
      <w:r w:rsidRPr="00340F0C">
        <w:rPr>
          <w:rFonts w:ascii="Times New Roman" w:hAnsi="Times New Roman"/>
        </w:rPr>
        <w:t>C/Castell</w:t>
      </w:r>
      <w:r w:rsidRPr="009D1353">
        <w:rPr>
          <w:rFonts w:ascii="Times New Roman" w:hAnsi="Times New Roman"/>
        </w:rPr>
        <w:t>ó</w:t>
      </w:r>
      <w:r w:rsidRPr="00340F0C">
        <w:rPr>
          <w:rFonts w:ascii="Times New Roman" w:hAnsi="Times New Roman"/>
        </w:rPr>
        <w:t xml:space="preserve"> no1</w:t>
      </w:r>
    </w:p>
    <w:p w:rsidR="0031490F" w:rsidRPr="00340F0C" w:rsidRDefault="0031490F" w:rsidP="0031490F">
      <w:pPr>
        <w:spacing w:after="0" w:line="240" w:lineRule="auto"/>
        <w:rPr>
          <w:rFonts w:ascii="Times New Roman" w:hAnsi="Times New Roman"/>
        </w:rPr>
      </w:pPr>
      <w:r w:rsidRPr="00340F0C">
        <w:rPr>
          <w:rFonts w:ascii="Times New Roman" w:hAnsi="Times New Roman"/>
        </w:rPr>
        <w:t>Pol. Las Salinas</w:t>
      </w:r>
    </w:p>
    <w:p w:rsidR="0031490F" w:rsidRPr="00340F0C" w:rsidRDefault="0031490F" w:rsidP="0031490F">
      <w:pPr>
        <w:spacing w:after="0" w:line="240" w:lineRule="auto"/>
        <w:rPr>
          <w:rFonts w:ascii="Times New Roman" w:hAnsi="Times New Roman"/>
        </w:rPr>
      </w:pPr>
      <w:r w:rsidRPr="00340F0C">
        <w:rPr>
          <w:rFonts w:ascii="Times New Roman" w:hAnsi="Times New Roman"/>
        </w:rPr>
        <w:t>Sant Boi de Llobregat</w:t>
      </w:r>
    </w:p>
    <w:p w:rsidR="0031490F" w:rsidRPr="00340F0C" w:rsidRDefault="0031490F" w:rsidP="0031490F">
      <w:pPr>
        <w:spacing w:after="0" w:line="240" w:lineRule="auto"/>
        <w:rPr>
          <w:rFonts w:ascii="Times New Roman" w:hAnsi="Times New Roman"/>
        </w:rPr>
      </w:pPr>
      <w:r w:rsidRPr="00340F0C">
        <w:rPr>
          <w:rFonts w:ascii="Times New Roman" w:hAnsi="Times New Roman"/>
        </w:rPr>
        <w:t>08830 Barcelona</w:t>
      </w:r>
    </w:p>
    <w:p w:rsidR="0031490F" w:rsidRPr="00340F0C" w:rsidRDefault="0031490F" w:rsidP="0031490F">
      <w:pPr>
        <w:spacing w:after="0" w:line="240" w:lineRule="auto"/>
        <w:rPr>
          <w:rFonts w:ascii="Times New Roman" w:hAnsi="Times New Roman"/>
        </w:rPr>
      </w:pPr>
      <w:r w:rsidRPr="00340F0C">
        <w:rPr>
          <w:rFonts w:ascii="Times New Roman" w:hAnsi="Times New Roman"/>
        </w:rPr>
        <w:t>Ispanija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Šio vaistinio preparato rinkodaros teisė EEE valstybėse narėse suteikta tokiais pavadinimais</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31490F" w:rsidRPr="00340F0C" w:rsidTr="00536C1B">
        <w:tc>
          <w:tcPr>
            <w:tcW w:w="2235" w:type="dxa"/>
          </w:tcPr>
          <w:p w:rsidR="0031490F" w:rsidRPr="00340F0C" w:rsidRDefault="0031490F" w:rsidP="00536C1B">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Valstybės narės pavadinimas</w:t>
            </w:r>
          </w:p>
        </w:tc>
        <w:tc>
          <w:tcPr>
            <w:tcW w:w="6520" w:type="dxa"/>
          </w:tcPr>
          <w:p w:rsidR="0031490F" w:rsidRPr="00340F0C" w:rsidRDefault="0031490F" w:rsidP="00536C1B">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Vaistinio preparato pavadinimas</w:t>
            </w:r>
          </w:p>
        </w:tc>
      </w:tr>
    </w:tbl>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Bulgarija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100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Estija</w:t>
      </w:r>
      <w:r w:rsidRPr="00C87ED4">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 xml:space="preserve">    Imatinib Synthon 100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Vengrija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 xml:space="preserve">Imatinib </w:t>
      </w:r>
      <w:r w:rsidR="00C576C9">
        <w:rPr>
          <w:rFonts w:ascii="Times New Roman" w:eastAsia="SimSun" w:hAnsi="Times New Roman"/>
          <w:lang w:eastAsia="zh-CN"/>
        </w:rPr>
        <w:t xml:space="preserve">RICHTER </w:t>
      </w:r>
      <w:r>
        <w:rPr>
          <w:rFonts w:ascii="Times New Roman" w:eastAsia="SimSun" w:hAnsi="Times New Roman"/>
          <w:lang w:eastAsia="zh-CN"/>
        </w:rPr>
        <w:t>100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Islandija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100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Lietuva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 xml:space="preserve">    </w:t>
      </w:r>
      <w:r w:rsidRPr="00C87ED4">
        <w:rPr>
          <w:rFonts w:ascii="Times New Roman" w:eastAsia="SimSun" w:hAnsi="Times New Roman"/>
          <w:lang w:eastAsia="zh-CN"/>
        </w:rPr>
        <w:t xml:space="preserve">Imatinib Synthon </w:t>
      </w:r>
      <w:r>
        <w:rPr>
          <w:rFonts w:ascii="Times New Roman" w:eastAsia="SimSun" w:hAnsi="Times New Roman"/>
          <w:lang w:eastAsia="zh-CN"/>
        </w:rPr>
        <w:t xml:space="preserve">100 </w:t>
      </w:r>
      <w:r w:rsidRPr="00C87ED4">
        <w:rPr>
          <w:rFonts w:ascii="Times New Roman" w:eastAsia="SimSun" w:hAnsi="Times New Roman"/>
          <w:lang w:eastAsia="zh-CN"/>
        </w:rPr>
        <w:t>mg plėvele dengtos tabletės</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Latvija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 xml:space="preserve">    </w:t>
      </w:r>
      <w:r w:rsidRPr="00C87ED4">
        <w:rPr>
          <w:rFonts w:ascii="Times New Roman" w:eastAsia="SimSun" w:hAnsi="Times New Roman"/>
          <w:lang w:eastAsia="zh-CN"/>
        </w:rPr>
        <w:t xml:space="preserve">Imatinibo Synthon </w:t>
      </w:r>
      <w:r>
        <w:rPr>
          <w:rFonts w:ascii="Times New Roman" w:eastAsia="SimSun" w:hAnsi="Times New Roman"/>
          <w:lang w:eastAsia="zh-CN"/>
        </w:rPr>
        <w:t xml:space="preserve">100 </w:t>
      </w:r>
      <w:r w:rsidRPr="00C87ED4">
        <w:rPr>
          <w:rFonts w:ascii="Times New Roman" w:eastAsia="SimSun" w:hAnsi="Times New Roman"/>
          <w:lang w:eastAsia="zh-CN"/>
        </w:rPr>
        <w:t>mg apvalkotās tabletes</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Nyderlandai</w:t>
      </w:r>
      <w:r w:rsidRPr="00C87ED4">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 Synthon </w:t>
      </w:r>
      <w:r>
        <w:rPr>
          <w:rFonts w:ascii="Times New Roman" w:eastAsia="SimSun" w:hAnsi="Times New Roman"/>
          <w:lang w:eastAsia="zh-CN"/>
        </w:rPr>
        <w:t xml:space="preserve">100 </w:t>
      </w:r>
      <w:r w:rsidRPr="00C87ED4">
        <w:rPr>
          <w:rFonts w:ascii="Times New Roman" w:eastAsia="SimSun" w:hAnsi="Times New Roman"/>
          <w:lang w:eastAsia="zh-CN"/>
        </w:rPr>
        <w:t>mg, tabletten</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Rumunija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100 mg comprimate filmate</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Slovakija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100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w:t>
      </w:r>
      <w:r w:rsidRPr="00104BB2">
        <w:rPr>
          <w:rFonts w:ascii="Times New Roman" w:hAnsi="Times New Roman"/>
          <w:lang w:eastAsia="en-GB"/>
        </w:rPr>
        <w:t>ė</w:t>
      </w:r>
      <w:r w:rsidRPr="004418AB">
        <w:rPr>
          <w:rFonts w:ascii="Times New Roman" w:eastAsia="SimSun" w:hAnsi="Times New Roman"/>
          <w:lang w:eastAsia="zh-CN"/>
        </w:rPr>
        <w:t>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 Synthon </w:t>
      </w:r>
      <w:r>
        <w:rPr>
          <w:rFonts w:ascii="Times New Roman" w:eastAsia="SimSun" w:hAnsi="Times New Roman"/>
          <w:lang w:eastAsia="zh-CN"/>
        </w:rPr>
        <w:t>100</w:t>
      </w:r>
      <w:r w:rsidRPr="00C87ED4">
        <w:rPr>
          <w:rFonts w:ascii="Times New Roman" w:eastAsia="SimSun" w:hAnsi="Times New Roman"/>
          <w:lang w:eastAsia="zh-CN"/>
        </w:rPr>
        <w:t xml:space="preserve"> mg filmsko obložene tablete</w:t>
      </w:r>
    </w:p>
    <w:p w:rsidR="0031490F"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Lenkija</w:t>
      </w:r>
      <w:r>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t xml:space="preserve">    </w:t>
      </w:r>
      <w:r w:rsidRPr="00C87ED4">
        <w:rPr>
          <w:rFonts w:ascii="Times New Roman" w:eastAsia="SimSun" w:hAnsi="Times New Roman"/>
          <w:lang w:eastAsia="zh-CN"/>
        </w:rPr>
        <w:t>Imatinubu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bCs/>
          <w:lang w:eastAsia="zh-CN"/>
        </w:rPr>
        <w:t xml:space="preserve">Šis pakuotės </w:t>
      </w:r>
      <w:r w:rsidRPr="00340F0C">
        <w:rPr>
          <w:rFonts w:ascii="Times New Roman" w:eastAsia="SimSun" w:hAnsi="Times New Roman"/>
          <w:b/>
          <w:lang w:eastAsia="zh-CN"/>
        </w:rPr>
        <w:t xml:space="preserve">lapelis paskutinį kartą peržiūrėtas </w:t>
      </w:r>
      <w:r w:rsidR="00F50A5F">
        <w:rPr>
          <w:rFonts w:ascii="Times New Roman" w:eastAsia="SimSun" w:hAnsi="Times New Roman"/>
          <w:b/>
          <w:lang w:eastAsia="zh-CN"/>
        </w:rPr>
        <w:t>2016 01 19</w:t>
      </w:r>
    </w:p>
    <w:p w:rsidR="0031490F" w:rsidRPr="00810C90" w:rsidRDefault="0031490F" w:rsidP="0031490F">
      <w:pPr>
        <w:numPr>
          <w:ilvl w:val="12"/>
          <w:numId w:val="0"/>
        </w:numPr>
        <w:tabs>
          <w:tab w:val="left" w:pos="567"/>
        </w:tabs>
        <w:spacing w:after="0" w:line="240" w:lineRule="auto"/>
        <w:rPr>
          <w:rFonts w:ascii="Times New Roman" w:hAnsi="Times New Roman"/>
          <w:highlight w:val="yellow"/>
        </w:rPr>
      </w:pPr>
    </w:p>
    <w:p w:rsidR="0031490F" w:rsidRPr="00340F0C" w:rsidRDefault="0031490F" w:rsidP="0031490F">
      <w:pPr>
        <w:numPr>
          <w:ilvl w:val="12"/>
          <w:numId w:val="0"/>
        </w:numPr>
        <w:tabs>
          <w:tab w:val="left" w:pos="567"/>
        </w:tabs>
        <w:spacing w:after="0" w:line="240" w:lineRule="auto"/>
        <w:rPr>
          <w:rFonts w:ascii="Times New Roman" w:eastAsia="SimSun" w:hAnsi="Times New Roman"/>
          <w:iCs/>
          <w:highlight w:val="yellow"/>
          <w:lang w:eastAsia="zh-CN"/>
        </w:rPr>
      </w:pPr>
    </w:p>
    <w:p w:rsidR="0031490F" w:rsidRPr="00307C04" w:rsidRDefault="0031490F" w:rsidP="0031490F">
      <w:pPr>
        <w:numPr>
          <w:ilvl w:val="12"/>
          <w:numId w:val="0"/>
        </w:numPr>
        <w:tabs>
          <w:tab w:val="left" w:pos="567"/>
        </w:tabs>
        <w:spacing w:after="0" w:line="240" w:lineRule="auto"/>
        <w:ind w:right="-2"/>
        <w:rPr>
          <w:rFonts w:ascii="Times New Roman" w:eastAsia="Times New Roman" w:hAnsi="Times New Roman"/>
          <w:snapToGrid w:val="0"/>
          <w:szCs w:val="24"/>
        </w:rPr>
      </w:pPr>
      <w:r w:rsidRPr="00307C04">
        <w:rPr>
          <w:rFonts w:ascii="Times New Roman" w:eastAsia="Times New Roman" w:hAnsi="Times New Roman"/>
          <w:snapToGrid w:val="0"/>
          <w:szCs w:val="20"/>
        </w:rPr>
        <w:lastRenderedPageBreak/>
        <w:t xml:space="preserve">Išsami informacija apie šį </w:t>
      </w:r>
      <w:r w:rsidRPr="00307C04">
        <w:rPr>
          <w:rFonts w:ascii="Times New Roman" w:eastAsia="Times New Roman" w:hAnsi="Times New Roman"/>
          <w:snapToGrid w:val="0"/>
          <w:szCs w:val="24"/>
        </w:rPr>
        <w:t>vaistą</w:t>
      </w:r>
      <w:r w:rsidRPr="00307C04">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07C04">
        <w:rPr>
          <w:rFonts w:ascii="Times New Roman" w:eastAsia="Times New Roman" w:hAnsi="Times New Roman"/>
          <w:i/>
          <w:snapToGrid w:val="0"/>
          <w:szCs w:val="24"/>
        </w:rPr>
        <w:t xml:space="preserve"> </w:t>
      </w:r>
      <w:hyperlink r:id="rId16" w:history="1">
        <w:r w:rsidRPr="00340F0C">
          <w:rPr>
            <w:rFonts w:ascii="Times New Roman" w:eastAsia="SimSun" w:hAnsi="Times New Roman"/>
            <w:snapToGrid w:val="0"/>
            <w:szCs w:val="20"/>
            <w:u w:val="single"/>
          </w:rPr>
          <w:t>http://www.vvkt.lt/</w:t>
        </w:r>
      </w:hyperlink>
      <w:r w:rsidRPr="00307C04">
        <w:rPr>
          <w:rFonts w:ascii="Times New Roman" w:eastAsia="Times New Roman" w:hAnsi="Times New Roman"/>
          <w:snapToGrid w:val="0"/>
          <w:szCs w:val="20"/>
        </w:rPr>
        <w:t>.</w:t>
      </w:r>
    </w:p>
    <w:p w:rsidR="0031490F" w:rsidRPr="00340F0C" w:rsidRDefault="0031490F" w:rsidP="0031490F">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31490F" w:rsidRPr="00340F0C" w:rsidRDefault="0031490F" w:rsidP="0031490F">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lastRenderedPageBreak/>
        <w:t>Pakuotės lapelis: informacija vartotojui</w:t>
      </w:r>
    </w:p>
    <w:p w:rsidR="0031490F" w:rsidRPr="00340F0C" w:rsidRDefault="0031490F" w:rsidP="0031490F">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rsidR="0031490F" w:rsidRPr="00340F0C" w:rsidRDefault="0031490F" w:rsidP="0031490F">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Synthon</w:t>
      </w:r>
      <w:r w:rsidRPr="00340F0C">
        <w:rPr>
          <w:rFonts w:ascii="Times New Roman" w:eastAsia="SimSun" w:hAnsi="Times New Roman"/>
          <w:b/>
          <w:bCs/>
          <w:lang w:eastAsia="zh-CN"/>
        </w:rPr>
        <w:t xml:space="preserve"> 400 mg plėvele dengtos tabletės</w:t>
      </w:r>
    </w:p>
    <w:p w:rsidR="0031490F" w:rsidRPr="00340F0C" w:rsidRDefault="0031490F" w:rsidP="0031490F">
      <w:pPr>
        <w:numPr>
          <w:ilvl w:val="12"/>
          <w:numId w:val="0"/>
        </w:numPr>
        <w:tabs>
          <w:tab w:val="left" w:pos="567"/>
        </w:tabs>
        <w:spacing w:after="0" w:line="240" w:lineRule="auto"/>
        <w:jc w:val="center"/>
        <w:rPr>
          <w:rFonts w:ascii="Times New Roman" w:eastAsia="SimSun" w:hAnsi="Times New Roman"/>
          <w:lang w:eastAsia="zh-CN"/>
        </w:rPr>
      </w:pPr>
      <w:r w:rsidRPr="00340F0C">
        <w:rPr>
          <w:rFonts w:ascii="Times New Roman" w:eastAsia="SimSun" w:hAnsi="Times New Roman"/>
          <w:lang w:eastAsia="zh-CN"/>
        </w:rPr>
        <w:t>Imatinibas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uppressAutoHyphens/>
        <w:spacing w:after="0" w:line="240" w:lineRule="auto"/>
        <w:rPr>
          <w:rFonts w:ascii="Times New Roman" w:eastAsia="SimSun" w:hAnsi="Times New Roman"/>
          <w:lang w:eastAsia="zh-CN"/>
        </w:rPr>
      </w:pPr>
      <w:r w:rsidRPr="00340F0C">
        <w:rPr>
          <w:rFonts w:ascii="Times New Roman" w:eastAsia="SimSun" w:hAnsi="Times New Roman"/>
          <w:b/>
          <w:lang w:eastAsia="zh-CN"/>
        </w:rPr>
        <w:t>Atidžiai perskaitykite visą šį lapelį, prieš pradėdami vartoti vaistą, nes jame pateikiama Jums svarbi informacija.</w:t>
      </w:r>
    </w:p>
    <w:p w:rsidR="0031490F" w:rsidRPr="00340F0C" w:rsidRDefault="0031490F" w:rsidP="0031490F">
      <w:pPr>
        <w:numPr>
          <w:ilvl w:val="0"/>
          <w:numId w:val="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Neišmeskite šio lapelio, nes vėl gali prireikti jį perskaityti. </w:t>
      </w:r>
    </w:p>
    <w:p w:rsidR="0031490F" w:rsidRPr="00340F0C" w:rsidRDefault="0031490F" w:rsidP="0031490F">
      <w:pPr>
        <w:numPr>
          <w:ilvl w:val="0"/>
          <w:numId w:val="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kiltų daugiau klausimų, kreipkitės į gydytoją, vaistininką arba slaugytoją.</w:t>
      </w:r>
    </w:p>
    <w:p w:rsidR="0031490F" w:rsidRPr="00340F0C" w:rsidRDefault="0031490F" w:rsidP="0031490F">
      <w:pPr>
        <w:numPr>
          <w:ilvl w:val="1"/>
          <w:numId w:val="6"/>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9D1353">
        <w:rPr>
          <w:rFonts w:ascii="Times New Roman" w:hAnsi="Times New Roman"/>
        </w:rPr>
        <w:t xml:space="preserve"> </w:t>
      </w:r>
    </w:p>
    <w:p w:rsidR="0031490F" w:rsidRPr="00340F0C" w:rsidRDefault="0031490F" w:rsidP="0031490F">
      <w:pPr>
        <w:numPr>
          <w:ilvl w:val="1"/>
          <w:numId w:val="6"/>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pasireiškė šalutinis poveikis (net jeigu jis šiame lapelyje nenurodytas), kreipkitės į gydytoją, vaistininką arba slaugytoją. Žr. 4 skyrių.</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Apie ką rašoma šiame lapelyje?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 xml:space="preserve">Kas yra </w:t>
      </w:r>
      <w:r>
        <w:rPr>
          <w:rFonts w:ascii="Times New Roman" w:eastAsia="SimSun" w:hAnsi="Times New Roman"/>
          <w:lang w:eastAsia="zh-CN"/>
        </w:rPr>
        <w:t>Imatinib Synthon</w:t>
      </w:r>
      <w:r w:rsidRPr="00340F0C">
        <w:rPr>
          <w:rFonts w:ascii="Times New Roman" w:eastAsia="SimSun" w:hAnsi="Times New Roman"/>
          <w:lang w:eastAsia="zh-CN"/>
        </w:rPr>
        <w:t xml:space="preserve"> ir kam jis vartojamas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 xml:space="preserve">Kas žinotina prieš vartojant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w:t>
      </w:r>
      <w:r w:rsidRPr="00340F0C">
        <w:rPr>
          <w:rFonts w:ascii="Times New Roman" w:eastAsia="SimSun" w:hAnsi="Times New Roman"/>
          <w:lang w:eastAsia="zh-CN"/>
        </w:rPr>
        <w:tab/>
        <w:t xml:space="preserve">Kaip vartoti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4.</w:t>
      </w:r>
      <w:r w:rsidRPr="00340F0C">
        <w:rPr>
          <w:rFonts w:ascii="Times New Roman" w:eastAsia="SimSun" w:hAnsi="Times New Roman"/>
          <w:lang w:eastAsia="zh-CN"/>
        </w:rPr>
        <w:tab/>
        <w:t xml:space="preserve">Galimas šalutinis poveikis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5.</w:t>
      </w:r>
      <w:r w:rsidRPr="00340F0C">
        <w:rPr>
          <w:rFonts w:ascii="Times New Roman" w:eastAsia="SimSun" w:hAnsi="Times New Roman"/>
          <w:lang w:eastAsia="zh-CN"/>
        </w:rPr>
        <w:tab/>
        <w:t xml:space="preserve">Kaip laikyti </w:t>
      </w:r>
      <w:r>
        <w:rPr>
          <w:rFonts w:ascii="Times New Roman" w:eastAsia="SimSun" w:hAnsi="Times New Roman"/>
          <w:lang w:eastAsia="zh-CN"/>
        </w:rPr>
        <w:t>Imatinib Synthon</w:t>
      </w:r>
      <w:r w:rsidRPr="00340F0C">
        <w:rPr>
          <w:rFonts w:ascii="Times New Roman" w:eastAsia="SimSun" w:hAnsi="Times New Roman"/>
          <w:lang w:eastAsia="zh-CN"/>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6.</w:t>
      </w:r>
      <w:r w:rsidRPr="00340F0C">
        <w:rPr>
          <w:rFonts w:ascii="Times New Roman" w:eastAsia="SimSun" w:hAnsi="Times New Roman"/>
          <w:lang w:eastAsia="zh-CN"/>
        </w:rPr>
        <w:tab/>
        <w:t>Pakuotės turinys ir kita informacija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1.</w:t>
      </w:r>
      <w:r w:rsidRPr="00340F0C">
        <w:rPr>
          <w:rFonts w:ascii="Times New Roman" w:eastAsia="SimSun" w:hAnsi="Times New Roman"/>
          <w:b/>
        </w:rPr>
        <w:tab/>
        <w:t xml:space="preserve">Kas yra </w:t>
      </w:r>
      <w:r>
        <w:rPr>
          <w:rFonts w:ascii="Times New Roman" w:eastAsia="SimSun" w:hAnsi="Times New Roman"/>
          <w:b/>
        </w:rPr>
        <w:t>Imatinib Synthon</w:t>
      </w:r>
      <w:r w:rsidRPr="00340F0C">
        <w:rPr>
          <w:rFonts w:ascii="Times New Roman" w:eastAsia="SimSun" w:hAnsi="Times New Roman"/>
          <w:b/>
        </w:rPr>
        <w:t xml:space="preserve"> ir kam jis vartojamas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yra vaistas, kurio sudėtyje yra veikliosios medžiagos imatinibo. Šis vaistas veikia slopindamas nenormalių ląstelių augimą, sergant toliau išvardytomis ligomis. Jos apima ir kai kurių tipų vėžinius susirgimus.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Imatinibas vartojamas gydyti suaugusiuosius ir vaikus sergančius:</w:t>
      </w:r>
    </w:p>
    <w:p w:rsidR="0031490F" w:rsidRPr="00340F0C" w:rsidRDefault="0031490F" w:rsidP="0031490F">
      <w:pPr>
        <w:pStyle w:val="Sraopastraipa"/>
        <w:numPr>
          <w:ilvl w:val="0"/>
          <w:numId w:val="1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Lėtine mieloleukemija (LML).</w:t>
      </w:r>
      <w:r w:rsidRPr="00340F0C">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taip pat vartojama gydyti suaugusiųjų: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 sergant tam tikrais šių ligų potipiais. </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 sergant tam tikrais šių ligų potipiais. </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rsidR="0031490F"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Pr="00340F0C">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 tai po oda esančio audinio vėžys, kurio metu kai kurios ląstelės pradeda nekontroliuojamai augti. </w:t>
      </w:r>
      <w:r>
        <w:rPr>
          <w:rFonts w:ascii="Times New Roman" w:eastAsia="SimSun" w:hAnsi="Times New Roman"/>
          <w:lang w:eastAsia="zh-CN"/>
        </w:rPr>
        <w:t>Imatinib Synthon</w:t>
      </w:r>
      <w:r w:rsidRPr="00340F0C">
        <w:rPr>
          <w:rFonts w:ascii="Times New Roman" w:eastAsia="SimSun" w:hAnsi="Times New Roman"/>
          <w:lang w:eastAsia="zh-CN"/>
        </w:rPr>
        <w:t xml:space="preserve"> slopina šių ląstelių augimą.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Toliau pakuotės lapelyje, apibūdinant minėtas ligas bus naudojamos nurodytos santrumpos.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Jums kiltų kokių nors klausimų apie </w:t>
      </w:r>
      <w:r>
        <w:rPr>
          <w:rFonts w:ascii="Times New Roman" w:eastAsia="SimSun" w:hAnsi="Times New Roman"/>
          <w:lang w:eastAsia="zh-CN"/>
        </w:rPr>
        <w:t>Imatinib Synthon</w:t>
      </w:r>
      <w:r w:rsidRPr="00340F0C">
        <w:rPr>
          <w:rFonts w:ascii="Times New Roman" w:eastAsia="SimSun" w:hAnsi="Times New Roman"/>
          <w:lang w:eastAsia="zh-CN"/>
        </w:rPr>
        <w:t xml:space="preserve"> veikimą arba kodėl Jums jį paskyrė, klauskite gydytojo.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 xml:space="preserve">Kas žinotina prieš vartojant </w:t>
      </w:r>
      <w:r>
        <w:rPr>
          <w:rFonts w:ascii="Times New Roman" w:eastAsia="SimSun" w:hAnsi="Times New Roman"/>
          <w:b/>
        </w:rPr>
        <w:t>Imatinib Synthon</w:t>
      </w:r>
      <w:r w:rsidRPr="00340F0C">
        <w:rPr>
          <w:rFonts w:ascii="Times New Roman" w:eastAsia="SimSun" w:hAnsi="Times New Roman"/>
          <w:b/>
        </w:rPr>
        <w:t xml:space="preserve">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Jums paskirs tik gydytojas, turintis kraujo vėžio arba solidinių navikų gydymo vaistais patirties.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Tiksliai laikykitės visų gydytojo nurodymų, net jei jie skiriasi nuo bendrosios šiame lapelyje esančios informacijos.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w:t>
      </w:r>
      <w:r w:rsidRPr="00340F0C">
        <w:rPr>
          <w:rFonts w:ascii="Times New Roman" w:eastAsia="SimSun" w:hAnsi="Times New Roman"/>
          <w:b/>
        </w:rPr>
        <w:t xml:space="preserve"> vartoti negalima:</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yra alergija imatinibui arba bet kuriai pagalbinei šio vaisto medžiagai (jos išvardytos 6 skyriuje).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ši sąlyga Jums tinka,</w:t>
      </w:r>
      <w:r w:rsidRPr="00340F0C">
        <w:rPr>
          <w:rFonts w:ascii="Times New Roman" w:eastAsia="SimSun" w:hAnsi="Times New Roman"/>
          <w:b/>
          <w:lang w:eastAsia="zh-CN"/>
        </w:rPr>
        <w:t xml:space="preserve"> nevartokite </w:t>
      </w:r>
      <w:r>
        <w:rPr>
          <w:rFonts w:ascii="Times New Roman" w:eastAsia="SimSun" w:hAnsi="Times New Roman"/>
          <w:b/>
          <w:lang w:eastAsia="zh-CN"/>
        </w:rPr>
        <w:t>Imatinib Synthon</w:t>
      </w:r>
      <w:r w:rsidRPr="00340F0C">
        <w:rPr>
          <w:rFonts w:ascii="Times New Roman" w:eastAsia="SimSun" w:hAnsi="Times New Roman"/>
          <w:b/>
          <w:lang w:eastAsia="zh-CN"/>
        </w:rPr>
        <w:t xml:space="preserve"> ir apie tai pasakykite gydytojui</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manote, kad galite būti alergiškas, bet nesate tikras, kreipkitės patarimo į gydytoją.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Įspėjimai ir atsargumo priemonės </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Pasitarkite su gydytoju, prieš pradėdami vartoti </w:t>
      </w:r>
      <w:r>
        <w:rPr>
          <w:rFonts w:ascii="Times New Roman" w:eastAsia="SimSun" w:hAnsi="Times New Roman"/>
          <w:lang w:eastAsia="zh-CN"/>
        </w:rPr>
        <w:t>Imatinib Synthon</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Jums yra ar kada nors yra buvę</w:t>
      </w:r>
      <w:r w:rsidRPr="009D1353">
        <w:rPr>
          <w:rFonts w:ascii="Times New Roman" w:hAnsi="Times New Roman"/>
        </w:rPr>
        <w:t xml:space="preserve"> </w:t>
      </w:r>
      <w:r w:rsidRPr="00340F0C">
        <w:rPr>
          <w:rFonts w:ascii="Times New Roman" w:eastAsia="SimSun" w:hAnsi="Times New Roman"/>
          <w:b/>
          <w:lang w:eastAsia="zh-CN"/>
        </w:rPr>
        <w:t>kepenų, inkstų ar širdies sutrikimų</w:t>
      </w:r>
      <w:r w:rsidRPr="009D1353">
        <w:rPr>
          <w:rFonts w:ascii="Times New Roman" w:hAnsi="Times New Roman"/>
          <w:b/>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 xml:space="preserve">jeigu dėl pašalintos skydliaukės vartojate vaisto </w:t>
      </w:r>
      <w:r w:rsidRPr="00340F0C">
        <w:rPr>
          <w:rFonts w:ascii="Times New Roman" w:eastAsia="SimSun" w:hAnsi="Times New Roman"/>
          <w:b/>
          <w:lang w:eastAsia="zh-CN"/>
        </w:rPr>
        <w:t>levotiroksino</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t xml:space="preserve">Jei bet kuri šių sąlygų Jums tinka, </w:t>
      </w:r>
      <w:r w:rsidRPr="00340F0C">
        <w:rPr>
          <w:rFonts w:ascii="Times New Roman" w:eastAsia="SimSun" w:hAnsi="Times New Roman"/>
          <w:b/>
          <w:lang w:eastAsia="zh-CN"/>
        </w:rPr>
        <w:t xml:space="preserve">prieš pradėdami vartoti </w:t>
      </w:r>
      <w:r>
        <w:rPr>
          <w:rFonts w:ascii="Times New Roman" w:eastAsia="SimSun" w:hAnsi="Times New Roman"/>
          <w:b/>
          <w:lang w:eastAsia="zh-CN"/>
        </w:rPr>
        <w:t>Imatinib Synthon</w:t>
      </w:r>
      <w:r w:rsidRPr="00340F0C">
        <w:rPr>
          <w:rFonts w:ascii="Times New Roman" w:eastAsia="SimSun" w:hAnsi="Times New Roman"/>
          <w:b/>
          <w:lang w:eastAsia="zh-CN"/>
        </w:rPr>
        <w:t>, 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Synthon</w:t>
      </w:r>
      <w:r w:rsidRPr="00340F0C">
        <w:rPr>
          <w:rFonts w:ascii="Times New Roman" w:eastAsia="SimSun" w:hAnsi="Times New Roman"/>
          <w:b/>
          <w:lang w:eastAsia="zh-CN"/>
        </w:rPr>
        <w:t xml:space="preserve"> vartojimo metu nedelsdami kreipkitės į gydytoją</w:t>
      </w:r>
      <w:r w:rsidRPr="00340F0C">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Imatinib Synthon</w:t>
      </w:r>
      <w:r w:rsidRPr="00340F0C">
        <w:rPr>
          <w:rFonts w:ascii="Times New Roman" w:eastAsia="SimSun" w:hAnsi="Times New Roman"/>
          <w:lang w:eastAsia="zh-CN"/>
        </w:rPr>
        <w:t xml:space="preserve"> poveikio Jūsų kūne gali kauptis skysčių (pasireikšti sunkus skysčių susilaikymas).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Jums vartojant </w:t>
      </w:r>
      <w:r>
        <w:rPr>
          <w:rFonts w:ascii="Times New Roman" w:eastAsia="SimSun" w:hAnsi="Times New Roman"/>
          <w:lang w:eastAsia="zh-CN"/>
        </w:rPr>
        <w:t>Imatinib Synthon</w:t>
      </w:r>
      <w:r w:rsidRPr="00340F0C">
        <w:rPr>
          <w:rFonts w:ascii="Times New Roman" w:eastAsia="SimSun" w:hAnsi="Times New Roman"/>
          <w:lang w:eastAsia="zh-CN"/>
        </w:rPr>
        <w:t>, gydytojas reguliariai tikrins, ar vaistas veikia. Jums taip pat reguliariai tirs kraują ir kūno svorį.</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Vaikams ir paaugliams</w:t>
      </w:r>
    </w:p>
    <w:p w:rsidR="0031490F" w:rsidRPr="00340F0C" w:rsidRDefault="0031490F" w:rsidP="0031490F">
      <w:pPr>
        <w:tabs>
          <w:tab w:val="left" w:pos="567"/>
        </w:tabs>
        <w:spacing w:after="0" w:line="240" w:lineRule="auto"/>
        <w:rPr>
          <w:rFonts w:ascii="Times New Roman" w:eastAsia="SimSun" w:hAnsi="Times New Roman"/>
        </w:rPr>
      </w:pPr>
      <w:r>
        <w:rPr>
          <w:rFonts w:ascii="Times New Roman" w:eastAsia="SimSun" w:hAnsi="Times New Roman"/>
        </w:rPr>
        <w:t>Imatinib Synthon</w:t>
      </w:r>
      <w:r w:rsidRPr="00340F0C">
        <w:rPr>
          <w:rFonts w:ascii="Times New Roman" w:eastAsia="SimSun" w:hAnsi="Times New Roman"/>
        </w:rPr>
        <w:t xml:space="preserve">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rsidR="0031490F" w:rsidRPr="00340F0C" w:rsidRDefault="0031490F" w:rsidP="0031490F">
      <w:p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kurių vaikų ir paauglių, vartojančių </w:t>
      </w:r>
      <w:r>
        <w:rPr>
          <w:rFonts w:ascii="Times New Roman" w:eastAsia="SimSun" w:hAnsi="Times New Roman"/>
          <w:lang w:eastAsia="zh-CN"/>
        </w:rPr>
        <w:t>Imatinib Synthon</w:t>
      </w:r>
      <w:r w:rsidRPr="00340F0C">
        <w:rPr>
          <w:rFonts w:ascii="Times New Roman" w:eastAsia="SimSun" w:hAnsi="Times New Roman"/>
          <w:lang w:eastAsia="zh-CN"/>
        </w:rPr>
        <w:t>, augimas gali būti lėtesnis nei įprasta. Todėl gydytojas tikrins augimą įprastų vizitų metu.</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Kiti vaistai ir </w:t>
      </w:r>
      <w:r>
        <w:rPr>
          <w:rFonts w:ascii="Times New Roman" w:eastAsia="SimSun" w:hAnsi="Times New Roman"/>
          <w:b/>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Jeigu vartojate ar </w:t>
      </w:r>
      <w:r w:rsidRPr="00340F0C">
        <w:rPr>
          <w:rFonts w:ascii="Times New Roman" w:eastAsia="SimSun" w:hAnsi="Times New Roman"/>
          <w:b/>
          <w:lang w:eastAsia="zh-CN"/>
        </w:rPr>
        <w:t>neseniai vartojote kitų vaistų</w:t>
      </w:r>
      <w:r w:rsidRPr="00340F0C">
        <w:rPr>
          <w:rFonts w:ascii="Times New Roman" w:eastAsia="SimSun" w:hAnsi="Times New Roman"/>
          <w:lang w:eastAsia="zh-CN"/>
        </w:rPr>
        <w:t xml:space="preserve">, įskaitant įsigytus be recepto (tokių kaip </w:t>
      </w:r>
      <w:r w:rsidRPr="00340F0C">
        <w:rPr>
          <w:rFonts w:ascii="Times New Roman" w:eastAsia="SimSun" w:hAnsi="Times New Roman"/>
          <w:b/>
          <w:lang w:eastAsia="zh-CN"/>
        </w:rPr>
        <w:t>paracetamolio</w:t>
      </w:r>
      <w:r w:rsidRPr="00340F0C">
        <w:rPr>
          <w:rFonts w:ascii="Times New Roman" w:eastAsia="SimSun" w:hAnsi="Times New Roman"/>
          <w:lang w:eastAsia="zh-CN"/>
        </w:rPr>
        <w:t xml:space="preserve">) ir taip pat augalinių (tokių kaip </w:t>
      </w:r>
      <w:r w:rsidRPr="00340F0C">
        <w:rPr>
          <w:rFonts w:ascii="Times New Roman" w:eastAsia="SimSun" w:hAnsi="Times New Roman"/>
          <w:b/>
          <w:lang w:eastAsia="zh-CN"/>
        </w:rPr>
        <w:t>jonažolės preparatų</w:t>
      </w:r>
      <w:r w:rsidRPr="00340F0C">
        <w:rPr>
          <w:rFonts w:ascii="Times New Roman" w:eastAsia="SimSun" w:hAnsi="Times New Roman"/>
          <w:lang w:eastAsia="zh-CN"/>
        </w:rPr>
        <w:t xml:space="preserve">), arba dėl to nesate tikri, apie tai pasakykite gydytojui arba vaistininkui. Kai kurie vaistai vartojami kartu gali sąveikauti su </w:t>
      </w:r>
      <w:r>
        <w:rPr>
          <w:rFonts w:ascii="Times New Roman" w:eastAsia="SimSun" w:hAnsi="Times New Roman"/>
          <w:lang w:eastAsia="zh-CN"/>
        </w:rPr>
        <w:t>Imatinib Synthon</w:t>
      </w:r>
      <w:r w:rsidRPr="00340F0C">
        <w:rPr>
          <w:rFonts w:ascii="Times New Roman" w:eastAsia="SimSun" w:hAnsi="Times New Roman"/>
          <w:lang w:eastAsia="zh-CN"/>
        </w:rPr>
        <w:t xml:space="preserve">. Jie gali padidinti arba sumažinti </w:t>
      </w:r>
      <w:r>
        <w:rPr>
          <w:rFonts w:ascii="Times New Roman" w:eastAsia="SimSun" w:hAnsi="Times New Roman"/>
          <w:lang w:eastAsia="zh-CN"/>
        </w:rPr>
        <w:t>Imatinib Synthon</w:t>
      </w:r>
      <w:r w:rsidRPr="00340F0C">
        <w:rPr>
          <w:rFonts w:ascii="Times New Roman" w:eastAsia="SimSun" w:hAnsi="Times New Roman"/>
          <w:lang w:eastAsia="zh-CN"/>
        </w:rPr>
        <w:t xml:space="preserve"> poveikį, arba padidindami nepageidaujamų poveikių pasireiškimo dažnį, arba mažindami </w:t>
      </w:r>
      <w:r>
        <w:rPr>
          <w:rFonts w:ascii="Times New Roman" w:eastAsia="SimSun" w:hAnsi="Times New Roman"/>
          <w:lang w:eastAsia="zh-CN"/>
        </w:rPr>
        <w:t>Imatinib Synthon</w:t>
      </w:r>
      <w:r w:rsidRPr="00340F0C">
        <w:rPr>
          <w:rFonts w:ascii="Times New Roman" w:eastAsia="SimSun" w:hAnsi="Times New Roman"/>
          <w:lang w:eastAsia="zh-CN"/>
        </w:rPr>
        <w:t xml:space="preserve"> veiksmingumą. </w:t>
      </w:r>
      <w:r>
        <w:rPr>
          <w:rFonts w:ascii="Times New Roman" w:eastAsia="SimSun" w:hAnsi="Times New Roman"/>
          <w:lang w:eastAsia="zh-CN"/>
        </w:rPr>
        <w:t>Imatinib Synthon</w:t>
      </w:r>
      <w:r w:rsidRPr="00340F0C">
        <w:rPr>
          <w:rFonts w:ascii="Times New Roman" w:eastAsia="SimSun" w:hAnsi="Times New Roman"/>
          <w:lang w:eastAsia="zh-CN"/>
        </w:rPr>
        <w:t xml:space="preserve"> gali panašiai veikti kai kuriuos kitus vaistus.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Pasakykite gydytojui, jei vartojate vaistų, kurie apsaugo nuo kraujo krešulių susidarymo.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Nėštumas, žindymo laikotarpis ir vaisingumas</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esate nėščia, žindote kūdikį, manote, kad galbūt esate nėščia arba planuojate pastoti, tai prieš vartodama šį vaistą pasitarkite su gydytoju.</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40F0C">
        <w:rPr>
          <w:rFonts w:ascii="Times New Roman" w:eastAsia="SimSun" w:hAnsi="Times New Roman"/>
          <w:b/>
          <w:lang w:eastAsia="zh-CN"/>
        </w:rPr>
        <w:t>nerekomenduojama vartoti nėščiosioms,</w:t>
      </w:r>
      <w:r w:rsidRPr="00340F0C">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Imatinib Synthon</w:t>
      </w:r>
      <w:r w:rsidRPr="00340F0C">
        <w:rPr>
          <w:rFonts w:ascii="Times New Roman" w:eastAsia="SimSun" w:hAnsi="Times New Roman"/>
          <w:lang w:eastAsia="zh-CN"/>
        </w:rPr>
        <w:t xml:space="preserve"> vartojimo nėštumo laikotarpiu rizika.</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Moterims, galinčioms pastoti, gydantis šiuo vaistu rekomenduojama taikyti efektyvias kontracepcijos priemones.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Vartodama </w:t>
      </w:r>
      <w:r>
        <w:rPr>
          <w:rFonts w:ascii="Times New Roman" w:eastAsia="SimSun" w:hAnsi="Times New Roman"/>
          <w:lang w:eastAsia="zh-CN"/>
        </w:rPr>
        <w:t>Imatinib Synthon</w:t>
      </w:r>
      <w:r w:rsidRPr="00340F0C">
        <w:rPr>
          <w:rFonts w:ascii="Times New Roman" w:eastAsia="SimSun" w:hAnsi="Times New Roman"/>
          <w:lang w:eastAsia="zh-CN"/>
        </w:rPr>
        <w:t xml:space="preserve">, </w:t>
      </w:r>
      <w:r w:rsidRPr="00340F0C">
        <w:rPr>
          <w:rFonts w:ascii="Times New Roman" w:eastAsia="SimSun" w:hAnsi="Times New Roman"/>
          <w:b/>
          <w:lang w:eastAsia="zh-CN"/>
        </w:rPr>
        <w:t>kūdikio nežindykite.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Pacientai </w:t>
      </w:r>
      <w:r>
        <w:rPr>
          <w:rFonts w:ascii="Times New Roman" w:eastAsia="SimSun" w:hAnsi="Times New Roman"/>
          <w:lang w:eastAsia="zh-CN"/>
        </w:rPr>
        <w:t>Imatinib Synthon</w:t>
      </w:r>
      <w:r w:rsidRPr="00340F0C">
        <w:rPr>
          <w:rFonts w:ascii="Times New Roman" w:eastAsia="SimSun" w:hAnsi="Times New Roman"/>
          <w:lang w:eastAsia="zh-CN"/>
        </w:rPr>
        <w:t xml:space="preserve"> vartojimo laikotarpiu dėl savo vaisingumo turi konsultuotis su gydytoju.</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Vairavimas ir mechanizmų valdymas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 xml:space="preserve">Kaip vartoti </w:t>
      </w:r>
      <w:r>
        <w:rPr>
          <w:rFonts w:ascii="Times New Roman" w:eastAsia="SimSun" w:hAnsi="Times New Roman"/>
          <w:b/>
          <w:bCs/>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Jūsų gydytojas Jums paskyrė </w:t>
      </w:r>
      <w:r>
        <w:rPr>
          <w:rFonts w:ascii="Times New Roman" w:eastAsia="SimSun" w:hAnsi="Times New Roman"/>
          <w:lang w:eastAsia="zh-CN"/>
        </w:rPr>
        <w:t>Imatinib Synthon</w:t>
      </w:r>
      <w:r w:rsidRPr="00340F0C">
        <w:rPr>
          <w:rFonts w:ascii="Times New Roman" w:eastAsia="SimSun" w:hAnsi="Times New Roman"/>
          <w:lang w:eastAsia="zh-CN"/>
        </w:rPr>
        <w:t xml:space="preserve">, kadangi sergate sunkia liga. </w:t>
      </w:r>
      <w:r>
        <w:rPr>
          <w:rFonts w:ascii="Times New Roman" w:eastAsia="SimSun" w:hAnsi="Times New Roman"/>
          <w:lang w:eastAsia="zh-CN"/>
        </w:rPr>
        <w:t>Imatinib Synthon</w:t>
      </w:r>
      <w:r w:rsidRPr="00340F0C">
        <w:rPr>
          <w:rFonts w:ascii="Times New Roman" w:eastAsia="SimSun" w:hAnsi="Times New Roman"/>
          <w:lang w:eastAsia="zh-CN"/>
        </w:rPr>
        <w:t xml:space="preserve"> gali Jums padėti kovojant su šia būkle.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Pr="009D1353">
        <w:rPr>
          <w:rFonts w:ascii="Times New Roman" w:hAnsi="Times New Roman"/>
        </w:rPr>
        <w:t>Imatinib Synthon</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Kiek vartoti </w:t>
      </w:r>
      <w:r>
        <w:rPr>
          <w:rFonts w:ascii="Times New Roman" w:eastAsia="SimSun" w:hAnsi="Times New Roman"/>
          <w:b/>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Vartojimas suaugusiesiems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Jums tiksliai nurodys, kiek </w:t>
      </w:r>
      <w:r>
        <w:rPr>
          <w:rFonts w:ascii="Times New Roman" w:eastAsia="SimSun" w:hAnsi="Times New Roman"/>
          <w:lang w:eastAsia="zh-CN"/>
        </w:rPr>
        <w:t>Imatinib Synthon</w:t>
      </w:r>
      <w:r w:rsidRPr="00340F0C">
        <w:rPr>
          <w:rFonts w:ascii="Times New Roman" w:eastAsia="SimSun" w:hAnsi="Times New Roman"/>
          <w:lang w:eastAsia="zh-CN"/>
        </w:rPr>
        <w:t xml:space="preserve"> tablečių gerti.</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7D272B" w:rsidRDefault="0031490F" w:rsidP="0031490F">
      <w:pPr>
        <w:pStyle w:val="Sraopastraipa"/>
        <w:numPr>
          <w:ilvl w:val="0"/>
          <w:numId w:val="16"/>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Jei gydoma LML</w:t>
      </w:r>
      <w:r w:rsidRPr="007D272B">
        <w:rPr>
          <w:rFonts w:ascii="Times New Roman" w:eastAsia="SimSun" w:hAnsi="Times New Roman"/>
          <w:b/>
          <w:lang w:eastAsia="zh-CN"/>
        </w:rPr>
        <w:t xml:space="preserve"> </w:t>
      </w:r>
      <w:r w:rsidRPr="003E3484">
        <w:rPr>
          <w:rFonts w:ascii="Times New Roman" w:eastAsia="SimSun" w:hAnsi="Times New Roman"/>
          <w:b/>
          <w:lang w:eastAsia="zh-CN"/>
        </w:rPr>
        <w:t>blastinė krizė buvo gydyta</w:t>
      </w:r>
      <w:r w:rsidRPr="00340F0C">
        <w:rPr>
          <w:rFonts w:ascii="Times New Roman" w:eastAsia="SimSun" w:hAnsi="Times New Roman"/>
          <w:b/>
          <w:lang w:eastAsia="zh-CN"/>
        </w:rPr>
        <w:t xml:space="preserve">: </w:t>
      </w:r>
      <w:r w:rsidRPr="007D272B">
        <w:rPr>
          <w:rFonts w:ascii="Times New Roman" w:eastAsia="SimSun" w:hAnsi="Times New Roman"/>
          <w:lang w:eastAsia="zh-CN"/>
        </w:rPr>
        <w:t xml:space="preserve">Įprasta pradinė dozė yra 600 mg: </w:t>
      </w:r>
    </w:p>
    <w:p w:rsidR="0031490F" w:rsidRPr="00340F0C" w:rsidRDefault="0031490F" w:rsidP="0031490F">
      <w:pPr>
        <w:pStyle w:val="Sraopastraipa"/>
        <w:numPr>
          <w:ilvl w:val="0"/>
          <w:numId w:val="16"/>
        </w:numPr>
        <w:tabs>
          <w:tab w:val="left" w:pos="567"/>
        </w:tabs>
        <w:spacing w:after="0" w:line="240" w:lineRule="auto"/>
        <w:ind w:left="1134" w:hanging="567"/>
        <w:rPr>
          <w:rFonts w:ascii="Times New Roman" w:eastAsia="SimSun" w:hAnsi="Times New Roman"/>
          <w:lang w:eastAsia="zh-CN"/>
        </w:rPr>
      </w:pPr>
      <w:r w:rsidRPr="009675D8">
        <w:rPr>
          <w:rFonts w:ascii="Times New Roman" w:eastAsia="SimSun" w:hAnsi="Times New Roman"/>
          <w:b/>
          <w:lang w:eastAsia="zh-CN"/>
        </w:rPr>
        <w:t>600 mg</w:t>
      </w:r>
      <w:r w:rsidRPr="009675D8">
        <w:rPr>
          <w:rFonts w:ascii="Times New Roman" w:eastAsia="SimSun" w:hAnsi="Times New Roman"/>
          <w:lang w:eastAsia="zh-CN"/>
        </w:rPr>
        <w:t xml:space="preserve">, vartojant vieną 400 mg </w:t>
      </w:r>
      <w:r w:rsidRPr="00340F0C">
        <w:rPr>
          <w:rFonts w:ascii="Times New Roman" w:eastAsia="SimSun" w:hAnsi="Times New Roman"/>
          <w:lang w:eastAsia="zh-CN"/>
        </w:rPr>
        <w:t>tabletę</w:t>
      </w:r>
      <w:r w:rsidRPr="009675D8">
        <w:rPr>
          <w:rFonts w:ascii="Times New Roman" w:eastAsia="SimSun" w:hAnsi="Times New Roman"/>
          <w:lang w:eastAsia="zh-CN"/>
        </w:rPr>
        <w:t xml:space="preserve"> per parą ir dvi 100 mg </w:t>
      </w:r>
      <w:r w:rsidRPr="00340F0C">
        <w:rPr>
          <w:rFonts w:ascii="Times New Roman" w:eastAsia="SimSun" w:hAnsi="Times New Roman"/>
          <w:lang w:eastAsia="zh-CN"/>
        </w:rPr>
        <w:t>tabletes</w:t>
      </w:r>
      <w:r w:rsidRPr="009675D8">
        <w:rPr>
          <w:rFonts w:ascii="Times New Roman" w:eastAsia="SimSun" w:hAnsi="Times New Roman"/>
          <w:lang w:eastAsia="zh-CN"/>
        </w:rPr>
        <w:t xml:space="preserve"> </w:t>
      </w:r>
      <w:r w:rsidRPr="009D1353">
        <w:rPr>
          <w:rFonts w:ascii="Times New Roman" w:hAnsi="Times New Roman"/>
          <w:b/>
        </w:rPr>
        <w:t>kartą</w:t>
      </w:r>
      <w:r w:rsidRPr="009675D8">
        <w:rPr>
          <w:rFonts w:ascii="Times New Roman" w:eastAsia="SimSun" w:hAnsi="Times New Roman"/>
          <w:lang w:eastAsia="zh-CN"/>
        </w:rPr>
        <w:t xml:space="preserve"> per parą.</w:t>
      </w:r>
    </w:p>
    <w:p w:rsidR="0031490F" w:rsidRPr="009D1353" w:rsidRDefault="0031490F" w:rsidP="0031490F">
      <w:pPr>
        <w:tabs>
          <w:tab w:val="left" w:pos="567"/>
        </w:tabs>
        <w:spacing w:after="0" w:line="240" w:lineRule="auto"/>
        <w:rPr>
          <w:rFonts w:ascii="Times New Roman" w:hAnsi="Times New Roman"/>
          <w:b/>
        </w:rPr>
      </w:pPr>
    </w:p>
    <w:p w:rsidR="0031490F" w:rsidRPr="00340F0C"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 xml:space="preserve">Jei gydoma VTSN: </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66C6D">
        <w:rPr>
          <w:rFonts w:ascii="Times New Roman" w:eastAsia="SimSun" w:hAnsi="Times New Roman"/>
          <w:lang w:eastAsia="zh-CN"/>
        </w:rPr>
        <w:t xml:space="preserve">Pradinė dozė yra 400 mg, vartojant po 4 </w:t>
      </w:r>
      <w:r w:rsidRPr="00340F0C">
        <w:rPr>
          <w:rFonts w:ascii="Times New Roman" w:eastAsia="SimSun" w:hAnsi="Times New Roman"/>
          <w:lang w:eastAsia="zh-CN"/>
        </w:rPr>
        <w:t>tabletes</w:t>
      </w:r>
      <w:r w:rsidRPr="00366C6D">
        <w:rPr>
          <w:rFonts w:ascii="Times New Roman" w:eastAsia="SimSun" w:hAnsi="Times New Roman"/>
          <w:lang w:eastAsia="zh-CN"/>
        </w:rPr>
        <w:t xml:space="preserve"> </w:t>
      </w:r>
      <w:r w:rsidRPr="00366C6D">
        <w:rPr>
          <w:rFonts w:ascii="Times New Roman" w:eastAsia="SimSun" w:hAnsi="Times New Roman"/>
          <w:b/>
          <w:lang w:eastAsia="zh-CN"/>
        </w:rPr>
        <w:t>kartą</w:t>
      </w:r>
      <w:r w:rsidRPr="00366C6D">
        <w:rPr>
          <w:rFonts w:ascii="Times New Roman" w:eastAsia="SimSun" w:hAnsi="Times New Roman"/>
          <w:lang w:eastAsia="zh-CN"/>
        </w:rPr>
        <w:t xml:space="preserve"> per parą.</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pStyle w:val="Sraopastraipa"/>
        <w:numPr>
          <w:ilvl w:val="0"/>
          <w:numId w:val="16"/>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sergate LML ar VTSN,</w:t>
      </w:r>
      <w:r w:rsidRPr="009D1353">
        <w:rPr>
          <w:rFonts w:ascii="Times New Roman" w:hAnsi="Times New Roman"/>
          <w:b/>
        </w:rPr>
        <w:t xml:space="preserve"> gydytojas gali paskirti vartoti didesnę arba mažesnę dozę, atsižvelgdamas į Jūsų atsaką į gydymą. </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66C6D">
        <w:rPr>
          <w:rFonts w:ascii="Times New Roman" w:eastAsia="SimSun" w:hAnsi="Times New Roman"/>
          <w:lang w:eastAsia="zh-CN"/>
        </w:rPr>
        <w:t xml:space="preserve">Jeigu vartojate 800 mg paros dozę (2 </w:t>
      </w:r>
      <w:r w:rsidRPr="00340F0C">
        <w:rPr>
          <w:rFonts w:ascii="Times New Roman" w:eastAsia="SimSun" w:hAnsi="Times New Roman"/>
          <w:lang w:eastAsia="zh-CN"/>
        </w:rPr>
        <w:t>tabletes</w:t>
      </w:r>
      <w:r w:rsidRPr="00366C6D">
        <w:rPr>
          <w:rFonts w:ascii="Times New Roman" w:eastAsia="SimSun" w:hAnsi="Times New Roman"/>
          <w:lang w:eastAsia="zh-CN"/>
        </w:rPr>
        <w:t xml:space="preserve">), reikia gerti 1 </w:t>
      </w:r>
      <w:r w:rsidRPr="00340F0C">
        <w:rPr>
          <w:rFonts w:ascii="Times New Roman" w:eastAsia="SimSun" w:hAnsi="Times New Roman"/>
          <w:lang w:eastAsia="zh-CN"/>
        </w:rPr>
        <w:t>tabletę</w:t>
      </w:r>
      <w:r w:rsidRPr="00366C6D">
        <w:rPr>
          <w:rFonts w:ascii="Times New Roman" w:eastAsia="SimSun" w:hAnsi="Times New Roman"/>
          <w:lang w:eastAsia="zh-CN"/>
        </w:rPr>
        <w:t xml:space="preserve"> ryte ir 1 </w:t>
      </w:r>
      <w:r w:rsidRPr="00340F0C">
        <w:rPr>
          <w:rFonts w:ascii="Times New Roman" w:eastAsia="SimSun" w:hAnsi="Times New Roman"/>
          <w:lang w:eastAsia="zh-CN"/>
        </w:rPr>
        <w:t>tabletę</w:t>
      </w:r>
      <w:r w:rsidRPr="00366C6D">
        <w:rPr>
          <w:rFonts w:ascii="Times New Roman" w:eastAsia="SimSun" w:hAnsi="Times New Roman"/>
          <w:lang w:eastAsia="zh-CN"/>
        </w:rPr>
        <w:t xml:space="preserve">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66C6D">
        <w:rPr>
          <w:rFonts w:ascii="Times New Roman" w:eastAsia="SimSun" w:hAnsi="Times New Roman"/>
          <w:lang w:eastAsia="zh-CN"/>
        </w:rPr>
        <w:t xml:space="preserve">Pradinė dozė yra 600 mg, vartojant vieną </w:t>
      </w:r>
      <w:r w:rsidRPr="00340F0C">
        <w:rPr>
          <w:rFonts w:ascii="Times New Roman" w:eastAsia="SimSun" w:hAnsi="Times New Roman"/>
          <w:lang w:eastAsia="zh-CN"/>
        </w:rPr>
        <w:t>tabletę</w:t>
      </w:r>
      <w:r w:rsidRPr="00366C6D">
        <w:rPr>
          <w:rFonts w:ascii="Times New Roman" w:eastAsia="SimSun" w:hAnsi="Times New Roman"/>
          <w:lang w:eastAsia="zh-CN"/>
        </w:rPr>
        <w:t xml:space="preserve"> po 400 mg ir dvi </w:t>
      </w:r>
      <w:r w:rsidRPr="00340F0C">
        <w:rPr>
          <w:rFonts w:ascii="Times New Roman" w:eastAsia="SimSun" w:hAnsi="Times New Roman"/>
          <w:lang w:eastAsia="zh-CN"/>
        </w:rPr>
        <w:t>tabletes</w:t>
      </w:r>
      <w:r w:rsidRPr="00366C6D">
        <w:rPr>
          <w:rFonts w:ascii="Times New Roman" w:eastAsia="SimSun" w:hAnsi="Times New Roman"/>
          <w:lang w:eastAsia="zh-CN"/>
        </w:rPr>
        <w:t xml:space="preserve"> po 100 mg </w:t>
      </w:r>
      <w:r w:rsidRPr="00366C6D">
        <w:rPr>
          <w:rFonts w:ascii="Times New Roman" w:eastAsia="SimSun" w:hAnsi="Times New Roman"/>
          <w:b/>
          <w:lang w:eastAsia="zh-CN"/>
        </w:rPr>
        <w:t>kartą</w:t>
      </w:r>
      <w:r w:rsidRPr="00366C6D">
        <w:rPr>
          <w:rFonts w:ascii="Times New Roman" w:eastAsia="SimSun" w:hAnsi="Times New Roman"/>
          <w:lang w:eastAsia="zh-CN"/>
        </w:rPr>
        <w:t xml:space="preserve"> per parą.</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p>
    <w:p w:rsidR="0031490F" w:rsidRPr="00340F0C"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MDS/MPL:</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66C6D">
        <w:rPr>
          <w:rFonts w:ascii="Times New Roman" w:eastAsia="SimSun" w:hAnsi="Times New Roman"/>
          <w:lang w:eastAsia="zh-CN"/>
        </w:rPr>
        <w:t xml:space="preserve">Pradinė dozė yra 400 mg, vartojant po 1 </w:t>
      </w:r>
      <w:r w:rsidRPr="00340F0C">
        <w:rPr>
          <w:rFonts w:ascii="Times New Roman" w:eastAsia="SimSun" w:hAnsi="Times New Roman"/>
          <w:lang w:eastAsia="zh-CN"/>
        </w:rPr>
        <w:t>tabletę</w:t>
      </w:r>
      <w:r w:rsidRPr="00366C6D">
        <w:rPr>
          <w:rFonts w:ascii="Times New Roman" w:eastAsia="SimSun" w:hAnsi="Times New Roman"/>
          <w:lang w:eastAsia="zh-CN"/>
        </w:rPr>
        <w:t xml:space="preserve"> </w:t>
      </w:r>
      <w:r w:rsidRPr="00366C6D">
        <w:rPr>
          <w:rFonts w:ascii="Times New Roman" w:eastAsia="SimSun" w:hAnsi="Times New Roman"/>
          <w:b/>
          <w:lang w:eastAsia="zh-CN"/>
        </w:rPr>
        <w:t>kartą</w:t>
      </w:r>
      <w:r w:rsidRPr="00366C6D">
        <w:rPr>
          <w:rFonts w:ascii="Times New Roman" w:eastAsia="SimSun" w:hAnsi="Times New Roman"/>
          <w:lang w:eastAsia="zh-CN"/>
        </w:rPr>
        <w:t xml:space="preserve"> per parą.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HES/LEL:</w:t>
      </w:r>
    </w:p>
    <w:p w:rsidR="0031490F" w:rsidRPr="00340F0C" w:rsidRDefault="0031490F" w:rsidP="0031490F">
      <w:pPr>
        <w:numPr>
          <w:ilvl w:val="12"/>
          <w:numId w:val="0"/>
        </w:numPr>
        <w:tabs>
          <w:tab w:val="left" w:pos="567"/>
        </w:tabs>
        <w:spacing w:after="0" w:line="240" w:lineRule="auto"/>
        <w:ind w:left="567"/>
        <w:rPr>
          <w:rFonts w:ascii="Times New Roman" w:eastAsia="SimSun" w:hAnsi="Times New Roman"/>
          <w:lang w:eastAsia="zh-CN"/>
        </w:rPr>
      </w:pPr>
      <w:r w:rsidRPr="00366C6D">
        <w:rPr>
          <w:rFonts w:ascii="Times New Roman" w:eastAsia="SimSun" w:hAnsi="Times New Roman"/>
          <w:lang w:eastAsia="zh-CN"/>
        </w:rPr>
        <w:t xml:space="preserve">Pradinė dozė yra 100 mg, vartojant po vieną </w:t>
      </w:r>
      <w:r w:rsidRPr="00340F0C">
        <w:rPr>
          <w:rFonts w:ascii="Times New Roman" w:eastAsia="SimSun" w:hAnsi="Times New Roman"/>
          <w:lang w:eastAsia="zh-CN"/>
        </w:rPr>
        <w:t>tabletę</w:t>
      </w:r>
      <w:r w:rsidRPr="00366C6D">
        <w:rPr>
          <w:rFonts w:ascii="Times New Roman" w:eastAsia="SimSun" w:hAnsi="Times New Roman"/>
          <w:lang w:eastAsia="zh-CN"/>
        </w:rPr>
        <w:t xml:space="preserve"> </w:t>
      </w:r>
      <w:r w:rsidRPr="00366C6D">
        <w:rPr>
          <w:rFonts w:ascii="Times New Roman" w:eastAsia="SimSun" w:hAnsi="Times New Roman"/>
          <w:b/>
          <w:lang w:eastAsia="zh-CN"/>
        </w:rPr>
        <w:t>kartą</w:t>
      </w:r>
      <w:r w:rsidRPr="00366C6D">
        <w:rPr>
          <w:rFonts w:ascii="Times New Roman" w:eastAsia="SimSun" w:hAnsi="Times New Roman"/>
          <w:lang w:eastAsia="zh-CN"/>
        </w:rPr>
        <w:t xml:space="preserve"> per parą. Priklausomai nuo Jūsų atsako į gydymą, Jūsų gydytojas gali nuspręsti padidinti dozę iki 400 mg, vartojant vieną 400 mg </w:t>
      </w:r>
      <w:r w:rsidRPr="00340F0C">
        <w:rPr>
          <w:rFonts w:ascii="Times New Roman" w:eastAsia="SimSun" w:hAnsi="Times New Roman"/>
          <w:lang w:eastAsia="zh-CN"/>
        </w:rPr>
        <w:t>tabletę</w:t>
      </w:r>
      <w:r w:rsidRPr="00366C6D">
        <w:rPr>
          <w:rFonts w:ascii="Times New Roman" w:eastAsia="SimSun" w:hAnsi="Times New Roman"/>
          <w:lang w:eastAsia="zh-CN"/>
        </w:rPr>
        <w:t xml:space="preserve"> kartą per parą.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pStyle w:val="Sraopastraipa"/>
        <w:numPr>
          <w:ilvl w:val="0"/>
          <w:numId w:val="18"/>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DFSP:</w:t>
      </w:r>
    </w:p>
    <w:p w:rsidR="0031490F" w:rsidRDefault="0031490F" w:rsidP="0031490F">
      <w:pPr>
        <w:numPr>
          <w:ilvl w:val="12"/>
          <w:numId w:val="0"/>
        </w:numPr>
        <w:tabs>
          <w:tab w:val="left" w:pos="567"/>
        </w:tabs>
        <w:spacing w:after="0" w:line="240" w:lineRule="auto"/>
        <w:ind w:left="567"/>
        <w:rPr>
          <w:rFonts w:ascii="Times New Roman" w:eastAsia="SimSun" w:hAnsi="Times New Roman"/>
          <w:highlight w:val="yellow"/>
          <w:lang w:eastAsia="zh-CN"/>
        </w:rPr>
      </w:pPr>
      <w:r w:rsidRPr="00366C6D">
        <w:rPr>
          <w:rFonts w:ascii="Times New Roman" w:eastAsia="SimSun" w:hAnsi="Times New Roman"/>
          <w:lang w:eastAsia="zh-CN"/>
        </w:rPr>
        <w:t xml:space="preserve">Dozė yra 800 mg per parą (2 </w:t>
      </w:r>
      <w:r w:rsidRPr="00340F0C">
        <w:rPr>
          <w:rFonts w:ascii="Times New Roman" w:eastAsia="SimSun" w:hAnsi="Times New Roman"/>
          <w:lang w:eastAsia="zh-CN"/>
        </w:rPr>
        <w:t>tabletės</w:t>
      </w:r>
      <w:r w:rsidRPr="00366C6D">
        <w:rPr>
          <w:rFonts w:ascii="Times New Roman" w:eastAsia="SimSun" w:hAnsi="Times New Roman"/>
          <w:lang w:eastAsia="zh-CN"/>
        </w:rPr>
        <w:t xml:space="preserve">), vartojant po 1 </w:t>
      </w:r>
      <w:r w:rsidRPr="00340F0C">
        <w:rPr>
          <w:rFonts w:ascii="Times New Roman" w:eastAsia="SimSun" w:hAnsi="Times New Roman"/>
          <w:lang w:eastAsia="zh-CN"/>
        </w:rPr>
        <w:t>tabletę</w:t>
      </w:r>
      <w:r w:rsidRPr="00366C6D">
        <w:rPr>
          <w:rFonts w:ascii="Times New Roman" w:eastAsia="SimSun" w:hAnsi="Times New Roman"/>
          <w:lang w:eastAsia="zh-CN"/>
        </w:rPr>
        <w:t xml:space="preserve"> ryte ir 1 </w:t>
      </w:r>
      <w:r w:rsidRPr="00340F0C">
        <w:rPr>
          <w:rFonts w:ascii="Times New Roman" w:eastAsia="SimSun" w:hAnsi="Times New Roman"/>
          <w:lang w:eastAsia="zh-CN"/>
        </w:rPr>
        <w:t>tabletę</w:t>
      </w:r>
      <w:r w:rsidRPr="00366C6D">
        <w:rPr>
          <w:rFonts w:ascii="Times New Roman" w:eastAsia="SimSun" w:hAnsi="Times New Roman"/>
          <w:lang w:eastAsia="zh-CN"/>
        </w:rPr>
        <w:t xml:space="preserve">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Vartojimas vaikams ir paaugliams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nurodys, kiek </w:t>
      </w:r>
      <w:r>
        <w:rPr>
          <w:rFonts w:ascii="Times New Roman" w:eastAsia="SimSun" w:hAnsi="Times New Roman"/>
          <w:lang w:eastAsia="zh-CN"/>
        </w:rPr>
        <w:t>Imatinib Synthon</w:t>
      </w:r>
      <w:r w:rsidRPr="00340F0C">
        <w:rPr>
          <w:rFonts w:ascii="Times New Roman" w:eastAsia="SimSun" w:hAnsi="Times New Roman"/>
          <w:lang w:eastAsia="zh-CN"/>
        </w:rPr>
        <w:t xml:space="preserve"> tablečių reikia duoti gerti vaikui. </w:t>
      </w:r>
      <w:r>
        <w:rPr>
          <w:rFonts w:ascii="Times New Roman" w:eastAsia="SimSun" w:hAnsi="Times New Roman"/>
          <w:lang w:eastAsia="zh-CN"/>
        </w:rPr>
        <w:t>Imatinib Synthon</w:t>
      </w:r>
      <w:r w:rsidRPr="00340F0C">
        <w:rPr>
          <w:rFonts w:ascii="Times New Roman" w:eastAsia="SimSun" w:hAnsi="Times New Roman"/>
          <w:lang w:eastAsia="zh-CN"/>
        </w:rPr>
        <w:t xml:space="preserve"> dozė priklausys nuo vaiko būklės, kūno masės ir ūgio. Bendroji vaikų paros dozė neturi būti didesnė kaip 800 mg. Vaistą galima vartoti vieną kartą per parą arba paros dozę padalyti į dvi dalis (pusę dozės vartoti ryte ir kitą pusę –vakare).</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Kada ir kaip vartoti </w:t>
      </w:r>
      <w:r>
        <w:rPr>
          <w:rFonts w:ascii="Times New Roman" w:eastAsia="SimSun" w:hAnsi="Times New Roman"/>
          <w:b/>
          <w:lang w:eastAsia="zh-CN"/>
        </w:rPr>
        <w:t>Imatinib Synthon</w:t>
      </w:r>
    </w:p>
    <w:p w:rsidR="0031490F" w:rsidRDefault="0031490F" w:rsidP="0031490F">
      <w:pPr>
        <w:pStyle w:val="Sraopastraipa"/>
        <w:numPr>
          <w:ilvl w:val="0"/>
          <w:numId w:val="25"/>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b/>
          <w:lang w:eastAsia="zh-CN"/>
        </w:rPr>
        <w:t>Imatinib Synthon</w:t>
      </w:r>
      <w:r w:rsidRPr="00366C6D">
        <w:rPr>
          <w:rFonts w:ascii="Times New Roman" w:eastAsia="SimSun" w:hAnsi="Times New Roman"/>
          <w:b/>
          <w:lang w:eastAsia="zh-CN"/>
        </w:rPr>
        <w:t xml:space="preserve"> gerkite valgio metu.</w:t>
      </w:r>
      <w:r w:rsidRPr="00366C6D">
        <w:rPr>
          <w:rFonts w:ascii="Times New Roman" w:eastAsia="SimSun" w:hAnsi="Times New Roman"/>
          <w:lang w:eastAsia="zh-CN"/>
        </w:rPr>
        <w:t xml:space="preserve"> Tai padės išvengti skrandžio sutrikimų </w:t>
      </w:r>
      <w:r>
        <w:rPr>
          <w:rFonts w:ascii="Times New Roman" w:eastAsia="SimSun" w:hAnsi="Times New Roman"/>
          <w:lang w:eastAsia="zh-CN"/>
        </w:rPr>
        <w:t>Imatinib Synthon</w:t>
      </w:r>
      <w:r w:rsidRPr="00366C6D">
        <w:rPr>
          <w:rFonts w:ascii="Times New Roman" w:eastAsia="SimSun" w:hAnsi="Times New Roman"/>
          <w:lang w:eastAsia="zh-CN"/>
        </w:rPr>
        <w:t xml:space="preserve"> vartojimo metu.</w:t>
      </w:r>
    </w:p>
    <w:p w:rsidR="0031490F" w:rsidRDefault="0031490F" w:rsidP="0031490F">
      <w:pPr>
        <w:pStyle w:val="Sraopastraipa"/>
        <w:numPr>
          <w:ilvl w:val="0"/>
          <w:numId w:val="25"/>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b/>
          <w:lang w:eastAsia="zh-CN"/>
        </w:rPr>
        <w:t>Nurykite visą tabletę užgerdami didele stikline vandens. Tablečių negalima atidaryti ir laužyti, nebent jas sunku nuryti (pvz., vaikams).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b/>
        <w:t>Jeigu negalite nuryti tabletės, ištirpinkite ją stiklinėje negazuoto vandens ar obuolių sulčių.</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Kiekvienai 400 mg tabletei vartokite maždaug 200 ml vandens ar sulčių.</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Pamaišykite šaukštu, kol tabletė visiškai ištirps.</w:t>
      </w:r>
    </w:p>
    <w:p w:rsidR="0031490F" w:rsidRPr="00340F0C" w:rsidRDefault="0031490F" w:rsidP="0031490F">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Kai tabletė ištirps, nedelsdami išgerkite visą stiklinės turinį. Ištirpusios tabletės liekanų gali likti stiklinėje.</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Kaip ilgai vartoti </w:t>
      </w:r>
      <w:r>
        <w:rPr>
          <w:rFonts w:ascii="Times New Roman" w:eastAsia="SimSun" w:hAnsi="Times New Roman"/>
          <w:b/>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vartokite kasdien, tiek laiko, kiek nurodė Jūsų gydytojas.</w:t>
      </w: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Ką daryti pavartojus per didelę </w:t>
      </w:r>
      <w:r>
        <w:rPr>
          <w:rFonts w:ascii="Times New Roman" w:eastAsia="SimSun" w:hAnsi="Times New Roman"/>
          <w:b/>
          <w:lang w:eastAsia="zh-CN"/>
        </w:rPr>
        <w:t>Imatinib Synthon</w:t>
      </w:r>
      <w:r w:rsidRPr="00340F0C">
        <w:rPr>
          <w:rFonts w:ascii="Times New Roman" w:eastAsia="SimSun" w:hAnsi="Times New Roman"/>
          <w:b/>
          <w:lang w:eastAsia="zh-CN"/>
        </w:rPr>
        <w:t xml:space="preserve"> dozę?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atsitiktinai išgėrėte per daug tablečių</w:t>
      </w:r>
      <w:r w:rsidRPr="00340F0C">
        <w:rPr>
          <w:rFonts w:ascii="Times New Roman" w:eastAsia="SimSun" w:hAnsi="Times New Roman"/>
          <w:b/>
          <w:lang w:eastAsia="zh-CN"/>
        </w:rPr>
        <w:t xml:space="preserve">, iš karto </w:t>
      </w:r>
      <w:r w:rsidRPr="00340F0C">
        <w:rPr>
          <w:rFonts w:ascii="Times New Roman" w:eastAsia="SimSun" w:hAnsi="Times New Roman"/>
          <w:lang w:eastAsia="zh-CN"/>
        </w:rPr>
        <w:t>kreipkitės į gydytoją. Jums gali prireikti medicininės pagalbos. Pasiimkite su savimi vaisto pakuotę.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Pamiršus pavartoti </w:t>
      </w:r>
      <w:r>
        <w:rPr>
          <w:rFonts w:ascii="Times New Roman" w:eastAsia="SimSun" w:hAnsi="Times New Roman"/>
          <w:b/>
          <w:lang w:eastAsia="zh-CN"/>
        </w:rPr>
        <w:t>Imatinib Synthon</w:t>
      </w:r>
    </w:p>
    <w:p w:rsidR="0031490F" w:rsidRDefault="0031490F" w:rsidP="0031490F">
      <w:pPr>
        <w:pStyle w:val="Sraopastraipa"/>
        <w:numPr>
          <w:ilvl w:val="0"/>
          <w:numId w:val="21"/>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Pamiršus pavartoti vaisto dozę, ją išgerkite kai tik prisiminėte. Tačiau jei jau beveik laikas gerti kitą dozę, praleistos dozės nevartokite.</w:t>
      </w:r>
    </w:p>
    <w:p w:rsidR="0031490F" w:rsidRDefault="0031490F" w:rsidP="0031490F">
      <w:pPr>
        <w:pStyle w:val="Sraopastraipa"/>
        <w:numPr>
          <w:ilvl w:val="0"/>
          <w:numId w:val="21"/>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 xml:space="preserve">Vėliau tęskite vaisto vartojimą įprastu režimu. </w:t>
      </w:r>
    </w:p>
    <w:p w:rsidR="0031490F" w:rsidRDefault="0031490F" w:rsidP="0031490F">
      <w:pPr>
        <w:pStyle w:val="Sraopastraipa"/>
        <w:numPr>
          <w:ilvl w:val="0"/>
          <w:numId w:val="21"/>
        </w:numPr>
        <w:tabs>
          <w:tab w:val="left" w:pos="567"/>
        </w:tabs>
        <w:spacing w:after="0" w:line="240" w:lineRule="auto"/>
        <w:ind w:left="567" w:hanging="567"/>
        <w:rPr>
          <w:rFonts w:ascii="Times New Roman" w:eastAsia="SimSun" w:hAnsi="Times New Roman"/>
          <w:lang w:eastAsia="zh-CN"/>
        </w:rPr>
      </w:pPr>
      <w:r w:rsidRPr="00366C6D">
        <w:rPr>
          <w:rFonts w:ascii="Times New Roman" w:eastAsia="SimSun" w:hAnsi="Times New Roman"/>
          <w:lang w:eastAsia="zh-CN"/>
        </w:rPr>
        <w:t>Negalima vartoti dvigubos dozės norint kompensuoti praleistą dozę.</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kiltų daugiau klausimų dėl šio vaisto vartojimo, kreipkitės į gydytoją, vaistininką arba slaugytoją.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Galimas šalutinis poveikis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Šis vaistas, kaip ir visi kiti, gali sukelti šalutinį poveikį, nors jis pasireiškia ne visiems žmonėms. Paprastai jis būna nesunkus ar vidutinio sunkumo.</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Kai kurie šalutiniai poveikiai gali būti sunkūs. Nedelsiant pasakykite gydytojui, jeigu Jums pasireikštų kuris nors iš toliau išvardytų poveikių.</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 ir dažni (gali pasireikšti ne daugiau kaip 1 žmogui iš 10:</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Greitai padidėjęs kūno svoris. Vartojant </w:t>
      </w:r>
      <w:r>
        <w:rPr>
          <w:rFonts w:ascii="Times New Roman" w:eastAsia="SimSun" w:hAnsi="Times New Roman"/>
        </w:rPr>
        <w:t>Imatinib Synthon</w:t>
      </w:r>
      <w:r w:rsidRPr="00340F0C">
        <w:rPr>
          <w:rFonts w:ascii="Times New Roman" w:eastAsia="SimSun" w:hAnsi="Times New Roman"/>
        </w:rPr>
        <w:t xml:space="preserve"> organizme gali pradėti kauptis skystis (t.y. pasireikšti sunkus skysčių susilaikymas).</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 xml:space="preserve">Infekcijos požymiai – pavyzdžiui, karščiavimas, stiprus šaltkrėtis, gerklės skausmas ar burnos išopėjimas. </w:t>
      </w:r>
      <w:r>
        <w:rPr>
          <w:rFonts w:ascii="Times New Roman" w:eastAsia="SimSun" w:hAnsi="Times New Roman"/>
        </w:rPr>
        <w:t>Imatinib Synthon</w:t>
      </w:r>
      <w:r w:rsidRPr="00340F0C">
        <w:rPr>
          <w:rFonts w:ascii="Times New Roman" w:eastAsia="SimSun" w:hAnsi="Times New Roman"/>
        </w:rPr>
        <w:t xml:space="preserve"> gali sumažinti baltųjų kraujo kūnelių skaičių, todėl galite greičiau užsikrėsti infekcinėmis ligomis.</w:t>
      </w:r>
    </w:p>
    <w:p w:rsidR="0031490F" w:rsidRPr="00340F0C" w:rsidRDefault="0031490F" w:rsidP="0031490F">
      <w:pPr>
        <w:numPr>
          <w:ilvl w:val="0"/>
          <w:numId w:val="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Netikėtas kraujavimas ar mėlynių susidarymas (be jokio sužalojimo).</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Nedažni (gali pasireikšti ne daugiau kaip 1 žmogui iš 100) ir reti (gali pasireikšti ne daugiau kaip 1 žmogui iš 1 000):</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krūtinėje, nereguliarus širdies ritmas (širdies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Kosulys, pasunkėjęs kvėpavimas arba skausmingas kvėpavimas (plaučių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Apsvaigimas, svaigulys ar alpimas (žemo kraujospūdžio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taip pat apetito trūkumas, tamsios spalvos šlapimas, pageltusi oda ar akių baltymai (kepenų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pilvo skausmas, vėmimas, tuštinimasis ar šlapinimasis su kraujo priemaiša, juodos spalvos išmatos (virškinimo trakto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Labai sumažėjęs šlapimo kiekis, troškulys (inkstų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kartu su viduriavimu ir vėmimu, pilvo skausmas arba karščiavimas (žarnų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galvos skausmas, silpnumas arba galūnių ar veido paralyžius, pasunkėjusi kalba, staigus sąmonės praradimas (nervų sistemos sutrikimų, pavyzdžiui, kraujavimo kaukolės ertmėje ar galvos smegenų patinimo,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Išblyškusi oda, nuovargis ir dusulys, tamsus šlapimas (sumažėjusio raudonųjų kraujo ląstelių skaičiaus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Akies skausmas ar pablogėjusi rega, kraujavimas į akies vidų.</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klubo sąnariuose ar pasunkėjęs vaikščiojimas.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Kojų ir rankų pirštų nutirpimas ar šalimas (Reino [</w:t>
      </w:r>
      <w:r w:rsidRPr="00340F0C">
        <w:rPr>
          <w:rFonts w:ascii="Times New Roman" w:eastAsia="SimSun" w:hAnsi="Times New Roman"/>
          <w:i/>
          <w:iCs/>
        </w:rPr>
        <w:t>Raynaud</w:t>
      </w:r>
      <w:r w:rsidRPr="00340F0C">
        <w:rPr>
          <w:rFonts w:ascii="Times New Roman" w:eastAsia="SimSun" w:hAnsi="Times New Roman"/>
        </w:rPr>
        <w:t>] sindromo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Staigus odos patinimas ir paraudimas (odos infekcijos, vadinamos celiulitu,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Sutrikusi klausa.</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silpnumas ir spazmai kartu su sutrikusiu širdies ritmu (požymiai, rodantys, kad pakito kalio kiekis Jūsų kraujyje).</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Mėlynės.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Skrandžio skausmas kartu su šleikštuliu (pykinimu).</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spazmai ir kartu pasireiškiantis karščiavimas, raudonai rudos spalvos šlapimas, raumenų skausmas ar silpnumas (raumenų sutrikimų požymiai).</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rsidR="0031490F" w:rsidRDefault="0031490F" w:rsidP="0031490F">
      <w:pPr>
        <w:numPr>
          <w:ilvl w:val="0"/>
          <w:numId w:val="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rsidR="0031490F" w:rsidRDefault="0031490F" w:rsidP="0031490F">
      <w:pPr>
        <w:tabs>
          <w:tab w:val="left" w:pos="0"/>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rsidR="0031490F" w:rsidRPr="00340F0C" w:rsidRDefault="0031490F" w:rsidP="0031490F">
      <w:pPr>
        <w:numPr>
          <w:ilvl w:val="0"/>
          <w:numId w:val="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w:t>
      </w:r>
      <w:r w:rsidRPr="009D1033">
        <w:rPr>
          <w:rFonts w:ascii="Times New Roman" w:eastAsia="SimSun" w:hAnsi="Times New Roman"/>
        </w:rPr>
        <w:tab/>
        <w:t>Išplitusio sunkaus išbėrimo, pykinimo, karščiavimo, padidėjusios tam tikrų baltųjų krau</w:t>
      </w:r>
      <w:r>
        <w:rPr>
          <w:rFonts w:ascii="Times New Roman" w:eastAsia="SimSun" w:hAnsi="Times New Roman"/>
        </w:rPr>
        <w:t>jo ląstelių koncentracijos kraujyje arba pageltusios odos ar akių (geltos požymiai) kartu su dusuliu, krūtinės skausmu ar diskomforto pojūčiu, labai sumažėjusiu šlapimo išsiskyrimu ir troškulio pojūčiu (alerginės reakcijos, susijusios su gydymu, požymiai) ir t.t. deriniai.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rPr>
        <w:t xml:space="preserve">Jeigu Jums pasireikštų bet kuris iš anksčiau nurodytų poveikių, </w:t>
      </w:r>
      <w:r w:rsidRPr="00340F0C">
        <w:rPr>
          <w:rFonts w:ascii="Times New Roman" w:eastAsia="SimSun" w:hAnsi="Times New Roman"/>
          <w:b/>
        </w:rPr>
        <w:t>nedelsiant 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Taip pat gali pasireikšti kiti šalutiniai poveikiai: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Galvos skausmas ar nuovargis.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vėmimas, viduriavimas ar nevirškinimas.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Bėrimas.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Mėšlungis arba sąnarių, raumenų ir kaulų skausmas.</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Tinimas, pavyzdžiui, patinusios kulkšnys ar paburkę akių vokai.</w:t>
      </w:r>
    </w:p>
    <w:p w:rsidR="0031490F" w:rsidRPr="00340F0C" w:rsidRDefault="0031490F" w:rsidP="0031490F">
      <w:pPr>
        <w:numPr>
          <w:ilvl w:val="0"/>
          <w:numId w:val="4"/>
        </w:numPr>
        <w:tabs>
          <w:tab w:val="left" w:pos="567"/>
        </w:tabs>
        <w:spacing w:after="0" w:line="240" w:lineRule="auto"/>
        <w:ind w:left="567" w:hanging="567"/>
        <w:rPr>
          <w:rFonts w:ascii="Times New Roman" w:eastAsia="SimSun" w:hAnsi="Times New Roman"/>
          <w:b/>
        </w:rPr>
      </w:pPr>
      <w:r w:rsidRPr="00340F0C">
        <w:rPr>
          <w:rFonts w:ascii="Times New Roman" w:eastAsia="SimSun" w:hAnsi="Times New Roman"/>
        </w:rPr>
        <w:t>Padidėjęs kūno svoris.</w:t>
      </w:r>
    </w:p>
    <w:p w:rsidR="0031490F" w:rsidRPr="009D1353" w:rsidRDefault="0031490F" w:rsidP="0031490F">
      <w:pPr>
        <w:pStyle w:val="Sraopastraipa"/>
        <w:tabs>
          <w:tab w:val="left" w:pos="0"/>
        </w:tabs>
        <w:spacing w:after="0" w:line="240" w:lineRule="auto"/>
        <w:ind w:left="0"/>
        <w:rPr>
          <w:rFonts w:ascii="Times New Roman" w:hAnsi="Times New Roman"/>
        </w:rPr>
      </w:pPr>
      <w:r w:rsidRPr="00340F0C">
        <w:rPr>
          <w:rFonts w:ascii="Times New Roman" w:eastAsia="SimSun" w:hAnsi="Times New Roman"/>
        </w:rPr>
        <w:t>Jei bet kuris</w:t>
      </w:r>
      <w:r w:rsidRPr="009D1353">
        <w:rPr>
          <w:rFonts w:ascii="Times New Roman" w:hAnsi="Times New Roman"/>
        </w:rPr>
        <w:t xml:space="preserve"> iš </w:t>
      </w:r>
      <w:r w:rsidRPr="00340F0C">
        <w:rPr>
          <w:rFonts w:ascii="Times New Roman" w:eastAsia="SimSun" w:hAnsi="Times New Roman"/>
        </w:rPr>
        <w:t xml:space="preserve">šių reiškinių tampa sunkiu, </w:t>
      </w:r>
      <w:r w:rsidRPr="00340F0C">
        <w:rPr>
          <w:rFonts w:ascii="Times New Roman" w:eastAsia="SimSun" w:hAnsi="Times New Roman"/>
          <w:b/>
        </w:rPr>
        <w:t>pasakykite gydytojui.</w:t>
      </w:r>
    </w:p>
    <w:p w:rsidR="0031490F" w:rsidRDefault="0031490F" w:rsidP="0031490F">
      <w:pPr>
        <w:numPr>
          <w:ilvl w:val="12"/>
          <w:numId w:val="0"/>
        </w:numPr>
        <w:tabs>
          <w:tab w:val="left" w:pos="567"/>
        </w:tabs>
        <w:spacing w:after="0" w:line="240" w:lineRule="auto"/>
        <w:ind w:firstLine="227"/>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Dažni (gali pasireikšti ne daugiau kaip 1 žmogui iš 100):</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Anoreksija, sumažėjęs kūno svoris, sutrikęs skonio jutimas.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Svaigulys arba silpnumas.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Sunkumas užmigti (nemiga).</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Išskyros iš akies kartu su niežuliu, paraudimu ir patinimu (konjunktyvitas), ašarojimas, neryškus matymas.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Kraujavimas iš nosies.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Pilvo skausmas ar patinimas, vidurių pūtimas, rėmuo, vidurių užkietėjimas.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Niežulys.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Neįprastas plaukų slinkimas ar plonėjimas.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Plaštakų ar pėdų tirpimas.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išopėjimas.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Sąnarių skausmas ir patinimas.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odos ar akių džiūvimas.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Sumažėjęs arba padidėjęs odos jautrumas.</w:t>
      </w:r>
    </w:p>
    <w:p w:rsidR="0031490F" w:rsidRPr="00340F0C" w:rsidRDefault="0031490F" w:rsidP="0031490F">
      <w:pPr>
        <w:numPr>
          <w:ilvl w:val="0"/>
          <w:numId w:val="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Karščio pylimai, drebulys, naktinis prakaitavimas.</w:t>
      </w:r>
    </w:p>
    <w:p w:rsidR="0031490F" w:rsidRDefault="0031490F" w:rsidP="0031490F">
      <w:pPr>
        <w:tabs>
          <w:tab w:val="left" w:pos="0"/>
        </w:tabs>
        <w:spacing w:after="0" w:line="240" w:lineRule="auto"/>
        <w:rPr>
          <w:rFonts w:ascii="Times New Roman" w:eastAsia="SimSun" w:hAnsi="Times New Roman"/>
        </w:rPr>
      </w:pPr>
      <w:r w:rsidRPr="00366C6D">
        <w:rPr>
          <w:rFonts w:ascii="Times New Roman" w:eastAsia="SimSun" w:hAnsi="Times New Roman"/>
        </w:rPr>
        <w:t xml:space="preserve">Jei bet kuris iš šių reiškinių tampa sunkiu, </w:t>
      </w:r>
      <w:r w:rsidRPr="00366C6D">
        <w:rPr>
          <w:rFonts w:ascii="Times New Roman" w:eastAsia="SimSun" w:hAnsi="Times New Roman"/>
          <w:b/>
        </w:rPr>
        <w:t>pasakykite gydytojui.</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9D1353" w:rsidRDefault="0031490F" w:rsidP="0031490F">
      <w:pPr>
        <w:numPr>
          <w:ilvl w:val="12"/>
          <w:numId w:val="0"/>
        </w:numPr>
        <w:tabs>
          <w:tab w:val="left" w:pos="567"/>
        </w:tabs>
        <w:spacing w:after="0" w:line="240" w:lineRule="auto"/>
        <w:rPr>
          <w:rFonts w:ascii="Times New Roman" w:hAnsi="Times New Roman"/>
        </w:rPr>
      </w:pPr>
      <w:r w:rsidRPr="00340F0C">
        <w:rPr>
          <w:rFonts w:ascii="Times New Roman" w:eastAsia="SimSun" w:hAnsi="Times New Roman"/>
          <w:b/>
        </w:rPr>
        <w:t xml:space="preserve">Dažnis nežinomas </w:t>
      </w:r>
      <w:r w:rsidRPr="00366C6D">
        <w:rPr>
          <w:rFonts w:ascii="Times New Roman" w:eastAsia="SimSun" w:hAnsi="Times New Roman"/>
        </w:rPr>
        <w:t>(negali būti apskaičiuotas pagal turimus duomenis):</w:t>
      </w:r>
    </w:p>
    <w:p w:rsidR="0031490F" w:rsidRPr="00340F0C" w:rsidRDefault="0031490F" w:rsidP="0031490F">
      <w:pPr>
        <w:numPr>
          <w:ilvl w:val="0"/>
          <w:numId w:val="1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Delnų ir padų paraudimas ir (arba) patinimas, kurie gali pasireikšti kartu su dilgčiojimo pojūčiu ir deginančiu skausmu.</w:t>
      </w:r>
    </w:p>
    <w:p w:rsidR="0031490F" w:rsidRPr="00340F0C" w:rsidRDefault="0031490F" w:rsidP="0031490F">
      <w:pPr>
        <w:numPr>
          <w:ilvl w:val="0"/>
          <w:numId w:val="1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Sulėtėjęs vaikų ir paauglių augimas.</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poveikių tampa sunkiu, </w:t>
      </w:r>
      <w:r w:rsidRPr="00340F0C">
        <w:rPr>
          <w:rFonts w:ascii="Times New Roman" w:eastAsia="SimSun" w:hAnsi="Times New Roman"/>
          <w:b/>
        </w:rPr>
        <w:t>pasakykite gydytojui</w:t>
      </w:r>
      <w:r w:rsidRPr="00340F0C">
        <w:rPr>
          <w:rFonts w:ascii="Times New Roman" w:eastAsia="SimSun" w:hAnsi="Times New Roma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07C04" w:rsidRDefault="0031490F" w:rsidP="0031490F">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rsidR="0031490F" w:rsidRPr="009D1353" w:rsidRDefault="0031490F" w:rsidP="0031490F">
      <w:pPr>
        <w:tabs>
          <w:tab w:val="left" w:pos="567"/>
        </w:tabs>
        <w:spacing w:after="0" w:line="260" w:lineRule="exact"/>
        <w:ind w:right="-449"/>
        <w:rPr>
          <w:rFonts w:ascii="Times New Roman" w:hAnsi="Times New Roman"/>
        </w:rPr>
      </w:pPr>
      <w:r w:rsidRPr="009D1353">
        <w:rPr>
          <w:rFonts w:ascii="Times New Roman" w:hAnsi="Times New Roman"/>
        </w:rPr>
        <w:t>Jeigu pasireiškė šalutinis poveikis, įskaitant šiame lapelyje nenurodytą, pasakykite gydytojui</w:t>
      </w:r>
      <w:r w:rsidRPr="00340F0C">
        <w:rPr>
          <w:rFonts w:ascii="Times New Roman" w:eastAsia="Times New Roman" w:hAnsi="Times New Roman"/>
          <w:noProof/>
          <w:snapToGrid w:val="0"/>
          <w:szCs w:val="24"/>
        </w:rPr>
        <w:t xml:space="preserve"> </w:t>
      </w:r>
      <w:r w:rsidRPr="00307C04">
        <w:rPr>
          <w:rFonts w:ascii="Times New Roman" w:eastAsia="Times New Roman" w:hAnsi="Times New Roman"/>
          <w:noProof/>
          <w:snapToGrid w:val="0"/>
          <w:szCs w:val="24"/>
        </w:rPr>
        <w:t>arba</w:t>
      </w:r>
      <w:r w:rsidRPr="009D1353">
        <w:rPr>
          <w:rFonts w:ascii="Times New Roman" w:hAnsi="Times New Roman"/>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7"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8"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r w:rsidRPr="009D1353">
        <w:rPr>
          <w:rFonts w:ascii="Times New Roman" w:hAnsi="Times New Roma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 xml:space="preserve">Kaip laikyti </w:t>
      </w:r>
      <w:r>
        <w:rPr>
          <w:rFonts w:ascii="Times New Roman" w:eastAsia="SimSun" w:hAnsi="Times New Roman"/>
          <w:b/>
          <w:bCs/>
          <w:lang w:eastAsia="zh-CN"/>
        </w:rPr>
        <w:t>Imatinib Synthon</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Šį vaistą laikykite vaikams nepastebimoje ir nepasiekiamoje vietoje.</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Ant dėžutės po „Tinka iki“ ir lizdinės plokštelės po „EXP” nurodytam tinkamumo laikui pasibaigus, šio vaisto vartoti negalima. Pirmieji du skaitmenys žymi mėnesį, kiti keturi – metus. Vaistas tinkamas vartoti iki paskutinės nurodyto mėnesio dienos.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Pr>
          <w:rFonts w:ascii="Times New Roman" w:eastAsia="SimSun" w:hAnsi="Times New Roman"/>
          <w:lang w:eastAsia="zh-CN"/>
        </w:rPr>
        <w:t>, kad preparatas būtų apsaugotas nuo drėgmės</w:t>
      </w:r>
      <w:r w:rsidRPr="00340F0C">
        <w:rPr>
          <w:rFonts w:ascii="Times New Roman" w:eastAsia="SimSun" w:hAnsi="Times New Roman"/>
          <w:lang w:eastAsia="zh-CN"/>
        </w:rPr>
        <w:t>.</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Pakuotės turinys ir kita informacija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lastRenderedPageBreak/>
        <w:t>Imatinib Synthon</w:t>
      </w:r>
      <w:r w:rsidRPr="00340F0C">
        <w:rPr>
          <w:rFonts w:ascii="Times New Roman" w:eastAsia="SimSun" w:hAnsi="Times New Roman"/>
          <w:b/>
        </w:rPr>
        <w:t xml:space="preserve"> sudėtis </w:t>
      </w:r>
    </w:p>
    <w:p w:rsidR="0031490F" w:rsidRPr="00340F0C" w:rsidRDefault="0031490F" w:rsidP="0031490F">
      <w:pPr>
        <w:numPr>
          <w:ilvl w:val="0"/>
          <w:numId w:val="11"/>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Veiklioji medžiaga yra imatinibas. Kiekvienoje 400 mg tabletėje yra 400 mg imatinibo (mesilato pavidalu).</w:t>
      </w:r>
    </w:p>
    <w:p w:rsidR="0031490F" w:rsidRPr="00340F0C" w:rsidRDefault="0031490F" w:rsidP="0031490F">
      <w:pPr>
        <w:numPr>
          <w:ilvl w:val="0"/>
          <w:numId w:val="11"/>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Pagalbinės medžiagos yra </w:t>
      </w:r>
    </w:p>
    <w:p w:rsidR="0031490F" w:rsidRPr="00340F0C" w:rsidRDefault="0031490F" w:rsidP="0031490F">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šerdis: koloidinis bevandenis silicio dioksidas, mikrokristalinė celiuliozė (E460), krospovidonas, hipromeliozė (E464) ir magnio stearatas (E572).</w:t>
      </w:r>
    </w:p>
    <w:p w:rsidR="0031490F" w:rsidRPr="00340F0C" w:rsidRDefault="0031490F" w:rsidP="0031490F">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plėvelė: polivinilo alkoholis (E1203), makrogolis 3350 (E1521), talkas (E553b), geltonasis geležies oksidas (E172), raudonasis geležies oksidas (E172), titano dioksidas (E171)</w:t>
      </w: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w:t>
      </w:r>
      <w:r w:rsidRPr="00340F0C">
        <w:rPr>
          <w:rFonts w:ascii="Times New Roman" w:eastAsia="SimSun" w:hAnsi="Times New Roman"/>
          <w:b/>
        </w:rPr>
        <w:t xml:space="preserve"> išvaizda ir kiekis pakuotėje</w:t>
      </w:r>
    </w:p>
    <w:p w:rsidR="0031490F" w:rsidRPr="00340F0C" w:rsidRDefault="0031490F" w:rsidP="0031490F">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 plėvele dengta tabletė yra ruda, pailga (10 x 18 mm), abipus išgaubta tabletė su įspaudu „I9AB 400“ vienoje pusėje. </w:t>
      </w:r>
    </w:p>
    <w:p w:rsidR="0031490F" w:rsidRPr="00340F0C" w:rsidRDefault="0031490F" w:rsidP="0031490F">
      <w:pPr>
        <w:spacing w:after="0" w:line="240" w:lineRule="auto"/>
        <w:jc w:val="both"/>
        <w:rPr>
          <w:rFonts w:ascii="Times New Roman" w:hAnsi="Times New Roman"/>
          <w:lang w:eastAsia="en-GB"/>
        </w:rPr>
      </w:pPr>
    </w:p>
    <w:p w:rsidR="0031490F" w:rsidRPr="00340F0C" w:rsidRDefault="0031490F" w:rsidP="0031490F">
      <w:pPr>
        <w:spacing w:after="0" w:line="240" w:lineRule="auto"/>
        <w:rPr>
          <w:rFonts w:ascii="Times New Roman" w:hAnsi="Times New Roman"/>
          <w:lang w:eastAsia="en-GB"/>
        </w:rPr>
      </w:pPr>
      <w:r>
        <w:rPr>
          <w:rFonts w:ascii="Times New Roman" w:eastAsia="SimSun" w:hAnsi="Times New Roman"/>
          <w:lang w:eastAsia="zh-CN"/>
        </w:rPr>
        <w:t>Imatinib Synthon</w:t>
      </w:r>
      <w:r w:rsidRPr="00340F0C">
        <w:rPr>
          <w:rFonts w:ascii="Times New Roman" w:eastAsia="SimSun" w:hAnsi="Times New Roman"/>
          <w:lang w:eastAsia="zh-CN"/>
        </w:rPr>
        <w:t xml:space="preserve"> 400 mg plėvele dengtos tabletės tiekiamos lizdinių plokštelių </w:t>
      </w:r>
      <w:r w:rsidRPr="00340F0C">
        <w:rPr>
          <w:rFonts w:ascii="Times New Roman" w:hAnsi="Times New Roman"/>
          <w:lang w:eastAsia="en-GB"/>
        </w:rPr>
        <w:t>pakuotėse po 10, 20, 30, 60 arba 90 plėvele dengtų tablečių.</w:t>
      </w:r>
    </w:p>
    <w:p w:rsidR="0031490F" w:rsidRPr="00340F0C" w:rsidRDefault="0031490F" w:rsidP="0031490F">
      <w:pPr>
        <w:spacing w:after="0" w:line="240" w:lineRule="auto"/>
        <w:rPr>
          <w:rFonts w:ascii="Times New Roman" w:hAnsi="Times New Roman"/>
          <w:lang w:eastAsia="en-GB"/>
        </w:rPr>
      </w:pPr>
      <w:r w:rsidRPr="00340F0C">
        <w:rPr>
          <w:rFonts w:ascii="Times New Roman" w:hAnsi="Times New Roman"/>
          <w:lang w:eastAsia="en-GB"/>
        </w:rPr>
        <w:t xml:space="preserve">Vienadozėse pakuotėse gydymo įstaigoms: </w:t>
      </w:r>
      <w:r w:rsidRPr="00340F0C">
        <w:rPr>
          <w:rFonts w:ascii="Times New Roman" w:hAnsi="Times New Roman"/>
          <w:noProof/>
          <w:lang w:eastAsia="en-GB"/>
        </w:rPr>
        <w:t>po</w:t>
      </w:r>
      <w:r w:rsidRPr="00340F0C">
        <w:rPr>
          <w:rFonts w:ascii="Times New Roman" w:hAnsi="Times New Roman"/>
          <w:lang w:eastAsia="en-GB"/>
        </w:rPr>
        <w:t xml:space="preserve"> 10 x 1, 20 x 1, 30 x 1, 60 x 1, arba 90 x 1 </w:t>
      </w:r>
      <w:r w:rsidRPr="00340F0C">
        <w:rPr>
          <w:rFonts w:ascii="Times New Roman" w:hAnsi="Times New Roman"/>
          <w:noProof/>
          <w:lang w:eastAsia="en-GB"/>
        </w:rPr>
        <w:t>plėvele dengtų tablečių.</w:t>
      </w:r>
    </w:p>
    <w:p w:rsidR="0031490F" w:rsidRPr="00340F0C" w:rsidRDefault="0031490F" w:rsidP="0031490F">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Rinkodaros teisės turėtojas ir gamintojas</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tabs>
          <w:tab w:val="left" w:pos="567"/>
        </w:tabs>
        <w:spacing w:after="0" w:line="240" w:lineRule="auto"/>
        <w:rPr>
          <w:rFonts w:ascii="Times New Roman" w:eastAsia="SimSun" w:hAnsi="Times New Roman"/>
          <w:i/>
          <w:lang w:eastAsia="zh-CN" w:bidi="mni-IN"/>
        </w:rPr>
      </w:pPr>
      <w:r w:rsidRPr="00340F0C">
        <w:rPr>
          <w:rFonts w:ascii="Times New Roman" w:eastAsia="SimSun" w:hAnsi="Times New Roman"/>
          <w:i/>
          <w:lang w:eastAsia="zh-CN" w:bidi="mni-IN"/>
        </w:rPr>
        <w:t>Rinkodaros teisės turėtojas</w:t>
      </w:r>
    </w:p>
    <w:p w:rsidR="0031490F" w:rsidRPr="00104BB2" w:rsidRDefault="0031490F" w:rsidP="0031490F">
      <w:pPr>
        <w:spacing w:after="0" w:line="240" w:lineRule="auto"/>
        <w:rPr>
          <w:rFonts w:ascii="Times New Roman" w:hAnsi="Times New Roman"/>
        </w:rPr>
      </w:pPr>
      <w:r w:rsidRPr="00104BB2">
        <w:rPr>
          <w:rFonts w:ascii="Times New Roman" w:hAnsi="Times New Roman"/>
        </w:rPr>
        <w:t>Synthon BV</w:t>
      </w:r>
    </w:p>
    <w:p w:rsidR="0031490F" w:rsidRPr="00104BB2" w:rsidRDefault="0031490F" w:rsidP="0031490F">
      <w:pPr>
        <w:spacing w:after="0" w:line="240" w:lineRule="auto"/>
        <w:rPr>
          <w:rFonts w:ascii="Times New Roman" w:hAnsi="Times New Roman"/>
        </w:rPr>
      </w:pPr>
      <w:r w:rsidRPr="00104BB2">
        <w:rPr>
          <w:rFonts w:ascii="Times New Roman" w:hAnsi="Times New Roman"/>
        </w:rPr>
        <w:t xml:space="preserve">Microweg 22 </w:t>
      </w:r>
    </w:p>
    <w:p w:rsidR="0031490F" w:rsidRPr="00104BB2" w:rsidRDefault="0031490F" w:rsidP="0031490F">
      <w:pPr>
        <w:spacing w:after="0" w:line="240" w:lineRule="auto"/>
        <w:rPr>
          <w:rFonts w:ascii="Times New Roman" w:hAnsi="Times New Roman"/>
        </w:rPr>
      </w:pPr>
      <w:r w:rsidRPr="00104BB2">
        <w:rPr>
          <w:rFonts w:ascii="Times New Roman" w:hAnsi="Times New Roman"/>
        </w:rPr>
        <w:t>6545 CM Nijmegen</w:t>
      </w:r>
    </w:p>
    <w:p w:rsidR="0031490F" w:rsidRPr="00104BB2" w:rsidRDefault="0031490F" w:rsidP="0031490F">
      <w:pPr>
        <w:spacing w:after="0" w:line="240" w:lineRule="auto"/>
        <w:rPr>
          <w:rFonts w:ascii="Times New Roman" w:hAnsi="Times New Roman"/>
        </w:rPr>
      </w:pPr>
      <w:r w:rsidRPr="00104BB2">
        <w:rPr>
          <w:rFonts w:ascii="Times New Roman" w:hAnsi="Times New Roman"/>
        </w:rPr>
        <w:t>Nyderlandai</w:t>
      </w:r>
    </w:p>
    <w:p w:rsidR="0031490F" w:rsidRPr="00340F0C" w:rsidRDefault="0031490F" w:rsidP="0031490F">
      <w:p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Cs/>
          <w:i/>
          <w:lang w:eastAsia="zh-CN"/>
        </w:rPr>
        <w:t>Gamintojai</w:t>
      </w: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BV</w:t>
      </w:r>
    </w:p>
    <w:p w:rsidR="0031490F" w:rsidRPr="00340F0C" w:rsidRDefault="0031490F" w:rsidP="0031490F">
      <w:pPr>
        <w:spacing w:after="0" w:line="240" w:lineRule="auto"/>
        <w:rPr>
          <w:rFonts w:ascii="Times New Roman" w:hAnsi="Times New Roman"/>
        </w:rPr>
      </w:pPr>
      <w:r w:rsidRPr="00340F0C">
        <w:rPr>
          <w:rFonts w:ascii="Times New Roman" w:hAnsi="Times New Roman"/>
        </w:rPr>
        <w:t xml:space="preserve">Microweg 22 </w:t>
      </w:r>
    </w:p>
    <w:p w:rsidR="0031490F" w:rsidRPr="00340F0C" w:rsidRDefault="0031490F" w:rsidP="0031490F">
      <w:pPr>
        <w:spacing w:after="0" w:line="240" w:lineRule="auto"/>
        <w:rPr>
          <w:rFonts w:ascii="Times New Roman" w:hAnsi="Times New Roman"/>
        </w:rPr>
      </w:pPr>
      <w:r w:rsidRPr="00340F0C">
        <w:rPr>
          <w:rFonts w:ascii="Times New Roman" w:hAnsi="Times New Roman"/>
        </w:rPr>
        <w:t>6545 CM Nijmegen</w:t>
      </w:r>
    </w:p>
    <w:p w:rsidR="0031490F" w:rsidRPr="00340F0C" w:rsidRDefault="0031490F" w:rsidP="0031490F">
      <w:pPr>
        <w:spacing w:after="0" w:line="240" w:lineRule="auto"/>
        <w:rPr>
          <w:rFonts w:ascii="Times New Roman" w:hAnsi="Times New Roman"/>
        </w:rPr>
      </w:pPr>
      <w:r w:rsidRPr="00340F0C">
        <w:rPr>
          <w:rFonts w:ascii="Times New Roman" w:hAnsi="Times New Roman"/>
        </w:rPr>
        <w:t>Nyderlandai</w:t>
      </w:r>
    </w:p>
    <w:p w:rsidR="0031490F" w:rsidRPr="00340F0C" w:rsidRDefault="0031490F" w:rsidP="0031490F">
      <w:pPr>
        <w:spacing w:after="0" w:line="240" w:lineRule="auto"/>
        <w:rPr>
          <w:rFonts w:ascii="Times New Roman" w:hAnsi="Times New Roman"/>
          <w:i/>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arba</w:t>
      </w:r>
    </w:p>
    <w:p w:rsidR="0031490F" w:rsidRPr="00340F0C" w:rsidRDefault="0031490F" w:rsidP="0031490F">
      <w:pPr>
        <w:spacing w:after="0" w:line="240" w:lineRule="auto"/>
        <w:rPr>
          <w:rFonts w:ascii="Times New Roman" w:hAnsi="Times New Roman"/>
        </w:rPr>
      </w:pPr>
    </w:p>
    <w:p w:rsidR="0031490F" w:rsidRPr="00340F0C" w:rsidRDefault="0031490F" w:rsidP="0031490F">
      <w:pPr>
        <w:spacing w:after="0" w:line="240" w:lineRule="auto"/>
        <w:rPr>
          <w:rFonts w:ascii="Times New Roman" w:hAnsi="Times New Roman"/>
        </w:rPr>
      </w:pPr>
      <w:r w:rsidRPr="00340F0C">
        <w:rPr>
          <w:rFonts w:ascii="Times New Roman" w:hAnsi="Times New Roman"/>
        </w:rPr>
        <w:t>Synthon Hispania, S.L.</w:t>
      </w:r>
    </w:p>
    <w:p w:rsidR="0031490F" w:rsidRPr="00340F0C" w:rsidRDefault="0031490F" w:rsidP="0031490F">
      <w:pPr>
        <w:spacing w:after="0" w:line="240" w:lineRule="auto"/>
        <w:rPr>
          <w:rFonts w:ascii="Times New Roman" w:hAnsi="Times New Roman"/>
        </w:rPr>
      </w:pPr>
      <w:r w:rsidRPr="00340F0C">
        <w:rPr>
          <w:rFonts w:ascii="Times New Roman" w:hAnsi="Times New Roman"/>
        </w:rPr>
        <w:t>C/Castell</w:t>
      </w:r>
      <w:r w:rsidRPr="009D1353">
        <w:rPr>
          <w:rFonts w:ascii="Times New Roman" w:hAnsi="Times New Roman"/>
        </w:rPr>
        <w:t>ó</w:t>
      </w:r>
      <w:r w:rsidRPr="00340F0C">
        <w:rPr>
          <w:rFonts w:ascii="Times New Roman" w:hAnsi="Times New Roman"/>
        </w:rPr>
        <w:t xml:space="preserve"> no1</w:t>
      </w:r>
    </w:p>
    <w:p w:rsidR="0031490F" w:rsidRPr="00340F0C" w:rsidRDefault="0031490F" w:rsidP="0031490F">
      <w:pPr>
        <w:spacing w:after="0" w:line="240" w:lineRule="auto"/>
        <w:rPr>
          <w:rFonts w:ascii="Times New Roman" w:hAnsi="Times New Roman"/>
        </w:rPr>
      </w:pPr>
      <w:r w:rsidRPr="00340F0C">
        <w:rPr>
          <w:rFonts w:ascii="Times New Roman" w:hAnsi="Times New Roman"/>
        </w:rPr>
        <w:t>Pol. Las Salinas</w:t>
      </w:r>
    </w:p>
    <w:p w:rsidR="0031490F" w:rsidRPr="00340F0C" w:rsidRDefault="0031490F" w:rsidP="0031490F">
      <w:pPr>
        <w:spacing w:after="0" w:line="240" w:lineRule="auto"/>
        <w:rPr>
          <w:rFonts w:ascii="Times New Roman" w:hAnsi="Times New Roman"/>
        </w:rPr>
      </w:pPr>
      <w:r w:rsidRPr="00340F0C">
        <w:rPr>
          <w:rFonts w:ascii="Times New Roman" w:hAnsi="Times New Roman"/>
        </w:rPr>
        <w:t>Sant Boi de Llobregat</w:t>
      </w:r>
    </w:p>
    <w:p w:rsidR="0031490F" w:rsidRPr="00340F0C" w:rsidRDefault="0031490F" w:rsidP="0031490F">
      <w:pPr>
        <w:spacing w:after="0" w:line="240" w:lineRule="auto"/>
        <w:rPr>
          <w:rFonts w:ascii="Times New Roman" w:hAnsi="Times New Roman"/>
        </w:rPr>
      </w:pPr>
      <w:r w:rsidRPr="00340F0C">
        <w:rPr>
          <w:rFonts w:ascii="Times New Roman" w:hAnsi="Times New Roman"/>
        </w:rPr>
        <w:t>08830 Barcelona</w:t>
      </w:r>
    </w:p>
    <w:p w:rsidR="0031490F" w:rsidRPr="00340F0C" w:rsidRDefault="0031490F" w:rsidP="0031490F">
      <w:pPr>
        <w:spacing w:after="0" w:line="240" w:lineRule="auto"/>
        <w:rPr>
          <w:rFonts w:ascii="Times New Roman" w:hAnsi="Times New Roman"/>
        </w:rPr>
      </w:pPr>
      <w:r w:rsidRPr="00340F0C">
        <w:rPr>
          <w:rFonts w:ascii="Times New Roman" w:hAnsi="Times New Roman"/>
        </w:rPr>
        <w:t>Ispanija</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Šio vaistinio preparato rinkodaros teisė EEE valstybėse narėse suteikta tokiais pavadinimais</w:t>
      </w:r>
      <w:r w:rsidRPr="00340F0C">
        <w:rPr>
          <w:rFonts w:ascii="Times New Roman" w:eastAsia="SimSun" w:hAnsi="Times New Roman"/>
          <w:lang w:eastAsia="zh-CN"/>
        </w:rPr>
        <w:t>:</w:t>
      </w:r>
    </w:p>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31490F" w:rsidRPr="00340F0C" w:rsidTr="00536C1B">
        <w:tc>
          <w:tcPr>
            <w:tcW w:w="2235" w:type="dxa"/>
          </w:tcPr>
          <w:p w:rsidR="0031490F" w:rsidRPr="00340F0C" w:rsidRDefault="0031490F" w:rsidP="00536C1B">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Valstybės narės pavadinimas</w:t>
            </w:r>
          </w:p>
        </w:tc>
        <w:tc>
          <w:tcPr>
            <w:tcW w:w="6520" w:type="dxa"/>
          </w:tcPr>
          <w:p w:rsidR="0031490F" w:rsidRPr="00340F0C" w:rsidRDefault="0031490F" w:rsidP="00536C1B">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Vaistinio preparato pavadinimas</w:t>
            </w:r>
          </w:p>
        </w:tc>
      </w:tr>
    </w:tbl>
    <w:p w:rsidR="0031490F" w:rsidRPr="00340F0C" w:rsidRDefault="0031490F" w:rsidP="0031490F">
      <w:pPr>
        <w:numPr>
          <w:ilvl w:val="12"/>
          <w:numId w:val="0"/>
        </w:numPr>
        <w:tabs>
          <w:tab w:val="left" w:pos="567"/>
        </w:tabs>
        <w:spacing w:after="0" w:line="240" w:lineRule="auto"/>
        <w:rPr>
          <w:rFonts w:ascii="Times New Roman" w:eastAsia="SimSun" w:hAnsi="Times New Roman"/>
          <w:lang w:eastAsia="zh-CN"/>
        </w:rPr>
      </w:pPr>
    </w:p>
    <w:p w:rsidR="0031490F" w:rsidRDefault="0031490F" w:rsidP="0031490F">
      <w:pPr>
        <w:numPr>
          <w:ilvl w:val="12"/>
          <w:numId w:val="0"/>
        </w:numPr>
        <w:tabs>
          <w:tab w:val="left" w:pos="567"/>
        </w:tabs>
        <w:spacing w:after="0" w:line="240" w:lineRule="auto"/>
        <w:rPr>
          <w:rFonts w:ascii="Times New Roman" w:eastAsia="SimSun" w:hAnsi="Times New Roman"/>
          <w:b/>
          <w:lang w:eastAsia="zh-CN"/>
        </w:rPr>
      </w:pP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Bulgarija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400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Estija</w:t>
      </w:r>
      <w:r w:rsidRPr="00C87ED4">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400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Vengrija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 xml:space="preserve">Imatinib </w:t>
      </w:r>
      <w:r w:rsidR="00C576C9">
        <w:rPr>
          <w:rFonts w:ascii="Times New Roman" w:eastAsia="SimSun" w:hAnsi="Times New Roman"/>
          <w:lang w:eastAsia="zh-CN"/>
        </w:rPr>
        <w:t xml:space="preserve">RICHTER </w:t>
      </w:r>
      <w:r>
        <w:rPr>
          <w:rFonts w:ascii="Times New Roman" w:eastAsia="SimSun" w:hAnsi="Times New Roman"/>
          <w:lang w:eastAsia="zh-CN"/>
        </w:rPr>
        <w:t>400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Islandija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400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Lietuva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 Synthon </w:t>
      </w:r>
      <w:r>
        <w:rPr>
          <w:rFonts w:ascii="Times New Roman" w:eastAsia="SimSun" w:hAnsi="Times New Roman"/>
          <w:lang w:eastAsia="zh-CN"/>
        </w:rPr>
        <w:t xml:space="preserve">400 </w:t>
      </w:r>
      <w:r w:rsidRPr="00C87ED4">
        <w:rPr>
          <w:rFonts w:ascii="Times New Roman" w:eastAsia="SimSun" w:hAnsi="Times New Roman"/>
          <w:lang w:eastAsia="zh-CN"/>
        </w:rPr>
        <w:t>mg plėvele dengtos tabletės</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Latvija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Imatinibo Synthon </w:t>
      </w:r>
      <w:r>
        <w:rPr>
          <w:rFonts w:ascii="Times New Roman" w:eastAsia="SimSun" w:hAnsi="Times New Roman"/>
          <w:lang w:eastAsia="zh-CN"/>
        </w:rPr>
        <w:t xml:space="preserve">400 </w:t>
      </w:r>
      <w:r w:rsidRPr="00C87ED4">
        <w:rPr>
          <w:rFonts w:ascii="Times New Roman" w:eastAsia="SimSun" w:hAnsi="Times New Roman"/>
          <w:lang w:eastAsia="zh-CN"/>
        </w:rPr>
        <w:t>mg apvalkotās tabletes</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Nyderlandai</w:t>
      </w:r>
      <w:r w:rsidRPr="00C87ED4">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 Synthon </w:t>
      </w:r>
      <w:r>
        <w:rPr>
          <w:rFonts w:ascii="Times New Roman" w:eastAsia="SimSun" w:hAnsi="Times New Roman"/>
          <w:lang w:eastAsia="zh-CN"/>
        </w:rPr>
        <w:t xml:space="preserve">400 </w:t>
      </w:r>
      <w:r w:rsidRPr="00C87ED4">
        <w:rPr>
          <w:rFonts w:ascii="Times New Roman" w:eastAsia="SimSun" w:hAnsi="Times New Roman"/>
          <w:lang w:eastAsia="zh-CN"/>
        </w:rPr>
        <w:t>mg, tabletten</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lastRenderedPageBreak/>
        <w:t>Rumunija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400 mg comprimate filmate</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Slovakija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t>Imatinib Synthon 400 mg</w:t>
      </w:r>
    </w:p>
    <w:p w:rsidR="0031490F" w:rsidRPr="00C87ED4" w:rsidRDefault="0031490F" w:rsidP="0031490F">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w:t>
      </w:r>
      <w:r w:rsidRPr="00104BB2">
        <w:rPr>
          <w:rFonts w:ascii="Times New Roman" w:hAnsi="Times New Roman"/>
          <w:lang w:eastAsia="en-GB"/>
        </w:rPr>
        <w:t>ė</w:t>
      </w:r>
      <w:r w:rsidRPr="004418AB">
        <w:rPr>
          <w:rFonts w:ascii="Times New Roman" w:eastAsia="SimSun" w:hAnsi="Times New Roman"/>
          <w:lang w:eastAsia="zh-CN"/>
        </w:rPr>
        <w:t>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 xml:space="preserve">Imatinib Synthon </w:t>
      </w:r>
      <w:r>
        <w:rPr>
          <w:rFonts w:ascii="Times New Roman" w:eastAsia="SimSun" w:hAnsi="Times New Roman"/>
          <w:lang w:eastAsia="zh-CN"/>
        </w:rPr>
        <w:t>400</w:t>
      </w:r>
      <w:r w:rsidRPr="00C87ED4">
        <w:rPr>
          <w:rFonts w:ascii="Times New Roman" w:eastAsia="SimSun" w:hAnsi="Times New Roman"/>
          <w:lang w:eastAsia="zh-CN"/>
        </w:rPr>
        <w:t xml:space="preserve"> mg filmsko obložene tablete</w:t>
      </w:r>
    </w:p>
    <w:p w:rsidR="0031490F" w:rsidRDefault="0031490F" w:rsidP="0031490F">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Lenkija</w:t>
      </w:r>
      <w:r>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Pr="00C87ED4">
        <w:rPr>
          <w:rFonts w:ascii="Times New Roman" w:eastAsia="SimSun" w:hAnsi="Times New Roman"/>
          <w:lang w:eastAsia="zh-CN"/>
        </w:rPr>
        <w:t>Imatinubu Synthon</w:t>
      </w:r>
    </w:p>
    <w:p w:rsidR="0031490F" w:rsidRDefault="0031490F" w:rsidP="0031490F">
      <w:pPr>
        <w:numPr>
          <w:ilvl w:val="12"/>
          <w:numId w:val="0"/>
        </w:numPr>
        <w:tabs>
          <w:tab w:val="left" w:pos="567"/>
        </w:tabs>
        <w:spacing w:after="0" w:line="240" w:lineRule="auto"/>
        <w:outlineLvl w:val="0"/>
        <w:rPr>
          <w:rFonts w:ascii="Times New Roman" w:eastAsia="SimSun" w:hAnsi="Times New Roman"/>
          <w:b/>
          <w:bCs/>
          <w:lang w:eastAsia="zh-CN"/>
        </w:rPr>
      </w:pPr>
    </w:p>
    <w:p w:rsidR="0031490F" w:rsidRDefault="0031490F" w:rsidP="0031490F">
      <w:pPr>
        <w:numPr>
          <w:ilvl w:val="12"/>
          <w:numId w:val="0"/>
        </w:numPr>
        <w:tabs>
          <w:tab w:val="left" w:pos="567"/>
        </w:tabs>
        <w:spacing w:after="0" w:line="240" w:lineRule="auto"/>
        <w:outlineLvl w:val="0"/>
        <w:rPr>
          <w:rFonts w:ascii="Times New Roman" w:eastAsia="SimSun" w:hAnsi="Times New Roman"/>
          <w:b/>
          <w:bCs/>
          <w:lang w:eastAsia="zh-CN"/>
        </w:rPr>
      </w:pPr>
    </w:p>
    <w:p w:rsidR="0031490F" w:rsidRPr="009D1353" w:rsidRDefault="0031490F" w:rsidP="0031490F">
      <w:pPr>
        <w:numPr>
          <w:ilvl w:val="12"/>
          <w:numId w:val="0"/>
        </w:numPr>
        <w:tabs>
          <w:tab w:val="left" w:pos="567"/>
        </w:tabs>
        <w:spacing w:after="0" w:line="240" w:lineRule="auto"/>
        <w:outlineLvl w:val="0"/>
        <w:rPr>
          <w:rFonts w:ascii="Times New Roman" w:hAnsi="Times New Roman"/>
          <w:highlight w:val="yellow"/>
        </w:rPr>
      </w:pPr>
      <w:r w:rsidRPr="00340F0C">
        <w:rPr>
          <w:rFonts w:ascii="Times New Roman" w:eastAsia="SimSun" w:hAnsi="Times New Roman"/>
          <w:b/>
          <w:bCs/>
          <w:lang w:eastAsia="zh-CN"/>
        </w:rPr>
        <w:t xml:space="preserve">Šis pakuotės </w:t>
      </w:r>
      <w:r w:rsidRPr="00340F0C">
        <w:rPr>
          <w:rFonts w:ascii="Times New Roman" w:eastAsia="SimSun" w:hAnsi="Times New Roman"/>
          <w:b/>
          <w:lang w:eastAsia="zh-CN"/>
        </w:rPr>
        <w:t xml:space="preserve">lapelis paskutinį kartą peržiūrėtas </w:t>
      </w:r>
      <w:r w:rsidR="00F50A5F">
        <w:rPr>
          <w:rFonts w:ascii="Times New Roman" w:eastAsia="SimSun" w:hAnsi="Times New Roman"/>
          <w:b/>
          <w:lang w:eastAsia="zh-CN"/>
        </w:rPr>
        <w:t>2016 01 19</w:t>
      </w:r>
    </w:p>
    <w:p w:rsidR="0031490F" w:rsidRDefault="0031490F" w:rsidP="0031490F">
      <w:pPr>
        <w:numPr>
          <w:ilvl w:val="12"/>
          <w:numId w:val="0"/>
        </w:numPr>
        <w:tabs>
          <w:tab w:val="left" w:pos="567"/>
        </w:tabs>
        <w:spacing w:after="0" w:line="240" w:lineRule="auto"/>
        <w:ind w:right="-2"/>
        <w:rPr>
          <w:rFonts w:ascii="Times New Roman" w:eastAsia="Times New Roman" w:hAnsi="Times New Roman"/>
          <w:snapToGrid w:val="0"/>
          <w:szCs w:val="20"/>
        </w:rPr>
      </w:pPr>
    </w:p>
    <w:p w:rsidR="0031490F" w:rsidRDefault="0031490F" w:rsidP="0031490F">
      <w:pPr>
        <w:numPr>
          <w:ilvl w:val="12"/>
          <w:numId w:val="0"/>
        </w:numPr>
        <w:tabs>
          <w:tab w:val="left" w:pos="567"/>
        </w:tabs>
        <w:spacing w:after="0" w:line="240" w:lineRule="auto"/>
        <w:ind w:right="-2"/>
        <w:rPr>
          <w:rFonts w:ascii="Times New Roman" w:eastAsia="Times New Roman" w:hAnsi="Times New Roman"/>
          <w:snapToGrid w:val="0"/>
          <w:szCs w:val="20"/>
        </w:rPr>
      </w:pPr>
    </w:p>
    <w:p w:rsidR="0031490F" w:rsidRPr="009D1353" w:rsidRDefault="0031490F" w:rsidP="0031490F">
      <w:pPr>
        <w:numPr>
          <w:ilvl w:val="12"/>
          <w:numId w:val="0"/>
        </w:numPr>
        <w:tabs>
          <w:tab w:val="left" w:pos="567"/>
        </w:tabs>
        <w:spacing w:after="0" w:line="240" w:lineRule="auto"/>
        <w:ind w:right="-2"/>
        <w:rPr>
          <w:rFonts w:ascii="Times New Roman" w:hAnsi="Times New Roman"/>
        </w:rPr>
      </w:pPr>
      <w:r w:rsidRPr="00307C04">
        <w:rPr>
          <w:rFonts w:ascii="Times New Roman" w:eastAsia="Times New Roman" w:hAnsi="Times New Roman"/>
          <w:snapToGrid w:val="0"/>
          <w:szCs w:val="20"/>
        </w:rPr>
        <w:t xml:space="preserve">Išsami informacija apie šį </w:t>
      </w:r>
      <w:r w:rsidRPr="00307C04">
        <w:rPr>
          <w:rFonts w:ascii="Times New Roman" w:eastAsia="Times New Roman" w:hAnsi="Times New Roman"/>
          <w:snapToGrid w:val="0"/>
          <w:szCs w:val="24"/>
        </w:rPr>
        <w:t>vaistą</w:t>
      </w:r>
      <w:r w:rsidRPr="00307C04">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07C04">
        <w:rPr>
          <w:rFonts w:ascii="Times New Roman" w:eastAsia="Times New Roman" w:hAnsi="Times New Roman"/>
          <w:i/>
          <w:snapToGrid w:val="0"/>
          <w:szCs w:val="24"/>
        </w:rPr>
        <w:t xml:space="preserve"> </w:t>
      </w:r>
      <w:hyperlink r:id="rId19" w:history="1">
        <w:r w:rsidRPr="00340F0C">
          <w:rPr>
            <w:rFonts w:ascii="Times New Roman" w:eastAsia="SimSun" w:hAnsi="Times New Roman"/>
            <w:snapToGrid w:val="0"/>
            <w:szCs w:val="20"/>
            <w:u w:val="single"/>
          </w:rPr>
          <w:t>http://www.vvkt.lt/</w:t>
        </w:r>
      </w:hyperlink>
      <w:r w:rsidRPr="00307C04">
        <w:rPr>
          <w:rFonts w:ascii="Times New Roman" w:eastAsia="Times New Roman" w:hAnsi="Times New Roman"/>
          <w:snapToGrid w:val="0"/>
          <w:szCs w:val="20"/>
        </w:rPr>
        <w:t>.</w:t>
      </w:r>
    </w:p>
    <w:p w:rsidR="0031490F" w:rsidRPr="00810C90" w:rsidRDefault="0031490F" w:rsidP="0031490F">
      <w:pPr>
        <w:spacing w:after="0" w:line="240" w:lineRule="auto"/>
        <w:rPr>
          <w:rFonts w:ascii="Times New Roman" w:hAnsi="Times New Roman"/>
        </w:rPr>
      </w:pPr>
    </w:p>
    <w:p w:rsidR="009C207A" w:rsidRDefault="009C207A">
      <w:bookmarkStart w:id="1" w:name="_GoBack"/>
      <w:bookmarkEnd w:id="1"/>
      <w:permStart w:id="262038461" w:edGrp="everyone"/>
      <w:permEnd w:id="262038461"/>
    </w:p>
    <w:sectPr w:rsidR="009C207A" w:rsidSect="003E3807">
      <w:footerReference w:type="default" r:id="rId20"/>
      <w:footerReference w:type="first" r:id="rId21"/>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0B" w:rsidRDefault="0015490B">
      <w:pPr>
        <w:spacing w:after="0" w:line="240" w:lineRule="auto"/>
      </w:pPr>
      <w:r>
        <w:separator/>
      </w:r>
    </w:p>
  </w:endnote>
  <w:endnote w:type="continuationSeparator" w:id="0">
    <w:p w:rsidR="0015490B" w:rsidRDefault="0015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89" w:rsidRPr="009D1353" w:rsidRDefault="0031490F" w:rsidP="00810C90">
    <w:pPr>
      <w:pStyle w:val="Porat"/>
      <w:tabs>
        <w:tab w:val="right" w:pos="8931"/>
      </w:tabs>
      <w:ind w:right="96"/>
      <w:jc w:val="center"/>
    </w:pPr>
    <w:r>
      <w:rPr>
        <w:szCs w:val="24"/>
      </w:rPr>
      <w:tab/>
    </w:r>
    <w:r>
      <w:rPr>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89" w:rsidRPr="009D1353" w:rsidRDefault="0031490F" w:rsidP="009D1353">
    <w:pPr>
      <w:pStyle w:val="Porat"/>
      <w:tabs>
        <w:tab w:val="right" w:pos="8931"/>
      </w:tabs>
      <w:ind w:right="96"/>
      <w:jc w:val="center"/>
      <w:rPr>
        <w:rFonts w:ascii="Times New Roman" w:hAnsi="Times New Roman"/>
        <w:sz w:val="20"/>
      </w:rPr>
    </w:pPr>
    <w:r w:rsidRPr="009D1353">
      <w:rPr>
        <w:rFonts w:ascii="Times New Roman" w:hAnsi="Times New Roman"/>
        <w:sz w:val="20"/>
      </w:rPr>
      <w:fldChar w:fldCharType="begin"/>
    </w:r>
    <w:r w:rsidRPr="009D1353">
      <w:rPr>
        <w:rFonts w:ascii="Times New Roman" w:hAnsi="Times New Roman"/>
        <w:sz w:val="20"/>
      </w:rPr>
      <w:instrText xml:space="preserve"> EQ </w:instrText>
    </w:r>
    <w:r w:rsidRPr="009D1353">
      <w:rPr>
        <w:rFonts w:ascii="Times New Roman" w:hAnsi="Times New Roman"/>
        <w:sz w:val="20"/>
      </w:rPr>
      <w:fldChar w:fldCharType="end"/>
    </w:r>
    <w:r w:rsidRPr="009D1353">
      <w:rPr>
        <w:rStyle w:val="Puslapionumeris"/>
        <w:rFonts w:ascii="Times New Roman" w:hAnsi="Times New Roman"/>
        <w:sz w:val="20"/>
      </w:rPr>
      <w:fldChar w:fldCharType="begin"/>
    </w:r>
    <w:r w:rsidRPr="009D1353">
      <w:rPr>
        <w:rStyle w:val="Puslapionumeris"/>
        <w:rFonts w:ascii="Times New Roman" w:hAnsi="Times New Roman"/>
        <w:sz w:val="20"/>
      </w:rPr>
      <w:instrText xml:space="preserve">PAGE  </w:instrText>
    </w:r>
    <w:r w:rsidRPr="009D1353">
      <w:rPr>
        <w:rStyle w:val="Puslapionumeris"/>
        <w:rFonts w:ascii="Times New Roman" w:hAnsi="Times New Roman"/>
        <w:sz w:val="20"/>
      </w:rPr>
      <w:fldChar w:fldCharType="separate"/>
    </w:r>
    <w:r w:rsidR="00B80509">
      <w:rPr>
        <w:rStyle w:val="Puslapionumeris"/>
        <w:rFonts w:ascii="Times New Roman" w:hAnsi="Times New Roman"/>
        <w:sz w:val="20"/>
      </w:rPr>
      <w:t>1</w:t>
    </w:r>
    <w:r w:rsidRPr="009D1353">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0B" w:rsidRDefault="0015490B">
      <w:pPr>
        <w:spacing w:after="0" w:line="240" w:lineRule="auto"/>
      </w:pPr>
      <w:r>
        <w:separator/>
      </w:r>
    </w:p>
  </w:footnote>
  <w:footnote w:type="continuationSeparator" w:id="0">
    <w:p w:rsidR="0015490B" w:rsidRDefault="00154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887"/>
    <w:multiLevelType w:val="hybridMultilevel"/>
    <w:tmpl w:val="4C9C8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3">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F364E40"/>
    <w:multiLevelType w:val="hybridMultilevel"/>
    <w:tmpl w:val="0F360164"/>
    <w:lvl w:ilvl="0" w:tplc="A3EC036C">
      <w:start w:val="1"/>
      <w:numFmt w:val="decimal"/>
      <w:lvlText w:val="%1"/>
      <w:lvlJc w:val="left"/>
      <w:pPr>
        <w:ind w:left="579" w:hanging="360"/>
      </w:pPr>
      <w:rPr>
        <w:rFonts w:cs="Times New Roman" w:hint="default"/>
        <w:vertAlign w:val="superscript"/>
      </w:rPr>
    </w:lvl>
    <w:lvl w:ilvl="1" w:tplc="04090001">
      <w:start w:val="1"/>
      <w:numFmt w:val="bullet"/>
      <w:lvlText w:val=""/>
      <w:lvlJc w:val="left"/>
      <w:pPr>
        <w:ind w:left="1299" w:hanging="360"/>
      </w:pPr>
      <w:rPr>
        <w:rFonts w:ascii="Symbol" w:hAnsi="Symbol" w:hint="default"/>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6">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60C7DE1"/>
    <w:multiLevelType w:val="hybridMultilevel"/>
    <w:tmpl w:val="0980DEF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4087D"/>
    <w:multiLevelType w:val="hybridMultilevel"/>
    <w:tmpl w:val="CA140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5">
    <w:nsid w:val="3F2B13EC"/>
    <w:multiLevelType w:val="hybridMultilevel"/>
    <w:tmpl w:val="D35AD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2391CFE"/>
    <w:multiLevelType w:val="hybridMultilevel"/>
    <w:tmpl w:val="039E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2B6609D"/>
    <w:multiLevelType w:val="hybridMultilevel"/>
    <w:tmpl w:val="EDEE8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2917B71"/>
    <w:multiLevelType w:val="hybridMultilevel"/>
    <w:tmpl w:val="2AA8DFEA"/>
    <w:lvl w:ilvl="0" w:tplc="9B0CC6B4">
      <w:start w:val="8"/>
      <w:numFmt w:val="decimal"/>
      <w:lvlText w:val="%1"/>
      <w:lvlJc w:val="left"/>
      <w:pPr>
        <w:ind w:left="579" w:hanging="360"/>
      </w:pPr>
      <w:rPr>
        <w:rFonts w:cs="Times New Roman" w:hint="default"/>
        <w:vertAlign w:val="superscript"/>
      </w:rPr>
    </w:lvl>
    <w:lvl w:ilvl="1" w:tplc="04270019" w:tentative="1">
      <w:start w:val="1"/>
      <w:numFmt w:val="lowerLetter"/>
      <w:lvlText w:val="%2."/>
      <w:lvlJc w:val="left"/>
      <w:pPr>
        <w:ind w:left="1299" w:hanging="360"/>
      </w:pPr>
      <w:rPr>
        <w:rFonts w:cs="Times New Roman"/>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24">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3"/>
  </w:num>
  <w:num w:numId="4">
    <w:abstractNumId w:val="17"/>
  </w:num>
  <w:num w:numId="5">
    <w:abstractNumId w:val="24"/>
  </w:num>
  <w:num w:numId="6">
    <w:abstractNumId w:val="6"/>
  </w:num>
  <w:num w:numId="7">
    <w:abstractNumId w:val="11"/>
  </w:num>
  <w:num w:numId="8">
    <w:abstractNumId w:val="12"/>
  </w:num>
  <w:num w:numId="9">
    <w:abstractNumId w:val="21"/>
  </w:num>
  <w:num w:numId="10">
    <w:abstractNumId w:val="8"/>
  </w:num>
  <w:num w:numId="11">
    <w:abstractNumId w:val="14"/>
  </w:num>
  <w:num w:numId="12">
    <w:abstractNumId w:val="1"/>
  </w:num>
  <w:num w:numId="13">
    <w:abstractNumId w:val="13"/>
  </w:num>
  <w:num w:numId="14">
    <w:abstractNumId w:val="15"/>
  </w:num>
  <w:num w:numId="15">
    <w:abstractNumId w:val="19"/>
  </w:num>
  <w:num w:numId="16">
    <w:abstractNumId w:val="20"/>
  </w:num>
  <w:num w:numId="17">
    <w:abstractNumId w:val="16"/>
  </w:num>
  <w:num w:numId="18">
    <w:abstractNumId w:val="2"/>
  </w:num>
  <w:num w:numId="19">
    <w:abstractNumId w:val="4"/>
  </w:num>
  <w:num w:numId="20">
    <w:abstractNumId w:val="3"/>
  </w:num>
  <w:num w:numId="21">
    <w:abstractNumId w:val="18"/>
  </w:num>
  <w:num w:numId="22">
    <w:abstractNumId w:val="0"/>
  </w:num>
  <w:num w:numId="23">
    <w:abstractNumId w:val="7"/>
  </w:num>
  <w:num w:numId="24">
    <w:abstractNumId w:val="9"/>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cumentProtection w:edit="readOnly" w:enforcement="1" w:cryptProviderType="rsaFull" w:cryptAlgorithmClass="hash" w:cryptAlgorithmType="typeAny" w:cryptAlgorithmSid="4" w:cryptSpinCount="100000" w:hash="9eBO7tgMM4KBjOd7J3E92AQlsUU=" w:salt="h/cwWvVk22jifGfYAk4S4w=="/>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F4"/>
    <w:rsid w:val="0015490B"/>
    <w:rsid w:val="0031490F"/>
    <w:rsid w:val="009C207A"/>
    <w:rsid w:val="00A655F4"/>
    <w:rsid w:val="00B80509"/>
    <w:rsid w:val="00C576C9"/>
    <w:rsid w:val="00EA6BCD"/>
    <w:rsid w:val="00F50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490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9"/>
    <w:qFormat/>
    <w:rsid w:val="0031490F"/>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31490F"/>
    <w:pPr>
      <w:keepNext/>
      <w:tabs>
        <w:tab w:val="left" w:pos="567"/>
      </w:tabs>
      <w:spacing w:before="240" w:after="60" w:line="260" w:lineRule="exact"/>
      <w:outlineLvl w:val="1"/>
    </w:pPr>
    <w:rPr>
      <w:rFonts w:ascii="Helvetica" w:eastAsia="SimSun" w:hAnsi="Helvetica"/>
      <w:b/>
      <w:i/>
      <w:sz w:val="24"/>
      <w:szCs w:val="20"/>
      <w:lang w:val="en-GB"/>
    </w:rPr>
  </w:style>
  <w:style w:type="paragraph" w:styleId="Antrat3">
    <w:name w:val="heading 3"/>
    <w:basedOn w:val="prastasis"/>
    <w:next w:val="prastasis"/>
    <w:link w:val="Antrat3Diagrama"/>
    <w:uiPriority w:val="99"/>
    <w:qFormat/>
    <w:rsid w:val="0031490F"/>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31490F"/>
    <w:pPr>
      <w:keepNext/>
      <w:tabs>
        <w:tab w:val="left" w:pos="567"/>
      </w:tabs>
      <w:spacing w:after="0" w:line="260" w:lineRule="exact"/>
      <w:jc w:val="both"/>
      <w:outlineLvl w:val="3"/>
    </w:pPr>
    <w:rPr>
      <w:rFonts w:ascii="Times New Roman" w:eastAsia="SimSun" w:hAnsi="Times New Roman"/>
      <w:b/>
      <w:noProof/>
      <w:sz w:val="20"/>
      <w:szCs w:val="20"/>
      <w:lang w:val="en-GB" w:eastAsia="lt-LT"/>
    </w:rPr>
  </w:style>
  <w:style w:type="paragraph" w:styleId="Antrat5">
    <w:name w:val="heading 5"/>
    <w:basedOn w:val="prastasis"/>
    <w:next w:val="prastasis"/>
    <w:link w:val="Antrat5Diagrama"/>
    <w:uiPriority w:val="99"/>
    <w:qFormat/>
    <w:rsid w:val="0031490F"/>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31490F"/>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31490F"/>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31490F"/>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31490F"/>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90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1490F"/>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31490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31490F"/>
    <w:rPr>
      <w:rFonts w:ascii="Times New Roman" w:eastAsia="SimSun" w:hAnsi="Times New Roman" w:cs="Times New Roman"/>
      <w:b/>
      <w:noProof/>
      <w:sz w:val="20"/>
      <w:szCs w:val="20"/>
      <w:lang w:val="en-GB" w:eastAsia="lt-LT"/>
    </w:rPr>
  </w:style>
  <w:style w:type="character" w:customStyle="1" w:styleId="Antrat5Diagrama">
    <w:name w:val="Antraštė 5 Diagrama"/>
    <w:basedOn w:val="Numatytasispastraiposriftas"/>
    <w:link w:val="Antrat5"/>
    <w:uiPriority w:val="99"/>
    <w:rsid w:val="0031490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1490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1490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1490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1490F"/>
    <w:rPr>
      <w:rFonts w:ascii="Times New Roman" w:eastAsia="SimSun" w:hAnsi="Times New Roman" w:cs="Times New Roman"/>
      <w:b/>
      <w:i/>
      <w:szCs w:val="20"/>
      <w:lang w:val="en-GB"/>
    </w:rPr>
  </w:style>
  <w:style w:type="character" w:customStyle="1" w:styleId="Heading4Char">
    <w:name w:val="Heading 4 Char"/>
    <w:basedOn w:val="Numatytasispastraiposriftas"/>
    <w:uiPriority w:val="99"/>
    <w:rsid w:val="0031490F"/>
    <w:rPr>
      <w:rFonts w:ascii="Cambria" w:eastAsia="Times New Roman" w:hAnsi="Cambria" w:cs="Times New Roman"/>
      <w:b/>
      <w:bCs/>
      <w:i/>
      <w:iCs/>
      <w:color w:val="4F81BD"/>
    </w:rPr>
  </w:style>
  <w:style w:type="paragraph" w:styleId="Porat">
    <w:name w:val="footer"/>
    <w:basedOn w:val="prastasis"/>
    <w:link w:val="PoratDiagrama"/>
    <w:uiPriority w:val="99"/>
    <w:rsid w:val="0031490F"/>
    <w:pPr>
      <w:tabs>
        <w:tab w:val="left" w:pos="567"/>
        <w:tab w:val="center" w:pos="4536"/>
        <w:tab w:val="right" w:pos="8306"/>
      </w:tabs>
      <w:spacing w:after="0" w:line="260" w:lineRule="exact"/>
    </w:pPr>
    <w:rPr>
      <w:rFonts w:ascii="Arial" w:eastAsia="SimSun" w:hAnsi="Arial"/>
      <w:noProof/>
      <w:sz w:val="16"/>
      <w:szCs w:val="20"/>
      <w:lang w:val="en-US" w:eastAsia="zh-CN"/>
    </w:rPr>
  </w:style>
  <w:style w:type="character" w:customStyle="1" w:styleId="PoratDiagrama">
    <w:name w:val="Poraštė Diagrama"/>
    <w:basedOn w:val="Numatytasispastraiposriftas"/>
    <w:link w:val="Porat"/>
    <w:uiPriority w:val="99"/>
    <w:rsid w:val="0031490F"/>
    <w:rPr>
      <w:rFonts w:ascii="Arial" w:eastAsia="SimSun" w:hAnsi="Arial" w:cs="Times New Roman"/>
      <w:noProof/>
      <w:sz w:val="16"/>
      <w:szCs w:val="20"/>
      <w:lang w:val="en-US" w:eastAsia="zh-CN"/>
    </w:rPr>
  </w:style>
  <w:style w:type="character" w:styleId="Puslapionumeris">
    <w:name w:val="page number"/>
    <w:uiPriority w:val="99"/>
    <w:rsid w:val="0031490F"/>
    <w:rPr>
      <w:rFonts w:cs="Times New Roman"/>
    </w:rPr>
  </w:style>
  <w:style w:type="character" w:styleId="Hipersaitas">
    <w:name w:val="Hyperlink"/>
    <w:uiPriority w:val="99"/>
    <w:rsid w:val="0031490F"/>
    <w:rPr>
      <w:rFonts w:cs="Times New Roman"/>
      <w:color w:val="0000FF"/>
      <w:u w:val="single"/>
    </w:rPr>
  </w:style>
  <w:style w:type="paragraph" w:customStyle="1" w:styleId="EMEAEnBodyText">
    <w:name w:val="EMEA En Body Text"/>
    <w:basedOn w:val="prastasis"/>
    <w:uiPriority w:val="99"/>
    <w:rsid w:val="0031490F"/>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31490F"/>
    <w:rPr>
      <w:rFonts w:ascii="Courier New" w:hAnsi="Courier New"/>
      <w:vanish/>
      <w:color w:val="800080"/>
      <w:sz w:val="24"/>
      <w:vertAlign w:val="subscript"/>
    </w:rPr>
  </w:style>
  <w:style w:type="character" w:customStyle="1" w:styleId="tw4winError">
    <w:name w:val="tw4winError"/>
    <w:uiPriority w:val="99"/>
    <w:rsid w:val="0031490F"/>
    <w:rPr>
      <w:rFonts w:ascii="Courier New" w:hAnsi="Courier New"/>
      <w:color w:val="00FF00"/>
      <w:sz w:val="40"/>
    </w:rPr>
  </w:style>
  <w:style w:type="character" w:customStyle="1" w:styleId="tw4winTerm">
    <w:name w:val="tw4winTerm"/>
    <w:uiPriority w:val="99"/>
    <w:rsid w:val="0031490F"/>
    <w:rPr>
      <w:color w:val="0000FF"/>
    </w:rPr>
  </w:style>
  <w:style w:type="character" w:customStyle="1" w:styleId="tw4winPopup">
    <w:name w:val="tw4winPopup"/>
    <w:uiPriority w:val="99"/>
    <w:rsid w:val="0031490F"/>
    <w:rPr>
      <w:rFonts w:ascii="Courier New" w:hAnsi="Courier New"/>
      <w:noProof/>
      <w:color w:val="008000"/>
    </w:rPr>
  </w:style>
  <w:style w:type="character" w:customStyle="1" w:styleId="tw4winJump">
    <w:name w:val="tw4winJump"/>
    <w:uiPriority w:val="99"/>
    <w:rsid w:val="0031490F"/>
    <w:rPr>
      <w:rFonts w:ascii="Courier New" w:hAnsi="Courier New"/>
      <w:noProof/>
      <w:color w:val="008080"/>
    </w:rPr>
  </w:style>
  <w:style w:type="character" w:customStyle="1" w:styleId="tw4winExternal">
    <w:name w:val="tw4winExternal"/>
    <w:uiPriority w:val="99"/>
    <w:rsid w:val="0031490F"/>
    <w:rPr>
      <w:rFonts w:ascii="Courier New" w:hAnsi="Courier New"/>
      <w:noProof/>
      <w:color w:val="808080"/>
    </w:rPr>
  </w:style>
  <w:style w:type="character" w:customStyle="1" w:styleId="tw4winInternal">
    <w:name w:val="tw4winInternal"/>
    <w:uiPriority w:val="99"/>
    <w:rsid w:val="0031490F"/>
    <w:rPr>
      <w:rFonts w:ascii="Courier New" w:hAnsi="Courier New"/>
      <w:noProof/>
      <w:color w:val="FF0000"/>
    </w:rPr>
  </w:style>
  <w:style w:type="character" w:customStyle="1" w:styleId="DONOTTRANSLATE">
    <w:name w:val="DO_NOT_TRANSLATE"/>
    <w:uiPriority w:val="99"/>
    <w:rsid w:val="0031490F"/>
    <w:rPr>
      <w:rFonts w:ascii="Courier New" w:hAnsi="Courier New"/>
      <w:noProof/>
      <w:color w:val="800000"/>
    </w:rPr>
  </w:style>
  <w:style w:type="paragraph" w:styleId="Debesliotekstas">
    <w:name w:val="Balloon Text"/>
    <w:basedOn w:val="prastasis"/>
    <w:link w:val="DebesliotekstasDiagrama"/>
    <w:uiPriority w:val="99"/>
    <w:rsid w:val="0031490F"/>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rsid w:val="0031490F"/>
    <w:rPr>
      <w:rFonts w:ascii="Tahoma" w:eastAsia="SimSun" w:hAnsi="Tahoma" w:cs="Tahoma"/>
      <w:sz w:val="16"/>
      <w:szCs w:val="16"/>
      <w:lang w:val="en-GB" w:eastAsia="zh-CN"/>
    </w:rPr>
  </w:style>
  <w:style w:type="character" w:styleId="Komentaronuoroda">
    <w:name w:val="annotation reference"/>
    <w:uiPriority w:val="99"/>
    <w:rsid w:val="0031490F"/>
    <w:rPr>
      <w:rFonts w:cs="Times New Roman"/>
      <w:sz w:val="16"/>
    </w:rPr>
  </w:style>
  <w:style w:type="paragraph" w:styleId="Komentarotekstas">
    <w:name w:val="annotation text"/>
    <w:basedOn w:val="prastasis"/>
    <w:link w:val="KomentarotekstasDiagrama"/>
    <w:uiPriority w:val="99"/>
    <w:rsid w:val="0031490F"/>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31490F"/>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31490F"/>
    <w:rPr>
      <w:b/>
      <w:bCs/>
    </w:rPr>
  </w:style>
  <w:style w:type="character" w:customStyle="1" w:styleId="KomentarotemaDiagrama">
    <w:name w:val="Komentaro tema Diagrama"/>
    <w:basedOn w:val="KomentarotekstasDiagrama"/>
    <w:link w:val="Komentarotema"/>
    <w:uiPriority w:val="99"/>
    <w:rsid w:val="0031490F"/>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31490F"/>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31490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31490F"/>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rsid w:val="0031490F"/>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31490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1490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1490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1490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149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1490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1490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1490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149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1490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1490F"/>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31490F"/>
    <w:pPr>
      <w:numPr>
        <w:ilvl w:val="1"/>
      </w:numPr>
    </w:pPr>
    <w:rPr>
      <w:sz w:val="22"/>
    </w:rPr>
  </w:style>
  <w:style w:type="paragraph" w:customStyle="1" w:styleId="AHeader3">
    <w:name w:val="AHeader 3"/>
    <w:basedOn w:val="AHeader2"/>
    <w:uiPriority w:val="99"/>
    <w:rsid w:val="0031490F"/>
    <w:pPr>
      <w:numPr>
        <w:ilvl w:val="2"/>
      </w:numPr>
    </w:pPr>
  </w:style>
  <w:style w:type="paragraph" w:customStyle="1" w:styleId="AHeader2abc">
    <w:name w:val="AHeader 2 abc"/>
    <w:basedOn w:val="AHeader3"/>
    <w:uiPriority w:val="99"/>
    <w:rsid w:val="0031490F"/>
    <w:pPr>
      <w:numPr>
        <w:ilvl w:val="3"/>
      </w:numPr>
      <w:jc w:val="both"/>
    </w:pPr>
    <w:rPr>
      <w:b w:val="0"/>
      <w:bCs w:val="0"/>
    </w:rPr>
  </w:style>
  <w:style w:type="paragraph" w:customStyle="1" w:styleId="AHeader3abc">
    <w:name w:val="AHeader 3 abc"/>
    <w:basedOn w:val="AHeader2abc"/>
    <w:uiPriority w:val="99"/>
    <w:rsid w:val="0031490F"/>
    <w:pPr>
      <w:numPr>
        <w:ilvl w:val="4"/>
      </w:numPr>
    </w:pPr>
  </w:style>
  <w:style w:type="paragraph" w:styleId="Pagrindiniotekstotrauka3">
    <w:name w:val="Body Text Indent 3"/>
    <w:basedOn w:val="prastasis"/>
    <w:link w:val="Pagrindiniotekstotrauka3Diagrama"/>
    <w:uiPriority w:val="99"/>
    <w:rsid w:val="0031490F"/>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rsid w:val="0031490F"/>
    <w:rPr>
      <w:rFonts w:ascii="Times New Roman" w:eastAsia="SimSun" w:hAnsi="Times New Roman" w:cs="Times New Roman"/>
      <w:sz w:val="21"/>
      <w:szCs w:val="21"/>
      <w:lang w:val="en-GB"/>
    </w:rPr>
  </w:style>
  <w:style w:type="character" w:styleId="Perirtashipersaitas">
    <w:name w:val="FollowedHyperlink"/>
    <w:uiPriority w:val="99"/>
    <w:rsid w:val="0031490F"/>
    <w:rPr>
      <w:rFonts w:cs="Times New Roman"/>
      <w:color w:val="800080"/>
      <w:u w:val="single"/>
    </w:rPr>
  </w:style>
  <w:style w:type="character" w:styleId="Grietas">
    <w:name w:val="Strong"/>
    <w:uiPriority w:val="99"/>
    <w:qFormat/>
    <w:rsid w:val="0031490F"/>
    <w:rPr>
      <w:rFonts w:cs="Times New Roman"/>
      <w:b/>
    </w:rPr>
  </w:style>
  <w:style w:type="paragraph" w:customStyle="1" w:styleId="BodytextAgency">
    <w:name w:val="Body text (Agency)"/>
    <w:basedOn w:val="prastasis"/>
    <w:link w:val="BodytextAgencyChar"/>
    <w:uiPriority w:val="99"/>
    <w:rsid w:val="0031490F"/>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31490F"/>
    <w:rPr>
      <w:rFonts w:ascii="Verdana" w:eastAsia="SimSun" w:hAnsi="Verdana" w:cs="Times New Roman"/>
      <w:sz w:val="20"/>
      <w:szCs w:val="20"/>
      <w:lang w:val="en-GB" w:eastAsia="en-GB"/>
    </w:rPr>
  </w:style>
  <w:style w:type="paragraph" w:customStyle="1" w:styleId="NormalAgency">
    <w:name w:val="Normal (Agency)"/>
    <w:link w:val="NormalAgencyChar"/>
    <w:uiPriority w:val="99"/>
    <w:rsid w:val="0031490F"/>
    <w:pPr>
      <w:spacing w:after="200" w:line="276" w:lineRule="auto"/>
    </w:pPr>
    <w:rPr>
      <w:rFonts w:ascii="Verdana" w:eastAsia="SimSun" w:hAnsi="Verdana" w:cs="Times New Roman"/>
      <w:lang w:val="en-GB" w:eastAsia="en-GB"/>
    </w:rPr>
  </w:style>
  <w:style w:type="character" w:customStyle="1" w:styleId="NormalAgencyChar">
    <w:name w:val="Normal (Agency) Char"/>
    <w:link w:val="NormalAgency"/>
    <w:uiPriority w:val="99"/>
    <w:locked/>
    <w:rsid w:val="0031490F"/>
    <w:rPr>
      <w:rFonts w:ascii="Verdana" w:eastAsia="SimSun" w:hAnsi="Verdana" w:cs="Times New Roman"/>
      <w:lang w:val="en-GB" w:eastAsia="en-GB"/>
    </w:rPr>
  </w:style>
  <w:style w:type="paragraph" w:customStyle="1" w:styleId="TableheadingrowsAgency">
    <w:name w:val="Table heading rows (Agency)"/>
    <w:basedOn w:val="BodytextAgency"/>
    <w:uiPriority w:val="99"/>
    <w:rsid w:val="0031490F"/>
    <w:pPr>
      <w:keepNext/>
    </w:pPr>
    <w:rPr>
      <w:b/>
    </w:rPr>
  </w:style>
  <w:style w:type="paragraph" w:customStyle="1" w:styleId="TabletextrowsAgency">
    <w:name w:val="Table text rows (Agency)"/>
    <w:basedOn w:val="prastasis"/>
    <w:uiPriority w:val="99"/>
    <w:rsid w:val="0031490F"/>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31490F"/>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1490F"/>
    <w:rPr>
      <w:rFonts w:ascii="Courier New" w:eastAsia="SimSun" w:hAnsi="Courier New" w:cs="Times New Roman"/>
      <w:sz w:val="20"/>
      <w:szCs w:val="20"/>
      <w:lang w:val="en-US"/>
    </w:rPr>
  </w:style>
  <w:style w:type="paragraph" w:customStyle="1" w:styleId="Default">
    <w:name w:val="Default"/>
    <w:uiPriority w:val="99"/>
    <w:rsid w:val="0031490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490F"/>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uiPriority w:val="99"/>
    <w:rsid w:val="0031490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31490F"/>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rsid w:val="0031490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31490F"/>
    <w:pPr>
      <w:spacing w:after="0" w:line="240" w:lineRule="auto"/>
    </w:pPr>
    <w:rPr>
      <w:rFonts w:ascii="Times New Roman" w:eastAsia="SimSun" w:hAnsi="Times New Roman"/>
      <w:noProof/>
      <w:sz w:val="20"/>
      <w:szCs w:val="20"/>
      <w:lang w:val="x-none" w:eastAsia="lt-LT"/>
    </w:rPr>
  </w:style>
  <w:style w:type="character" w:customStyle="1" w:styleId="BTEMEASMCAChar">
    <w:name w:val="BT EMEA_SMCA Char"/>
    <w:link w:val="BTEMEASMCA"/>
    <w:uiPriority w:val="99"/>
    <w:locked/>
    <w:rsid w:val="0031490F"/>
    <w:rPr>
      <w:rFonts w:ascii="Times New Roman" w:eastAsia="SimSun" w:hAnsi="Times New Roman" w:cs="Times New Roman"/>
      <w:noProof/>
      <w:sz w:val="20"/>
      <w:szCs w:val="20"/>
      <w:lang w:val="x-none" w:eastAsia="lt-LT"/>
    </w:rPr>
  </w:style>
  <w:style w:type="character" w:customStyle="1" w:styleId="hps">
    <w:name w:val="hps"/>
    <w:uiPriority w:val="99"/>
    <w:rsid w:val="0031490F"/>
  </w:style>
  <w:style w:type="paragraph" w:customStyle="1" w:styleId="ListParagraph1">
    <w:name w:val="List Paragraph1"/>
    <w:basedOn w:val="prastasis"/>
    <w:uiPriority w:val="99"/>
    <w:rsid w:val="0031490F"/>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31490F"/>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31490F"/>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31490F"/>
    <w:pPr>
      <w:widowControl w:val="0"/>
      <w:spacing w:after="268"/>
    </w:pPr>
    <w:rPr>
      <w:color w:val="auto"/>
      <w:lang w:val="el-GR" w:eastAsia="el-GR"/>
    </w:rPr>
  </w:style>
  <w:style w:type="paragraph" w:customStyle="1" w:styleId="CM4">
    <w:name w:val="CM4"/>
    <w:basedOn w:val="Default"/>
    <w:next w:val="Default"/>
    <w:uiPriority w:val="99"/>
    <w:rsid w:val="0031490F"/>
    <w:pPr>
      <w:widowControl w:val="0"/>
      <w:spacing w:line="276" w:lineRule="atLeast"/>
    </w:pPr>
    <w:rPr>
      <w:color w:val="auto"/>
      <w:lang w:val="el-GR" w:eastAsia="el-GR"/>
    </w:rPr>
  </w:style>
  <w:style w:type="paragraph" w:customStyle="1" w:styleId="leipa">
    <w:name w:val="leipa"/>
    <w:basedOn w:val="prastasis"/>
    <w:uiPriority w:val="99"/>
    <w:rsid w:val="0031490F"/>
    <w:pPr>
      <w:spacing w:before="100" w:beforeAutospacing="1" w:after="100" w:afterAutospacing="1" w:line="240" w:lineRule="auto"/>
    </w:pPr>
    <w:rPr>
      <w:rFonts w:ascii="Arial Unicode MS" w:eastAsia="Arial Unicode MS" w:hAnsi="Times New Roman" w:cs="Arial Unicode MS"/>
      <w:sz w:val="24"/>
      <w:szCs w:val="24"/>
      <w:lang w:val="de-DE" w:eastAsia="de-DE"/>
    </w:rPr>
  </w:style>
  <w:style w:type="paragraph" w:customStyle="1" w:styleId="CM1">
    <w:name w:val="CM1"/>
    <w:basedOn w:val="Default"/>
    <w:next w:val="Default"/>
    <w:uiPriority w:val="99"/>
    <w:rsid w:val="0031490F"/>
    <w:pPr>
      <w:widowControl w:val="0"/>
    </w:pPr>
    <w:rPr>
      <w:rFonts w:ascii="Courier" w:hAnsi="Courier" w:cs="Courier"/>
      <w:color w:val="auto"/>
      <w:lang w:val="el-GR" w:eastAsia="el-GR"/>
    </w:rPr>
  </w:style>
  <w:style w:type="paragraph" w:customStyle="1" w:styleId="CM50">
    <w:name w:val="CM50"/>
    <w:basedOn w:val="Default"/>
    <w:next w:val="Default"/>
    <w:uiPriority w:val="99"/>
    <w:rsid w:val="0031490F"/>
    <w:pPr>
      <w:widowControl w:val="0"/>
      <w:spacing w:after="350"/>
    </w:pPr>
    <w:rPr>
      <w:color w:val="auto"/>
      <w:lang w:eastAsia="en-US"/>
    </w:rPr>
  </w:style>
  <w:style w:type="paragraph" w:customStyle="1" w:styleId="CM48">
    <w:name w:val="CM48"/>
    <w:basedOn w:val="Default"/>
    <w:next w:val="Default"/>
    <w:uiPriority w:val="99"/>
    <w:rsid w:val="0031490F"/>
    <w:pPr>
      <w:widowControl w:val="0"/>
      <w:spacing w:after="258"/>
    </w:pPr>
    <w:rPr>
      <w:color w:val="auto"/>
      <w:lang w:eastAsia="en-US"/>
    </w:rPr>
  </w:style>
  <w:style w:type="character" w:customStyle="1" w:styleId="shorttext">
    <w:name w:val="short_text"/>
    <w:uiPriority w:val="99"/>
    <w:rsid w:val="0031490F"/>
  </w:style>
  <w:style w:type="paragraph" w:customStyle="1" w:styleId="Revision1">
    <w:name w:val="Revision1"/>
    <w:hidden/>
    <w:uiPriority w:val="99"/>
    <w:semiHidden/>
    <w:rsid w:val="0031490F"/>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31490F"/>
  </w:style>
  <w:style w:type="character" w:styleId="Emfaz">
    <w:name w:val="Emphasis"/>
    <w:uiPriority w:val="99"/>
    <w:qFormat/>
    <w:rsid w:val="0031490F"/>
    <w:rPr>
      <w:rFonts w:cs="Times New Roman"/>
      <w:i/>
    </w:rPr>
  </w:style>
  <w:style w:type="character" w:customStyle="1" w:styleId="st1">
    <w:name w:val="st1"/>
    <w:uiPriority w:val="99"/>
    <w:rsid w:val="0031490F"/>
  </w:style>
  <w:style w:type="paragraph" w:customStyle="1" w:styleId="Sraopastraipa1">
    <w:name w:val="Sąrao pastraipa1"/>
    <w:basedOn w:val="prastasis"/>
    <w:uiPriority w:val="99"/>
    <w:rsid w:val="0031490F"/>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31490F"/>
    <w:pPr>
      <w:spacing w:after="0" w:line="240" w:lineRule="auto"/>
    </w:pPr>
    <w:rPr>
      <w:rFonts w:ascii="Times New Roman" w:eastAsia="SimSun" w:hAnsi="Times New Roman" w:cs="Times New Roman"/>
      <w:szCs w:val="20"/>
      <w:lang w:val="en-GB" w:eastAsia="zh-CN"/>
    </w:rPr>
  </w:style>
  <w:style w:type="paragraph" w:styleId="Sraopastraipa">
    <w:name w:val="List Paragraph"/>
    <w:basedOn w:val="prastasis"/>
    <w:uiPriority w:val="99"/>
    <w:qFormat/>
    <w:rsid w:val="0031490F"/>
    <w:pPr>
      <w:ind w:left="720"/>
      <w:contextualSpacing/>
    </w:pPr>
  </w:style>
  <w:style w:type="table" w:styleId="Lentelstinklelis">
    <w:name w:val="Table Grid"/>
    <w:basedOn w:val="prastojilentel"/>
    <w:uiPriority w:val="99"/>
    <w:rsid w:val="003149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1490F"/>
    <w:pPr>
      <w:spacing w:after="0" w:line="240" w:lineRule="auto"/>
    </w:pPr>
    <w:rPr>
      <w:rFonts w:ascii="Calibri" w:eastAsia="Calibri" w:hAnsi="Calibri" w:cs="Times New Roman"/>
    </w:rPr>
  </w:style>
  <w:style w:type="paragraph" w:styleId="Sraassuenkleliais2">
    <w:name w:val="List Bullet 2"/>
    <w:basedOn w:val="Sraassuenkleliais"/>
    <w:rsid w:val="0031490F"/>
    <w:pPr>
      <w:numPr>
        <w:numId w:val="1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31490F"/>
    <w:pPr>
      <w:tabs>
        <w:tab w:val="num" w:pos="360"/>
      </w:tabs>
      <w:contextualSpacing/>
    </w:pPr>
  </w:style>
  <w:style w:type="table" w:customStyle="1" w:styleId="TablegridAgencyblack">
    <w:name w:val="Table grid (Agency) black"/>
    <w:uiPriority w:val="99"/>
    <w:semiHidden/>
    <w:rsid w:val="0031490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490F"/>
    <w:pPr>
      <w:spacing w:after="200" w:line="276" w:lineRule="auto"/>
    </w:pPr>
    <w:rPr>
      <w:rFonts w:ascii="Calibri" w:eastAsia="Calibri" w:hAnsi="Calibri" w:cs="Times New Roman"/>
    </w:rPr>
  </w:style>
  <w:style w:type="paragraph" w:styleId="Antrat1">
    <w:name w:val="heading 1"/>
    <w:basedOn w:val="prastasis"/>
    <w:next w:val="prastasis"/>
    <w:link w:val="Antrat1Diagrama"/>
    <w:uiPriority w:val="99"/>
    <w:qFormat/>
    <w:rsid w:val="0031490F"/>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31490F"/>
    <w:pPr>
      <w:keepNext/>
      <w:tabs>
        <w:tab w:val="left" w:pos="567"/>
      </w:tabs>
      <w:spacing w:before="240" w:after="60" w:line="260" w:lineRule="exact"/>
      <w:outlineLvl w:val="1"/>
    </w:pPr>
    <w:rPr>
      <w:rFonts w:ascii="Helvetica" w:eastAsia="SimSun" w:hAnsi="Helvetica"/>
      <w:b/>
      <w:i/>
      <w:sz w:val="24"/>
      <w:szCs w:val="20"/>
      <w:lang w:val="en-GB"/>
    </w:rPr>
  </w:style>
  <w:style w:type="paragraph" w:styleId="Antrat3">
    <w:name w:val="heading 3"/>
    <w:basedOn w:val="prastasis"/>
    <w:next w:val="prastasis"/>
    <w:link w:val="Antrat3Diagrama"/>
    <w:uiPriority w:val="99"/>
    <w:qFormat/>
    <w:rsid w:val="0031490F"/>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31490F"/>
    <w:pPr>
      <w:keepNext/>
      <w:tabs>
        <w:tab w:val="left" w:pos="567"/>
      </w:tabs>
      <w:spacing w:after="0" w:line="260" w:lineRule="exact"/>
      <w:jc w:val="both"/>
      <w:outlineLvl w:val="3"/>
    </w:pPr>
    <w:rPr>
      <w:rFonts w:ascii="Times New Roman" w:eastAsia="SimSun" w:hAnsi="Times New Roman"/>
      <w:b/>
      <w:noProof/>
      <w:sz w:val="20"/>
      <w:szCs w:val="20"/>
      <w:lang w:val="en-GB" w:eastAsia="lt-LT"/>
    </w:rPr>
  </w:style>
  <w:style w:type="paragraph" w:styleId="Antrat5">
    <w:name w:val="heading 5"/>
    <w:basedOn w:val="prastasis"/>
    <w:next w:val="prastasis"/>
    <w:link w:val="Antrat5Diagrama"/>
    <w:uiPriority w:val="99"/>
    <w:qFormat/>
    <w:rsid w:val="0031490F"/>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31490F"/>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31490F"/>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31490F"/>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31490F"/>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490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1490F"/>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31490F"/>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31490F"/>
    <w:rPr>
      <w:rFonts w:ascii="Times New Roman" w:eastAsia="SimSun" w:hAnsi="Times New Roman" w:cs="Times New Roman"/>
      <w:b/>
      <w:noProof/>
      <w:sz w:val="20"/>
      <w:szCs w:val="20"/>
      <w:lang w:val="en-GB" w:eastAsia="lt-LT"/>
    </w:rPr>
  </w:style>
  <w:style w:type="character" w:customStyle="1" w:styleId="Antrat5Diagrama">
    <w:name w:val="Antraštė 5 Diagrama"/>
    <w:basedOn w:val="Numatytasispastraiposriftas"/>
    <w:link w:val="Antrat5"/>
    <w:uiPriority w:val="99"/>
    <w:rsid w:val="0031490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1490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1490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1490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1490F"/>
    <w:rPr>
      <w:rFonts w:ascii="Times New Roman" w:eastAsia="SimSun" w:hAnsi="Times New Roman" w:cs="Times New Roman"/>
      <w:b/>
      <w:i/>
      <w:szCs w:val="20"/>
      <w:lang w:val="en-GB"/>
    </w:rPr>
  </w:style>
  <w:style w:type="character" w:customStyle="1" w:styleId="Heading4Char">
    <w:name w:val="Heading 4 Char"/>
    <w:basedOn w:val="Numatytasispastraiposriftas"/>
    <w:uiPriority w:val="99"/>
    <w:rsid w:val="0031490F"/>
    <w:rPr>
      <w:rFonts w:ascii="Cambria" w:eastAsia="Times New Roman" w:hAnsi="Cambria" w:cs="Times New Roman"/>
      <w:b/>
      <w:bCs/>
      <w:i/>
      <w:iCs/>
      <w:color w:val="4F81BD"/>
    </w:rPr>
  </w:style>
  <w:style w:type="paragraph" w:styleId="Porat">
    <w:name w:val="footer"/>
    <w:basedOn w:val="prastasis"/>
    <w:link w:val="PoratDiagrama"/>
    <w:uiPriority w:val="99"/>
    <w:rsid w:val="0031490F"/>
    <w:pPr>
      <w:tabs>
        <w:tab w:val="left" w:pos="567"/>
        <w:tab w:val="center" w:pos="4536"/>
        <w:tab w:val="right" w:pos="8306"/>
      </w:tabs>
      <w:spacing w:after="0" w:line="260" w:lineRule="exact"/>
    </w:pPr>
    <w:rPr>
      <w:rFonts w:ascii="Arial" w:eastAsia="SimSun" w:hAnsi="Arial"/>
      <w:noProof/>
      <w:sz w:val="16"/>
      <w:szCs w:val="20"/>
      <w:lang w:val="en-US" w:eastAsia="zh-CN"/>
    </w:rPr>
  </w:style>
  <w:style w:type="character" w:customStyle="1" w:styleId="PoratDiagrama">
    <w:name w:val="Poraštė Diagrama"/>
    <w:basedOn w:val="Numatytasispastraiposriftas"/>
    <w:link w:val="Porat"/>
    <w:uiPriority w:val="99"/>
    <w:rsid w:val="0031490F"/>
    <w:rPr>
      <w:rFonts w:ascii="Arial" w:eastAsia="SimSun" w:hAnsi="Arial" w:cs="Times New Roman"/>
      <w:noProof/>
      <w:sz w:val="16"/>
      <w:szCs w:val="20"/>
      <w:lang w:val="en-US" w:eastAsia="zh-CN"/>
    </w:rPr>
  </w:style>
  <w:style w:type="character" w:styleId="Puslapionumeris">
    <w:name w:val="page number"/>
    <w:uiPriority w:val="99"/>
    <w:rsid w:val="0031490F"/>
    <w:rPr>
      <w:rFonts w:cs="Times New Roman"/>
    </w:rPr>
  </w:style>
  <w:style w:type="character" w:styleId="Hipersaitas">
    <w:name w:val="Hyperlink"/>
    <w:uiPriority w:val="99"/>
    <w:rsid w:val="0031490F"/>
    <w:rPr>
      <w:rFonts w:cs="Times New Roman"/>
      <w:color w:val="0000FF"/>
      <w:u w:val="single"/>
    </w:rPr>
  </w:style>
  <w:style w:type="paragraph" w:customStyle="1" w:styleId="EMEAEnBodyText">
    <w:name w:val="EMEA En Body Text"/>
    <w:basedOn w:val="prastasis"/>
    <w:uiPriority w:val="99"/>
    <w:rsid w:val="0031490F"/>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31490F"/>
    <w:rPr>
      <w:rFonts w:ascii="Courier New" w:hAnsi="Courier New"/>
      <w:vanish/>
      <w:color w:val="800080"/>
      <w:sz w:val="24"/>
      <w:vertAlign w:val="subscript"/>
    </w:rPr>
  </w:style>
  <w:style w:type="character" w:customStyle="1" w:styleId="tw4winError">
    <w:name w:val="tw4winError"/>
    <w:uiPriority w:val="99"/>
    <w:rsid w:val="0031490F"/>
    <w:rPr>
      <w:rFonts w:ascii="Courier New" w:hAnsi="Courier New"/>
      <w:color w:val="00FF00"/>
      <w:sz w:val="40"/>
    </w:rPr>
  </w:style>
  <w:style w:type="character" w:customStyle="1" w:styleId="tw4winTerm">
    <w:name w:val="tw4winTerm"/>
    <w:uiPriority w:val="99"/>
    <w:rsid w:val="0031490F"/>
    <w:rPr>
      <w:color w:val="0000FF"/>
    </w:rPr>
  </w:style>
  <w:style w:type="character" w:customStyle="1" w:styleId="tw4winPopup">
    <w:name w:val="tw4winPopup"/>
    <w:uiPriority w:val="99"/>
    <w:rsid w:val="0031490F"/>
    <w:rPr>
      <w:rFonts w:ascii="Courier New" w:hAnsi="Courier New"/>
      <w:noProof/>
      <w:color w:val="008000"/>
    </w:rPr>
  </w:style>
  <w:style w:type="character" w:customStyle="1" w:styleId="tw4winJump">
    <w:name w:val="tw4winJump"/>
    <w:uiPriority w:val="99"/>
    <w:rsid w:val="0031490F"/>
    <w:rPr>
      <w:rFonts w:ascii="Courier New" w:hAnsi="Courier New"/>
      <w:noProof/>
      <w:color w:val="008080"/>
    </w:rPr>
  </w:style>
  <w:style w:type="character" w:customStyle="1" w:styleId="tw4winExternal">
    <w:name w:val="tw4winExternal"/>
    <w:uiPriority w:val="99"/>
    <w:rsid w:val="0031490F"/>
    <w:rPr>
      <w:rFonts w:ascii="Courier New" w:hAnsi="Courier New"/>
      <w:noProof/>
      <w:color w:val="808080"/>
    </w:rPr>
  </w:style>
  <w:style w:type="character" w:customStyle="1" w:styleId="tw4winInternal">
    <w:name w:val="tw4winInternal"/>
    <w:uiPriority w:val="99"/>
    <w:rsid w:val="0031490F"/>
    <w:rPr>
      <w:rFonts w:ascii="Courier New" w:hAnsi="Courier New"/>
      <w:noProof/>
      <w:color w:val="FF0000"/>
    </w:rPr>
  </w:style>
  <w:style w:type="character" w:customStyle="1" w:styleId="DONOTTRANSLATE">
    <w:name w:val="DO_NOT_TRANSLATE"/>
    <w:uiPriority w:val="99"/>
    <w:rsid w:val="0031490F"/>
    <w:rPr>
      <w:rFonts w:ascii="Courier New" w:hAnsi="Courier New"/>
      <w:noProof/>
      <w:color w:val="800000"/>
    </w:rPr>
  </w:style>
  <w:style w:type="paragraph" w:styleId="Debesliotekstas">
    <w:name w:val="Balloon Text"/>
    <w:basedOn w:val="prastasis"/>
    <w:link w:val="DebesliotekstasDiagrama"/>
    <w:uiPriority w:val="99"/>
    <w:rsid w:val="0031490F"/>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rsid w:val="0031490F"/>
    <w:rPr>
      <w:rFonts w:ascii="Tahoma" w:eastAsia="SimSun" w:hAnsi="Tahoma" w:cs="Tahoma"/>
      <w:sz w:val="16"/>
      <w:szCs w:val="16"/>
      <w:lang w:val="en-GB" w:eastAsia="zh-CN"/>
    </w:rPr>
  </w:style>
  <w:style w:type="character" w:styleId="Komentaronuoroda">
    <w:name w:val="annotation reference"/>
    <w:uiPriority w:val="99"/>
    <w:rsid w:val="0031490F"/>
    <w:rPr>
      <w:rFonts w:cs="Times New Roman"/>
      <w:sz w:val="16"/>
    </w:rPr>
  </w:style>
  <w:style w:type="paragraph" w:styleId="Komentarotekstas">
    <w:name w:val="annotation text"/>
    <w:basedOn w:val="prastasis"/>
    <w:link w:val="KomentarotekstasDiagrama"/>
    <w:uiPriority w:val="99"/>
    <w:rsid w:val="0031490F"/>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31490F"/>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31490F"/>
    <w:rPr>
      <w:b/>
      <w:bCs/>
    </w:rPr>
  </w:style>
  <w:style w:type="character" w:customStyle="1" w:styleId="KomentarotemaDiagrama">
    <w:name w:val="Komentaro tema Diagrama"/>
    <w:basedOn w:val="KomentarotekstasDiagrama"/>
    <w:link w:val="Komentarotema"/>
    <w:uiPriority w:val="99"/>
    <w:rsid w:val="0031490F"/>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31490F"/>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31490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31490F"/>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rsid w:val="0031490F"/>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31490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1490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1490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1490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149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1490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1490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1490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149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1490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1490F"/>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31490F"/>
    <w:pPr>
      <w:numPr>
        <w:ilvl w:val="1"/>
      </w:numPr>
    </w:pPr>
    <w:rPr>
      <w:sz w:val="22"/>
    </w:rPr>
  </w:style>
  <w:style w:type="paragraph" w:customStyle="1" w:styleId="AHeader3">
    <w:name w:val="AHeader 3"/>
    <w:basedOn w:val="AHeader2"/>
    <w:uiPriority w:val="99"/>
    <w:rsid w:val="0031490F"/>
    <w:pPr>
      <w:numPr>
        <w:ilvl w:val="2"/>
      </w:numPr>
    </w:pPr>
  </w:style>
  <w:style w:type="paragraph" w:customStyle="1" w:styleId="AHeader2abc">
    <w:name w:val="AHeader 2 abc"/>
    <w:basedOn w:val="AHeader3"/>
    <w:uiPriority w:val="99"/>
    <w:rsid w:val="0031490F"/>
    <w:pPr>
      <w:numPr>
        <w:ilvl w:val="3"/>
      </w:numPr>
      <w:jc w:val="both"/>
    </w:pPr>
    <w:rPr>
      <w:b w:val="0"/>
      <w:bCs w:val="0"/>
    </w:rPr>
  </w:style>
  <w:style w:type="paragraph" w:customStyle="1" w:styleId="AHeader3abc">
    <w:name w:val="AHeader 3 abc"/>
    <w:basedOn w:val="AHeader2abc"/>
    <w:uiPriority w:val="99"/>
    <w:rsid w:val="0031490F"/>
    <w:pPr>
      <w:numPr>
        <w:ilvl w:val="4"/>
      </w:numPr>
    </w:pPr>
  </w:style>
  <w:style w:type="paragraph" w:styleId="Pagrindiniotekstotrauka3">
    <w:name w:val="Body Text Indent 3"/>
    <w:basedOn w:val="prastasis"/>
    <w:link w:val="Pagrindiniotekstotrauka3Diagrama"/>
    <w:uiPriority w:val="99"/>
    <w:rsid w:val="0031490F"/>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rsid w:val="0031490F"/>
    <w:rPr>
      <w:rFonts w:ascii="Times New Roman" w:eastAsia="SimSun" w:hAnsi="Times New Roman" w:cs="Times New Roman"/>
      <w:sz w:val="21"/>
      <w:szCs w:val="21"/>
      <w:lang w:val="en-GB"/>
    </w:rPr>
  </w:style>
  <w:style w:type="character" w:styleId="Perirtashipersaitas">
    <w:name w:val="FollowedHyperlink"/>
    <w:uiPriority w:val="99"/>
    <w:rsid w:val="0031490F"/>
    <w:rPr>
      <w:rFonts w:cs="Times New Roman"/>
      <w:color w:val="800080"/>
      <w:u w:val="single"/>
    </w:rPr>
  </w:style>
  <w:style w:type="character" w:styleId="Grietas">
    <w:name w:val="Strong"/>
    <w:uiPriority w:val="99"/>
    <w:qFormat/>
    <w:rsid w:val="0031490F"/>
    <w:rPr>
      <w:rFonts w:cs="Times New Roman"/>
      <w:b/>
    </w:rPr>
  </w:style>
  <w:style w:type="paragraph" w:customStyle="1" w:styleId="BodytextAgency">
    <w:name w:val="Body text (Agency)"/>
    <w:basedOn w:val="prastasis"/>
    <w:link w:val="BodytextAgencyChar"/>
    <w:uiPriority w:val="99"/>
    <w:rsid w:val="0031490F"/>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31490F"/>
    <w:rPr>
      <w:rFonts w:ascii="Verdana" w:eastAsia="SimSun" w:hAnsi="Verdana" w:cs="Times New Roman"/>
      <w:sz w:val="20"/>
      <w:szCs w:val="20"/>
      <w:lang w:val="en-GB" w:eastAsia="en-GB"/>
    </w:rPr>
  </w:style>
  <w:style w:type="paragraph" w:customStyle="1" w:styleId="NormalAgency">
    <w:name w:val="Normal (Agency)"/>
    <w:link w:val="NormalAgencyChar"/>
    <w:uiPriority w:val="99"/>
    <w:rsid w:val="0031490F"/>
    <w:pPr>
      <w:spacing w:after="200" w:line="276" w:lineRule="auto"/>
    </w:pPr>
    <w:rPr>
      <w:rFonts w:ascii="Verdana" w:eastAsia="SimSun" w:hAnsi="Verdana" w:cs="Times New Roman"/>
      <w:lang w:val="en-GB" w:eastAsia="en-GB"/>
    </w:rPr>
  </w:style>
  <w:style w:type="character" w:customStyle="1" w:styleId="NormalAgencyChar">
    <w:name w:val="Normal (Agency) Char"/>
    <w:link w:val="NormalAgency"/>
    <w:uiPriority w:val="99"/>
    <w:locked/>
    <w:rsid w:val="0031490F"/>
    <w:rPr>
      <w:rFonts w:ascii="Verdana" w:eastAsia="SimSun" w:hAnsi="Verdana" w:cs="Times New Roman"/>
      <w:lang w:val="en-GB" w:eastAsia="en-GB"/>
    </w:rPr>
  </w:style>
  <w:style w:type="paragraph" w:customStyle="1" w:styleId="TableheadingrowsAgency">
    <w:name w:val="Table heading rows (Agency)"/>
    <w:basedOn w:val="BodytextAgency"/>
    <w:uiPriority w:val="99"/>
    <w:rsid w:val="0031490F"/>
    <w:pPr>
      <w:keepNext/>
    </w:pPr>
    <w:rPr>
      <w:b/>
    </w:rPr>
  </w:style>
  <w:style w:type="paragraph" w:customStyle="1" w:styleId="TabletextrowsAgency">
    <w:name w:val="Table text rows (Agency)"/>
    <w:basedOn w:val="prastasis"/>
    <w:uiPriority w:val="99"/>
    <w:rsid w:val="0031490F"/>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31490F"/>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1490F"/>
    <w:rPr>
      <w:rFonts w:ascii="Courier New" w:eastAsia="SimSun" w:hAnsi="Courier New" w:cs="Times New Roman"/>
      <w:sz w:val="20"/>
      <w:szCs w:val="20"/>
      <w:lang w:val="en-US"/>
    </w:rPr>
  </w:style>
  <w:style w:type="paragraph" w:customStyle="1" w:styleId="Default">
    <w:name w:val="Default"/>
    <w:uiPriority w:val="99"/>
    <w:rsid w:val="0031490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1490F"/>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uiPriority w:val="99"/>
    <w:rsid w:val="0031490F"/>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31490F"/>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rsid w:val="0031490F"/>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31490F"/>
    <w:pPr>
      <w:spacing w:after="0" w:line="240" w:lineRule="auto"/>
    </w:pPr>
    <w:rPr>
      <w:rFonts w:ascii="Times New Roman" w:eastAsia="SimSun" w:hAnsi="Times New Roman"/>
      <w:noProof/>
      <w:sz w:val="20"/>
      <w:szCs w:val="20"/>
      <w:lang w:val="x-none" w:eastAsia="lt-LT"/>
    </w:rPr>
  </w:style>
  <w:style w:type="character" w:customStyle="1" w:styleId="BTEMEASMCAChar">
    <w:name w:val="BT EMEA_SMCA Char"/>
    <w:link w:val="BTEMEASMCA"/>
    <w:uiPriority w:val="99"/>
    <w:locked/>
    <w:rsid w:val="0031490F"/>
    <w:rPr>
      <w:rFonts w:ascii="Times New Roman" w:eastAsia="SimSun" w:hAnsi="Times New Roman" w:cs="Times New Roman"/>
      <w:noProof/>
      <w:sz w:val="20"/>
      <w:szCs w:val="20"/>
      <w:lang w:val="x-none" w:eastAsia="lt-LT"/>
    </w:rPr>
  </w:style>
  <w:style w:type="character" w:customStyle="1" w:styleId="hps">
    <w:name w:val="hps"/>
    <w:uiPriority w:val="99"/>
    <w:rsid w:val="0031490F"/>
  </w:style>
  <w:style w:type="paragraph" w:customStyle="1" w:styleId="ListParagraph1">
    <w:name w:val="List Paragraph1"/>
    <w:basedOn w:val="prastasis"/>
    <w:uiPriority w:val="99"/>
    <w:rsid w:val="0031490F"/>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31490F"/>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31490F"/>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31490F"/>
    <w:pPr>
      <w:widowControl w:val="0"/>
      <w:spacing w:after="268"/>
    </w:pPr>
    <w:rPr>
      <w:color w:val="auto"/>
      <w:lang w:val="el-GR" w:eastAsia="el-GR"/>
    </w:rPr>
  </w:style>
  <w:style w:type="paragraph" w:customStyle="1" w:styleId="CM4">
    <w:name w:val="CM4"/>
    <w:basedOn w:val="Default"/>
    <w:next w:val="Default"/>
    <w:uiPriority w:val="99"/>
    <w:rsid w:val="0031490F"/>
    <w:pPr>
      <w:widowControl w:val="0"/>
      <w:spacing w:line="276" w:lineRule="atLeast"/>
    </w:pPr>
    <w:rPr>
      <w:color w:val="auto"/>
      <w:lang w:val="el-GR" w:eastAsia="el-GR"/>
    </w:rPr>
  </w:style>
  <w:style w:type="paragraph" w:customStyle="1" w:styleId="leipa">
    <w:name w:val="leipa"/>
    <w:basedOn w:val="prastasis"/>
    <w:uiPriority w:val="99"/>
    <w:rsid w:val="0031490F"/>
    <w:pPr>
      <w:spacing w:before="100" w:beforeAutospacing="1" w:after="100" w:afterAutospacing="1" w:line="240" w:lineRule="auto"/>
    </w:pPr>
    <w:rPr>
      <w:rFonts w:ascii="Arial Unicode MS" w:eastAsia="Arial Unicode MS" w:hAnsi="Times New Roman" w:cs="Arial Unicode MS"/>
      <w:sz w:val="24"/>
      <w:szCs w:val="24"/>
      <w:lang w:val="de-DE" w:eastAsia="de-DE"/>
    </w:rPr>
  </w:style>
  <w:style w:type="paragraph" w:customStyle="1" w:styleId="CM1">
    <w:name w:val="CM1"/>
    <w:basedOn w:val="Default"/>
    <w:next w:val="Default"/>
    <w:uiPriority w:val="99"/>
    <w:rsid w:val="0031490F"/>
    <w:pPr>
      <w:widowControl w:val="0"/>
    </w:pPr>
    <w:rPr>
      <w:rFonts w:ascii="Courier" w:hAnsi="Courier" w:cs="Courier"/>
      <w:color w:val="auto"/>
      <w:lang w:val="el-GR" w:eastAsia="el-GR"/>
    </w:rPr>
  </w:style>
  <w:style w:type="paragraph" w:customStyle="1" w:styleId="CM50">
    <w:name w:val="CM50"/>
    <w:basedOn w:val="Default"/>
    <w:next w:val="Default"/>
    <w:uiPriority w:val="99"/>
    <w:rsid w:val="0031490F"/>
    <w:pPr>
      <w:widowControl w:val="0"/>
      <w:spacing w:after="350"/>
    </w:pPr>
    <w:rPr>
      <w:color w:val="auto"/>
      <w:lang w:eastAsia="en-US"/>
    </w:rPr>
  </w:style>
  <w:style w:type="paragraph" w:customStyle="1" w:styleId="CM48">
    <w:name w:val="CM48"/>
    <w:basedOn w:val="Default"/>
    <w:next w:val="Default"/>
    <w:uiPriority w:val="99"/>
    <w:rsid w:val="0031490F"/>
    <w:pPr>
      <w:widowControl w:val="0"/>
      <w:spacing w:after="258"/>
    </w:pPr>
    <w:rPr>
      <w:color w:val="auto"/>
      <w:lang w:eastAsia="en-US"/>
    </w:rPr>
  </w:style>
  <w:style w:type="character" w:customStyle="1" w:styleId="shorttext">
    <w:name w:val="short_text"/>
    <w:uiPriority w:val="99"/>
    <w:rsid w:val="0031490F"/>
  </w:style>
  <w:style w:type="paragraph" w:customStyle="1" w:styleId="Revision1">
    <w:name w:val="Revision1"/>
    <w:hidden/>
    <w:uiPriority w:val="99"/>
    <w:semiHidden/>
    <w:rsid w:val="0031490F"/>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31490F"/>
  </w:style>
  <w:style w:type="character" w:styleId="Emfaz">
    <w:name w:val="Emphasis"/>
    <w:uiPriority w:val="99"/>
    <w:qFormat/>
    <w:rsid w:val="0031490F"/>
    <w:rPr>
      <w:rFonts w:cs="Times New Roman"/>
      <w:i/>
    </w:rPr>
  </w:style>
  <w:style w:type="character" w:customStyle="1" w:styleId="st1">
    <w:name w:val="st1"/>
    <w:uiPriority w:val="99"/>
    <w:rsid w:val="0031490F"/>
  </w:style>
  <w:style w:type="paragraph" w:customStyle="1" w:styleId="Sraopastraipa1">
    <w:name w:val="Sąrao pastraipa1"/>
    <w:basedOn w:val="prastasis"/>
    <w:uiPriority w:val="99"/>
    <w:rsid w:val="0031490F"/>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31490F"/>
    <w:pPr>
      <w:spacing w:after="0" w:line="240" w:lineRule="auto"/>
    </w:pPr>
    <w:rPr>
      <w:rFonts w:ascii="Times New Roman" w:eastAsia="SimSun" w:hAnsi="Times New Roman" w:cs="Times New Roman"/>
      <w:szCs w:val="20"/>
      <w:lang w:val="en-GB" w:eastAsia="zh-CN"/>
    </w:rPr>
  </w:style>
  <w:style w:type="paragraph" w:styleId="Sraopastraipa">
    <w:name w:val="List Paragraph"/>
    <w:basedOn w:val="prastasis"/>
    <w:uiPriority w:val="99"/>
    <w:qFormat/>
    <w:rsid w:val="0031490F"/>
    <w:pPr>
      <w:ind w:left="720"/>
      <w:contextualSpacing/>
    </w:pPr>
  </w:style>
  <w:style w:type="table" w:styleId="Lentelstinklelis">
    <w:name w:val="Table Grid"/>
    <w:basedOn w:val="prastojilentel"/>
    <w:uiPriority w:val="99"/>
    <w:rsid w:val="003149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1490F"/>
    <w:pPr>
      <w:spacing w:after="0" w:line="240" w:lineRule="auto"/>
    </w:pPr>
    <w:rPr>
      <w:rFonts w:ascii="Calibri" w:eastAsia="Calibri" w:hAnsi="Calibri" w:cs="Times New Roman"/>
    </w:rPr>
  </w:style>
  <w:style w:type="paragraph" w:styleId="Sraassuenkleliais2">
    <w:name w:val="List Bullet 2"/>
    <w:basedOn w:val="Sraassuenkleliais"/>
    <w:rsid w:val="0031490F"/>
    <w:pPr>
      <w:numPr>
        <w:numId w:val="1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31490F"/>
    <w:pPr>
      <w:tabs>
        <w:tab w:val="num" w:pos="360"/>
      </w:tabs>
      <w:contextualSpacing/>
    </w:pPr>
  </w:style>
  <w:style w:type="table" w:customStyle="1" w:styleId="TablegridAgencyblack">
    <w:name w:val="Table grid (Agency) black"/>
    <w:uiPriority w:val="99"/>
    <w:semiHidden/>
    <w:rsid w:val="0031490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mailto:NepageidaujamaR@vvkt.lt"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150400</Words>
  <Characters>85729</Characters>
  <Application>Microsoft Office Word</Application>
  <DocSecurity>8</DocSecurity>
  <Lines>714</Lines>
  <Paragraphs>471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2016-01-19T11:14:00Z</dcterms:created>
  <dcterms:modified xsi:type="dcterms:W3CDTF">2016-01-19T11:14:00Z</dcterms:modified>
</cp:coreProperties>
</file>