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B65B2" w14:textId="77777777" w:rsidR="00611539" w:rsidRPr="000C5085" w:rsidRDefault="00611539" w:rsidP="000C5085">
      <w:pPr>
        <w:widowControl w:val="0"/>
        <w:spacing w:after="0" w:line="240" w:lineRule="auto"/>
        <w:rPr>
          <w:rFonts w:ascii="Times New Roman" w:eastAsia="Calibri" w:hAnsi="Times New Roman" w:cs="Times New Roman"/>
        </w:rPr>
      </w:pPr>
      <w:bookmarkStart w:id="0" w:name="Tab"/>
      <w:bookmarkEnd w:id="0"/>
    </w:p>
    <w:p w14:paraId="64190DFE" w14:textId="77777777" w:rsidR="00611539" w:rsidRPr="000C5085" w:rsidRDefault="00611539" w:rsidP="000C5085">
      <w:pPr>
        <w:widowControl w:val="0"/>
        <w:spacing w:after="0" w:line="240" w:lineRule="auto"/>
        <w:rPr>
          <w:rFonts w:ascii="Times New Roman" w:eastAsia="Calibri" w:hAnsi="Times New Roman" w:cs="Times New Roman"/>
        </w:rPr>
      </w:pPr>
    </w:p>
    <w:p w14:paraId="303AA92F" w14:textId="77777777" w:rsidR="00611539" w:rsidRPr="000C5085" w:rsidRDefault="00611539" w:rsidP="000C5085">
      <w:pPr>
        <w:widowControl w:val="0"/>
        <w:spacing w:after="0" w:line="240" w:lineRule="auto"/>
        <w:rPr>
          <w:rFonts w:ascii="Times New Roman" w:eastAsia="Calibri" w:hAnsi="Times New Roman" w:cs="Times New Roman"/>
        </w:rPr>
      </w:pPr>
    </w:p>
    <w:p w14:paraId="557936BB" w14:textId="77777777" w:rsidR="00611539" w:rsidRPr="000C5085" w:rsidRDefault="00611539" w:rsidP="000C5085">
      <w:pPr>
        <w:widowControl w:val="0"/>
        <w:spacing w:after="0" w:line="240" w:lineRule="auto"/>
        <w:rPr>
          <w:rFonts w:ascii="Times New Roman" w:eastAsia="Calibri" w:hAnsi="Times New Roman" w:cs="Times New Roman"/>
        </w:rPr>
      </w:pPr>
    </w:p>
    <w:p w14:paraId="263588CA" w14:textId="77777777" w:rsidR="00611539" w:rsidRPr="000C5085" w:rsidRDefault="00611539" w:rsidP="000C5085">
      <w:pPr>
        <w:widowControl w:val="0"/>
        <w:spacing w:after="0" w:line="240" w:lineRule="auto"/>
        <w:rPr>
          <w:rFonts w:ascii="Times New Roman" w:eastAsia="Calibri" w:hAnsi="Times New Roman" w:cs="Times New Roman"/>
        </w:rPr>
      </w:pPr>
    </w:p>
    <w:p w14:paraId="6ECD7397" w14:textId="77777777" w:rsidR="00611539" w:rsidRPr="000C5085" w:rsidRDefault="00611539" w:rsidP="000C5085">
      <w:pPr>
        <w:widowControl w:val="0"/>
        <w:spacing w:after="0" w:line="240" w:lineRule="auto"/>
        <w:rPr>
          <w:rFonts w:ascii="Times New Roman" w:eastAsia="Calibri" w:hAnsi="Times New Roman" w:cs="Times New Roman"/>
        </w:rPr>
      </w:pPr>
    </w:p>
    <w:p w14:paraId="5AD84943" w14:textId="77777777" w:rsidR="00611539" w:rsidRPr="000C5085" w:rsidRDefault="00611539" w:rsidP="000C5085">
      <w:pPr>
        <w:widowControl w:val="0"/>
        <w:spacing w:after="0" w:line="240" w:lineRule="auto"/>
        <w:rPr>
          <w:rFonts w:ascii="Times New Roman" w:eastAsia="Calibri" w:hAnsi="Times New Roman" w:cs="Times New Roman"/>
        </w:rPr>
      </w:pPr>
    </w:p>
    <w:p w14:paraId="367F6E46" w14:textId="77777777" w:rsidR="00611539" w:rsidRPr="000C5085" w:rsidRDefault="00611539" w:rsidP="000C5085">
      <w:pPr>
        <w:widowControl w:val="0"/>
        <w:spacing w:after="0" w:line="240" w:lineRule="auto"/>
        <w:rPr>
          <w:rFonts w:ascii="Times New Roman" w:eastAsia="Calibri" w:hAnsi="Times New Roman" w:cs="Times New Roman"/>
        </w:rPr>
      </w:pPr>
    </w:p>
    <w:p w14:paraId="51B65296" w14:textId="77777777" w:rsidR="00611539" w:rsidRPr="000C5085" w:rsidRDefault="00611539" w:rsidP="000C5085">
      <w:pPr>
        <w:widowControl w:val="0"/>
        <w:spacing w:after="0" w:line="240" w:lineRule="auto"/>
        <w:rPr>
          <w:rFonts w:ascii="Times New Roman" w:eastAsia="Calibri" w:hAnsi="Times New Roman" w:cs="Times New Roman"/>
        </w:rPr>
      </w:pPr>
    </w:p>
    <w:p w14:paraId="5A8B388E" w14:textId="77777777" w:rsidR="00611539" w:rsidRPr="000C5085" w:rsidRDefault="00611539" w:rsidP="000C5085">
      <w:pPr>
        <w:widowControl w:val="0"/>
        <w:spacing w:after="0" w:line="240" w:lineRule="auto"/>
        <w:rPr>
          <w:rFonts w:ascii="Times New Roman" w:eastAsia="Calibri" w:hAnsi="Times New Roman" w:cs="Times New Roman"/>
        </w:rPr>
      </w:pPr>
    </w:p>
    <w:p w14:paraId="2A05874A" w14:textId="77777777" w:rsidR="00611539" w:rsidRPr="000C5085" w:rsidRDefault="00611539" w:rsidP="000C5085">
      <w:pPr>
        <w:widowControl w:val="0"/>
        <w:spacing w:after="0" w:line="240" w:lineRule="auto"/>
        <w:rPr>
          <w:rFonts w:ascii="Times New Roman" w:eastAsia="Calibri" w:hAnsi="Times New Roman" w:cs="Times New Roman"/>
        </w:rPr>
      </w:pPr>
    </w:p>
    <w:p w14:paraId="3123E458" w14:textId="77777777" w:rsidR="00611539" w:rsidRPr="000C5085" w:rsidRDefault="00611539" w:rsidP="000C5085">
      <w:pPr>
        <w:widowControl w:val="0"/>
        <w:spacing w:after="0" w:line="240" w:lineRule="auto"/>
        <w:rPr>
          <w:rFonts w:ascii="Times New Roman" w:eastAsia="Calibri" w:hAnsi="Times New Roman" w:cs="Times New Roman"/>
        </w:rPr>
      </w:pPr>
    </w:p>
    <w:p w14:paraId="48FBE23A" w14:textId="77777777" w:rsidR="00611539" w:rsidRPr="000C5085" w:rsidRDefault="00611539" w:rsidP="000C5085">
      <w:pPr>
        <w:widowControl w:val="0"/>
        <w:spacing w:after="0" w:line="240" w:lineRule="auto"/>
        <w:rPr>
          <w:rFonts w:ascii="Times New Roman" w:eastAsia="Calibri" w:hAnsi="Times New Roman" w:cs="Times New Roman"/>
        </w:rPr>
      </w:pPr>
    </w:p>
    <w:p w14:paraId="0222B83F" w14:textId="77777777" w:rsidR="00611539" w:rsidRPr="000C5085" w:rsidRDefault="00611539" w:rsidP="000C5085">
      <w:pPr>
        <w:widowControl w:val="0"/>
        <w:spacing w:after="0" w:line="240" w:lineRule="auto"/>
        <w:rPr>
          <w:rFonts w:ascii="Times New Roman" w:eastAsia="Calibri" w:hAnsi="Times New Roman" w:cs="Times New Roman"/>
        </w:rPr>
      </w:pPr>
    </w:p>
    <w:p w14:paraId="0902EEF4" w14:textId="77777777" w:rsidR="00611539" w:rsidRPr="000C5085" w:rsidRDefault="00611539" w:rsidP="000C5085">
      <w:pPr>
        <w:widowControl w:val="0"/>
        <w:spacing w:after="0" w:line="240" w:lineRule="auto"/>
        <w:rPr>
          <w:rFonts w:ascii="Times New Roman" w:eastAsia="Calibri" w:hAnsi="Times New Roman" w:cs="Times New Roman"/>
        </w:rPr>
      </w:pPr>
    </w:p>
    <w:p w14:paraId="5095C49C" w14:textId="77777777" w:rsidR="00611539" w:rsidRPr="000C5085" w:rsidRDefault="00611539" w:rsidP="000C5085">
      <w:pPr>
        <w:widowControl w:val="0"/>
        <w:spacing w:after="0" w:line="240" w:lineRule="auto"/>
        <w:rPr>
          <w:rFonts w:ascii="Times New Roman" w:eastAsia="Calibri" w:hAnsi="Times New Roman" w:cs="Times New Roman"/>
        </w:rPr>
      </w:pPr>
    </w:p>
    <w:p w14:paraId="1CA46776" w14:textId="77777777" w:rsidR="00611539" w:rsidRPr="000C5085" w:rsidRDefault="00611539" w:rsidP="000C5085">
      <w:pPr>
        <w:widowControl w:val="0"/>
        <w:spacing w:after="0" w:line="240" w:lineRule="auto"/>
        <w:rPr>
          <w:rFonts w:ascii="Times New Roman" w:eastAsia="Calibri" w:hAnsi="Times New Roman" w:cs="Times New Roman"/>
        </w:rPr>
      </w:pPr>
    </w:p>
    <w:p w14:paraId="6A21D967" w14:textId="77777777" w:rsidR="00611539" w:rsidRPr="000C5085" w:rsidRDefault="00611539" w:rsidP="000C5085">
      <w:pPr>
        <w:widowControl w:val="0"/>
        <w:spacing w:after="0" w:line="240" w:lineRule="auto"/>
        <w:rPr>
          <w:rFonts w:ascii="Times New Roman" w:eastAsia="Calibri" w:hAnsi="Times New Roman" w:cs="Times New Roman"/>
        </w:rPr>
      </w:pPr>
    </w:p>
    <w:p w14:paraId="2F9E45D2" w14:textId="77777777" w:rsidR="00611539" w:rsidRPr="000C5085" w:rsidRDefault="00611539" w:rsidP="000C5085">
      <w:pPr>
        <w:widowControl w:val="0"/>
        <w:spacing w:after="0" w:line="240" w:lineRule="auto"/>
        <w:rPr>
          <w:rFonts w:ascii="Times New Roman" w:eastAsia="Calibri" w:hAnsi="Times New Roman" w:cs="Times New Roman"/>
        </w:rPr>
      </w:pPr>
    </w:p>
    <w:p w14:paraId="65E9575D" w14:textId="77777777" w:rsidR="00611539" w:rsidRPr="000C5085" w:rsidRDefault="00611539" w:rsidP="000C5085">
      <w:pPr>
        <w:widowControl w:val="0"/>
        <w:spacing w:after="0" w:line="240" w:lineRule="auto"/>
        <w:rPr>
          <w:rFonts w:ascii="Times New Roman" w:eastAsia="Calibri" w:hAnsi="Times New Roman" w:cs="Times New Roman"/>
        </w:rPr>
      </w:pPr>
    </w:p>
    <w:p w14:paraId="43C96EF7" w14:textId="77777777" w:rsidR="00611539" w:rsidRPr="000C5085" w:rsidRDefault="00611539" w:rsidP="000C5085">
      <w:pPr>
        <w:widowControl w:val="0"/>
        <w:spacing w:after="0" w:line="240" w:lineRule="auto"/>
        <w:rPr>
          <w:rFonts w:ascii="Times New Roman" w:eastAsia="Calibri" w:hAnsi="Times New Roman" w:cs="Times New Roman"/>
        </w:rPr>
      </w:pPr>
    </w:p>
    <w:p w14:paraId="21B2CDF4" w14:textId="77777777" w:rsidR="00611539" w:rsidRPr="000C5085" w:rsidRDefault="00611539" w:rsidP="000C5085">
      <w:pPr>
        <w:widowControl w:val="0"/>
        <w:spacing w:after="0" w:line="240" w:lineRule="auto"/>
        <w:rPr>
          <w:rFonts w:ascii="Times New Roman" w:eastAsia="Calibri" w:hAnsi="Times New Roman" w:cs="Times New Roman"/>
        </w:rPr>
      </w:pPr>
    </w:p>
    <w:p w14:paraId="6393C369" w14:textId="77777777" w:rsidR="00611539" w:rsidRPr="000C5085" w:rsidRDefault="00611539" w:rsidP="000C5085">
      <w:pPr>
        <w:widowControl w:val="0"/>
        <w:spacing w:after="0" w:line="240" w:lineRule="auto"/>
        <w:rPr>
          <w:rFonts w:ascii="Times New Roman" w:eastAsia="Calibri" w:hAnsi="Times New Roman" w:cs="Times New Roman"/>
        </w:rPr>
      </w:pPr>
    </w:p>
    <w:p w14:paraId="36BC6EB5" w14:textId="77777777" w:rsidR="00611539" w:rsidRPr="000C5085" w:rsidRDefault="00611539" w:rsidP="000C5085">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1" w:name="_Toc129243096"/>
      <w:bookmarkStart w:id="2" w:name="_Toc129243221"/>
      <w:r w:rsidRPr="000C5085">
        <w:rPr>
          <w:rFonts w:ascii="Times New Roman" w:eastAsia="Calibri" w:hAnsi="Times New Roman" w:cs="Times New Roman"/>
          <w:b/>
          <w:caps/>
        </w:rPr>
        <w:t>I PRIEDAS</w:t>
      </w:r>
      <w:bookmarkEnd w:id="1"/>
      <w:bookmarkEnd w:id="2"/>
    </w:p>
    <w:p w14:paraId="75EFEE3E" w14:textId="77777777" w:rsidR="00611539" w:rsidRPr="000C5085" w:rsidRDefault="00611539" w:rsidP="000C5085">
      <w:pPr>
        <w:widowControl w:val="0"/>
        <w:spacing w:after="0" w:line="240" w:lineRule="auto"/>
        <w:rPr>
          <w:rFonts w:ascii="Times New Roman" w:eastAsia="Calibri" w:hAnsi="Times New Roman" w:cs="Times New Roman"/>
        </w:rPr>
      </w:pPr>
    </w:p>
    <w:p w14:paraId="1093AE39" w14:textId="77777777" w:rsidR="00611539" w:rsidRPr="000C5085" w:rsidRDefault="00611539" w:rsidP="000C5085">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3" w:name="_Toc129243097"/>
      <w:bookmarkStart w:id="4" w:name="_Toc129243222"/>
      <w:r w:rsidRPr="000C5085">
        <w:rPr>
          <w:rFonts w:ascii="Times New Roman" w:eastAsia="Calibri" w:hAnsi="Times New Roman" w:cs="Times New Roman"/>
          <w:b/>
          <w:caps/>
        </w:rPr>
        <w:t>PREPARATO CHARAKTERISTIKŲ SANTRAUKA</w:t>
      </w:r>
      <w:bookmarkEnd w:id="3"/>
      <w:bookmarkEnd w:id="4"/>
    </w:p>
    <w:p w14:paraId="0C8F7130"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r w:rsidRPr="000C5085">
        <w:rPr>
          <w:rFonts w:ascii="Times New Roman" w:eastAsia="Calibri" w:hAnsi="Times New Roman" w:cs="Times New Roman"/>
          <w:b/>
        </w:rPr>
        <w:br w:type="page"/>
      </w:r>
      <w:bookmarkStart w:id="5" w:name="_Toc129243098"/>
      <w:bookmarkStart w:id="6" w:name="_Toc129243223"/>
      <w:r w:rsidRPr="000C5085">
        <w:rPr>
          <w:rFonts w:ascii="Times New Roman" w:eastAsia="Calibri" w:hAnsi="Times New Roman" w:cs="Times New Roman"/>
          <w:b/>
        </w:rPr>
        <w:lastRenderedPageBreak/>
        <w:t>1.</w:t>
      </w:r>
      <w:r w:rsidRPr="000C5085">
        <w:rPr>
          <w:rFonts w:ascii="Times New Roman" w:eastAsia="Calibri" w:hAnsi="Times New Roman" w:cs="Times New Roman"/>
          <w:b/>
        </w:rPr>
        <w:tab/>
        <w:t>VAISTINIO PREPARATO PAVADINIMAS</w:t>
      </w:r>
      <w:bookmarkEnd w:id="5"/>
      <w:bookmarkEnd w:id="6"/>
    </w:p>
    <w:p w14:paraId="75F605EB" w14:textId="77777777" w:rsidR="00611539" w:rsidRPr="000C5085" w:rsidRDefault="00611539" w:rsidP="000C5085">
      <w:pPr>
        <w:widowControl w:val="0"/>
        <w:spacing w:after="0" w:line="240" w:lineRule="auto"/>
        <w:rPr>
          <w:rFonts w:ascii="Times New Roman" w:eastAsia="Calibri" w:hAnsi="Times New Roman" w:cs="Times New Roman"/>
        </w:rPr>
      </w:pPr>
    </w:p>
    <w:p w14:paraId="7A4DED25"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2,5 mg plėvele dengtos tabletės</w:t>
      </w:r>
    </w:p>
    <w:p w14:paraId="1A8FB07C" w14:textId="77777777" w:rsidR="00611539" w:rsidRPr="000C5085" w:rsidRDefault="00611539" w:rsidP="000C5085">
      <w:pPr>
        <w:widowControl w:val="0"/>
        <w:spacing w:after="0" w:line="240" w:lineRule="auto"/>
        <w:rPr>
          <w:rFonts w:ascii="Times New Roman" w:eastAsia="Calibri" w:hAnsi="Times New Roman" w:cs="Times New Roman"/>
        </w:rPr>
      </w:pPr>
    </w:p>
    <w:p w14:paraId="15724B42" w14:textId="77777777" w:rsidR="00611539" w:rsidRPr="000C5085" w:rsidRDefault="00611539" w:rsidP="000C5085">
      <w:pPr>
        <w:widowControl w:val="0"/>
        <w:spacing w:after="0" w:line="240" w:lineRule="auto"/>
        <w:rPr>
          <w:rFonts w:ascii="Times New Roman" w:eastAsia="Calibri" w:hAnsi="Times New Roman" w:cs="Times New Roman"/>
        </w:rPr>
      </w:pPr>
    </w:p>
    <w:p w14:paraId="5CBDDE05"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7" w:name="_Toc129243099"/>
      <w:bookmarkStart w:id="8" w:name="_Toc129243224"/>
      <w:r w:rsidRPr="000C5085">
        <w:rPr>
          <w:rFonts w:ascii="Times New Roman" w:eastAsia="Calibri" w:hAnsi="Times New Roman" w:cs="Times New Roman"/>
          <w:b/>
        </w:rPr>
        <w:t>2.</w:t>
      </w:r>
      <w:r w:rsidRPr="000C5085">
        <w:rPr>
          <w:rFonts w:ascii="Times New Roman" w:eastAsia="Calibri" w:hAnsi="Times New Roman" w:cs="Times New Roman"/>
          <w:b/>
        </w:rPr>
        <w:tab/>
        <w:t>KOKYBINĖ IR KIEKYBINĖ SUDĖTIS</w:t>
      </w:r>
      <w:bookmarkEnd w:id="7"/>
      <w:bookmarkEnd w:id="8"/>
    </w:p>
    <w:p w14:paraId="7AFB44BF" w14:textId="77777777" w:rsidR="00611539" w:rsidRPr="000C5085" w:rsidRDefault="00611539" w:rsidP="000C5085">
      <w:pPr>
        <w:widowControl w:val="0"/>
        <w:spacing w:after="0" w:line="240" w:lineRule="auto"/>
        <w:rPr>
          <w:rFonts w:ascii="Times New Roman" w:eastAsia="Calibri" w:hAnsi="Times New Roman" w:cs="Times New Roman"/>
        </w:rPr>
      </w:pPr>
    </w:p>
    <w:p w14:paraId="148958E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Kiekvienoje plėvele dengtoje tabletėje yra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p w14:paraId="7424B07E" w14:textId="77777777" w:rsidR="00611539" w:rsidRPr="000C5085" w:rsidRDefault="00611539" w:rsidP="000C5085">
      <w:pPr>
        <w:widowControl w:val="0"/>
        <w:spacing w:after="0" w:line="240" w:lineRule="auto"/>
        <w:rPr>
          <w:rFonts w:ascii="Times New Roman" w:eastAsia="Calibri" w:hAnsi="Times New Roman" w:cs="Times New Roman"/>
        </w:rPr>
      </w:pPr>
    </w:p>
    <w:p w14:paraId="3E93C76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Pagalbinė medžiaga, kurios poveikis žinomas:</w:t>
      </w:r>
    </w:p>
    <w:p w14:paraId="4655E7E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Kiekvienoje plėvele dengtoje tabletėje yra 61,5 mg laktozės </w:t>
      </w:r>
      <w:proofErr w:type="spellStart"/>
      <w:r w:rsidRPr="000C5085">
        <w:rPr>
          <w:rFonts w:ascii="Times New Roman" w:eastAsia="Calibri" w:hAnsi="Times New Roman" w:cs="Times New Roman"/>
        </w:rPr>
        <w:t>monohidrato</w:t>
      </w:r>
      <w:proofErr w:type="spellEnd"/>
      <w:r w:rsidRPr="000C5085">
        <w:rPr>
          <w:rFonts w:ascii="Times New Roman" w:eastAsia="Calibri" w:hAnsi="Times New Roman" w:cs="Times New Roman"/>
        </w:rPr>
        <w:t>.</w:t>
      </w:r>
    </w:p>
    <w:p w14:paraId="68AD6952" w14:textId="77777777" w:rsidR="00611539" w:rsidRPr="000C5085" w:rsidRDefault="00611539" w:rsidP="000C5085">
      <w:pPr>
        <w:widowControl w:val="0"/>
        <w:spacing w:after="0" w:line="240" w:lineRule="auto"/>
        <w:rPr>
          <w:rFonts w:ascii="Times New Roman" w:eastAsia="Calibri" w:hAnsi="Times New Roman" w:cs="Times New Roman"/>
        </w:rPr>
      </w:pPr>
    </w:p>
    <w:p w14:paraId="5FAE4CAC" w14:textId="5BF41633"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Visos pagalbinės medžiagos išvardytos 6.1</w:t>
      </w:r>
      <w:r w:rsidR="0022573B">
        <w:rPr>
          <w:rFonts w:ascii="Times New Roman" w:eastAsia="Calibri" w:hAnsi="Times New Roman" w:cs="Times New Roman"/>
        </w:rPr>
        <w:t> </w:t>
      </w:r>
      <w:r w:rsidRPr="000C5085">
        <w:rPr>
          <w:rFonts w:ascii="Times New Roman" w:eastAsia="Calibri" w:hAnsi="Times New Roman" w:cs="Times New Roman"/>
        </w:rPr>
        <w:t>skyriuje.</w:t>
      </w:r>
    </w:p>
    <w:p w14:paraId="3CC0532D" w14:textId="77777777" w:rsidR="00611539" w:rsidRPr="000C5085" w:rsidRDefault="00611539" w:rsidP="000C5085">
      <w:pPr>
        <w:widowControl w:val="0"/>
        <w:spacing w:after="0" w:line="240" w:lineRule="auto"/>
        <w:rPr>
          <w:rFonts w:ascii="Times New Roman" w:eastAsia="Calibri" w:hAnsi="Times New Roman" w:cs="Times New Roman"/>
        </w:rPr>
      </w:pPr>
    </w:p>
    <w:p w14:paraId="3943C661" w14:textId="77777777" w:rsidR="00611539" w:rsidRPr="000C5085" w:rsidRDefault="00611539" w:rsidP="000C5085">
      <w:pPr>
        <w:widowControl w:val="0"/>
        <w:spacing w:after="0" w:line="240" w:lineRule="auto"/>
        <w:rPr>
          <w:rFonts w:ascii="Times New Roman" w:eastAsia="Calibri" w:hAnsi="Times New Roman" w:cs="Times New Roman"/>
        </w:rPr>
      </w:pPr>
    </w:p>
    <w:p w14:paraId="781E59B1"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9" w:name="_Toc129243100"/>
      <w:bookmarkStart w:id="10" w:name="_Toc129243225"/>
      <w:r w:rsidRPr="000C5085">
        <w:rPr>
          <w:rFonts w:ascii="Times New Roman" w:eastAsia="Calibri" w:hAnsi="Times New Roman" w:cs="Times New Roman"/>
          <w:b/>
        </w:rPr>
        <w:t>3.</w:t>
      </w:r>
      <w:r w:rsidRPr="000C5085">
        <w:rPr>
          <w:rFonts w:ascii="Times New Roman" w:eastAsia="Calibri" w:hAnsi="Times New Roman" w:cs="Times New Roman"/>
          <w:b/>
        </w:rPr>
        <w:tab/>
        <w:t>FARMACINĖ FORMA</w:t>
      </w:r>
      <w:bookmarkEnd w:id="9"/>
      <w:bookmarkEnd w:id="10"/>
    </w:p>
    <w:p w14:paraId="3F63CF11" w14:textId="77777777" w:rsidR="00611539" w:rsidRPr="000C5085" w:rsidRDefault="00611539" w:rsidP="000C5085">
      <w:pPr>
        <w:widowControl w:val="0"/>
        <w:spacing w:after="0" w:line="240" w:lineRule="auto"/>
        <w:rPr>
          <w:rFonts w:ascii="Times New Roman" w:eastAsia="Calibri" w:hAnsi="Times New Roman" w:cs="Times New Roman"/>
        </w:rPr>
      </w:pPr>
    </w:p>
    <w:p w14:paraId="730B8B13"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r w:rsidRPr="000C5085">
        <w:rPr>
          <w:rFonts w:ascii="Times New Roman" w:eastAsia="Calibri" w:hAnsi="Times New Roman" w:cs="Times New Roman"/>
          <w:shd w:val="clear" w:color="auto" w:fill="FFFFFF"/>
        </w:rPr>
        <w:t>Plėvele dengta tabletė</w:t>
      </w:r>
    </w:p>
    <w:p w14:paraId="1CE3582F"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p>
    <w:p w14:paraId="58BAB55A"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r w:rsidRPr="000C5085">
        <w:rPr>
          <w:rFonts w:ascii="Times New Roman" w:eastAsia="Calibri" w:hAnsi="Times New Roman" w:cs="Times New Roman"/>
          <w:shd w:val="clear" w:color="auto" w:fill="FFFFFF"/>
        </w:rPr>
        <w:t xml:space="preserve">Geltonos spalvos, apvali, abipus išgaubta </w:t>
      </w:r>
      <w:smartTag w:uri="urn:schemas-microsoft-com:office:smarttags" w:element="metricconverter">
        <w:smartTagPr>
          <w:attr w:name="ProductID" w:val="6 mm"/>
        </w:smartTagPr>
        <w:r w:rsidRPr="000C5085">
          <w:rPr>
            <w:rFonts w:ascii="Times New Roman" w:eastAsia="Calibri" w:hAnsi="Times New Roman" w:cs="Times New Roman"/>
            <w:shd w:val="clear" w:color="auto" w:fill="FFFFFF"/>
          </w:rPr>
          <w:t>6 mm</w:t>
        </w:r>
      </w:smartTag>
      <w:r w:rsidRPr="000C5085">
        <w:rPr>
          <w:rFonts w:ascii="Times New Roman" w:eastAsia="Calibri" w:hAnsi="Times New Roman" w:cs="Times New Roman"/>
          <w:shd w:val="clear" w:color="auto" w:fill="FFFFFF"/>
        </w:rPr>
        <w:t xml:space="preserve"> skersmens plėvele dengta tabletė abipus lygiu paviršiumi.</w:t>
      </w:r>
    </w:p>
    <w:p w14:paraId="0DCC12F8" w14:textId="77777777" w:rsidR="00611539" w:rsidRPr="000C5085" w:rsidRDefault="00611539" w:rsidP="000C5085">
      <w:pPr>
        <w:widowControl w:val="0"/>
        <w:spacing w:after="0" w:line="240" w:lineRule="auto"/>
        <w:rPr>
          <w:rFonts w:ascii="Times New Roman" w:eastAsia="Calibri" w:hAnsi="Times New Roman" w:cs="Times New Roman"/>
        </w:rPr>
      </w:pPr>
    </w:p>
    <w:p w14:paraId="69005C54" w14:textId="77777777" w:rsidR="00611539" w:rsidRPr="000C5085" w:rsidRDefault="00611539" w:rsidP="000C5085">
      <w:pPr>
        <w:widowControl w:val="0"/>
        <w:spacing w:after="0" w:line="240" w:lineRule="auto"/>
        <w:rPr>
          <w:rFonts w:ascii="Times New Roman" w:eastAsia="Calibri" w:hAnsi="Times New Roman" w:cs="Times New Roman"/>
        </w:rPr>
      </w:pPr>
    </w:p>
    <w:p w14:paraId="4DE2F11C"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11" w:name="_Toc129243101"/>
      <w:bookmarkStart w:id="12" w:name="_Toc129243226"/>
      <w:r w:rsidRPr="000C5085">
        <w:rPr>
          <w:rFonts w:ascii="Times New Roman" w:eastAsia="Calibri" w:hAnsi="Times New Roman" w:cs="Times New Roman"/>
          <w:b/>
        </w:rPr>
        <w:t>4.</w:t>
      </w:r>
      <w:r w:rsidRPr="000C5085">
        <w:rPr>
          <w:rFonts w:ascii="Times New Roman" w:eastAsia="Calibri" w:hAnsi="Times New Roman" w:cs="Times New Roman"/>
          <w:b/>
        </w:rPr>
        <w:tab/>
        <w:t>KLINIKINĖ INFORMACIJA</w:t>
      </w:r>
      <w:bookmarkEnd w:id="11"/>
      <w:bookmarkEnd w:id="12"/>
    </w:p>
    <w:p w14:paraId="16489CE9" w14:textId="77777777" w:rsidR="00611539" w:rsidRPr="000C5085" w:rsidRDefault="00611539" w:rsidP="000C5085">
      <w:pPr>
        <w:widowControl w:val="0"/>
        <w:spacing w:after="0" w:line="240" w:lineRule="auto"/>
        <w:rPr>
          <w:rFonts w:ascii="Times New Roman" w:eastAsia="Calibri" w:hAnsi="Times New Roman" w:cs="Times New Roman"/>
        </w:rPr>
      </w:pPr>
    </w:p>
    <w:p w14:paraId="7AB85309"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3" w:name="_Toc129243102"/>
      <w:bookmarkStart w:id="14" w:name="_Toc129243227"/>
      <w:r w:rsidRPr="000C5085">
        <w:rPr>
          <w:rFonts w:ascii="Times New Roman" w:eastAsia="Calibri" w:hAnsi="Times New Roman" w:cs="Times New Roman"/>
          <w:b/>
          <w:kern w:val="28"/>
        </w:rPr>
        <w:t>4.1</w:t>
      </w:r>
      <w:r w:rsidRPr="000C5085">
        <w:rPr>
          <w:rFonts w:ascii="Times New Roman" w:eastAsia="Calibri" w:hAnsi="Times New Roman" w:cs="Times New Roman"/>
          <w:b/>
          <w:kern w:val="28"/>
        </w:rPr>
        <w:tab/>
        <w:t>Terapinės indikacijos</w:t>
      </w:r>
      <w:bookmarkEnd w:id="13"/>
      <w:bookmarkEnd w:id="14"/>
    </w:p>
    <w:p w14:paraId="0C56698C" w14:textId="77777777" w:rsidR="00611539" w:rsidRPr="000C5085" w:rsidRDefault="00611539" w:rsidP="000C5085">
      <w:pPr>
        <w:widowControl w:val="0"/>
        <w:spacing w:after="0" w:line="240" w:lineRule="auto"/>
        <w:rPr>
          <w:rFonts w:ascii="Times New Roman" w:eastAsia="Calibri" w:hAnsi="Times New Roman" w:cs="Times New Roman"/>
        </w:rPr>
      </w:pPr>
    </w:p>
    <w:p w14:paraId="6A1BDB46" w14:textId="77777777" w:rsidR="00611539" w:rsidRPr="000C5085" w:rsidRDefault="00611539" w:rsidP="008100DF">
      <w:pPr>
        <w:widowControl w:val="0"/>
        <w:numPr>
          <w:ilvl w:val="0"/>
          <w:numId w:val="30"/>
        </w:numPr>
        <w:spacing w:after="0" w:line="240" w:lineRule="auto"/>
        <w:ind w:left="567" w:hanging="567"/>
        <w:contextualSpacing/>
        <w:rPr>
          <w:rFonts w:ascii="Times New Roman" w:eastAsia="Calibri" w:hAnsi="Times New Roman" w:cs="Times New Roman"/>
        </w:rPr>
      </w:pPr>
      <w:proofErr w:type="spellStart"/>
      <w:r w:rsidRPr="000C5085">
        <w:rPr>
          <w:rFonts w:ascii="Times New Roman" w:eastAsia="Calibri" w:hAnsi="Times New Roman" w:cs="Times New Roman"/>
        </w:rPr>
        <w:t>Adjuvantinis</w:t>
      </w:r>
      <w:proofErr w:type="spellEnd"/>
      <w:r w:rsidRPr="000C5085">
        <w:rPr>
          <w:rFonts w:ascii="Times New Roman" w:eastAsia="Calibri" w:hAnsi="Times New Roman" w:cs="Times New Roman"/>
        </w:rPr>
        <w:t xml:space="preserve"> ankstyvojo invazinio krūties vėžio, kuriame yra hormoninių receptorių, gydymas moterims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laikotarpiu.</w:t>
      </w:r>
    </w:p>
    <w:p w14:paraId="49B80E35" w14:textId="77777777" w:rsidR="00611539" w:rsidRPr="000C5085" w:rsidRDefault="00611539" w:rsidP="008100DF">
      <w:pPr>
        <w:widowControl w:val="0"/>
        <w:numPr>
          <w:ilvl w:val="0"/>
          <w:numId w:val="30"/>
        </w:numPr>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Tęstinis </w:t>
      </w:r>
      <w:proofErr w:type="spellStart"/>
      <w:r w:rsidRPr="000C5085">
        <w:rPr>
          <w:rFonts w:ascii="Times New Roman" w:eastAsia="Calibri" w:hAnsi="Times New Roman" w:cs="Times New Roman"/>
        </w:rPr>
        <w:t>adjuvantinis</w:t>
      </w:r>
      <w:proofErr w:type="spellEnd"/>
      <w:r w:rsidRPr="000C5085">
        <w:rPr>
          <w:rFonts w:ascii="Times New Roman" w:eastAsia="Calibri" w:hAnsi="Times New Roman" w:cs="Times New Roman"/>
        </w:rPr>
        <w:t xml:space="preserve"> nuo hormonų priklausomo invazinio krūties vėžio gydymas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laikotarpiu moterims, kurioms prieš tai 5 metus taikytas įprastinis </w:t>
      </w:r>
      <w:proofErr w:type="spellStart"/>
      <w:r w:rsidRPr="000C5085">
        <w:rPr>
          <w:rFonts w:ascii="Times New Roman" w:eastAsia="Calibri" w:hAnsi="Times New Roman" w:cs="Times New Roman"/>
        </w:rPr>
        <w:t>adjuvantinis</w:t>
      </w:r>
      <w:proofErr w:type="spellEnd"/>
      <w:r w:rsidRPr="000C5085">
        <w:rPr>
          <w:rFonts w:ascii="Times New Roman" w:eastAsia="Calibri" w:hAnsi="Times New Roman" w:cs="Times New Roman"/>
        </w:rPr>
        <w:t xml:space="preserve"> gydymas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w:t>
      </w:r>
    </w:p>
    <w:p w14:paraId="3505D1CF" w14:textId="77777777" w:rsidR="00611539" w:rsidRPr="000C5085" w:rsidRDefault="00611539" w:rsidP="008100DF">
      <w:pPr>
        <w:widowControl w:val="0"/>
        <w:numPr>
          <w:ilvl w:val="0"/>
          <w:numId w:val="30"/>
        </w:numPr>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Pirmaeilis progresavusio nuo hormonų priklausomo krūties vėžio gydymas moterims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laikotarpiu.</w:t>
      </w:r>
    </w:p>
    <w:p w14:paraId="3B4EC1C6" w14:textId="77777777" w:rsidR="00611539" w:rsidRPr="000C5085" w:rsidRDefault="00611539" w:rsidP="008100DF">
      <w:pPr>
        <w:widowControl w:val="0"/>
        <w:numPr>
          <w:ilvl w:val="0"/>
          <w:numId w:val="30"/>
        </w:numPr>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Progresavusio krūties vėžio gydymas po natūralios arba dirbtiniu būdu sukeltos menopauzės moterims, kurios anksčiau buvo gydytos </w:t>
      </w:r>
      <w:proofErr w:type="spellStart"/>
      <w:r w:rsidRPr="000C5085">
        <w:rPr>
          <w:rFonts w:ascii="Times New Roman" w:eastAsia="Calibri" w:hAnsi="Times New Roman" w:cs="Times New Roman"/>
        </w:rPr>
        <w:t>antiestrogenais</w:t>
      </w:r>
      <w:proofErr w:type="spellEnd"/>
      <w:r w:rsidRPr="000C5085">
        <w:rPr>
          <w:rFonts w:ascii="Times New Roman" w:eastAsia="Calibri" w:hAnsi="Times New Roman" w:cs="Times New Roman"/>
        </w:rPr>
        <w:t>, tuo atveju, jeigu vėžys atsinaujino arba progresuoja.</w:t>
      </w:r>
    </w:p>
    <w:p w14:paraId="576C9F05" w14:textId="77777777" w:rsidR="00611539" w:rsidRPr="000C5085" w:rsidRDefault="00611539" w:rsidP="008100DF">
      <w:pPr>
        <w:widowControl w:val="0"/>
        <w:numPr>
          <w:ilvl w:val="0"/>
          <w:numId w:val="30"/>
        </w:numPr>
        <w:spacing w:after="0" w:line="240" w:lineRule="auto"/>
        <w:ind w:left="567" w:hanging="567"/>
        <w:contextualSpacing/>
        <w:rPr>
          <w:rFonts w:ascii="Times New Roman" w:eastAsia="Calibri" w:hAnsi="Times New Roman" w:cs="Times New Roman"/>
        </w:rPr>
      </w:pPr>
      <w:proofErr w:type="spellStart"/>
      <w:r w:rsidRPr="000C5085">
        <w:rPr>
          <w:rFonts w:ascii="Times New Roman" w:eastAsia="Calibri" w:hAnsi="Times New Roman" w:cs="Times New Roman"/>
        </w:rPr>
        <w:t>Neoadjuvantinis</w:t>
      </w:r>
      <w:proofErr w:type="spellEnd"/>
      <w:r w:rsidRPr="000C5085">
        <w:rPr>
          <w:rFonts w:ascii="Times New Roman" w:eastAsia="Calibri" w:hAnsi="Times New Roman" w:cs="Times New Roman"/>
        </w:rPr>
        <w:t xml:space="preserve"> krūties vėžio, kuriame yra hormoninių receptorių ir nėra HER-2, gydymas moterims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laikotarpiu, jei chemoterapija ar skubi operacija negalima.</w:t>
      </w:r>
    </w:p>
    <w:p w14:paraId="7D1D77B3" w14:textId="77777777" w:rsidR="00611539" w:rsidRPr="000C5085" w:rsidRDefault="00611539" w:rsidP="000C5085">
      <w:pPr>
        <w:widowControl w:val="0"/>
        <w:spacing w:after="0" w:line="240" w:lineRule="auto"/>
        <w:ind w:left="567" w:hanging="567"/>
        <w:rPr>
          <w:rFonts w:ascii="Times New Roman" w:eastAsia="Calibri" w:hAnsi="Times New Roman" w:cs="Times New Roman"/>
        </w:rPr>
      </w:pPr>
    </w:p>
    <w:p w14:paraId="6E861C0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Krūties vėžio, kuriame hormoninių receptorių nėra, gydymo šiuo vaistiniu preparatu veiksmingumas neįrodytas.</w:t>
      </w:r>
    </w:p>
    <w:p w14:paraId="29EDA763" w14:textId="77777777" w:rsidR="00611539" w:rsidRPr="000C5085" w:rsidRDefault="00611539" w:rsidP="000C5085">
      <w:pPr>
        <w:widowControl w:val="0"/>
        <w:spacing w:after="0" w:line="240" w:lineRule="auto"/>
        <w:rPr>
          <w:rFonts w:ascii="Times New Roman" w:eastAsia="Calibri" w:hAnsi="Times New Roman" w:cs="Times New Roman"/>
        </w:rPr>
      </w:pPr>
    </w:p>
    <w:p w14:paraId="1D3B4407"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5" w:name="_Toc129243103"/>
      <w:bookmarkStart w:id="16" w:name="_Toc129243228"/>
      <w:r w:rsidRPr="000C5085">
        <w:rPr>
          <w:rFonts w:ascii="Times New Roman" w:eastAsia="Calibri" w:hAnsi="Times New Roman" w:cs="Times New Roman"/>
          <w:b/>
          <w:kern w:val="28"/>
        </w:rPr>
        <w:t>4.2</w:t>
      </w:r>
      <w:r w:rsidRPr="000C5085">
        <w:rPr>
          <w:rFonts w:ascii="Times New Roman" w:eastAsia="Calibri" w:hAnsi="Times New Roman" w:cs="Times New Roman"/>
          <w:b/>
          <w:kern w:val="28"/>
        </w:rPr>
        <w:tab/>
        <w:t>Dozavimas ir vartojimo metodas</w:t>
      </w:r>
      <w:bookmarkEnd w:id="15"/>
      <w:bookmarkEnd w:id="16"/>
    </w:p>
    <w:p w14:paraId="05AD89D4" w14:textId="77777777" w:rsidR="00611539" w:rsidRPr="000C5085" w:rsidRDefault="00611539" w:rsidP="000C5085">
      <w:pPr>
        <w:widowControl w:val="0"/>
        <w:spacing w:after="0" w:line="240" w:lineRule="auto"/>
        <w:rPr>
          <w:rFonts w:ascii="Times New Roman" w:eastAsia="Calibri" w:hAnsi="Times New Roman" w:cs="Times New Roman"/>
        </w:rPr>
      </w:pPr>
    </w:p>
    <w:p w14:paraId="6D8D2FD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Dozavimas</w:t>
      </w:r>
    </w:p>
    <w:p w14:paraId="5C71B3FB"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Suaugusioms pacientėms, įskaitant senyvas</w:t>
      </w:r>
    </w:p>
    <w:p w14:paraId="111292B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Rekomenduojama kartą per parą geriama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dozė yra 2,5 mg. Senyvoms pacientėms dozės keisti nereikia.</w:t>
      </w:r>
    </w:p>
    <w:p w14:paraId="1092DA29" w14:textId="77777777" w:rsidR="00FA27F7" w:rsidRPr="000C5085" w:rsidRDefault="00FA27F7" w:rsidP="000C5085">
      <w:pPr>
        <w:widowControl w:val="0"/>
        <w:spacing w:after="0" w:line="240" w:lineRule="auto"/>
        <w:rPr>
          <w:rFonts w:ascii="Times New Roman" w:eastAsia="Calibri" w:hAnsi="Times New Roman" w:cs="Times New Roman"/>
        </w:rPr>
      </w:pPr>
    </w:p>
    <w:p w14:paraId="6CC8176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vėžys yra progresavęs arba </w:t>
      </w:r>
      <w:proofErr w:type="spellStart"/>
      <w:r w:rsidRPr="000C5085">
        <w:rPr>
          <w:rFonts w:ascii="Times New Roman" w:eastAsia="Calibri" w:hAnsi="Times New Roman" w:cs="Times New Roman"/>
        </w:rPr>
        <w:t>metastazavęs</w:t>
      </w:r>
      <w:proofErr w:type="spellEnd"/>
      <w:r w:rsidRPr="000C5085">
        <w:rPr>
          <w:rFonts w:ascii="Times New Roman" w:eastAsia="Calibri" w:hAnsi="Times New Roman" w:cs="Times New Roman"/>
        </w:rPr>
        <w:t xml:space="preserve">, gydymą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reikia tęsti tol, kol naviko progresavimas tampa akivaizdus.</w:t>
      </w:r>
    </w:p>
    <w:p w14:paraId="5336D9AE" w14:textId="77777777" w:rsidR="00611539" w:rsidRPr="000C5085" w:rsidRDefault="00611539" w:rsidP="000C5085">
      <w:pPr>
        <w:widowControl w:val="0"/>
        <w:spacing w:after="0" w:line="240" w:lineRule="auto"/>
        <w:rPr>
          <w:rFonts w:ascii="Times New Roman" w:eastAsia="Calibri" w:hAnsi="Times New Roman" w:cs="Times New Roman"/>
        </w:rPr>
      </w:pPr>
    </w:p>
    <w:p w14:paraId="7A49CD70"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ar tęstinio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atveju gydymą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reikia tęsti 5 metus arba tol, kol pasireiškia naviko atkrytis (priklausomai nuo to, kas pasireiškia anksčiau).</w:t>
      </w:r>
    </w:p>
    <w:p w14:paraId="7C5B2ABC" w14:textId="77777777" w:rsidR="00611539" w:rsidRPr="000C5085" w:rsidRDefault="00611539" w:rsidP="000C5085">
      <w:pPr>
        <w:widowControl w:val="0"/>
        <w:spacing w:after="0" w:line="240" w:lineRule="auto"/>
        <w:rPr>
          <w:rFonts w:ascii="Times New Roman" w:eastAsia="Calibri" w:hAnsi="Times New Roman" w:cs="Times New Roman"/>
        </w:rPr>
      </w:pPr>
    </w:p>
    <w:p w14:paraId="5083619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lastRenderedPageBreak/>
        <w:t xml:space="preserve">Galima apsvarstyti nuoseklaus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schemą (2 metus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 to 3 metus -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(žr. 4.4 ir 5.1 skyrius).</w:t>
      </w:r>
    </w:p>
    <w:p w14:paraId="5B448C7D" w14:textId="77777777" w:rsidR="00611539" w:rsidRPr="000C5085" w:rsidRDefault="00611539" w:rsidP="000C5085">
      <w:pPr>
        <w:widowControl w:val="0"/>
        <w:spacing w:after="0" w:line="240" w:lineRule="auto"/>
        <w:rPr>
          <w:rFonts w:ascii="Times New Roman" w:eastAsia="Calibri" w:hAnsi="Times New Roman" w:cs="Times New Roman"/>
        </w:rPr>
      </w:pPr>
    </w:p>
    <w:p w14:paraId="6FCE8A0C" w14:textId="3E04880E"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Siekiant optimalaus naviko sumažėjimo, </w:t>
      </w:r>
      <w:proofErr w:type="spellStart"/>
      <w:r w:rsidRPr="000C5085">
        <w:rPr>
          <w:rFonts w:ascii="Times New Roman" w:eastAsia="Calibri" w:hAnsi="Times New Roman" w:cs="Times New Roman"/>
        </w:rPr>
        <w:t>neoadjuvantinį</w:t>
      </w:r>
      <w:proofErr w:type="spellEnd"/>
      <w:r w:rsidRPr="000C5085">
        <w:rPr>
          <w:rFonts w:ascii="Times New Roman" w:eastAsia="Calibri" w:hAnsi="Times New Roman" w:cs="Times New Roman"/>
        </w:rPr>
        <w:t xml:space="preserve"> gydymą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reikia tęsti 4</w:t>
      </w:r>
      <w:r w:rsidRPr="000C5085">
        <w:rPr>
          <w:rFonts w:ascii="Times New Roman" w:eastAsia="Calibri" w:hAnsi="Times New Roman" w:cs="Times New Roman"/>
        </w:rPr>
        <w:noBreakHyphen/>
        <w:t>8</w:t>
      </w:r>
      <w:r w:rsidR="00B66BB6">
        <w:rPr>
          <w:rFonts w:ascii="Times New Roman" w:eastAsia="Calibri" w:hAnsi="Times New Roman" w:cs="Times New Roman"/>
        </w:rPr>
        <w:t> </w:t>
      </w:r>
      <w:r w:rsidRPr="000C5085">
        <w:rPr>
          <w:rFonts w:ascii="Times New Roman" w:eastAsia="Calibri" w:hAnsi="Times New Roman" w:cs="Times New Roman"/>
        </w:rPr>
        <w:t xml:space="preserve">mėnesius. Jei reikiamos reakcijos neatsiranda, būtina nutraukti gydymą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ir suplanuoti operaciją ir (arba) su paciente aptarti tolesnio gydymo galimybes.</w:t>
      </w:r>
    </w:p>
    <w:p w14:paraId="6192EB1D" w14:textId="77777777" w:rsidR="00611539" w:rsidRPr="000C5085" w:rsidRDefault="00611539" w:rsidP="000C5085">
      <w:pPr>
        <w:widowControl w:val="0"/>
        <w:spacing w:after="0" w:line="240" w:lineRule="auto"/>
        <w:rPr>
          <w:rFonts w:ascii="Times New Roman" w:eastAsia="Calibri" w:hAnsi="Times New Roman" w:cs="Times New Roman"/>
          <w:b/>
        </w:rPr>
      </w:pPr>
    </w:p>
    <w:p w14:paraId="5C52A202" w14:textId="77777777" w:rsidR="00611539" w:rsidRPr="000C5085" w:rsidRDefault="00611539" w:rsidP="000C5085">
      <w:pPr>
        <w:widowControl w:val="0"/>
        <w:spacing w:after="0" w:line="240" w:lineRule="auto"/>
        <w:rPr>
          <w:rFonts w:ascii="Times New Roman" w:eastAsia="Calibri" w:hAnsi="Times New Roman" w:cs="Times New Roman"/>
          <w:i/>
          <w:u w:val="single"/>
        </w:rPr>
      </w:pPr>
      <w:r w:rsidRPr="000C5085">
        <w:rPr>
          <w:rFonts w:ascii="Times New Roman" w:eastAsia="Calibri" w:hAnsi="Times New Roman" w:cs="Times New Roman"/>
          <w:i/>
          <w:u w:val="single"/>
        </w:rPr>
        <w:t>Vaikų populiacija</w:t>
      </w:r>
    </w:p>
    <w:p w14:paraId="691E04D6"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vaikams ir paaugliams vartoti nerekomenduojama.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saugumas ir veiksmingumas vaikams ir paaugliams iki 17 metų neištirti. Duomenų turima nedaug, dozavimo rekomendacijų pateikti negalima.</w:t>
      </w:r>
    </w:p>
    <w:p w14:paraId="3FAC64FA" w14:textId="77777777" w:rsidR="00611539" w:rsidRPr="000C5085" w:rsidRDefault="00611539" w:rsidP="000C5085">
      <w:pPr>
        <w:widowControl w:val="0"/>
        <w:spacing w:after="0" w:line="240" w:lineRule="auto"/>
        <w:rPr>
          <w:rFonts w:ascii="Times New Roman" w:eastAsia="Calibri" w:hAnsi="Times New Roman" w:cs="Times New Roman"/>
        </w:rPr>
      </w:pPr>
    </w:p>
    <w:p w14:paraId="53AA9F7D" w14:textId="77777777" w:rsidR="00611539" w:rsidRPr="000C5085" w:rsidRDefault="00611539" w:rsidP="000C5085">
      <w:pPr>
        <w:widowControl w:val="0"/>
        <w:spacing w:after="0" w:line="240" w:lineRule="auto"/>
        <w:contextualSpacing/>
        <w:outlineLvl w:val="0"/>
        <w:rPr>
          <w:rFonts w:ascii="Times New Roman" w:eastAsia="Calibri" w:hAnsi="Times New Roman" w:cs="Times New Roman"/>
          <w:i/>
        </w:rPr>
      </w:pPr>
      <w:r w:rsidRPr="000C5085">
        <w:rPr>
          <w:rFonts w:ascii="Times New Roman" w:eastAsia="Calibri" w:hAnsi="Times New Roman" w:cs="Times New Roman"/>
          <w:i/>
        </w:rPr>
        <w:t>Pacientėms, kurių inkstų funkcija sutrikusi</w:t>
      </w:r>
    </w:p>
    <w:p w14:paraId="53B561F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Pacientėms, kurioms yra inkstų nepakankamumas ir </w:t>
      </w:r>
      <w:proofErr w:type="spellStart"/>
      <w:r w:rsidRPr="000C5085">
        <w:rPr>
          <w:rFonts w:ascii="Times New Roman" w:eastAsia="Calibri" w:hAnsi="Times New Roman" w:cs="Times New Roman"/>
        </w:rPr>
        <w:t>kreatinino</w:t>
      </w:r>
      <w:proofErr w:type="spellEnd"/>
      <w:r w:rsidRPr="000C5085">
        <w:rPr>
          <w:rFonts w:ascii="Times New Roman" w:eastAsia="Calibri" w:hAnsi="Times New Roman" w:cs="Times New Roman"/>
        </w:rPr>
        <w:t xml:space="preserve"> klirensas yra ≥</w:t>
      </w:r>
      <w:r w:rsidR="00B66BB6">
        <w:rPr>
          <w:rFonts w:ascii="Times New Roman" w:eastAsia="Calibri" w:hAnsi="Times New Roman" w:cs="Times New Roman"/>
        </w:rPr>
        <w:t> </w:t>
      </w:r>
      <w:r w:rsidRPr="000C5085">
        <w:rPr>
          <w:rFonts w:ascii="Times New Roman" w:eastAsia="Calibri" w:hAnsi="Times New Roman" w:cs="Times New Roman"/>
        </w:rPr>
        <w:t xml:space="preserve">10 ml/min., dozės keisti nereikia. Duomenų apie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vartojimą pacientėms, kurioms yra inkstų nepakankamumas ir </w:t>
      </w:r>
      <w:proofErr w:type="spellStart"/>
      <w:r w:rsidRPr="000C5085">
        <w:rPr>
          <w:rFonts w:ascii="Times New Roman" w:eastAsia="Calibri" w:hAnsi="Times New Roman" w:cs="Times New Roman"/>
        </w:rPr>
        <w:t>kreatinino</w:t>
      </w:r>
      <w:proofErr w:type="spellEnd"/>
      <w:r w:rsidRPr="000C5085">
        <w:rPr>
          <w:rFonts w:ascii="Times New Roman" w:eastAsia="Calibri" w:hAnsi="Times New Roman" w:cs="Times New Roman"/>
        </w:rPr>
        <w:t xml:space="preserve"> klirensas mažesnis kaip 10 ml/min., nepakanka (žr. 4.4 ir 5.2 skyrius).</w:t>
      </w:r>
    </w:p>
    <w:p w14:paraId="707D101B" w14:textId="77777777" w:rsidR="00611539" w:rsidRPr="000C5085" w:rsidRDefault="00611539" w:rsidP="000C5085">
      <w:pPr>
        <w:widowControl w:val="0"/>
        <w:spacing w:after="0" w:line="240" w:lineRule="auto"/>
        <w:rPr>
          <w:rFonts w:ascii="Times New Roman" w:eastAsia="Calibri" w:hAnsi="Times New Roman" w:cs="Times New Roman"/>
        </w:rPr>
      </w:pPr>
    </w:p>
    <w:p w14:paraId="08DFDCEA" w14:textId="77777777" w:rsidR="00611539" w:rsidRPr="000C5085" w:rsidRDefault="00611539" w:rsidP="000C5085">
      <w:pPr>
        <w:widowControl w:val="0"/>
        <w:spacing w:after="0" w:line="240" w:lineRule="auto"/>
        <w:contextualSpacing/>
        <w:outlineLvl w:val="0"/>
        <w:rPr>
          <w:rFonts w:ascii="Times New Roman" w:eastAsia="Calibri" w:hAnsi="Times New Roman" w:cs="Times New Roman"/>
          <w:i/>
        </w:rPr>
      </w:pPr>
      <w:r w:rsidRPr="000C5085">
        <w:rPr>
          <w:rFonts w:ascii="Times New Roman" w:eastAsia="Calibri" w:hAnsi="Times New Roman" w:cs="Times New Roman"/>
          <w:i/>
        </w:rPr>
        <w:t>Pacientėms, kurių kepenų funkcija sutrikusi</w:t>
      </w:r>
    </w:p>
    <w:p w14:paraId="0F2AAF4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Pacientėms, kurioms yra lengvas ar vidutinio sunkumo kepenų nepakankamumas (A arba B klasė pagal </w:t>
      </w:r>
      <w:proofErr w:type="spellStart"/>
      <w:r w:rsidRPr="000C5085">
        <w:rPr>
          <w:rFonts w:ascii="Times New Roman" w:eastAsia="Calibri" w:hAnsi="Times New Roman" w:cs="Times New Roman"/>
        </w:rPr>
        <w:t>Child-Pugh),</w:t>
      </w:r>
      <w:proofErr w:type="spellEnd"/>
      <w:r w:rsidRPr="000C5085">
        <w:rPr>
          <w:rFonts w:ascii="Times New Roman" w:eastAsia="Calibri" w:hAnsi="Times New Roman" w:cs="Times New Roman"/>
        </w:rPr>
        <w:t xml:space="preserve"> dozės keisti nereikia. Duomenų apie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vartojimą pacientėms, kurioms yra sunkus kepenų funkcijos sutrikimas, nepakanka. Pacientes, kurioms yra sunkus kepenų funkcijos sutrikimas (C klasė pagal </w:t>
      </w:r>
      <w:proofErr w:type="spellStart"/>
      <w:r w:rsidRPr="000C5085">
        <w:rPr>
          <w:rFonts w:ascii="Times New Roman" w:eastAsia="Calibri" w:hAnsi="Times New Roman" w:cs="Times New Roman"/>
        </w:rPr>
        <w:t>Child-Pugh),</w:t>
      </w:r>
      <w:proofErr w:type="spellEnd"/>
      <w:r w:rsidRPr="000C5085">
        <w:rPr>
          <w:rFonts w:ascii="Times New Roman" w:eastAsia="Calibri" w:hAnsi="Times New Roman" w:cs="Times New Roman"/>
        </w:rPr>
        <w:t xml:space="preserve"> būtina atidžiai stebėti (žr. 4.4 ir 5.2 skyrius).</w:t>
      </w:r>
    </w:p>
    <w:p w14:paraId="739358C9" w14:textId="77777777" w:rsidR="00611539" w:rsidRPr="000C5085" w:rsidRDefault="00611539" w:rsidP="000C5085">
      <w:pPr>
        <w:widowControl w:val="0"/>
        <w:spacing w:after="0" w:line="240" w:lineRule="auto"/>
        <w:rPr>
          <w:rFonts w:ascii="Times New Roman" w:eastAsia="Calibri" w:hAnsi="Times New Roman" w:cs="Times New Roman"/>
        </w:rPr>
      </w:pPr>
    </w:p>
    <w:p w14:paraId="76C20BFB"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Vartojimo metodas</w:t>
      </w:r>
    </w:p>
    <w:p w14:paraId="0D528ADB"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reikia vartoti per burną valgant arba nevalgant.</w:t>
      </w:r>
    </w:p>
    <w:p w14:paraId="32A5B1FA" w14:textId="77777777" w:rsidR="00611539" w:rsidRPr="000C5085" w:rsidRDefault="00611539" w:rsidP="000C5085">
      <w:pPr>
        <w:widowControl w:val="0"/>
        <w:spacing w:after="0" w:line="240" w:lineRule="auto"/>
        <w:rPr>
          <w:rFonts w:ascii="Times New Roman" w:eastAsia="Calibri" w:hAnsi="Times New Roman" w:cs="Times New Roman"/>
        </w:rPr>
      </w:pPr>
    </w:p>
    <w:p w14:paraId="19A98310" w14:textId="77777777" w:rsidR="00611539" w:rsidRPr="000C5085" w:rsidRDefault="00611539" w:rsidP="000C5085">
      <w:pPr>
        <w:widowControl w:val="0"/>
        <w:spacing w:after="0" w:line="240" w:lineRule="auto"/>
        <w:rPr>
          <w:rFonts w:ascii="Times New Roman" w:eastAsia="Calibri" w:hAnsi="Times New Roman" w:cs="Times New Roman"/>
        </w:rPr>
      </w:pPr>
      <w:bookmarkStart w:id="17" w:name="_Toc129243104"/>
      <w:bookmarkStart w:id="18" w:name="_Toc129243229"/>
      <w:r w:rsidRPr="000C5085">
        <w:rPr>
          <w:rFonts w:ascii="Times New Roman" w:eastAsia="Calibri" w:hAnsi="Times New Roman" w:cs="Times New Roman"/>
        </w:rPr>
        <w:t>Praleistą dozę reikia išgerti iškart pacientei prisiminus. Vis dėlto jei jau beveik laikas vartoti kitą dozę (2</w:t>
      </w:r>
      <w:r w:rsidRPr="000C5085">
        <w:rPr>
          <w:rFonts w:ascii="Times New Roman" w:eastAsia="Calibri" w:hAnsi="Times New Roman" w:cs="Times New Roman"/>
        </w:rPr>
        <w:noBreakHyphen/>
        <w:t>3 valandų laikotarpiu), tai praleistos dozės gerti nereikia, vaistinis preparatas toliau vartojamas įprastu laiku. Negalima vartoti dvigubos dozės, nes vartojant didesnę dozė nei rekomenduojama 2,5 mg dozė, sisteminė ekspozicija didėja daugiau nei proporcingai (žr. 5.2 skyrių).</w:t>
      </w:r>
    </w:p>
    <w:p w14:paraId="1715BBFB" w14:textId="77777777" w:rsidR="00611539" w:rsidRPr="000C5085" w:rsidRDefault="00611539" w:rsidP="000C5085">
      <w:pPr>
        <w:widowControl w:val="0"/>
        <w:spacing w:after="0" w:line="240" w:lineRule="auto"/>
        <w:rPr>
          <w:rFonts w:ascii="Times New Roman" w:eastAsia="Calibri" w:hAnsi="Times New Roman" w:cs="Times New Roman"/>
        </w:rPr>
      </w:pPr>
    </w:p>
    <w:p w14:paraId="37D94461"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r w:rsidRPr="000C5085">
        <w:rPr>
          <w:rFonts w:ascii="Times New Roman" w:eastAsia="Calibri" w:hAnsi="Times New Roman" w:cs="Times New Roman"/>
          <w:b/>
          <w:kern w:val="28"/>
        </w:rPr>
        <w:t>4.3</w:t>
      </w:r>
      <w:r w:rsidRPr="000C5085">
        <w:rPr>
          <w:rFonts w:ascii="Times New Roman" w:eastAsia="Calibri" w:hAnsi="Times New Roman" w:cs="Times New Roman"/>
          <w:b/>
          <w:kern w:val="28"/>
        </w:rPr>
        <w:tab/>
        <w:t>Kontraindikacijos</w:t>
      </w:r>
      <w:bookmarkEnd w:id="17"/>
      <w:bookmarkEnd w:id="18"/>
    </w:p>
    <w:p w14:paraId="25211FEC" w14:textId="77777777" w:rsidR="00611539" w:rsidRPr="000C5085" w:rsidRDefault="00611539" w:rsidP="000C5085">
      <w:pPr>
        <w:widowControl w:val="0"/>
        <w:spacing w:after="0" w:line="240" w:lineRule="auto"/>
        <w:rPr>
          <w:rFonts w:ascii="Times New Roman" w:eastAsia="Calibri" w:hAnsi="Times New Roman" w:cs="Times New Roman"/>
        </w:rPr>
      </w:pPr>
    </w:p>
    <w:p w14:paraId="02D25CAE" w14:textId="4EE45FA5" w:rsidR="00611539" w:rsidRPr="000C5085" w:rsidRDefault="00611539" w:rsidP="008100DF">
      <w:pPr>
        <w:widowControl w:val="0"/>
        <w:numPr>
          <w:ilvl w:val="0"/>
          <w:numId w:val="31"/>
        </w:numPr>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Padidėjęs jautrumas veikliajai arba bet kuriai 6.1</w:t>
      </w:r>
      <w:r w:rsidR="00B66BB6">
        <w:rPr>
          <w:rFonts w:ascii="Times New Roman" w:eastAsia="Calibri" w:hAnsi="Times New Roman" w:cs="Times New Roman"/>
        </w:rPr>
        <w:t> </w:t>
      </w:r>
      <w:r w:rsidRPr="000C5085">
        <w:rPr>
          <w:rFonts w:ascii="Times New Roman" w:eastAsia="Calibri" w:hAnsi="Times New Roman" w:cs="Times New Roman"/>
        </w:rPr>
        <w:t>skyriuje nurodytai pagalbinei medžiagai.</w:t>
      </w:r>
    </w:p>
    <w:p w14:paraId="5B3A3EAD" w14:textId="77777777" w:rsidR="00611539" w:rsidRPr="000C5085" w:rsidRDefault="00611539" w:rsidP="008100DF">
      <w:pPr>
        <w:widowControl w:val="0"/>
        <w:numPr>
          <w:ilvl w:val="0"/>
          <w:numId w:val="31"/>
        </w:numPr>
        <w:spacing w:after="0" w:line="240" w:lineRule="auto"/>
        <w:ind w:left="567" w:hanging="567"/>
        <w:contextualSpacing/>
        <w:rPr>
          <w:rFonts w:ascii="Times New Roman" w:eastAsia="Calibri" w:hAnsi="Times New Roman" w:cs="Times New Roman"/>
        </w:rPr>
      </w:pPr>
      <w:proofErr w:type="spellStart"/>
      <w:r w:rsidRPr="000C5085">
        <w:rPr>
          <w:rFonts w:ascii="Times New Roman" w:eastAsia="Calibri" w:hAnsi="Times New Roman" w:cs="Times New Roman"/>
        </w:rPr>
        <w:t>Premenopauzinė</w:t>
      </w:r>
      <w:proofErr w:type="spellEnd"/>
      <w:r w:rsidRPr="000C5085">
        <w:rPr>
          <w:rFonts w:ascii="Times New Roman" w:eastAsia="Calibri" w:hAnsi="Times New Roman" w:cs="Times New Roman"/>
        </w:rPr>
        <w:t xml:space="preserve"> endokrininė būklė.</w:t>
      </w:r>
    </w:p>
    <w:p w14:paraId="648346EB" w14:textId="77777777" w:rsidR="00611539" w:rsidRPr="000C5085" w:rsidRDefault="00611539" w:rsidP="008100DF">
      <w:pPr>
        <w:widowControl w:val="0"/>
        <w:numPr>
          <w:ilvl w:val="0"/>
          <w:numId w:val="31"/>
        </w:numPr>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Nėštumo laikotarpis (žr. 4.6 skyrių).</w:t>
      </w:r>
    </w:p>
    <w:p w14:paraId="1B448E93" w14:textId="77777777" w:rsidR="00611539" w:rsidRPr="000C5085" w:rsidRDefault="00611539" w:rsidP="008100DF">
      <w:pPr>
        <w:widowControl w:val="0"/>
        <w:numPr>
          <w:ilvl w:val="0"/>
          <w:numId w:val="31"/>
        </w:numPr>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Žindymo laikotarpis (žr. 4.6 skyrių).</w:t>
      </w:r>
    </w:p>
    <w:p w14:paraId="301E51C7" w14:textId="77777777" w:rsidR="00611539" w:rsidRPr="000C5085" w:rsidRDefault="00611539" w:rsidP="000C5085">
      <w:pPr>
        <w:widowControl w:val="0"/>
        <w:spacing w:after="0" w:line="240" w:lineRule="auto"/>
        <w:rPr>
          <w:rFonts w:ascii="Times New Roman" w:eastAsia="Calibri" w:hAnsi="Times New Roman" w:cs="Times New Roman"/>
        </w:rPr>
      </w:pPr>
    </w:p>
    <w:p w14:paraId="163417DC"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9" w:name="_Toc129243105"/>
      <w:bookmarkStart w:id="20" w:name="_Toc129243230"/>
      <w:r w:rsidRPr="000C5085">
        <w:rPr>
          <w:rFonts w:ascii="Times New Roman" w:eastAsia="Calibri" w:hAnsi="Times New Roman" w:cs="Times New Roman"/>
          <w:b/>
          <w:kern w:val="28"/>
        </w:rPr>
        <w:t>4.4</w:t>
      </w:r>
      <w:r w:rsidRPr="000C5085">
        <w:rPr>
          <w:rFonts w:ascii="Times New Roman" w:eastAsia="Calibri" w:hAnsi="Times New Roman" w:cs="Times New Roman"/>
          <w:b/>
          <w:kern w:val="28"/>
        </w:rPr>
        <w:tab/>
        <w:t>Specialūs įspėjimai ir atsargumo priemonės</w:t>
      </w:r>
      <w:bookmarkEnd w:id="19"/>
      <w:bookmarkEnd w:id="20"/>
    </w:p>
    <w:p w14:paraId="67842138" w14:textId="77777777" w:rsidR="00611539" w:rsidRPr="000C5085" w:rsidRDefault="00611539" w:rsidP="000C5085">
      <w:pPr>
        <w:widowControl w:val="0"/>
        <w:spacing w:after="0" w:line="240" w:lineRule="auto"/>
        <w:rPr>
          <w:rFonts w:ascii="Times New Roman" w:eastAsia="Calibri" w:hAnsi="Times New Roman" w:cs="Times New Roman"/>
        </w:rPr>
      </w:pPr>
    </w:p>
    <w:p w14:paraId="52FB5A6D" w14:textId="77777777" w:rsidR="00611539" w:rsidRPr="000C5085" w:rsidRDefault="00611539" w:rsidP="000C5085">
      <w:pPr>
        <w:widowControl w:val="0"/>
        <w:spacing w:after="0" w:line="240" w:lineRule="auto"/>
        <w:rPr>
          <w:rFonts w:ascii="Times New Roman" w:eastAsia="Calibri" w:hAnsi="Times New Roman" w:cs="Times New Roman"/>
          <w:u w:val="single"/>
        </w:rPr>
      </w:pPr>
      <w:proofErr w:type="spellStart"/>
      <w:r w:rsidRPr="000C5085">
        <w:rPr>
          <w:rFonts w:ascii="Times New Roman" w:eastAsia="Calibri" w:hAnsi="Times New Roman" w:cs="Times New Roman"/>
          <w:u w:val="single"/>
        </w:rPr>
        <w:t>Menopauzinė</w:t>
      </w:r>
      <w:proofErr w:type="spellEnd"/>
      <w:r w:rsidRPr="000C5085">
        <w:rPr>
          <w:rFonts w:ascii="Times New Roman" w:eastAsia="Calibri" w:hAnsi="Times New Roman" w:cs="Times New Roman"/>
          <w:u w:val="single"/>
        </w:rPr>
        <w:t xml:space="preserve"> būklė</w:t>
      </w:r>
    </w:p>
    <w:p w14:paraId="0FC8F5D2"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nėra aiški </w:t>
      </w:r>
      <w:proofErr w:type="spellStart"/>
      <w:r w:rsidRPr="000C5085">
        <w:rPr>
          <w:rFonts w:ascii="Times New Roman" w:eastAsia="Calibri" w:hAnsi="Times New Roman" w:cs="Times New Roman"/>
        </w:rPr>
        <w:t>menopauzinė</w:t>
      </w:r>
      <w:proofErr w:type="spellEnd"/>
      <w:r w:rsidRPr="000C5085">
        <w:rPr>
          <w:rFonts w:ascii="Times New Roman" w:eastAsia="Calibri" w:hAnsi="Times New Roman" w:cs="Times New Roman"/>
        </w:rPr>
        <w:t xml:space="preserve"> pacientės būklė, prieš pradedant gydymą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reikia nustatyti </w:t>
      </w:r>
      <w:proofErr w:type="spellStart"/>
      <w:r w:rsidRPr="000C5085">
        <w:rPr>
          <w:rFonts w:ascii="Times New Roman" w:eastAsia="Calibri" w:hAnsi="Times New Roman" w:cs="Times New Roman"/>
        </w:rPr>
        <w:t>liuteinizuojančio</w:t>
      </w:r>
      <w:proofErr w:type="spellEnd"/>
      <w:r w:rsidRPr="000C5085">
        <w:rPr>
          <w:rFonts w:ascii="Times New Roman" w:eastAsia="Calibri" w:hAnsi="Times New Roman" w:cs="Times New Roman"/>
        </w:rPr>
        <w:t xml:space="preserve"> hormono (LH), folikulus stimuliuojančio hormono (FSH) ir (arba) </w:t>
      </w:r>
      <w:proofErr w:type="spellStart"/>
      <w:r w:rsidRPr="000C5085">
        <w:rPr>
          <w:rFonts w:ascii="Times New Roman" w:eastAsia="Calibri" w:hAnsi="Times New Roman" w:cs="Times New Roman"/>
        </w:rPr>
        <w:t>estradiolio</w:t>
      </w:r>
      <w:proofErr w:type="spellEnd"/>
      <w:r w:rsidRPr="000C5085">
        <w:rPr>
          <w:rFonts w:ascii="Times New Roman" w:eastAsia="Calibri" w:hAnsi="Times New Roman" w:cs="Times New Roman"/>
        </w:rPr>
        <w:t xml:space="preserve"> koncentraciją.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gali vartoti tik moterys, kurioms yra </w:t>
      </w:r>
      <w:proofErr w:type="spellStart"/>
      <w:r w:rsidRPr="000C5085">
        <w:rPr>
          <w:rFonts w:ascii="Times New Roman" w:eastAsia="Calibri" w:hAnsi="Times New Roman" w:cs="Times New Roman"/>
        </w:rPr>
        <w:t>pomenopauzinė</w:t>
      </w:r>
      <w:proofErr w:type="spellEnd"/>
      <w:r w:rsidRPr="000C5085">
        <w:rPr>
          <w:rFonts w:ascii="Times New Roman" w:eastAsia="Calibri" w:hAnsi="Times New Roman" w:cs="Times New Roman"/>
        </w:rPr>
        <w:t xml:space="preserve"> endokrininė būklė.</w:t>
      </w:r>
    </w:p>
    <w:p w14:paraId="2B8B342F" w14:textId="77777777" w:rsidR="00611539" w:rsidRPr="000C5085" w:rsidRDefault="00611539" w:rsidP="000C5085">
      <w:pPr>
        <w:widowControl w:val="0"/>
        <w:spacing w:after="0" w:line="240" w:lineRule="auto"/>
        <w:rPr>
          <w:rFonts w:ascii="Times New Roman" w:eastAsia="Calibri" w:hAnsi="Times New Roman" w:cs="Times New Roman"/>
          <w:b/>
        </w:rPr>
      </w:pPr>
    </w:p>
    <w:p w14:paraId="165DC013"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Inkstų funkcijos sutrikimas</w:t>
      </w:r>
    </w:p>
    <w:p w14:paraId="259E59F1"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poveikio tyrimuose nedalyvavo pakankamai moterų, kurių </w:t>
      </w:r>
      <w:proofErr w:type="spellStart"/>
      <w:r w:rsidRPr="000C5085">
        <w:rPr>
          <w:rFonts w:ascii="Times New Roman" w:eastAsia="Calibri" w:hAnsi="Times New Roman" w:cs="Times New Roman"/>
        </w:rPr>
        <w:t>kreatinino</w:t>
      </w:r>
      <w:proofErr w:type="spellEnd"/>
      <w:r w:rsidRPr="000C5085">
        <w:rPr>
          <w:rFonts w:ascii="Times New Roman" w:eastAsia="Calibri" w:hAnsi="Times New Roman" w:cs="Times New Roman"/>
        </w:rPr>
        <w:t xml:space="preserve"> klirensas yra mažesnis kaip 10 ml/min. Prieš skiriant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tokioms ligonėms, turi būti atidžiai įvertinta galima rizika ir nauda.</w:t>
      </w:r>
    </w:p>
    <w:p w14:paraId="46ED3F81" w14:textId="77777777" w:rsidR="00611539" w:rsidRPr="000C5085" w:rsidRDefault="00611539" w:rsidP="000C5085">
      <w:pPr>
        <w:widowControl w:val="0"/>
        <w:spacing w:after="0" w:line="240" w:lineRule="auto"/>
        <w:rPr>
          <w:rFonts w:ascii="Times New Roman" w:eastAsia="Calibri" w:hAnsi="Times New Roman" w:cs="Times New Roman"/>
        </w:rPr>
      </w:pPr>
    </w:p>
    <w:p w14:paraId="16AA003F"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Kepenų funkcijos sutrikimas</w:t>
      </w:r>
    </w:p>
    <w:p w14:paraId="12D83633" w14:textId="2A361FA0"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Pacientėms, kurioms yra sunkus kepenų funkcijos sutrikimas (C klasė pagal </w:t>
      </w:r>
      <w:proofErr w:type="spellStart"/>
      <w:r w:rsidRPr="000C5085">
        <w:rPr>
          <w:rFonts w:ascii="Times New Roman" w:eastAsia="Calibri" w:hAnsi="Times New Roman" w:cs="Times New Roman"/>
        </w:rPr>
        <w:t>Child-Pugh),</w:t>
      </w:r>
      <w:proofErr w:type="spellEnd"/>
      <w:r w:rsidRPr="000C5085">
        <w:rPr>
          <w:rFonts w:ascii="Times New Roman" w:eastAsia="Calibri" w:hAnsi="Times New Roman" w:cs="Times New Roman"/>
        </w:rPr>
        <w:t xml:space="preserve"> organizme sisteminė ekspozicija ir galutinis pusinės eliminacijos laikas buvo maždaug du kartus didesni, palyginti su sveikų savanorių rodmenimis. Tokias pacientes būtina atidžiai stebėti (žr. 5.2</w:t>
      </w:r>
      <w:r w:rsidR="00B66BB6">
        <w:rPr>
          <w:rFonts w:ascii="Times New Roman" w:eastAsia="Calibri" w:hAnsi="Times New Roman" w:cs="Times New Roman"/>
        </w:rPr>
        <w:t> </w:t>
      </w:r>
      <w:r w:rsidRPr="000C5085">
        <w:rPr>
          <w:rFonts w:ascii="Times New Roman" w:eastAsia="Calibri" w:hAnsi="Times New Roman" w:cs="Times New Roman"/>
        </w:rPr>
        <w:t>skyrių).</w:t>
      </w:r>
    </w:p>
    <w:p w14:paraId="0BA3F6AE" w14:textId="77777777" w:rsidR="00611539" w:rsidRPr="000C5085" w:rsidRDefault="00611539" w:rsidP="000C5085">
      <w:pPr>
        <w:widowControl w:val="0"/>
        <w:spacing w:after="0" w:line="240" w:lineRule="auto"/>
        <w:ind w:left="567" w:hanging="567"/>
        <w:rPr>
          <w:rFonts w:ascii="Times New Roman" w:eastAsia="Calibri" w:hAnsi="Times New Roman" w:cs="Times New Roman"/>
        </w:rPr>
      </w:pPr>
    </w:p>
    <w:p w14:paraId="2C3B34DF"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Poveikis kaulams</w:t>
      </w:r>
    </w:p>
    <w:p w14:paraId="766829AC"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lastRenderedPageBreak/>
        <w:t>Letrozolas</w:t>
      </w:r>
      <w:proofErr w:type="spellEnd"/>
      <w:r w:rsidRPr="000C5085">
        <w:rPr>
          <w:rFonts w:ascii="Times New Roman" w:eastAsia="Calibri" w:hAnsi="Times New Roman" w:cs="Times New Roman"/>
        </w:rPr>
        <w:t xml:space="preserve"> yra stipraus poveikio estrogenų kiekį organizme mažinantis preparatas. Moterims, kurios sirgo osteoporoze ir (arba) buvo patyrusios kaulų lūžių arba kurioms yra padidėjusi osteoporozės rizika, prieš </w:t>
      </w:r>
      <w:proofErr w:type="spellStart"/>
      <w:r w:rsidRPr="000C5085">
        <w:rPr>
          <w:rFonts w:ascii="Times New Roman" w:eastAsia="Calibri" w:hAnsi="Times New Roman" w:cs="Times New Roman"/>
        </w:rPr>
        <w:t>adjuvantinį</w:t>
      </w:r>
      <w:proofErr w:type="spellEnd"/>
      <w:r w:rsidRPr="000C5085">
        <w:rPr>
          <w:rFonts w:ascii="Times New Roman" w:eastAsia="Calibri" w:hAnsi="Times New Roman" w:cs="Times New Roman"/>
        </w:rPr>
        <w:t xml:space="preserve"> ir tęstinį </w:t>
      </w:r>
      <w:proofErr w:type="spellStart"/>
      <w:r w:rsidRPr="000C5085">
        <w:rPr>
          <w:rFonts w:ascii="Times New Roman" w:eastAsia="Calibri" w:hAnsi="Times New Roman" w:cs="Times New Roman"/>
        </w:rPr>
        <w:t>adjuvantinį</w:t>
      </w:r>
      <w:proofErr w:type="spellEnd"/>
      <w:r w:rsidRPr="000C5085">
        <w:rPr>
          <w:rFonts w:ascii="Times New Roman" w:eastAsia="Calibri" w:hAnsi="Times New Roman" w:cs="Times New Roman"/>
        </w:rPr>
        <w:t xml:space="preserve"> gydymą reikia pagal nustatytą tvarką ištirti kaulų mineralinį tankį bei jį stebėti gydymo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metu ir po jo. Jei reikia, būtina pradėti osteoporozės gydymą ar profilaktiką ir pacientę atidžiai stebėti. Atsižvelgiant į pacientės saugumo savybes, galima apsvarstyti nuoseklaus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schemą (2 metus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 to 3 metus -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(žr. 4.2, 4.8 ir 5.1 skyrius).</w:t>
      </w:r>
    </w:p>
    <w:p w14:paraId="1513A373" w14:textId="77777777" w:rsidR="00FA27F7" w:rsidRPr="000C5085" w:rsidRDefault="00FA27F7" w:rsidP="000C5085">
      <w:pPr>
        <w:widowControl w:val="0"/>
        <w:spacing w:after="0" w:line="240" w:lineRule="auto"/>
        <w:rPr>
          <w:rFonts w:ascii="Times New Roman" w:eastAsia="Calibri" w:hAnsi="Times New Roman" w:cs="Times New Roman"/>
          <w:lang w:val="x-none"/>
        </w:rPr>
      </w:pPr>
    </w:p>
    <w:p w14:paraId="2D721EE9" w14:textId="77777777" w:rsidR="00FA27F7" w:rsidRPr="008100DF" w:rsidRDefault="00FA27F7" w:rsidP="000C5085">
      <w:pPr>
        <w:widowControl w:val="0"/>
        <w:spacing w:after="0" w:line="240" w:lineRule="auto"/>
        <w:rPr>
          <w:rFonts w:ascii="Times New Roman" w:eastAsia="Calibri" w:hAnsi="Times New Roman" w:cs="Times New Roman"/>
          <w:u w:val="single"/>
          <w:lang w:val="x-none"/>
        </w:rPr>
      </w:pPr>
      <w:proofErr w:type="spellStart"/>
      <w:r w:rsidRPr="008100DF">
        <w:rPr>
          <w:rFonts w:ascii="Times New Roman" w:eastAsia="Calibri" w:hAnsi="Times New Roman" w:cs="Times New Roman"/>
          <w:u w:val="single"/>
          <w:lang w:val="x-none"/>
        </w:rPr>
        <w:t>Tendonitas</w:t>
      </w:r>
      <w:proofErr w:type="spellEnd"/>
      <w:r w:rsidRPr="008100DF">
        <w:rPr>
          <w:rFonts w:ascii="Times New Roman" w:eastAsia="Calibri" w:hAnsi="Times New Roman" w:cs="Times New Roman"/>
          <w:u w:val="single"/>
          <w:lang w:val="x-none"/>
        </w:rPr>
        <w:t xml:space="preserve"> ir sausgyslių plyšimas</w:t>
      </w:r>
    </w:p>
    <w:p w14:paraId="0E18A9F6" w14:textId="7967F911" w:rsidR="00611539" w:rsidRPr="000C5085" w:rsidRDefault="00FA27F7" w:rsidP="000C5085">
      <w:pPr>
        <w:widowControl w:val="0"/>
        <w:spacing w:after="0" w:line="240" w:lineRule="auto"/>
        <w:rPr>
          <w:rFonts w:ascii="Times New Roman" w:eastAsia="Calibri" w:hAnsi="Times New Roman" w:cs="Times New Roman"/>
          <w:lang w:val="x-none"/>
        </w:rPr>
      </w:pPr>
      <w:r w:rsidRPr="000C5085">
        <w:rPr>
          <w:rFonts w:ascii="Times New Roman" w:eastAsia="Calibri" w:hAnsi="Times New Roman" w:cs="Times New Roman"/>
          <w:lang w:val="x-none"/>
        </w:rPr>
        <w:t xml:space="preserve">Gali atsirasti </w:t>
      </w:r>
      <w:proofErr w:type="spellStart"/>
      <w:r w:rsidRPr="000C5085">
        <w:rPr>
          <w:rFonts w:ascii="Times New Roman" w:eastAsia="Calibri" w:hAnsi="Times New Roman" w:cs="Times New Roman"/>
          <w:lang w:val="x-none"/>
        </w:rPr>
        <w:t>tendonitas</w:t>
      </w:r>
      <w:proofErr w:type="spellEnd"/>
      <w:r w:rsidRPr="000C5085">
        <w:rPr>
          <w:rFonts w:ascii="Times New Roman" w:eastAsia="Calibri" w:hAnsi="Times New Roman" w:cs="Times New Roman"/>
          <w:lang w:val="x-none"/>
        </w:rPr>
        <w:t xml:space="preserve"> ir sausgyslių plyšimai (reti). Būtina atidžiai stebėti pacientą ir imtis tinkamų priemonių (pvz., </w:t>
      </w:r>
      <w:proofErr w:type="spellStart"/>
      <w:r w:rsidRPr="000C5085">
        <w:rPr>
          <w:rFonts w:ascii="Times New Roman" w:eastAsia="Calibri" w:hAnsi="Times New Roman" w:cs="Times New Roman"/>
          <w:lang w:val="x-none"/>
        </w:rPr>
        <w:t>i</w:t>
      </w:r>
      <w:r w:rsidR="003F4232" w:rsidRPr="000C5085">
        <w:rPr>
          <w:rFonts w:ascii="Times New Roman" w:eastAsia="Calibri" w:hAnsi="Times New Roman" w:cs="Times New Roman"/>
          <w:lang w:val="x-none"/>
        </w:rPr>
        <w:t>mobilizuoti</w:t>
      </w:r>
      <w:proofErr w:type="spellEnd"/>
      <w:r w:rsidR="003F4232" w:rsidRPr="000C5085">
        <w:rPr>
          <w:rFonts w:ascii="Times New Roman" w:eastAsia="Calibri" w:hAnsi="Times New Roman" w:cs="Times New Roman"/>
          <w:lang w:val="x-none"/>
        </w:rPr>
        <w:t>) pažeistai sausgyslei</w:t>
      </w:r>
      <w:r w:rsidRPr="000C5085">
        <w:rPr>
          <w:rFonts w:ascii="Times New Roman" w:eastAsia="Calibri" w:hAnsi="Times New Roman" w:cs="Times New Roman"/>
          <w:lang w:val="x-none"/>
        </w:rPr>
        <w:t xml:space="preserve"> (žr. 4.8</w:t>
      </w:r>
      <w:r w:rsidR="00B66BB6">
        <w:rPr>
          <w:rFonts w:ascii="Times New Roman" w:eastAsia="Calibri" w:hAnsi="Times New Roman" w:cs="Times New Roman"/>
        </w:rPr>
        <w:t> </w:t>
      </w:r>
      <w:r w:rsidRPr="000C5085">
        <w:rPr>
          <w:rFonts w:ascii="Times New Roman" w:eastAsia="Calibri" w:hAnsi="Times New Roman" w:cs="Times New Roman"/>
          <w:lang w:val="x-none"/>
        </w:rPr>
        <w:t>skyrių).</w:t>
      </w:r>
    </w:p>
    <w:p w14:paraId="633D099F" w14:textId="77777777" w:rsidR="00FA27F7" w:rsidRPr="000C5085" w:rsidRDefault="00FA27F7" w:rsidP="000C5085">
      <w:pPr>
        <w:widowControl w:val="0"/>
        <w:spacing w:after="0" w:line="240" w:lineRule="auto"/>
        <w:rPr>
          <w:rFonts w:ascii="Times New Roman" w:eastAsia="Calibri" w:hAnsi="Times New Roman" w:cs="Times New Roman"/>
          <w:lang w:val="x-none"/>
        </w:rPr>
      </w:pPr>
    </w:p>
    <w:p w14:paraId="37A70F00" w14:textId="77777777" w:rsidR="00611539" w:rsidRPr="000C5085" w:rsidRDefault="00611539" w:rsidP="000C5085">
      <w:pPr>
        <w:widowControl w:val="0"/>
        <w:spacing w:after="0" w:line="240" w:lineRule="auto"/>
        <w:rPr>
          <w:rFonts w:ascii="Times New Roman" w:eastAsia="Calibri" w:hAnsi="Times New Roman" w:cs="Times New Roman"/>
          <w:u w:val="single"/>
          <w:lang w:val="x-none"/>
        </w:rPr>
      </w:pPr>
      <w:r w:rsidRPr="000C5085">
        <w:rPr>
          <w:rFonts w:ascii="Times New Roman" w:eastAsia="Calibri" w:hAnsi="Times New Roman" w:cs="Times New Roman"/>
          <w:u w:val="single"/>
          <w:lang w:val="x-none"/>
        </w:rPr>
        <w:t>Kiti perspėjimai</w:t>
      </w:r>
    </w:p>
    <w:p w14:paraId="1EF73E9B" w14:textId="24CAE701" w:rsidR="00611539" w:rsidRPr="000C5085" w:rsidRDefault="00611539" w:rsidP="000C5085">
      <w:pPr>
        <w:widowControl w:val="0"/>
        <w:tabs>
          <w:tab w:val="left" w:pos="567"/>
        </w:tabs>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nerekomenduojama vartoti kartu su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kitais </w:t>
      </w:r>
      <w:proofErr w:type="spellStart"/>
      <w:r w:rsidRPr="000C5085">
        <w:rPr>
          <w:rFonts w:ascii="Times New Roman" w:eastAsia="Calibri" w:hAnsi="Times New Roman" w:cs="Times New Roman"/>
        </w:rPr>
        <w:t>antiestrogenais</w:t>
      </w:r>
      <w:proofErr w:type="spellEnd"/>
      <w:r w:rsidRPr="000C5085">
        <w:rPr>
          <w:rFonts w:ascii="Times New Roman" w:eastAsia="Calibri" w:hAnsi="Times New Roman" w:cs="Times New Roman"/>
        </w:rPr>
        <w:t xml:space="preserve"> ar vaistiniais preparatais, kuriuose yra estrogenų, kadangi jie gali silpninti farmakologinį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poveikį (žr. 4.5</w:t>
      </w:r>
      <w:r w:rsidR="00B66BB6">
        <w:rPr>
          <w:rFonts w:ascii="Times New Roman" w:eastAsia="Calibri" w:hAnsi="Times New Roman" w:cs="Times New Roman"/>
        </w:rPr>
        <w:t> </w:t>
      </w:r>
      <w:r w:rsidRPr="000C5085">
        <w:rPr>
          <w:rFonts w:ascii="Times New Roman" w:eastAsia="Calibri" w:hAnsi="Times New Roman" w:cs="Times New Roman"/>
        </w:rPr>
        <w:t>skyrių).</w:t>
      </w:r>
    </w:p>
    <w:p w14:paraId="0E297E5A" w14:textId="77777777" w:rsidR="00B95CDC" w:rsidRPr="000C5085" w:rsidRDefault="00B95CDC" w:rsidP="000C5085">
      <w:pPr>
        <w:widowControl w:val="0"/>
        <w:tabs>
          <w:tab w:val="left" w:pos="567"/>
        </w:tabs>
        <w:spacing w:after="0" w:line="240" w:lineRule="auto"/>
        <w:rPr>
          <w:rFonts w:ascii="Times New Roman" w:eastAsia="Calibri" w:hAnsi="Times New Roman" w:cs="Times New Roman"/>
        </w:rPr>
      </w:pPr>
    </w:p>
    <w:p w14:paraId="68E10574" w14:textId="77777777" w:rsidR="00B95CDC" w:rsidRPr="008100DF" w:rsidRDefault="00B95CDC" w:rsidP="000C5085">
      <w:pPr>
        <w:widowControl w:val="0"/>
        <w:tabs>
          <w:tab w:val="left" w:pos="567"/>
        </w:tabs>
        <w:spacing w:after="0" w:line="240" w:lineRule="auto"/>
        <w:rPr>
          <w:rFonts w:ascii="Times New Roman" w:eastAsia="Calibri" w:hAnsi="Times New Roman" w:cs="Times New Roman"/>
          <w:u w:val="single"/>
        </w:rPr>
      </w:pPr>
      <w:r w:rsidRPr="008100DF">
        <w:rPr>
          <w:rFonts w:ascii="Times New Roman" w:eastAsia="Calibri" w:hAnsi="Times New Roman" w:cs="Times New Roman"/>
          <w:u w:val="single"/>
        </w:rPr>
        <w:t>Laktozė</w:t>
      </w:r>
    </w:p>
    <w:p w14:paraId="1B9B2D47" w14:textId="77777777" w:rsidR="00611539" w:rsidRPr="000C5085" w:rsidRDefault="00B95CDC"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P</w:t>
      </w:r>
      <w:r w:rsidR="00611539" w:rsidRPr="000C5085">
        <w:rPr>
          <w:rFonts w:ascii="Times New Roman" w:eastAsia="Calibri" w:hAnsi="Times New Roman" w:cs="Times New Roman"/>
        </w:rPr>
        <w:t xml:space="preserve">acientėms, kurioms yra nustatytas retas paveldimas sutrikimas – </w:t>
      </w:r>
      <w:proofErr w:type="spellStart"/>
      <w:r w:rsidR="00611539" w:rsidRPr="000C5085">
        <w:rPr>
          <w:rFonts w:ascii="Times New Roman" w:eastAsia="Calibri" w:hAnsi="Times New Roman" w:cs="Times New Roman"/>
        </w:rPr>
        <w:t>galaktozės</w:t>
      </w:r>
      <w:proofErr w:type="spellEnd"/>
      <w:r w:rsidR="00611539" w:rsidRPr="000C5085">
        <w:rPr>
          <w:rFonts w:ascii="Times New Roman" w:eastAsia="Calibri" w:hAnsi="Times New Roman" w:cs="Times New Roman"/>
        </w:rPr>
        <w:t xml:space="preserve"> netoleravimas, </w:t>
      </w:r>
      <w:r w:rsidR="00E614C5" w:rsidRPr="000C5085">
        <w:rPr>
          <w:rFonts w:ascii="Times New Roman" w:eastAsia="Calibri" w:hAnsi="Times New Roman" w:cs="Times New Roman"/>
        </w:rPr>
        <w:t>visiškas</w:t>
      </w:r>
      <w:r w:rsidR="00611539" w:rsidRPr="000C5085">
        <w:rPr>
          <w:rFonts w:ascii="Times New Roman" w:eastAsia="Calibri" w:hAnsi="Times New Roman" w:cs="Times New Roman"/>
        </w:rPr>
        <w:t xml:space="preserve"> laktazės stygius arba gliukozės ir </w:t>
      </w:r>
      <w:proofErr w:type="spellStart"/>
      <w:r w:rsidR="00611539" w:rsidRPr="000C5085">
        <w:rPr>
          <w:rFonts w:ascii="Times New Roman" w:eastAsia="Calibri" w:hAnsi="Times New Roman" w:cs="Times New Roman"/>
        </w:rPr>
        <w:t>galaktozės</w:t>
      </w:r>
      <w:proofErr w:type="spellEnd"/>
      <w:r w:rsidR="00611539" w:rsidRPr="000C5085">
        <w:rPr>
          <w:rFonts w:ascii="Times New Roman" w:eastAsia="Calibri" w:hAnsi="Times New Roman" w:cs="Times New Roman"/>
        </w:rPr>
        <w:t xml:space="preserve"> </w:t>
      </w:r>
      <w:proofErr w:type="spellStart"/>
      <w:r w:rsidR="00611539" w:rsidRPr="000C5085">
        <w:rPr>
          <w:rFonts w:ascii="Times New Roman" w:eastAsia="Calibri" w:hAnsi="Times New Roman" w:cs="Times New Roman"/>
        </w:rPr>
        <w:t>malabsorbcija</w:t>
      </w:r>
      <w:proofErr w:type="spellEnd"/>
      <w:r w:rsidR="00E614C5" w:rsidRPr="000C5085">
        <w:rPr>
          <w:rFonts w:ascii="Times New Roman" w:eastAsia="Calibri" w:hAnsi="Times New Roman" w:cs="Times New Roman"/>
        </w:rPr>
        <w:t xml:space="preserve"> neturėtų vartoti šio vaistinio preparato</w:t>
      </w:r>
      <w:r w:rsidR="00611539" w:rsidRPr="000C5085">
        <w:rPr>
          <w:rFonts w:ascii="Times New Roman" w:eastAsia="Calibri" w:hAnsi="Times New Roman" w:cs="Times New Roman"/>
        </w:rPr>
        <w:t>.</w:t>
      </w:r>
    </w:p>
    <w:p w14:paraId="2B24B31E" w14:textId="77777777" w:rsidR="006F14BB" w:rsidRPr="000C5085" w:rsidRDefault="006F14BB" w:rsidP="000C5085">
      <w:pPr>
        <w:widowControl w:val="0"/>
        <w:tabs>
          <w:tab w:val="left" w:pos="567"/>
        </w:tabs>
        <w:spacing w:after="0" w:line="240" w:lineRule="auto"/>
        <w:rPr>
          <w:rFonts w:ascii="Times New Roman" w:eastAsia="Calibri" w:hAnsi="Times New Roman" w:cs="Times New Roman"/>
        </w:rPr>
      </w:pPr>
    </w:p>
    <w:p w14:paraId="39F853D3" w14:textId="77777777" w:rsidR="006F14BB" w:rsidRPr="008100DF" w:rsidRDefault="006F14BB" w:rsidP="000C5085">
      <w:pPr>
        <w:widowControl w:val="0"/>
        <w:tabs>
          <w:tab w:val="left" w:pos="567"/>
        </w:tabs>
        <w:spacing w:after="0" w:line="240" w:lineRule="auto"/>
        <w:rPr>
          <w:rFonts w:ascii="Times New Roman" w:eastAsia="Calibri" w:hAnsi="Times New Roman" w:cs="Times New Roman"/>
          <w:u w:val="single"/>
        </w:rPr>
      </w:pPr>
      <w:r w:rsidRPr="008100DF">
        <w:rPr>
          <w:rFonts w:ascii="Times New Roman" w:eastAsia="Calibri" w:hAnsi="Times New Roman" w:cs="Times New Roman"/>
          <w:u w:val="single"/>
        </w:rPr>
        <w:t>Natris</w:t>
      </w:r>
    </w:p>
    <w:p w14:paraId="06B49BE6" w14:textId="64CD8564" w:rsidR="006F14BB" w:rsidRPr="000C5085" w:rsidRDefault="006F14BB"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Šio vaistinio preparato tabletėje yra mažiau kaip 1</w:t>
      </w:r>
      <w:r w:rsidR="0022573B">
        <w:rPr>
          <w:rFonts w:ascii="Times New Roman" w:eastAsia="Calibri" w:hAnsi="Times New Roman" w:cs="Times New Roman"/>
        </w:rPr>
        <w:t> </w:t>
      </w:r>
      <w:proofErr w:type="spellStart"/>
      <w:r w:rsidRPr="000C5085">
        <w:rPr>
          <w:rFonts w:ascii="Times New Roman" w:eastAsia="Calibri" w:hAnsi="Times New Roman" w:cs="Times New Roman"/>
        </w:rPr>
        <w:t>mmol</w:t>
      </w:r>
      <w:proofErr w:type="spellEnd"/>
      <w:r w:rsidRPr="000C5085">
        <w:rPr>
          <w:rFonts w:ascii="Times New Roman" w:eastAsia="Calibri" w:hAnsi="Times New Roman" w:cs="Times New Roman"/>
        </w:rPr>
        <w:t xml:space="preserve"> (23</w:t>
      </w:r>
      <w:r w:rsidR="0022573B">
        <w:rPr>
          <w:rFonts w:ascii="Times New Roman" w:eastAsia="Calibri" w:hAnsi="Times New Roman" w:cs="Times New Roman"/>
        </w:rPr>
        <w:t> </w:t>
      </w:r>
      <w:r w:rsidRPr="000C5085">
        <w:rPr>
          <w:rFonts w:ascii="Times New Roman" w:eastAsia="Calibri" w:hAnsi="Times New Roman" w:cs="Times New Roman"/>
        </w:rPr>
        <w:t>mg) natrio, t.y. jis beveik neturi reikšmės.</w:t>
      </w:r>
    </w:p>
    <w:p w14:paraId="59CD7CA7" w14:textId="77777777" w:rsidR="00611539" w:rsidRPr="000C5085" w:rsidRDefault="00611539" w:rsidP="000C5085">
      <w:pPr>
        <w:widowControl w:val="0"/>
        <w:spacing w:after="0" w:line="240" w:lineRule="auto"/>
        <w:rPr>
          <w:rFonts w:ascii="Times New Roman" w:eastAsia="Calibri" w:hAnsi="Times New Roman" w:cs="Times New Roman"/>
        </w:rPr>
      </w:pPr>
    </w:p>
    <w:p w14:paraId="3B33F20D"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1" w:name="_Toc129243106"/>
      <w:bookmarkStart w:id="22" w:name="_Toc129243231"/>
      <w:r w:rsidRPr="000C5085">
        <w:rPr>
          <w:rFonts w:ascii="Times New Roman" w:eastAsia="Calibri" w:hAnsi="Times New Roman" w:cs="Times New Roman"/>
          <w:b/>
          <w:kern w:val="28"/>
        </w:rPr>
        <w:t>4.5</w:t>
      </w:r>
      <w:r w:rsidRPr="000C5085">
        <w:rPr>
          <w:rFonts w:ascii="Times New Roman" w:eastAsia="Calibri" w:hAnsi="Times New Roman" w:cs="Times New Roman"/>
          <w:b/>
          <w:kern w:val="28"/>
        </w:rPr>
        <w:tab/>
        <w:t>Sąveika su kitais vaistiniais preparatais ir kitokia sąveika</w:t>
      </w:r>
      <w:bookmarkEnd w:id="21"/>
      <w:bookmarkEnd w:id="22"/>
    </w:p>
    <w:p w14:paraId="52D9BF54" w14:textId="77777777" w:rsidR="00611539" w:rsidRPr="000C5085" w:rsidRDefault="00611539" w:rsidP="000C5085">
      <w:pPr>
        <w:widowControl w:val="0"/>
        <w:spacing w:after="0" w:line="240" w:lineRule="auto"/>
        <w:rPr>
          <w:rFonts w:ascii="Times New Roman" w:eastAsia="Calibri" w:hAnsi="Times New Roman" w:cs="Times New Roman"/>
        </w:rPr>
      </w:pPr>
    </w:p>
    <w:p w14:paraId="068DD4DB"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Letrozolą</w:t>
      </w:r>
      <w:proofErr w:type="spellEnd"/>
      <w:r w:rsidRPr="000C5085">
        <w:rPr>
          <w:rFonts w:ascii="Times New Roman" w:eastAsia="Calibri" w:hAnsi="Times New Roman" w:cs="Times New Roman"/>
        </w:rPr>
        <w:t xml:space="preserve"> iš dalies </w:t>
      </w:r>
      <w:proofErr w:type="spellStart"/>
      <w:r w:rsidRPr="000C5085">
        <w:rPr>
          <w:rFonts w:ascii="Times New Roman" w:eastAsia="Calibri" w:hAnsi="Times New Roman" w:cs="Times New Roman"/>
        </w:rPr>
        <w:t>metabolizuoja</w:t>
      </w:r>
      <w:proofErr w:type="spellEnd"/>
      <w:r w:rsidRPr="000C5085">
        <w:rPr>
          <w:rFonts w:ascii="Times New Roman" w:eastAsia="Calibri" w:hAnsi="Times New Roman" w:cs="Times New Roman"/>
        </w:rPr>
        <w:t xml:space="preserve"> CYP2A6 ir CYP3A4. </w:t>
      </w:r>
      <w:proofErr w:type="spellStart"/>
      <w:r w:rsidRPr="000C5085">
        <w:rPr>
          <w:rFonts w:ascii="Times New Roman" w:eastAsia="Calibri" w:hAnsi="Times New Roman" w:cs="Times New Roman"/>
        </w:rPr>
        <w:t>Cimetidinas</w:t>
      </w:r>
      <w:proofErr w:type="spellEnd"/>
      <w:r w:rsidRPr="000C5085">
        <w:rPr>
          <w:rFonts w:ascii="Times New Roman" w:eastAsia="Calibri" w:hAnsi="Times New Roman" w:cs="Times New Roman"/>
        </w:rPr>
        <w:t xml:space="preserve"> (silpnas nespecifinis CYP450 fermentų inhibitorius)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koncentracijos plazmoje nekeitė. Stipraus poveikio CYP450 inhibitorių poveikis nėra žinomas.</w:t>
      </w:r>
    </w:p>
    <w:p w14:paraId="0A2B9926" w14:textId="77777777" w:rsidR="00611539" w:rsidRPr="000C5085" w:rsidRDefault="00611539" w:rsidP="000C5085">
      <w:pPr>
        <w:widowControl w:val="0"/>
        <w:spacing w:after="0" w:line="240" w:lineRule="auto"/>
        <w:rPr>
          <w:rFonts w:ascii="Times New Roman" w:eastAsia="Calibri" w:hAnsi="Times New Roman" w:cs="Times New Roman"/>
        </w:rPr>
      </w:pPr>
    </w:p>
    <w:p w14:paraId="459EF42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vartojimo kartu su estrogenais ar kitais vaistiniais preparatais nuo vėžio (išskyrus </w:t>
      </w:r>
      <w:proofErr w:type="spellStart"/>
      <w:r w:rsidRPr="000C5085">
        <w:rPr>
          <w:rFonts w:ascii="Times New Roman" w:eastAsia="Calibri" w:hAnsi="Times New Roman" w:cs="Times New Roman"/>
        </w:rPr>
        <w:t>tamoksifeną</w:t>
      </w:r>
      <w:proofErr w:type="spellEnd"/>
      <w:r w:rsidRPr="000C5085">
        <w:rPr>
          <w:rFonts w:ascii="Times New Roman" w:eastAsia="Calibri" w:hAnsi="Times New Roman" w:cs="Times New Roman"/>
        </w:rPr>
        <w:t xml:space="preserve">) klinikinės patirties nėra. </w:t>
      </w:r>
      <w:proofErr w:type="spellStart"/>
      <w:r w:rsidRPr="000C5085">
        <w:rPr>
          <w:rFonts w:ascii="Times New Roman" w:eastAsia="Calibri" w:hAnsi="Times New Roman" w:cs="Times New Roman"/>
        </w:rPr>
        <w:t>Tamoksifenas</w:t>
      </w:r>
      <w:proofErr w:type="spellEnd"/>
      <w:r w:rsidRPr="000C5085">
        <w:rPr>
          <w:rFonts w:ascii="Times New Roman" w:eastAsia="Calibri" w:hAnsi="Times New Roman" w:cs="Times New Roman"/>
        </w:rPr>
        <w:t xml:space="preserve">, kiti </w:t>
      </w:r>
      <w:proofErr w:type="spellStart"/>
      <w:r w:rsidRPr="000C5085">
        <w:rPr>
          <w:rFonts w:ascii="Times New Roman" w:eastAsia="Calibri" w:hAnsi="Times New Roman" w:cs="Times New Roman"/>
        </w:rPr>
        <w:t>antiestrogenai</w:t>
      </w:r>
      <w:proofErr w:type="spellEnd"/>
      <w:r w:rsidRPr="000C5085">
        <w:rPr>
          <w:rFonts w:ascii="Times New Roman" w:eastAsia="Calibri" w:hAnsi="Times New Roman" w:cs="Times New Roman"/>
        </w:rPr>
        <w:t xml:space="preserve"> ar vaistiniai preparatai, kuriuose yra estrogenų, gali silpninti farmakologinį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poveikį. Be to, nustatyta, kad kartu su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vartojamo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koncentracija plazmoje reikšmingai sumažėja.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nerekomenduojama vartoti kartu su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kitais </w:t>
      </w:r>
      <w:proofErr w:type="spellStart"/>
      <w:r w:rsidRPr="000C5085">
        <w:rPr>
          <w:rFonts w:ascii="Times New Roman" w:eastAsia="Calibri" w:hAnsi="Times New Roman" w:cs="Times New Roman"/>
        </w:rPr>
        <w:t>antiestrogenais</w:t>
      </w:r>
      <w:proofErr w:type="spellEnd"/>
      <w:r w:rsidRPr="000C5085">
        <w:rPr>
          <w:rFonts w:ascii="Times New Roman" w:eastAsia="Calibri" w:hAnsi="Times New Roman" w:cs="Times New Roman"/>
        </w:rPr>
        <w:t xml:space="preserve"> ar estrogenais.</w:t>
      </w:r>
    </w:p>
    <w:p w14:paraId="7E08B86E" w14:textId="77777777" w:rsidR="00611539" w:rsidRPr="000C5085" w:rsidRDefault="00611539" w:rsidP="000C5085">
      <w:pPr>
        <w:widowControl w:val="0"/>
        <w:spacing w:after="0" w:line="240" w:lineRule="auto"/>
        <w:rPr>
          <w:rFonts w:ascii="Times New Roman" w:eastAsia="Calibri" w:hAnsi="Times New Roman" w:cs="Times New Roman"/>
        </w:rPr>
      </w:pPr>
    </w:p>
    <w:p w14:paraId="2F984C5F"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i/>
        </w:rPr>
        <w:t>In</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vitro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slopina </w:t>
      </w:r>
      <w:proofErr w:type="spellStart"/>
      <w:r w:rsidRPr="000C5085">
        <w:rPr>
          <w:rFonts w:ascii="Times New Roman" w:eastAsia="Calibri" w:hAnsi="Times New Roman" w:cs="Times New Roman"/>
        </w:rPr>
        <w:t>citochromo</w:t>
      </w:r>
      <w:proofErr w:type="spellEnd"/>
      <w:r w:rsidRPr="000C5085">
        <w:rPr>
          <w:rFonts w:ascii="Times New Roman" w:eastAsia="Calibri" w:hAnsi="Times New Roman" w:cs="Times New Roman"/>
        </w:rPr>
        <w:t xml:space="preserve"> P450 </w:t>
      </w:r>
      <w:proofErr w:type="spellStart"/>
      <w:r w:rsidRPr="000C5085">
        <w:rPr>
          <w:rFonts w:ascii="Times New Roman" w:eastAsia="Calibri" w:hAnsi="Times New Roman" w:cs="Times New Roman"/>
        </w:rPr>
        <w:t>izofermentus</w:t>
      </w:r>
      <w:proofErr w:type="spellEnd"/>
      <w:r w:rsidRPr="000C5085">
        <w:rPr>
          <w:rFonts w:ascii="Times New Roman" w:eastAsia="Calibri" w:hAnsi="Times New Roman" w:cs="Times New Roman"/>
        </w:rPr>
        <w:t xml:space="preserve"> 2A6 ir (vidutiniškai) 2C19, tačiau klinikinė tokio poveikio reikšmė nėra žinoma. Dėl šios priežasties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vartoti kartu su vaistiniais preparatais, kurių eliminacija daugiausia priklauso nuo minėtų </w:t>
      </w:r>
      <w:proofErr w:type="spellStart"/>
      <w:r w:rsidRPr="000C5085">
        <w:rPr>
          <w:rFonts w:ascii="Times New Roman" w:eastAsia="Calibri" w:hAnsi="Times New Roman" w:cs="Times New Roman"/>
        </w:rPr>
        <w:t>izofermentų</w:t>
      </w:r>
      <w:proofErr w:type="spellEnd"/>
      <w:r w:rsidRPr="000C5085">
        <w:rPr>
          <w:rFonts w:ascii="Times New Roman" w:eastAsia="Calibri" w:hAnsi="Times New Roman" w:cs="Times New Roman"/>
        </w:rPr>
        <w:t xml:space="preserve"> ir kurių terapinis indeksas yra siauras (pvz., </w:t>
      </w:r>
      <w:proofErr w:type="spellStart"/>
      <w:r w:rsidRPr="000C5085">
        <w:rPr>
          <w:rFonts w:ascii="Times New Roman" w:eastAsia="Calibri" w:hAnsi="Times New Roman" w:cs="Times New Roman"/>
        </w:rPr>
        <w:t>fenitoino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klopidogrelio</w:t>
      </w:r>
      <w:proofErr w:type="spellEnd"/>
      <w:r w:rsidRPr="000C5085">
        <w:rPr>
          <w:rFonts w:ascii="Times New Roman" w:eastAsia="Calibri" w:hAnsi="Times New Roman" w:cs="Times New Roman"/>
        </w:rPr>
        <w:t>), reikia atsargiai.</w:t>
      </w:r>
    </w:p>
    <w:p w14:paraId="00B6AE75" w14:textId="77777777" w:rsidR="00611539" w:rsidRPr="000C5085" w:rsidRDefault="00611539" w:rsidP="000C5085">
      <w:pPr>
        <w:widowControl w:val="0"/>
        <w:spacing w:after="0" w:line="240" w:lineRule="auto"/>
        <w:rPr>
          <w:rFonts w:ascii="Times New Roman" w:eastAsia="Calibri" w:hAnsi="Times New Roman" w:cs="Times New Roman"/>
        </w:rPr>
      </w:pPr>
    </w:p>
    <w:p w14:paraId="7B4F7F17"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3" w:name="_Toc129243107"/>
      <w:bookmarkStart w:id="24" w:name="_Toc129243232"/>
      <w:r w:rsidRPr="000C5085">
        <w:rPr>
          <w:rFonts w:ascii="Times New Roman" w:eastAsia="Calibri" w:hAnsi="Times New Roman" w:cs="Times New Roman"/>
          <w:b/>
          <w:kern w:val="28"/>
        </w:rPr>
        <w:t>4.6</w:t>
      </w:r>
      <w:r w:rsidRPr="000C5085">
        <w:rPr>
          <w:rFonts w:ascii="Times New Roman" w:eastAsia="Calibri" w:hAnsi="Times New Roman" w:cs="Times New Roman"/>
          <w:b/>
          <w:kern w:val="28"/>
        </w:rPr>
        <w:tab/>
        <w:t>Vaisingumas, nėštumo ir žindymo laikotarpis</w:t>
      </w:r>
      <w:bookmarkEnd w:id="23"/>
      <w:bookmarkEnd w:id="24"/>
    </w:p>
    <w:p w14:paraId="33CB853A" w14:textId="77777777" w:rsidR="00611539" w:rsidRPr="000C5085" w:rsidRDefault="00611539" w:rsidP="000C5085">
      <w:pPr>
        <w:widowControl w:val="0"/>
        <w:spacing w:after="0" w:line="240" w:lineRule="auto"/>
        <w:rPr>
          <w:rFonts w:ascii="Times New Roman" w:eastAsia="Calibri" w:hAnsi="Times New Roman" w:cs="Times New Roman"/>
        </w:rPr>
      </w:pPr>
    </w:p>
    <w:p w14:paraId="21C2C86E" w14:textId="77777777" w:rsidR="00611539" w:rsidRPr="008100DF" w:rsidRDefault="00611539" w:rsidP="000C5085">
      <w:pPr>
        <w:widowControl w:val="0"/>
        <w:spacing w:after="0" w:line="240" w:lineRule="auto"/>
        <w:rPr>
          <w:rFonts w:ascii="Times New Roman" w:eastAsia="Calibri" w:hAnsi="Times New Roman" w:cs="Times New Roman"/>
          <w:u w:val="single"/>
        </w:rPr>
      </w:pPr>
      <w:r w:rsidRPr="008100DF">
        <w:rPr>
          <w:rFonts w:ascii="Times New Roman" w:eastAsia="Calibri" w:hAnsi="Times New Roman" w:cs="Times New Roman"/>
          <w:u w:val="single"/>
        </w:rPr>
        <w:t xml:space="preserve">Moterys, kurioms yra </w:t>
      </w:r>
      <w:proofErr w:type="spellStart"/>
      <w:r w:rsidRPr="008100DF">
        <w:rPr>
          <w:rFonts w:ascii="Times New Roman" w:eastAsia="Calibri" w:hAnsi="Times New Roman" w:cs="Times New Roman"/>
          <w:u w:val="single"/>
        </w:rPr>
        <w:t>perimenopauzinis</w:t>
      </w:r>
      <w:proofErr w:type="spellEnd"/>
      <w:r w:rsidRPr="008100DF">
        <w:rPr>
          <w:rFonts w:ascii="Times New Roman" w:eastAsia="Calibri" w:hAnsi="Times New Roman" w:cs="Times New Roman"/>
          <w:u w:val="single"/>
        </w:rPr>
        <w:t xml:space="preserve"> laikotarpis, bei vaisingo amžiaus moterys</w:t>
      </w:r>
    </w:p>
    <w:p w14:paraId="488FECF1"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gali vartoti tik moterys, kurioms yra neabejotinai nustatyta </w:t>
      </w:r>
      <w:proofErr w:type="spellStart"/>
      <w:r w:rsidRPr="000C5085">
        <w:rPr>
          <w:rFonts w:ascii="Times New Roman" w:eastAsia="Calibri" w:hAnsi="Times New Roman" w:cs="Times New Roman"/>
        </w:rPr>
        <w:t>pomenopauzinė</w:t>
      </w:r>
      <w:proofErr w:type="spellEnd"/>
      <w:r w:rsidRPr="000C5085">
        <w:rPr>
          <w:rFonts w:ascii="Times New Roman" w:eastAsia="Calibri" w:hAnsi="Times New Roman" w:cs="Times New Roman"/>
        </w:rPr>
        <w:t xml:space="preserve"> būklė (žr. 4.4 skyrių). Kadangi gauta pranešimų, jog moterims gydymo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metu vėl pradėjo funkcionuoti kiaušidės (nepaisant prieš gydymą buvusios akivaizdžios </w:t>
      </w:r>
      <w:proofErr w:type="spellStart"/>
      <w:r w:rsidRPr="000C5085">
        <w:rPr>
          <w:rFonts w:ascii="Times New Roman" w:eastAsia="Calibri" w:hAnsi="Times New Roman" w:cs="Times New Roman"/>
        </w:rPr>
        <w:t>pomenopauzinės</w:t>
      </w:r>
      <w:proofErr w:type="spellEnd"/>
      <w:r w:rsidRPr="000C5085">
        <w:rPr>
          <w:rFonts w:ascii="Times New Roman" w:eastAsia="Calibri" w:hAnsi="Times New Roman" w:cs="Times New Roman"/>
        </w:rPr>
        <w:t xml:space="preserve"> būklės), jei reikia, gydytojas su paciente turi aptarti tinkamą kontracepciją.</w:t>
      </w:r>
    </w:p>
    <w:p w14:paraId="5481B03E" w14:textId="77777777" w:rsidR="00611539" w:rsidRPr="000C5085" w:rsidRDefault="00611539" w:rsidP="000C5085">
      <w:pPr>
        <w:widowControl w:val="0"/>
        <w:spacing w:after="0" w:line="240" w:lineRule="auto"/>
        <w:rPr>
          <w:rFonts w:ascii="Times New Roman" w:eastAsia="Calibri" w:hAnsi="Times New Roman" w:cs="Times New Roman"/>
        </w:rPr>
      </w:pPr>
    </w:p>
    <w:p w14:paraId="0E531A6F" w14:textId="77777777" w:rsidR="00611539" w:rsidRPr="008100DF" w:rsidRDefault="00611539" w:rsidP="000C5085">
      <w:pPr>
        <w:widowControl w:val="0"/>
        <w:spacing w:after="0" w:line="240" w:lineRule="auto"/>
        <w:rPr>
          <w:rFonts w:ascii="Times New Roman" w:eastAsia="Calibri" w:hAnsi="Times New Roman" w:cs="Times New Roman"/>
          <w:u w:val="single"/>
        </w:rPr>
      </w:pPr>
      <w:r w:rsidRPr="008100DF">
        <w:rPr>
          <w:rFonts w:ascii="Times New Roman" w:eastAsia="Calibri" w:hAnsi="Times New Roman" w:cs="Times New Roman"/>
          <w:u w:val="single"/>
        </w:rPr>
        <w:t>Nėštumas</w:t>
      </w:r>
    </w:p>
    <w:p w14:paraId="2529DAFC" w14:textId="3B832D03"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Remiantis pranešimais apie pavienius apsigimimų (lytinių lūpų suaugimo, abiejų lyčių lyties organų) atvejus, nėštumo metu vartojamas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gali sukelti apsigimimų. Su gyvūnais atlikti tyrimai parodė toksinį poveikį reprodukcijai (žr. 5.3</w:t>
      </w:r>
      <w:r w:rsidR="00B66BB6">
        <w:rPr>
          <w:rFonts w:ascii="Times New Roman" w:eastAsia="Calibri" w:hAnsi="Times New Roman" w:cs="Times New Roman"/>
        </w:rPr>
        <w:t> </w:t>
      </w:r>
      <w:r w:rsidRPr="000C5085">
        <w:rPr>
          <w:rFonts w:ascii="Times New Roman" w:eastAsia="Calibri" w:hAnsi="Times New Roman" w:cs="Times New Roman"/>
        </w:rPr>
        <w:t>skyrių).</w:t>
      </w:r>
    </w:p>
    <w:p w14:paraId="51C2B409"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negalima vartoti nėštumo metu (žr. 4.3 ir 5.3 skyrius).</w:t>
      </w:r>
    </w:p>
    <w:p w14:paraId="3581A9D7"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4A5D7E83" w14:textId="77777777" w:rsidR="00611539" w:rsidRPr="008100DF" w:rsidRDefault="00611539" w:rsidP="000C5085">
      <w:pPr>
        <w:widowControl w:val="0"/>
        <w:spacing w:after="0" w:line="240" w:lineRule="auto"/>
        <w:rPr>
          <w:rFonts w:ascii="Times New Roman" w:eastAsia="Calibri" w:hAnsi="Times New Roman" w:cs="Times New Roman"/>
          <w:u w:val="single"/>
        </w:rPr>
      </w:pPr>
      <w:r w:rsidRPr="008100DF">
        <w:rPr>
          <w:rFonts w:ascii="Times New Roman" w:eastAsia="Calibri" w:hAnsi="Times New Roman" w:cs="Times New Roman"/>
          <w:u w:val="single"/>
        </w:rPr>
        <w:t>Žindymas</w:t>
      </w:r>
    </w:p>
    <w:p w14:paraId="7FCB468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lastRenderedPageBreak/>
        <w:t xml:space="preserve">Nežinoma, ar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/metabolitai išsiskiria į motinos pieną. Pavojaus žindomiems naujagimiams/kūdikiams negalima atmesti.</w:t>
      </w:r>
    </w:p>
    <w:p w14:paraId="345D61D7" w14:textId="77777777" w:rsidR="00611539" w:rsidRPr="000C5085" w:rsidRDefault="00611539" w:rsidP="000C5085">
      <w:pPr>
        <w:widowControl w:val="0"/>
        <w:spacing w:after="0" w:line="240" w:lineRule="auto"/>
        <w:rPr>
          <w:rFonts w:ascii="Times New Roman" w:eastAsia="Calibri" w:hAnsi="Times New Roman" w:cs="Times New Roman"/>
        </w:rPr>
      </w:pPr>
    </w:p>
    <w:p w14:paraId="7D7F42F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negalima vartoti žindymo metu (žr. 4.3 skyrių).</w:t>
      </w:r>
    </w:p>
    <w:p w14:paraId="16388048" w14:textId="77777777" w:rsidR="00611539" w:rsidRPr="000C5085" w:rsidRDefault="00611539" w:rsidP="000C5085">
      <w:pPr>
        <w:widowControl w:val="0"/>
        <w:spacing w:after="0" w:line="240" w:lineRule="auto"/>
        <w:rPr>
          <w:rFonts w:ascii="Times New Roman" w:eastAsia="Calibri" w:hAnsi="Times New Roman" w:cs="Times New Roman"/>
        </w:rPr>
      </w:pPr>
    </w:p>
    <w:p w14:paraId="109E0487" w14:textId="77777777" w:rsidR="00611539" w:rsidRPr="008100DF" w:rsidRDefault="00611539" w:rsidP="000C5085">
      <w:pPr>
        <w:widowControl w:val="0"/>
        <w:spacing w:after="0" w:line="240" w:lineRule="auto"/>
        <w:rPr>
          <w:rFonts w:ascii="Times New Roman" w:eastAsia="Calibri" w:hAnsi="Times New Roman" w:cs="Times New Roman"/>
          <w:u w:val="single"/>
        </w:rPr>
      </w:pPr>
      <w:r w:rsidRPr="008100DF">
        <w:rPr>
          <w:rFonts w:ascii="Times New Roman" w:eastAsia="Calibri" w:hAnsi="Times New Roman" w:cs="Times New Roman"/>
          <w:u w:val="single"/>
        </w:rPr>
        <w:t>Vaisingumas</w:t>
      </w:r>
    </w:p>
    <w:p w14:paraId="192075A1"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Farmakologinis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poveikis yra susijęs su estrogenų susidarymo mažinimu, kurį sukelia </w:t>
      </w:r>
      <w:proofErr w:type="spellStart"/>
      <w:r w:rsidRPr="000C5085">
        <w:rPr>
          <w:rFonts w:ascii="Times New Roman" w:eastAsia="Calibri" w:hAnsi="Times New Roman" w:cs="Times New Roman"/>
        </w:rPr>
        <w:t>aromatazės</w:t>
      </w:r>
      <w:proofErr w:type="spellEnd"/>
      <w:r w:rsidRPr="000C5085">
        <w:rPr>
          <w:rFonts w:ascii="Times New Roman" w:eastAsia="Calibri" w:hAnsi="Times New Roman" w:cs="Times New Roman"/>
        </w:rPr>
        <w:t xml:space="preserve"> slopinimas. Estrogenų sintezės slopinimas moterims </w:t>
      </w:r>
      <w:proofErr w:type="spellStart"/>
      <w:r w:rsidRPr="000C5085">
        <w:rPr>
          <w:rFonts w:ascii="Times New Roman" w:eastAsia="Calibri" w:hAnsi="Times New Roman" w:cs="Times New Roman"/>
        </w:rPr>
        <w:t>premenopauziniu</w:t>
      </w:r>
      <w:proofErr w:type="spellEnd"/>
      <w:r w:rsidRPr="000C5085">
        <w:rPr>
          <w:rFonts w:ascii="Times New Roman" w:eastAsia="Calibri" w:hAnsi="Times New Roman" w:cs="Times New Roman"/>
        </w:rPr>
        <w:t xml:space="preserve"> laikotarpiu dėl grįžtamojo ryšio didina </w:t>
      </w:r>
      <w:proofErr w:type="spellStart"/>
      <w:r w:rsidRPr="000C5085">
        <w:rPr>
          <w:rFonts w:ascii="Times New Roman" w:eastAsia="Calibri" w:hAnsi="Times New Roman" w:cs="Times New Roman"/>
        </w:rPr>
        <w:t>gonadotropinų</w:t>
      </w:r>
      <w:proofErr w:type="spellEnd"/>
      <w:r w:rsidRPr="000C5085">
        <w:rPr>
          <w:rFonts w:ascii="Times New Roman" w:eastAsia="Calibri" w:hAnsi="Times New Roman" w:cs="Times New Roman"/>
        </w:rPr>
        <w:t xml:space="preserve"> (LH, FSH) kiekį. Dėl padidėjusio FSH gali būti stimuliuojamas folikulų augimas ir pasireikšti ovuliacija.</w:t>
      </w:r>
    </w:p>
    <w:p w14:paraId="0D4D5903" w14:textId="77777777" w:rsidR="00611539" w:rsidRPr="000C5085" w:rsidRDefault="00611539" w:rsidP="000C5085">
      <w:pPr>
        <w:widowControl w:val="0"/>
        <w:spacing w:after="0" w:line="240" w:lineRule="auto"/>
        <w:rPr>
          <w:rFonts w:ascii="Times New Roman" w:eastAsia="Calibri" w:hAnsi="Times New Roman" w:cs="Times New Roman"/>
        </w:rPr>
      </w:pPr>
    </w:p>
    <w:p w14:paraId="6B5C926B"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5" w:name="_Toc129243108"/>
      <w:bookmarkStart w:id="26" w:name="_Toc129243233"/>
      <w:r w:rsidRPr="000C5085">
        <w:rPr>
          <w:rFonts w:ascii="Times New Roman" w:eastAsia="Calibri" w:hAnsi="Times New Roman" w:cs="Times New Roman"/>
          <w:b/>
          <w:kern w:val="28"/>
        </w:rPr>
        <w:t>4.7</w:t>
      </w:r>
      <w:r w:rsidRPr="000C5085">
        <w:rPr>
          <w:rFonts w:ascii="Times New Roman" w:eastAsia="Calibri" w:hAnsi="Times New Roman" w:cs="Times New Roman"/>
          <w:b/>
          <w:kern w:val="28"/>
        </w:rPr>
        <w:tab/>
        <w:t>Poveikis gebėjimui vairuoti ir valdyti mechanizmus</w:t>
      </w:r>
      <w:bookmarkEnd w:id="25"/>
      <w:bookmarkEnd w:id="26"/>
    </w:p>
    <w:p w14:paraId="5969F3E7" w14:textId="77777777" w:rsidR="00611539" w:rsidRPr="000C5085" w:rsidRDefault="00611539" w:rsidP="000C5085">
      <w:pPr>
        <w:widowControl w:val="0"/>
        <w:spacing w:after="0" w:line="240" w:lineRule="auto"/>
        <w:rPr>
          <w:rFonts w:ascii="Times New Roman" w:eastAsia="Calibri" w:hAnsi="Times New Roman" w:cs="Times New Roman"/>
        </w:rPr>
      </w:pPr>
    </w:p>
    <w:p w14:paraId="50BEC77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gebėjimą vairuoti ir valdyti mechanizmus veikia silpnai.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gali pasireikšti nuovargis ir svaigulys, be to, nedažnai atsiranda </w:t>
      </w:r>
      <w:proofErr w:type="spellStart"/>
      <w:r w:rsidRPr="000C5085">
        <w:rPr>
          <w:rFonts w:ascii="Times New Roman" w:eastAsia="Calibri" w:hAnsi="Times New Roman" w:cs="Times New Roman"/>
        </w:rPr>
        <w:t>somnolencija</w:t>
      </w:r>
      <w:proofErr w:type="spellEnd"/>
      <w:r w:rsidRPr="000C5085">
        <w:rPr>
          <w:rFonts w:ascii="Times New Roman" w:eastAsia="Calibri" w:hAnsi="Times New Roman" w:cs="Times New Roman"/>
        </w:rPr>
        <w:t>, todėl vairuoti ir valdyti mechanizmus reikia atsargiai.</w:t>
      </w:r>
    </w:p>
    <w:p w14:paraId="41F65B26" w14:textId="77777777" w:rsidR="00611539" w:rsidRPr="000C5085" w:rsidRDefault="00611539" w:rsidP="000C5085">
      <w:pPr>
        <w:widowControl w:val="0"/>
        <w:spacing w:after="0" w:line="240" w:lineRule="auto"/>
        <w:rPr>
          <w:rFonts w:ascii="Times New Roman" w:eastAsia="Calibri" w:hAnsi="Times New Roman" w:cs="Times New Roman"/>
        </w:rPr>
      </w:pPr>
    </w:p>
    <w:p w14:paraId="23138883"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7" w:name="_Toc129243109"/>
      <w:bookmarkStart w:id="28" w:name="_Toc129243234"/>
      <w:r w:rsidRPr="000C5085">
        <w:rPr>
          <w:rFonts w:ascii="Times New Roman" w:eastAsia="Calibri" w:hAnsi="Times New Roman" w:cs="Times New Roman"/>
          <w:b/>
          <w:kern w:val="28"/>
        </w:rPr>
        <w:t>4.8</w:t>
      </w:r>
      <w:r w:rsidRPr="000C5085">
        <w:rPr>
          <w:rFonts w:ascii="Times New Roman" w:eastAsia="Calibri" w:hAnsi="Times New Roman" w:cs="Times New Roman"/>
          <w:b/>
          <w:kern w:val="28"/>
        </w:rPr>
        <w:tab/>
        <w:t>Nepageidaujamas poveikis</w:t>
      </w:r>
      <w:bookmarkEnd w:id="27"/>
      <w:bookmarkEnd w:id="28"/>
    </w:p>
    <w:p w14:paraId="3F68DCE9" w14:textId="77777777" w:rsidR="00611539" w:rsidRPr="000C5085" w:rsidRDefault="00611539" w:rsidP="000C5085">
      <w:pPr>
        <w:widowControl w:val="0"/>
        <w:spacing w:after="0" w:line="240" w:lineRule="auto"/>
        <w:rPr>
          <w:rFonts w:ascii="Times New Roman" w:eastAsia="Calibri" w:hAnsi="Times New Roman" w:cs="Times New Roman"/>
        </w:rPr>
      </w:pPr>
    </w:p>
    <w:p w14:paraId="34EFAFE3"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Saugumo duomenų santrauka</w:t>
      </w:r>
    </w:p>
    <w:p w14:paraId="6A3B57C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Nepageidaujamų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reakcijų dažnio įvertinimas daugiausia remiasi klinikinių tyrimų metu gautais duomenimis.</w:t>
      </w:r>
    </w:p>
    <w:p w14:paraId="01A25B1D" w14:textId="77777777" w:rsidR="00611539" w:rsidRPr="000C5085" w:rsidRDefault="00611539" w:rsidP="000C5085">
      <w:pPr>
        <w:widowControl w:val="0"/>
        <w:spacing w:after="0" w:line="240" w:lineRule="auto"/>
        <w:rPr>
          <w:rFonts w:ascii="Times New Roman" w:eastAsia="Calibri" w:hAnsi="Times New Roman" w:cs="Times New Roman"/>
        </w:rPr>
      </w:pPr>
    </w:p>
    <w:p w14:paraId="4C8E0C6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Nepageidaujamų reakcijų atsirado maždaug iki trečdalio </w:t>
      </w:r>
      <w:proofErr w:type="spellStart"/>
      <w:r w:rsidRPr="000C5085">
        <w:rPr>
          <w:rFonts w:ascii="Times New Roman" w:eastAsia="Calibri" w:hAnsi="Times New Roman" w:cs="Times New Roman"/>
        </w:rPr>
        <w:t>metastazavusiu</w:t>
      </w:r>
      <w:proofErr w:type="spellEnd"/>
      <w:r w:rsidRPr="000C5085">
        <w:rPr>
          <w:rFonts w:ascii="Times New Roman" w:eastAsia="Calibri" w:hAnsi="Times New Roman" w:cs="Times New Roman"/>
        </w:rPr>
        <w:t xml:space="preserve"> vėžiu sirgusių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gydytų pacienčių ir maždaug 80</w:t>
      </w:r>
      <w:r w:rsidR="0045175C">
        <w:rPr>
          <w:rFonts w:ascii="Times New Roman" w:eastAsia="Calibri" w:hAnsi="Times New Roman" w:cs="Times New Roman"/>
        </w:rPr>
        <w:t> </w:t>
      </w:r>
      <w:r w:rsidRPr="000C5085">
        <w:rPr>
          <w:rFonts w:ascii="Times New Roman" w:eastAsia="Calibri" w:hAnsi="Times New Roman" w:cs="Times New Roman"/>
        </w:rPr>
        <w:t xml:space="preserve">% ligonių, kurioms buvo skiriamas </w:t>
      </w:r>
      <w:proofErr w:type="spellStart"/>
      <w:r w:rsidRPr="000C5085">
        <w:rPr>
          <w:rFonts w:ascii="Times New Roman" w:eastAsia="Calibri" w:hAnsi="Times New Roman" w:cs="Times New Roman"/>
        </w:rPr>
        <w:t>adjuvantinis</w:t>
      </w:r>
      <w:proofErr w:type="spellEnd"/>
      <w:r w:rsidRPr="000C5085">
        <w:rPr>
          <w:rFonts w:ascii="Times New Roman" w:eastAsia="Calibri" w:hAnsi="Times New Roman" w:cs="Times New Roman"/>
        </w:rPr>
        <w:t xml:space="preserve"> ar tęstinis </w:t>
      </w:r>
      <w:proofErr w:type="spellStart"/>
      <w:r w:rsidRPr="000C5085">
        <w:rPr>
          <w:rFonts w:ascii="Times New Roman" w:eastAsia="Calibri" w:hAnsi="Times New Roman" w:cs="Times New Roman"/>
        </w:rPr>
        <w:t>adjuvantinis</w:t>
      </w:r>
      <w:proofErr w:type="spellEnd"/>
      <w:r w:rsidRPr="000C5085">
        <w:rPr>
          <w:rFonts w:ascii="Times New Roman" w:eastAsia="Calibri" w:hAnsi="Times New Roman" w:cs="Times New Roman"/>
        </w:rPr>
        <w:t xml:space="preserve"> gydymas. Dauguma šių reakcijų atsirado per pirmąsias dvi gydymo savaites.</w:t>
      </w:r>
    </w:p>
    <w:p w14:paraId="007E8CFC" w14:textId="77777777" w:rsidR="00611539" w:rsidRPr="000C5085" w:rsidRDefault="00611539" w:rsidP="000C5085">
      <w:pPr>
        <w:widowControl w:val="0"/>
        <w:spacing w:after="0" w:line="240" w:lineRule="auto"/>
        <w:rPr>
          <w:rFonts w:ascii="Times New Roman" w:eastAsia="Calibri" w:hAnsi="Times New Roman" w:cs="Times New Roman"/>
        </w:rPr>
      </w:pPr>
    </w:p>
    <w:p w14:paraId="11F35C0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Nepageidaujamos reakcijos, apie kurias klinikinių tyrimų metu buvo pranešta dažniausiai, buvo karščio pylimas, </w:t>
      </w:r>
      <w:proofErr w:type="spellStart"/>
      <w:r w:rsidRPr="000C5085">
        <w:rPr>
          <w:rFonts w:ascii="Times New Roman" w:eastAsia="Calibri" w:hAnsi="Times New Roman" w:cs="Times New Roman"/>
        </w:rPr>
        <w:t>hipercholesterolemija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artralgija</w:t>
      </w:r>
      <w:proofErr w:type="spellEnd"/>
      <w:r w:rsidRPr="000C5085">
        <w:rPr>
          <w:rFonts w:ascii="Times New Roman" w:eastAsia="Calibri" w:hAnsi="Times New Roman" w:cs="Times New Roman"/>
        </w:rPr>
        <w:t>, nuovargis, smarkus prakaitavimas ir pykinimas.</w:t>
      </w:r>
    </w:p>
    <w:p w14:paraId="401DCF55" w14:textId="77777777" w:rsidR="00D61037" w:rsidRPr="000C5085" w:rsidRDefault="00D61037" w:rsidP="000C5085">
      <w:pPr>
        <w:widowControl w:val="0"/>
        <w:spacing w:after="0" w:line="240" w:lineRule="auto"/>
        <w:rPr>
          <w:rFonts w:ascii="Times New Roman" w:eastAsia="Calibri" w:hAnsi="Times New Roman" w:cs="Times New Roman"/>
        </w:rPr>
      </w:pPr>
    </w:p>
    <w:p w14:paraId="52A7D8F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Svarbios papildomos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pasireikšti galinčios reakcijos yra skeleto reiškiniai, pvz., osteoporozė ir (arba) kaulų lūžiai, bei kardiovaskuliniai reiškiniai (įskaitant </w:t>
      </w:r>
      <w:proofErr w:type="spellStart"/>
      <w:r w:rsidRPr="000C5085">
        <w:rPr>
          <w:rFonts w:ascii="Times New Roman" w:eastAsia="Calibri" w:hAnsi="Times New Roman" w:cs="Times New Roman"/>
        </w:rPr>
        <w:t>cerebrovaskulinius</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tromboembolinius</w:t>
      </w:r>
      <w:proofErr w:type="spellEnd"/>
      <w:r w:rsidRPr="000C5085">
        <w:rPr>
          <w:rFonts w:ascii="Times New Roman" w:eastAsia="Calibri" w:hAnsi="Times New Roman" w:cs="Times New Roman"/>
        </w:rPr>
        <w:t xml:space="preserve"> reiškinius). Šių nepageidaujamų reakcijų dažnis apibūdintas 1 lentelėje.</w:t>
      </w:r>
    </w:p>
    <w:p w14:paraId="0C3B5F3D" w14:textId="77777777" w:rsidR="00611539" w:rsidRPr="000C5085" w:rsidRDefault="00611539" w:rsidP="000C5085">
      <w:pPr>
        <w:widowControl w:val="0"/>
        <w:spacing w:after="0" w:line="240" w:lineRule="auto"/>
        <w:rPr>
          <w:rFonts w:ascii="Times New Roman" w:eastAsia="Calibri" w:hAnsi="Times New Roman" w:cs="Times New Roman"/>
        </w:rPr>
      </w:pPr>
    </w:p>
    <w:p w14:paraId="5CC16307"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Nepageidaujamų reakcijų santrauka lentelėse</w:t>
      </w:r>
    </w:p>
    <w:p w14:paraId="0200E26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Nepageidaujamų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reakcijų dažnio įvertinimas daugiausia remiasi klinikinių tyrimų metu gautais duomenimis.</w:t>
      </w:r>
    </w:p>
    <w:p w14:paraId="76FA619B" w14:textId="77777777" w:rsidR="00611539" w:rsidRPr="000C5085" w:rsidRDefault="00611539" w:rsidP="000C5085">
      <w:pPr>
        <w:widowControl w:val="0"/>
        <w:spacing w:after="0" w:line="240" w:lineRule="auto"/>
        <w:rPr>
          <w:rFonts w:ascii="Times New Roman" w:eastAsia="Calibri" w:hAnsi="Times New Roman" w:cs="Times New Roman"/>
        </w:rPr>
      </w:pPr>
    </w:p>
    <w:p w14:paraId="7E7F6F7E" w14:textId="3262A435"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Duomenų apie 1</w:t>
      </w:r>
      <w:r w:rsidR="00B66BB6">
        <w:rPr>
          <w:rFonts w:ascii="Times New Roman" w:eastAsia="Calibri" w:hAnsi="Times New Roman" w:cs="Times New Roman"/>
        </w:rPr>
        <w:t> </w:t>
      </w:r>
      <w:r w:rsidRPr="000C5085">
        <w:rPr>
          <w:rFonts w:ascii="Times New Roman" w:eastAsia="Calibri" w:hAnsi="Times New Roman" w:cs="Times New Roman"/>
        </w:rPr>
        <w:t xml:space="preserve">lentelėje išvardytas nepageidaujamas reakcijas gauta klinikinių tyrimų metu bei po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patekimo į rinką.</w:t>
      </w:r>
    </w:p>
    <w:p w14:paraId="79E5332D" w14:textId="77777777" w:rsidR="00611539" w:rsidRPr="000C5085" w:rsidRDefault="00611539" w:rsidP="000C5085">
      <w:pPr>
        <w:widowControl w:val="0"/>
        <w:spacing w:after="0" w:line="240" w:lineRule="auto"/>
        <w:rPr>
          <w:rFonts w:ascii="Times New Roman" w:eastAsia="Calibri" w:hAnsi="Times New Roman" w:cs="Times New Roman"/>
        </w:rPr>
      </w:pPr>
    </w:p>
    <w:p w14:paraId="68E92FA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1 lentelė</w:t>
      </w:r>
    </w:p>
    <w:p w14:paraId="54D6A9BB" w14:textId="77777777" w:rsidR="00611539" w:rsidRPr="000C5085" w:rsidRDefault="00611539" w:rsidP="000C5085">
      <w:pPr>
        <w:widowControl w:val="0"/>
        <w:spacing w:after="0" w:line="240" w:lineRule="auto"/>
        <w:rPr>
          <w:rFonts w:ascii="Times New Roman" w:eastAsia="Calibri" w:hAnsi="Times New Roman" w:cs="Times New Roman"/>
        </w:rPr>
      </w:pPr>
    </w:p>
    <w:p w14:paraId="4A3A5961" w14:textId="5FED2E84" w:rsidR="00611539" w:rsidRPr="000C5085" w:rsidRDefault="00611539" w:rsidP="000C5085">
      <w:pPr>
        <w:widowControl w:val="0"/>
        <w:autoSpaceDE w:val="0"/>
        <w:spacing w:after="0" w:line="240" w:lineRule="auto"/>
        <w:contextualSpacing/>
        <w:rPr>
          <w:rFonts w:ascii="Times New Roman" w:eastAsia="Calibri" w:hAnsi="Times New Roman" w:cs="Times New Roman"/>
        </w:rPr>
      </w:pPr>
      <w:r w:rsidRPr="000C5085">
        <w:rPr>
          <w:rFonts w:ascii="Times New Roman" w:eastAsia="Calibri" w:hAnsi="Times New Roman" w:cs="Times New Roman"/>
        </w:rPr>
        <w:t>Nepageidaujamų reakcijų, suskirstytų pagal dažnį (dažnesnės paminėtos pirmiau), dažnis apibūdinamas taip: labai dažnos (≥</w:t>
      </w:r>
      <w:r w:rsidR="0022573B">
        <w:rPr>
          <w:rFonts w:ascii="Times New Roman" w:eastAsia="Calibri" w:hAnsi="Times New Roman" w:cs="Times New Roman"/>
        </w:rPr>
        <w:t> </w:t>
      </w:r>
      <w:r w:rsidRPr="000C5085">
        <w:rPr>
          <w:rFonts w:ascii="Times New Roman" w:eastAsia="Calibri" w:hAnsi="Times New Roman" w:cs="Times New Roman"/>
        </w:rPr>
        <w:t>1/10), dažnos (nuo ≥</w:t>
      </w:r>
      <w:r w:rsidR="0022573B">
        <w:rPr>
          <w:rFonts w:ascii="Times New Roman" w:eastAsia="Calibri" w:hAnsi="Times New Roman" w:cs="Times New Roman"/>
        </w:rPr>
        <w:t> </w:t>
      </w:r>
      <w:r w:rsidRPr="000C5085">
        <w:rPr>
          <w:rFonts w:ascii="Times New Roman" w:eastAsia="Calibri" w:hAnsi="Times New Roman" w:cs="Times New Roman"/>
        </w:rPr>
        <w:t>1/100 iki &lt;</w:t>
      </w:r>
      <w:r w:rsidR="0022573B">
        <w:rPr>
          <w:rFonts w:ascii="Times New Roman" w:eastAsia="Calibri" w:hAnsi="Times New Roman" w:cs="Times New Roman"/>
        </w:rPr>
        <w:t> </w:t>
      </w:r>
      <w:r w:rsidRPr="000C5085">
        <w:rPr>
          <w:rFonts w:ascii="Times New Roman" w:eastAsia="Calibri" w:hAnsi="Times New Roman" w:cs="Times New Roman"/>
        </w:rPr>
        <w:t>1/10), nedažnos (nuo ≥</w:t>
      </w:r>
      <w:r w:rsidR="0022573B">
        <w:rPr>
          <w:rFonts w:ascii="Times New Roman" w:eastAsia="Calibri" w:hAnsi="Times New Roman" w:cs="Times New Roman"/>
        </w:rPr>
        <w:t> </w:t>
      </w:r>
      <w:r w:rsidRPr="000C5085">
        <w:rPr>
          <w:rFonts w:ascii="Times New Roman" w:eastAsia="Calibri" w:hAnsi="Times New Roman" w:cs="Times New Roman"/>
        </w:rPr>
        <w:t>1/1</w:t>
      </w:r>
      <w:r w:rsidR="0022573B">
        <w:rPr>
          <w:rFonts w:ascii="Times New Roman" w:eastAsia="Calibri" w:hAnsi="Times New Roman" w:cs="Times New Roman"/>
        </w:rPr>
        <w:t> </w:t>
      </w:r>
      <w:r w:rsidRPr="000C5085">
        <w:rPr>
          <w:rFonts w:ascii="Times New Roman" w:eastAsia="Calibri" w:hAnsi="Times New Roman" w:cs="Times New Roman"/>
        </w:rPr>
        <w:t>000 iki &lt;</w:t>
      </w:r>
      <w:r w:rsidR="0022573B">
        <w:rPr>
          <w:rFonts w:ascii="Times New Roman" w:eastAsia="Calibri" w:hAnsi="Times New Roman" w:cs="Times New Roman"/>
        </w:rPr>
        <w:t> </w:t>
      </w:r>
      <w:r w:rsidRPr="000C5085">
        <w:rPr>
          <w:rFonts w:ascii="Times New Roman" w:eastAsia="Calibri" w:hAnsi="Times New Roman" w:cs="Times New Roman"/>
        </w:rPr>
        <w:t>1/100), retos (nuo ≥</w:t>
      </w:r>
      <w:r w:rsidR="0022573B">
        <w:rPr>
          <w:rFonts w:ascii="Times New Roman" w:eastAsia="Calibri" w:hAnsi="Times New Roman" w:cs="Times New Roman"/>
        </w:rPr>
        <w:t> </w:t>
      </w:r>
      <w:r w:rsidRPr="000C5085">
        <w:rPr>
          <w:rFonts w:ascii="Times New Roman" w:eastAsia="Calibri" w:hAnsi="Times New Roman" w:cs="Times New Roman"/>
        </w:rPr>
        <w:t>1/10</w:t>
      </w:r>
      <w:r w:rsidR="0022573B">
        <w:rPr>
          <w:rFonts w:ascii="Times New Roman" w:eastAsia="Calibri" w:hAnsi="Times New Roman" w:cs="Times New Roman"/>
        </w:rPr>
        <w:t> </w:t>
      </w:r>
      <w:r w:rsidRPr="000C5085">
        <w:rPr>
          <w:rFonts w:ascii="Times New Roman" w:eastAsia="Calibri" w:hAnsi="Times New Roman" w:cs="Times New Roman"/>
        </w:rPr>
        <w:t>000 iki &lt;</w:t>
      </w:r>
      <w:r w:rsidR="0022573B">
        <w:rPr>
          <w:rFonts w:ascii="Times New Roman" w:eastAsia="Calibri" w:hAnsi="Times New Roman" w:cs="Times New Roman"/>
        </w:rPr>
        <w:t> </w:t>
      </w:r>
      <w:r w:rsidRPr="000C5085">
        <w:rPr>
          <w:rFonts w:ascii="Times New Roman" w:eastAsia="Calibri" w:hAnsi="Times New Roman" w:cs="Times New Roman"/>
        </w:rPr>
        <w:t>1/1</w:t>
      </w:r>
      <w:r w:rsidR="0022573B">
        <w:rPr>
          <w:rFonts w:ascii="Times New Roman" w:eastAsia="Calibri" w:hAnsi="Times New Roman" w:cs="Times New Roman"/>
        </w:rPr>
        <w:t> </w:t>
      </w:r>
      <w:r w:rsidRPr="000C5085">
        <w:rPr>
          <w:rFonts w:ascii="Times New Roman" w:eastAsia="Calibri" w:hAnsi="Times New Roman" w:cs="Times New Roman"/>
        </w:rPr>
        <w:t>000), labai retos (&lt;</w:t>
      </w:r>
      <w:r w:rsidR="0022573B">
        <w:rPr>
          <w:rFonts w:ascii="Times New Roman" w:eastAsia="Calibri" w:hAnsi="Times New Roman" w:cs="Times New Roman"/>
        </w:rPr>
        <w:t> </w:t>
      </w:r>
      <w:r w:rsidRPr="000C5085">
        <w:rPr>
          <w:rFonts w:ascii="Times New Roman" w:eastAsia="Calibri" w:hAnsi="Times New Roman" w:cs="Times New Roman"/>
        </w:rPr>
        <w:t>1/10</w:t>
      </w:r>
      <w:r w:rsidR="0022573B">
        <w:rPr>
          <w:rFonts w:ascii="Times New Roman" w:eastAsia="Calibri" w:hAnsi="Times New Roman" w:cs="Times New Roman"/>
        </w:rPr>
        <w:t> </w:t>
      </w:r>
      <w:r w:rsidRPr="000C5085">
        <w:rPr>
          <w:rFonts w:ascii="Times New Roman" w:eastAsia="Calibri" w:hAnsi="Times New Roman" w:cs="Times New Roman"/>
        </w:rPr>
        <w:t>000) ir nežinomas (negali būti apskaičiuotas pagal turimus duomenis).</w:t>
      </w:r>
    </w:p>
    <w:p w14:paraId="3B83AE0A" w14:textId="77777777" w:rsidR="00611539" w:rsidRPr="000C5085" w:rsidRDefault="00611539" w:rsidP="000C5085">
      <w:pPr>
        <w:widowControl w:val="0"/>
        <w:spacing w:after="0" w:line="240" w:lineRule="auto"/>
        <w:rPr>
          <w:rFonts w:ascii="Times New Roman" w:eastAsia="Calibri" w:hAnsi="Times New Roman" w:cs="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2292"/>
        <w:gridCol w:w="6875"/>
      </w:tblGrid>
      <w:tr w:rsidR="00611539" w:rsidRPr="000C5085" w14:paraId="51376B3A"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45B87A4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 xml:space="preserve">Infekcijos ir </w:t>
            </w:r>
            <w:proofErr w:type="spellStart"/>
            <w:r w:rsidRPr="000C5085">
              <w:rPr>
                <w:rFonts w:ascii="Times New Roman" w:eastAsia="Calibri" w:hAnsi="Times New Roman" w:cs="Times New Roman"/>
                <w:b/>
              </w:rPr>
              <w:t>infestacijos</w:t>
            </w:r>
            <w:proofErr w:type="spellEnd"/>
          </w:p>
        </w:tc>
      </w:tr>
      <w:tr w:rsidR="00611539" w:rsidRPr="000C5085" w14:paraId="7D8D0A0E"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561978D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2A3CE79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Šlapimo takų infekcija</w:t>
            </w:r>
          </w:p>
        </w:tc>
      </w:tr>
      <w:tr w:rsidR="00611539" w:rsidRPr="000C5085" w14:paraId="5557EF6D"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26C7AD8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Gerybiniai, piktybiniai ir nepatikslinti navikai (tarp jų cistos ir polipai)</w:t>
            </w:r>
          </w:p>
        </w:tc>
      </w:tr>
      <w:tr w:rsidR="00611539" w:rsidRPr="000C5085" w14:paraId="63B0806B"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988FFF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07D078A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Su naviku susijęs skausmas</w:t>
            </w:r>
            <w:r w:rsidRPr="000C5085">
              <w:rPr>
                <w:rFonts w:ascii="Times New Roman" w:eastAsia="Calibri" w:hAnsi="Times New Roman" w:cs="Times New Roman"/>
                <w:vertAlign w:val="superscript"/>
              </w:rPr>
              <w:t>1</w:t>
            </w:r>
          </w:p>
        </w:tc>
      </w:tr>
      <w:tr w:rsidR="00611539" w:rsidRPr="000C5085" w14:paraId="546E98F5"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053B711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Kraujo ir limfinės sistemos sutrikimai</w:t>
            </w:r>
          </w:p>
        </w:tc>
      </w:tr>
      <w:tr w:rsidR="00611539" w:rsidRPr="000C5085" w14:paraId="04E8A623"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31EED6C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32B28016"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Leukopenija</w:t>
            </w:r>
            <w:proofErr w:type="spellEnd"/>
          </w:p>
        </w:tc>
      </w:tr>
      <w:tr w:rsidR="00611539" w:rsidRPr="000C5085" w14:paraId="0EF1A9AE"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6C3A2D8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lastRenderedPageBreak/>
              <w:t>Imuninės sistemos sutrikimai</w:t>
            </w:r>
          </w:p>
        </w:tc>
      </w:tr>
      <w:tr w:rsidR="00611539" w:rsidRPr="000C5085" w14:paraId="1E2B5CB7"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680721A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Dažnis nežinomas</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74A2A1F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Anafilaksinės reakcijos</w:t>
            </w:r>
          </w:p>
        </w:tc>
      </w:tr>
      <w:tr w:rsidR="00611539" w:rsidRPr="000C5085" w14:paraId="4694EDCF"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00909AF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Metabolizmo ir mitybos sutrikimai</w:t>
            </w:r>
          </w:p>
        </w:tc>
      </w:tr>
      <w:tr w:rsidR="00611539" w:rsidRPr="000C5085" w14:paraId="5F2632BA"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5A740B5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Labai 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30E51367"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Hipercholesterolemija</w:t>
            </w:r>
            <w:proofErr w:type="spellEnd"/>
          </w:p>
        </w:tc>
      </w:tr>
      <w:tr w:rsidR="00611539" w:rsidRPr="000C5085" w14:paraId="52DC1394"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5775016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3EC2D11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Anoreksija, apetito padidėjimas </w:t>
            </w:r>
          </w:p>
        </w:tc>
      </w:tr>
      <w:tr w:rsidR="00611539" w:rsidRPr="000C5085" w14:paraId="6331BA04"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5FE805C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Psichikos sutrikimai</w:t>
            </w:r>
          </w:p>
        </w:tc>
      </w:tr>
      <w:tr w:rsidR="00611539" w:rsidRPr="000C5085" w14:paraId="66B26D42"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05BA23C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0FBCB4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Depresija</w:t>
            </w:r>
          </w:p>
        </w:tc>
      </w:tr>
      <w:tr w:rsidR="00611539" w:rsidRPr="000C5085" w14:paraId="05044E5D"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6616709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05EA351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Nerimas (įskaitant nervingumą), irzlumas</w:t>
            </w:r>
          </w:p>
        </w:tc>
      </w:tr>
      <w:tr w:rsidR="00611539" w:rsidRPr="000C5085" w14:paraId="3840AD43"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113EFB7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Nervų sistemos sutrikimai</w:t>
            </w:r>
          </w:p>
        </w:tc>
      </w:tr>
      <w:tr w:rsidR="00611539" w:rsidRPr="000C5085" w14:paraId="5D202919"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443B84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50287C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Galvos skausmas, svaigulys</w:t>
            </w:r>
          </w:p>
        </w:tc>
      </w:tr>
      <w:tr w:rsidR="00611539" w:rsidRPr="000C5085" w14:paraId="104CE3AD"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35D5805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AA8944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Somnolencija</w:t>
            </w:r>
            <w:proofErr w:type="spellEnd"/>
            <w:r w:rsidRPr="000C5085">
              <w:rPr>
                <w:rFonts w:ascii="Times New Roman" w:eastAsia="Calibri" w:hAnsi="Times New Roman" w:cs="Times New Roman"/>
              </w:rPr>
              <w:t xml:space="preserve">, nemiga, atminties pablogėjimas, </w:t>
            </w:r>
            <w:proofErr w:type="spellStart"/>
            <w:r w:rsidRPr="000C5085">
              <w:rPr>
                <w:rFonts w:ascii="Times New Roman" w:eastAsia="Calibri" w:hAnsi="Times New Roman" w:cs="Times New Roman"/>
              </w:rPr>
              <w:t>dizestezija</w:t>
            </w:r>
            <w:proofErr w:type="spellEnd"/>
            <w:r w:rsidRPr="000C5085">
              <w:rPr>
                <w:rFonts w:ascii="Times New Roman" w:eastAsia="Calibri" w:hAnsi="Times New Roman" w:cs="Times New Roman"/>
              </w:rPr>
              <w:t xml:space="preserve"> (įskaitant </w:t>
            </w:r>
            <w:proofErr w:type="spellStart"/>
            <w:r w:rsidRPr="000C5085">
              <w:rPr>
                <w:rFonts w:ascii="Times New Roman" w:eastAsia="Calibri" w:hAnsi="Times New Roman" w:cs="Times New Roman"/>
              </w:rPr>
              <w:t>paresteziją</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hipoesteziją</w:t>
            </w:r>
            <w:proofErr w:type="spellEnd"/>
            <w:r w:rsidRPr="000C5085">
              <w:rPr>
                <w:rFonts w:ascii="Times New Roman" w:eastAsia="Calibri" w:hAnsi="Times New Roman" w:cs="Times New Roman"/>
              </w:rPr>
              <w:t xml:space="preserve">), skonio pojūčio sutrikimas, </w:t>
            </w:r>
            <w:proofErr w:type="spellStart"/>
            <w:r w:rsidRPr="000C5085">
              <w:rPr>
                <w:rFonts w:ascii="Times New Roman" w:eastAsia="Calibri" w:hAnsi="Times New Roman" w:cs="Times New Roman"/>
              </w:rPr>
              <w:t>cerebrovaskulinis</w:t>
            </w:r>
            <w:proofErr w:type="spellEnd"/>
            <w:r w:rsidRPr="000C5085">
              <w:rPr>
                <w:rFonts w:ascii="Times New Roman" w:eastAsia="Calibri" w:hAnsi="Times New Roman" w:cs="Times New Roman"/>
              </w:rPr>
              <w:t xml:space="preserve"> reiškinys, riešo kanalo sindromas </w:t>
            </w:r>
          </w:p>
        </w:tc>
      </w:tr>
      <w:tr w:rsidR="00611539" w:rsidRPr="000C5085" w14:paraId="20E4FC2E"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70C717B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Akių sutrikimai</w:t>
            </w:r>
          </w:p>
        </w:tc>
      </w:tr>
      <w:tr w:rsidR="00611539" w:rsidRPr="000C5085" w14:paraId="388B5D32"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0BAB359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4232F91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Katarakta, akies dirginimas, neryškus matymas</w:t>
            </w:r>
          </w:p>
        </w:tc>
      </w:tr>
      <w:tr w:rsidR="00611539" w:rsidRPr="000C5085" w14:paraId="225F577F"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55831F9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Širdies sutrikimai</w:t>
            </w:r>
          </w:p>
        </w:tc>
      </w:tr>
      <w:tr w:rsidR="00611539" w:rsidRPr="000C5085" w14:paraId="6D59AB80"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3EAC57BD" w14:textId="77777777" w:rsidR="00611539" w:rsidRPr="000C5085" w:rsidRDefault="00611539" w:rsidP="000C5085">
            <w:pPr>
              <w:widowControl w:val="0"/>
              <w:spacing w:after="0" w:line="240" w:lineRule="auto"/>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74AEB4C4" w14:textId="77777777" w:rsidR="00611539" w:rsidRPr="000C5085" w:rsidRDefault="00611539" w:rsidP="000C5085">
            <w:pPr>
              <w:widowControl w:val="0"/>
              <w:spacing w:after="0" w:line="240" w:lineRule="auto"/>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Palpitacija</w:t>
            </w:r>
            <w:r w:rsidRPr="000C5085">
              <w:rPr>
                <w:rFonts w:ascii="Times New Roman" w:eastAsia="Times New Roman" w:hAnsi="Times New Roman" w:cs="Times New Roman"/>
                <w:vertAlign w:val="superscript"/>
                <w:lang w:eastAsia="sl-SI"/>
              </w:rPr>
              <w:t>1</w:t>
            </w:r>
          </w:p>
        </w:tc>
      </w:tr>
      <w:tr w:rsidR="00611539" w:rsidRPr="000C5085" w14:paraId="6C3A3BD1"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41547B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F6CCE7B"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Times New Roman" w:hAnsi="Times New Roman" w:cs="Times New Roman"/>
                <w:lang w:eastAsia="sl-SI"/>
              </w:rPr>
              <w:t>Tachikardija</w:t>
            </w:r>
            <w:proofErr w:type="spellEnd"/>
            <w:r w:rsidRPr="000C5085">
              <w:rPr>
                <w:rFonts w:ascii="Times New Roman" w:eastAsia="Calibri" w:hAnsi="Times New Roman" w:cs="Times New Roman"/>
              </w:rPr>
              <w:t>, išeminiai širdies reiškiniai (įskaitant naują ar pasunkėjusią anginą, anginą, dėl kurios reikia atlikti operaciją, miokardo infarktą ir miokardo išemiją)</w:t>
            </w:r>
          </w:p>
        </w:tc>
      </w:tr>
      <w:tr w:rsidR="00611539" w:rsidRPr="000C5085" w14:paraId="09852D6A"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1115B9C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Kraujagyslių sutrikimai</w:t>
            </w:r>
          </w:p>
        </w:tc>
      </w:tr>
      <w:tr w:rsidR="00611539" w:rsidRPr="000C5085" w14:paraId="1A251FAF"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552BE35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Labai 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0FBE7F4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Karščio pylimas</w:t>
            </w:r>
          </w:p>
        </w:tc>
      </w:tr>
      <w:tr w:rsidR="00611539" w:rsidRPr="000C5085" w14:paraId="0FE6C1CE"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1D3D3718" w14:textId="77777777" w:rsidR="00611539" w:rsidRPr="000C5085" w:rsidRDefault="00611539" w:rsidP="000C5085">
            <w:pPr>
              <w:widowControl w:val="0"/>
              <w:spacing w:after="0" w:line="240" w:lineRule="auto"/>
              <w:rPr>
                <w:rFonts w:ascii="Times New Roman" w:eastAsia="Calibri" w:hAnsi="Times New Roman" w:cs="Times New Roman"/>
              </w:rPr>
            </w:pP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077683D" w14:textId="77777777" w:rsidR="00611539" w:rsidRPr="000C5085" w:rsidRDefault="00611539" w:rsidP="000C5085">
            <w:pPr>
              <w:widowControl w:val="0"/>
              <w:spacing w:after="0" w:line="240" w:lineRule="auto"/>
              <w:rPr>
                <w:rFonts w:ascii="Times New Roman" w:eastAsia="Calibri" w:hAnsi="Times New Roman" w:cs="Times New Roman"/>
              </w:rPr>
            </w:pPr>
          </w:p>
        </w:tc>
      </w:tr>
      <w:tr w:rsidR="00611539" w:rsidRPr="000C5085" w14:paraId="69AD8E3E"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2A5C6E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4CCCD8F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Hipertenzija</w:t>
            </w:r>
          </w:p>
        </w:tc>
      </w:tr>
      <w:tr w:rsidR="00611539" w:rsidRPr="000C5085" w14:paraId="2BB25599"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4236D80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4D0AA03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Tromboflebitas</w:t>
            </w:r>
            <w:proofErr w:type="spellEnd"/>
            <w:r w:rsidRPr="000C5085">
              <w:rPr>
                <w:rFonts w:ascii="Times New Roman" w:eastAsia="Calibri" w:hAnsi="Times New Roman" w:cs="Times New Roman"/>
              </w:rPr>
              <w:t xml:space="preserve"> (įskaitant paviršinių ir giliųjų venų </w:t>
            </w:r>
            <w:proofErr w:type="spellStart"/>
            <w:r w:rsidRPr="000C5085">
              <w:rPr>
                <w:rFonts w:ascii="Times New Roman" w:eastAsia="Calibri" w:hAnsi="Times New Roman" w:cs="Times New Roman"/>
              </w:rPr>
              <w:t>tromboflebitą</w:t>
            </w:r>
            <w:proofErr w:type="spellEnd"/>
            <w:r w:rsidRPr="000C5085">
              <w:rPr>
                <w:rFonts w:ascii="Times New Roman" w:eastAsia="Calibri" w:hAnsi="Times New Roman" w:cs="Times New Roman"/>
              </w:rPr>
              <w:t>)</w:t>
            </w:r>
          </w:p>
        </w:tc>
      </w:tr>
      <w:tr w:rsidR="00611539" w:rsidRPr="000C5085" w14:paraId="21484821"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738A97B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Reti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26EB05B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Plaučių embolija, arterijų trombozė, </w:t>
            </w:r>
            <w:proofErr w:type="spellStart"/>
            <w:r w:rsidRPr="000C5085">
              <w:rPr>
                <w:rFonts w:ascii="Times New Roman" w:eastAsia="Calibri" w:hAnsi="Times New Roman" w:cs="Times New Roman"/>
              </w:rPr>
              <w:t>cerebrovaskulinis</w:t>
            </w:r>
            <w:proofErr w:type="spellEnd"/>
            <w:r w:rsidRPr="000C5085">
              <w:rPr>
                <w:rFonts w:ascii="Times New Roman" w:eastAsia="Calibri" w:hAnsi="Times New Roman" w:cs="Times New Roman"/>
              </w:rPr>
              <w:t xml:space="preserve"> infarktas</w:t>
            </w:r>
          </w:p>
        </w:tc>
      </w:tr>
      <w:tr w:rsidR="00611539" w:rsidRPr="000C5085" w14:paraId="49F61179"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6D03E85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Kvėpavimo sistemos, krūtinės ląstos ir tarpuplaučio sutrikimai</w:t>
            </w:r>
          </w:p>
        </w:tc>
      </w:tr>
      <w:tr w:rsidR="00611539" w:rsidRPr="000C5085" w14:paraId="744E5D35"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0009392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7CE18F96"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Dispnėja</w:t>
            </w:r>
            <w:proofErr w:type="spellEnd"/>
            <w:r w:rsidRPr="000C5085">
              <w:rPr>
                <w:rFonts w:ascii="Times New Roman" w:eastAsia="Calibri" w:hAnsi="Times New Roman" w:cs="Times New Roman"/>
              </w:rPr>
              <w:t>, kosulys</w:t>
            </w:r>
          </w:p>
        </w:tc>
      </w:tr>
      <w:tr w:rsidR="00611539" w:rsidRPr="000C5085" w14:paraId="1DBE2019"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7D5AC17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Virškinimo trakto sutrikimai</w:t>
            </w:r>
          </w:p>
        </w:tc>
      </w:tr>
      <w:tr w:rsidR="00611539" w:rsidRPr="000C5085" w14:paraId="5A2D69FF"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1E2156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795C04B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Pykinimas, dispepsija, vidurių užkietėjimas, pilvo skausmas, viduriavimas, vėmimas</w:t>
            </w:r>
          </w:p>
        </w:tc>
      </w:tr>
      <w:tr w:rsidR="00611539" w:rsidRPr="000C5085" w14:paraId="5AEE7FBA"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1B48382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3C9FD65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Burnos džiūvimas, stomatitas</w:t>
            </w:r>
            <w:r w:rsidRPr="000C5085">
              <w:rPr>
                <w:rFonts w:ascii="Times New Roman" w:eastAsia="Calibri" w:hAnsi="Times New Roman" w:cs="Times New Roman"/>
                <w:vertAlign w:val="superscript"/>
              </w:rPr>
              <w:t>1</w:t>
            </w:r>
          </w:p>
        </w:tc>
      </w:tr>
      <w:tr w:rsidR="00611539" w:rsidRPr="000C5085" w14:paraId="3EAA5695"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0AA6DE4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Kepenų, tulžies pūslės ir latakų sutrikimai</w:t>
            </w:r>
          </w:p>
        </w:tc>
      </w:tr>
      <w:tr w:rsidR="00611539" w:rsidRPr="000C5085" w14:paraId="349187A5"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7C8779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0A066B8"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Times New Roman" w:hAnsi="Times New Roman" w:cs="Times New Roman"/>
                <w:lang w:eastAsia="sl-SI"/>
              </w:rPr>
              <w:t>Hiperbilirubinemija</w:t>
            </w:r>
            <w:proofErr w:type="spellEnd"/>
            <w:r w:rsidRPr="000C5085">
              <w:rPr>
                <w:rFonts w:ascii="Times New Roman" w:eastAsia="Times New Roman" w:hAnsi="Times New Roman" w:cs="Times New Roman"/>
                <w:lang w:eastAsia="sl-SI"/>
              </w:rPr>
              <w:t xml:space="preserve">, </w:t>
            </w:r>
            <w:proofErr w:type="spellStart"/>
            <w:r w:rsidRPr="000C5085">
              <w:rPr>
                <w:rFonts w:ascii="Times New Roman" w:eastAsia="Times New Roman" w:hAnsi="Times New Roman" w:cs="Times New Roman"/>
                <w:lang w:eastAsia="sl-SI"/>
              </w:rPr>
              <w:t>gelta</w:t>
            </w:r>
            <w:proofErr w:type="spellEnd"/>
            <w:r w:rsidRPr="000C5085">
              <w:rPr>
                <w:rFonts w:ascii="Times New Roman" w:eastAsia="Times New Roman" w:hAnsi="Times New Roman" w:cs="Times New Roman"/>
                <w:lang w:eastAsia="sl-SI"/>
              </w:rPr>
              <w:t>, padidėjęs</w:t>
            </w:r>
            <w:r w:rsidRPr="000C5085">
              <w:rPr>
                <w:rFonts w:ascii="Times New Roman" w:eastAsia="Calibri" w:hAnsi="Times New Roman" w:cs="Times New Roman"/>
              </w:rPr>
              <w:t xml:space="preserve"> kepenų fermentų aktyvumas</w:t>
            </w:r>
          </w:p>
        </w:tc>
      </w:tr>
      <w:tr w:rsidR="00611539" w:rsidRPr="000C5085" w14:paraId="11AC8C1A"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4E0DA6D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Dažnis nežinomas</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7CC7A25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Hepatitas</w:t>
            </w:r>
          </w:p>
        </w:tc>
      </w:tr>
      <w:tr w:rsidR="00611539" w:rsidRPr="000C5085" w14:paraId="1D3323B4"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23876B7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Odos ir poodinio audinio sutrikimai</w:t>
            </w:r>
          </w:p>
        </w:tc>
      </w:tr>
      <w:tr w:rsidR="00611539" w:rsidRPr="000C5085" w14:paraId="124BB6E1"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4DED77F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Labai 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2A1F6AA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Padidėjęs prakaitavimas </w:t>
            </w:r>
          </w:p>
        </w:tc>
      </w:tr>
      <w:tr w:rsidR="00611539" w:rsidRPr="000C5085" w14:paraId="616A7C87"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7DB3954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6D729FD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Alopecija</w:t>
            </w:r>
            <w:proofErr w:type="spellEnd"/>
            <w:r w:rsidRPr="000C5085">
              <w:rPr>
                <w:rFonts w:ascii="Times New Roman" w:eastAsia="Calibri" w:hAnsi="Times New Roman" w:cs="Times New Roman"/>
              </w:rPr>
              <w:t xml:space="preserve">, išbėrimas (įskaitant </w:t>
            </w:r>
            <w:proofErr w:type="spellStart"/>
            <w:r w:rsidRPr="000C5085">
              <w:rPr>
                <w:rFonts w:ascii="Times New Roman" w:eastAsia="Calibri" w:hAnsi="Times New Roman" w:cs="Times New Roman"/>
              </w:rPr>
              <w:t>eriteminį</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makulopapulinį</w:t>
            </w:r>
            <w:proofErr w:type="spellEnd"/>
            <w:r w:rsidRPr="000C5085">
              <w:rPr>
                <w:rFonts w:ascii="Times New Roman" w:eastAsia="Calibri" w:hAnsi="Times New Roman" w:cs="Times New Roman"/>
              </w:rPr>
              <w:t xml:space="preserve">, į psoriazę panašų ir </w:t>
            </w:r>
            <w:proofErr w:type="spellStart"/>
            <w:r w:rsidRPr="000C5085">
              <w:rPr>
                <w:rFonts w:ascii="Times New Roman" w:eastAsia="Calibri" w:hAnsi="Times New Roman" w:cs="Times New Roman"/>
              </w:rPr>
              <w:t>pūslinį</w:t>
            </w:r>
            <w:proofErr w:type="spellEnd"/>
            <w:r w:rsidRPr="000C5085">
              <w:rPr>
                <w:rFonts w:ascii="Times New Roman" w:eastAsia="Calibri" w:hAnsi="Times New Roman" w:cs="Times New Roman"/>
              </w:rPr>
              <w:t xml:space="preserve"> išbėrimą), odos sausmė</w:t>
            </w:r>
          </w:p>
        </w:tc>
      </w:tr>
      <w:tr w:rsidR="00611539" w:rsidRPr="000C5085" w14:paraId="499B2EF4"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4D38324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7FED31C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Niežėjimas, dilgėlinė</w:t>
            </w:r>
          </w:p>
        </w:tc>
      </w:tr>
      <w:tr w:rsidR="00611539" w:rsidRPr="000C5085" w14:paraId="59076A6A"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61651F2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Dažnis nežinomas</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7F6822A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Angioneurozinė</w:t>
            </w:r>
            <w:proofErr w:type="spellEnd"/>
            <w:r w:rsidRPr="000C5085">
              <w:rPr>
                <w:rFonts w:ascii="Times New Roman" w:eastAsia="Calibri" w:hAnsi="Times New Roman" w:cs="Times New Roman"/>
              </w:rPr>
              <w:t xml:space="preserve"> edema, toksinė epidermio </w:t>
            </w:r>
            <w:proofErr w:type="spellStart"/>
            <w:r w:rsidRPr="000C5085">
              <w:rPr>
                <w:rFonts w:ascii="Times New Roman" w:eastAsia="Calibri" w:hAnsi="Times New Roman" w:cs="Times New Roman"/>
              </w:rPr>
              <w:t>nekrolizė</w:t>
            </w:r>
            <w:proofErr w:type="spellEnd"/>
            <w:r w:rsidRPr="000C5085">
              <w:rPr>
                <w:rFonts w:ascii="Times New Roman" w:eastAsia="Calibri" w:hAnsi="Times New Roman" w:cs="Times New Roman"/>
              </w:rPr>
              <w:t xml:space="preserve">, daugiaformė </w:t>
            </w:r>
            <w:proofErr w:type="spellStart"/>
            <w:r w:rsidRPr="000C5085">
              <w:rPr>
                <w:rFonts w:ascii="Times New Roman" w:eastAsia="Calibri" w:hAnsi="Times New Roman" w:cs="Times New Roman"/>
              </w:rPr>
              <w:t>eritema</w:t>
            </w:r>
            <w:proofErr w:type="spellEnd"/>
            <w:r w:rsidRPr="000C5085">
              <w:rPr>
                <w:rFonts w:ascii="Times New Roman" w:eastAsia="Calibri" w:hAnsi="Times New Roman" w:cs="Times New Roman"/>
              </w:rPr>
              <w:t xml:space="preserve"> </w:t>
            </w:r>
          </w:p>
        </w:tc>
      </w:tr>
      <w:tr w:rsidR="00611539" w:rsidRPr="000C5085" w14:paraId="31890B59"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0C8A526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Skeleto, raumenų ir jungiamojo audinio sutrikimai</w:t>
            </w:r>
          </w:p>
        </w:tc>
      </w:tr>
      <w:tr w:rsidR="00611539" w:rsidRPr="000C5085" w14:paraId="3C487B40"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7185107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lastRenderedPageBreak/>
              <w:t>Labai 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18D4F1AF"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Atralgija</w:t>
            </w:r>
            <w:proofErr w:type="spellEnd"/>
          </w:p>
        </w:tc>
      </w:tr>
      <w:tr w:rsidR="00611539" w:rsidRPr="000C5085" w14:paraId="0C6DC91A"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43AD145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61F1985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Mialgija</w:t>
            </w:r>
            <w:proofErr w:type="spellEnd"/>
            <w:r w:rsidRPr="000C5085">
              <w:rPr>
                <w:rFonts w:ascii="Times New Roman" w:eastAsia="Calibri" w:hAnsi="Times New Roman" w:cs="Times New Roman"/>
              </w:rPr>
              <w:t>, kaulų skausmas</w:t>
            </w:r>
            <w:r w:rsidRPr="000C5085">
              <w:rPr>
                <w:rFonts w:ascii="Times New Roman" w:eastAsia="Calibri" w:hAnsi="Times New Roman" w:cs="Times New Roman"/>
                <w:vertAlign w:val="superscript"/>
              </w:rPr>
              <w:t>1</w:t>
            </w:r>
            <w:r w:rsidRPr="000C5085">
              <w:rPr>
                <w:rFonts w:ascii="Times New Roman" w:eastAsia="Calibri" w:hAnsi="Times New Roman" w:cs="Times New Roman"/>
              </w:rPr>
              <w:t>, osteoporozė, kaulų lūžiai</w:t>
            </w:r>
            <w:r w:rsidRPr="000C5085">
              <w:rPr>
                <w:rFonts w:ascii="Times New Roman" w:eastAsia="Times New Roman" w:hAnsi="Times New Roman" w:cs="Times New Roman"/>
                <w:lang w:eastAsia="sl-SI"/>
              </w:rPr>
              <w:t>, artritas</w:t>
            </w:r>
          </w:p>
        </w:tc>
      </w:tr>
      <w:tr w:rsidR="000903EC" w:rsidRPr="000C5085" w14:paraId="681E8622"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6AC8A436" w14:textId="77777777" w:rsidR="000903EC" w:rsidRPr="000C5085" w:rsidRDefault="000903EC"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2E50AD8B" w14:textId="77777777" w:rsidR="000903EC" w:rsidRPr="000C5085" w:rsidRDefault="000903EC"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Tendinitas</w:t>
            </w:r>
            <w:proofErr w:type="spellEnd"/>
          </w:p>
        </w:tc>
      </w:tr>
      <w:tr w:rsidR="000903EC" w:rsidRPr="000C5085" w14:paraId="179E0D1D"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760CC1FB" w14:textId="77777777" w:rsidR="000903EC" w:rsidRPr="000C5085" w:rsidRDefault="000903EC"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Reti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627AAF25" w14:textId="77777777" w:rsidR="000903EC" w:rsidRPr="000C5085" w:rsidRDefault="000903EC"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Sausgyslės plyšimas</w:t>
            </w:r>
          </w:p>
        </w:tc>
      </w:tr>
      <w:tr w:rsidR="00611539" w:rsidRPr="000C5085" w14:paraId="4E726D60"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569CFE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Dažnis nežinomas</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6758A30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Spragsintis pirštas</w:t>
            </w:r>
          </w:p>
        </w:tc>
      </w:tr>
      <w:tr w:rsidR="00611539" w:rsidRPr="000C5085" w14:paraId="64EC57A6"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16DADA1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Inkstų ir šlapimo takų sutrikimai</w:t>
            </w:r>
          </w:p>
        </w:tc>
      </w:tr>
      <w:tr w:rsidR="00611539" w:rsidRPr="000C5085" w14:paraId="0FCA3581"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59EB723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38898BF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Šlapinimosi padažnėjimas</w:t>
            </w:r>
          </w:p>
        </w:tc>
      </w:tr>
      <w:tr w:rsidR="00611539" w:rsidRPr="000C5085" w14:paraId="739D2013"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5B735BF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Lytinės sistemos ir krūties sutrikimai</w:t>
            </w:r>
          </w:p>
        </w:tc>
      </w:tr>
      <w:tr w:rsidR="00611539" w:rsidRPr="000C5085" w14:paraId="1CCC6A6D"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6DE45BF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6CA8A4F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Kraujavimas iš makšties</w:t>
            </w:r>
          </w:p>
        </w:tc>
      </w:tr>
      <w:tr w:rsidR="00611539" w:rsidRPr="000C5085" w14:paraId="099AA53B"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691B85F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FEFB25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Išskyros iš makšties, makšties sausmė, krūtų skausmas</w:t>
            </w:r>
          </w:p>
        </w:tc>
      </w:tr>
      <w:tr w:rsidR="00611539" w:rsidRPr="000C5085" w14:paraId="75EC491D"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0CC17D3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Bendrieji sutrikimai ir vartojimo vietos pažeidimai</w:t>
            </w:r>
          </w:p>
        </w:tc>
      </w:tr>
      <w:tr w:rsidR="00611539" w:rsidRPr="000C5085" w14:paraId="1D7943F0"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04BDE3F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Labai 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03DF02C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Nuovargis (įskaitant </w:t>
            </w:r>
            <w:proofErr w:type="spellStart"/>
            <w:r w:rsidRPr="000C5085">
              <w:rPr>
                <w:rFonts w:ascii="Times New Roman" w:eastAsia="Calibri" w:hAnsi="Times New Roman" w:cs="Times New Roman"/>
              </w:rPr>
              <w:t>asteniją</w:t>
            </w:r>
            <w:proofErr w:type="spellEnd"/>
            <w:r w:rsidRPr="000C5085">
              <w:rPr>
                <w:rFonts w:ascii="Times New Roman" w:eastAsia="Calibri" w:hAnsi="Times New Roman" w:cs="Times New Roman"/>
              </w:rPr>
              <w:t xml:space="preserve"> ir bendrąjį negalavimą)</w:t>
            </w:r>
          </w:p>
        </w:tc>
      </w:tr>
      <w:tr w:rsidR="00611539" w:rsidRPr="000C5085" w14:paraId="69D868F3"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50300CE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5E6BD50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Periferinė edema</w:t>
            </w:r>
            <w:r w:rsidRPr="000C5085">
              <w:rPr>
                <w:rFonts w:ascii="Times New Roman" w:eastAsia="Times New Roman" w:hAnsi="Times New Roman" w:cs="Times New Roman"/>
                <w:lang w:eastAsia="sl-SI"/>
              </w:rPr>
              <w:t>, krūtinės skausmas</w:t>
            </w:r>
          </w:p>
        </w:tc>
      </w:tr>
      <w:tr w:rsidR="00611539" w:rsidRPr="000C5085" w14:paraId="127D8B5B"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2E3F125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44AF41D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Bendroji edema, gleivinių sausmė, troškulys, karščiavimas (</w:t>
            </w:r>
            <w:proofErr w:type="spellStart"/>
            <w:r w:rsidRPr="000C5085">
              <w:rPr>
                <w:rFonts w:ascii="Times New Roman" w:eastAsia="Calibri" w:hAnsi="Times New Roman" w:cs="Times New Roman"/>
              </w:rPr>
              <w:t>pireksija</w:t>
            </w:r>
            <w:proofErr w:type="spellEnd"/>
            <w:r w:rsidRPr="000C5085">
              <w:rPr>
                <w:rFonts w:ascii="Times New Roman" w:eastAsia="Calibri" w:hAnsi="Times New Roman" w:cs="Times New Roman"/>
              </w:rPr>
              <w:t>)</w:t>
            </w:r>
          </w:p>
        </w:tc>
      </w:tr>
      <w:tr w:rsidR="00611539" w:rsidRPr="000C5085" w14:paraId="489318D1" w14:textId="77777777" w:rsidTr="008637BB">
        <w:trPr>
          <w:tblCellSpacing w:w="0" w:type="dxa"/>
        </w:trPr>
        <w:tc>
          <w:tcPr>
            <w:tcW w:w="5000" w:type="pct"/>
            <w:gridSpan w:val="2"/>
            <w:tcBorders>
              <w:top w:val="outset" w:sz="6" w:space="0" w:color="auto"/>
              <w:bottom w:val="outset" w:sz="6" w:space="0" w:color="auto"/>
            </w:tcBorders>
            <w:tcMar>
              <w:top w:w="33" w:type="dxa"/>
              <w:left w:w="33" w:type="dxa"/>
              <w:bottom w:w="33" w:type="dxa"/>
              <w:right w:w="33" w:type="dxa"/>
            </w:tcMar>
          </w:tcPr>
          <w:p w14:paraId="7557E90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Tyrimai</w:t>
            </w:r>
          </w:p>
        </w:tc>
      </w:tr>
      <w:tr w:rsidR="00611539" w:rsidRPr="000C5085" w14:paraId="297B5244"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4E2BE62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0529A3B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Kūno svorio didėjimas</w:t>
            </w:r>
          </w:p>
        </w:tc>
      </w:tr>
      <w:tr w:rsidR="00611539" w:rsidRPr="000C5085" w14:paraId="17421E8B" w14:textId="77777777" w:rsidTr="008637BB">
        <w:trPr>
          <w:tblCellSpacing w:w="0" w:type="dxa"/>
        </w:trPr>
        <w:tc>
          <w:tcPr>
            <w:tcW w:w="1250" w:type="pct"/>
            <w:tcBorders>
              <w:top w:val="outset" w:sz="6" w:space="0" w:color="auto"/>
              <w:bottom w:val="outset" w:sz="6" w:space="0" w:color="auto"/>
              <w:right w:val="outset" w:sz="6" w:space="0" w:color="auto"/>
            </w:tcBorders>
            <w:tcMar>
              <w:top w:w="33" w:type="dxa"/>
              <w:left w:w="33" w:type="dxa"/>
              <w:bottom w:w="33" w:type="dxa"/>
              <w:right w:w="33" w:type="dxa"/>
            </w:tcMar>
          </w:tcPr>
          <w:p w14:paraId="7B0FD4E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Nedažni</w:t>
            </w:r>
          </w:p>
        </w:tc>
        <w:tc>
          <w:tcPr>
            <w:tcW w:w="3750" w:type="pct"/>
            <w:tcBorders>
              <w:top w:val="outset" w:sz="6" w:space="0" w:color="auto"/>
              <w:left w:val="outset" w:sz="6" w:space="0" w:color="auto"/>
              <w:bottom w:val="outset" w:sz="6" w:space="0" w:color="auto"/>
            </w:tcBorders>
            <w:tcMar>
              <w:top w:w="33" w:type="dxa"/>
              <w:left w:w="33" w:type="dxa"/>
              <w:bottom w:w="33" w:type="dxa"/>
              <w:right w:w="33" w:type="dxa"/>
            </w:tcMar>
          </w:tcPr>
          <w:p w14:paraId="2968098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Kūno svorio mažėjimas</w:t>
            </w:r>
          </w:p>
        </w:tc>
      </w:tr>
    </w:tbl>
    <w:p w14:paraId="5E9A6B3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vertAlign w:val="superscript"/>
        </w:rPr>
        <w:t>1</w:t>
      </w:r>
      <w:r w:rsidRPr="000C5085">
        <w:rPr>
          <w:rFonts w:ascii="Times New Roman" w:eastAsia="Calibri" w:hAnsi="Times New Roman" w:cs="Times New Roman"/>
        </w:rPr>
        <w:t xml:space="preserve"> Apie šias nepageidaujamas reakcijas pranešta tik </w:t>
      </w:r>
      <w:proofErr w:type="spellStart"/>
      <w:r w:rsidRPr="000C5085">
        <w:rPr>
          <w:rFonts w:ascii="Times New Roman" w:eastAsia="Calibri" w:hAnsi="Times New Roman" w:cs="Times New Roman"/>
        </w:rPr>
        <w:t>metastazavusio</w:t>
      </w:r>
      <w:proofErr w:type="spellEnd"/>
      <w:r w:rsidRPr="000C5085">
        <w:rPr>
          <w:rFonts w:ascii="Times New Roman" w:eastAsia="Calibri" w:hAnsi="Times New Roman" w:cs="Times New Roman"/>
        </w:rPr>
        <w:t xml:space="preserve"> vėžio gydymo metu.</w:t>
      </w:r>
    </w:p>
    <w:p w14:paraId="650F5FE9" w14:textId="77777777" w:rsidR="00611539" w:rsidRPr="000C5085" w:rsidRDefault="00611539" w:rsidP="000C5085">
      <w:pPr>
        <w:widowControl w:val="0"/>
        <w:spacing w:after="0" w:line="240" w:lineRule="auto"/>
        <w:rPr>
          <w:rFonts w:ascii="Times New Roman" w:eastAsia="Calibri" w:hAnsi="Times New Roman" w:cs="Times New Roman"/>
        </w:rPr>
      </w:pPr>
    </w:p>
    <w:p w14:paraId="19DF6C6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Kai kurių nepageidaujamų reakcijų dažnis,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vartojant </w:t>
      </w:r>
      <w:proofErr w:type="spellStart"/>
      <w:r w:rsidRPr="000C5085">
        <w:rPr>
          <w:rFonts w:ascii="Times New Roman" w:eastAsia="Calibri" w:hAnsi="Times New Roman" w:cs="Times New Roman"/>
        </w:rPr>
        <w:t>adjuvantiniam</w:t>
      </w:r>
      <w:proofErr w:type="spellEnd"/>
      <w:r w:rsidRPr="000C5085">
        <w:rPr>
          <w:rFonts w:ascii="Times New Roman" w:eastAsia="Calibri" w:hAnsi="Times New Roman" w:cs="Times New Roman"/>
        </w:rPr>
        <w:t xml:space="preserve"> gydymui, reikšmingai skyrėsi. Toliau esančiose lentelėse pateikiama informacijos apie reikšmingus dažnio skirtumus, vartojant vien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vien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bei taikant nuoseklų gydymą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w:t>
      </w:r>
    </w:p>
    <w:p w14:paraId="2B4F51F6" w14:textId="77777777" w:rsidR="00611539" w:rsidRPr="000C5085" w:rsidRDefault="00611539" w:rsidP="000C5085">
      <w:pPr>
        <w:widowControl w:val="0"/>
        <w:spacing w:after="0" w:line="240" w:lineRule="auto"/>
        <w:rPr>
          <w:rFonts w:ascii="Times New Roman" w:eastAsia="Calibri" w:hAnsi="Times New Roman" w:cs="Times New Roman"/>
        </w:rPr>
      </w:pPr>
    </w:p>
    <w:p w14:paraId="1D082555"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2 lentelė. </w:t>
      </w:r>
      <w:proofErr w:type="spellStart"/>
      <w:r w:rsidRPr="000C5085">
        <w:rPr>
          <w:rFonts w:ascii="Times New Roman" w:eastAsia="Calibri" w:hAnsi="Times New Roman" w:cs="Times New Roman"/>
          <w:b/>
        </w:rPr>
        <w:t>Adjuvantinė</w:t>
      </w:r>
      <w:proofErr w:type="spellEnd"/>
      <w:r w:rsidRPr="000C5085">
        <w:rPr>
          <w:rFonts w:ascii="Times New Roman" w:eastAsia="Calibri" w:hAnsi="Times New Roman" w:cs="Times New Roman"/>
          <w:b/>
        </w:rPr>
        <w:t xml:space="preserve"> </w:t>
      </w:r>
      <w:proofErr w:type="spellStart"/>
      <w:r w:rsidRPr="000C5085">
        <w:rPr>
          <w:rFonts w:ascii="Times New Roman" w:eastAsia="Calibri" w:hAnsi="Times New Roman" w:cs="Times New Roman"/>
          <w:b/>
        </w:rPr>
        <w:t>monoterapija</w:t>
      </w:r>
      <w:proofErr w:type="spellEnd"/>
      <w:r w:rsidRPr="000C5085">
        <w:rPr>
          <w:rFonts w:ascii="Times New Roman" w:eastAsia="Calibri" w:hAnsi="Times New Roman" w:cs="Times New Roman"/>
          <w:b/>
        </w:rPr>
        <w:t xml:space="preserve"> </w:t>
      </w:r>
      <w:proofErr w:type="spellStart"/>
      <w:r w:rsidRPr="000C5085">
        <w:rPr>
          <w:rFonts w:ascii="Times New Roman" w:eastAsia="Calibri" w:hAnsi="Times New Roman" w:cs="Times New Roman"/>
          <w:b/>
        </w:rPr>
        <w:t>letrozolu</w:t>
      </w:r>
      <w:proofErr w:type="spellEnd"/>
      <w:r w:rsidRPr="000C5085">
        <w:rPr>
          <w:rFonts w:ascii="Times New Roman" w:eastAsia="Calibri" w:hAnsi="Times New Roman" w:cs="Times New Roman"/>
          <w:b/>
        </w:rPr>
        <w:t xml:space="preserve"> ir </w:t>
      </w:r>
      <w:proofErr w:type="spellStart"/>
      <w:r w:rsidRPr="000C5085">
        <w:rPr>
          <w:rFonts w:ascii="Times New Roman" w:eastAsia="Calibri" w:hAnsi="Times New Roman" w:cs="Times New Roman"/>
          <w:b/>
        </w:rPr>
        <w:t>monoterapija</w:t>
      </w:r>
      <w:proofErr w:type="spellEnd"/>
      <w:r w:rsidRPr="000C5085">
        <w:rPr>
          <w:rFonts w:ascii="Times New Roman" w:eastAsia="Calibri" w:hAnsi="Times New Roman" w:cs="Times New Roman"/>
          <w:b/>
        </w:rPr>
        <w:t xml:space="preserve"> </w:t>
      </w:r>
      <w:proofErr w:type="spellStart"/>
      <w:r w:rsidRPr="000C5085">
        <w:rPr>
          <w:rFonts w:ascii="Times New Roman" w:eastAsia="Calibri" w:hAnsi="Times New Roman" w:cs="Times New Roman"/>
          <w:b/>
        </w:rPr>
        <w:t>tamoksifenu</w:t>
      </w:r>
      <w:proofErr w:type="spellEnd"/>
      <w:r w:rsidRPr="000C5085">
        <w:rPr>
          <w:rFonts w:ascii="Times New Roman" w:eastAsia="Calibri" w:hAnsi="Times New Roman" w:cs="Times New Roman"/>
          <w:b/>
        </w:rPr>
        <w:t>: nepageidaujami reiškiniai, kurių dažnis reikšmingai skyrėsi</w:t>
      </w:r>
    </w:p>
    <w:p w14:paraId="5C8CF4FC" w14:textId="77777777" w:rsidR="00611539" w:rsidRPr="000C5085" w:rsidRDefault="00611539" w:rsidP="000C5085">
      <w:pPr>
        <w:widowControl w:val="0"/>
        <w:spacing w:after="0" w:line="240" w:lineRule="auto"/>
        <w:rPr>
          <w:rFonts w:ascii="Times New Roman" w:eastAsia="Calibri"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304"/>
        <w:gridCol w:w="1814"/>
        <w:gridCol w:w="1305"/>
        <w:gridCol w:w="2410"/>
      </w:tblGrid>
      <w:tr w:rsidR="00611539" w:rsidRPr="000C5085" w14:paraId="078051AC" w14:textId="77777777" w:rsidTr="008100DF">
        <w:tc>
          <w:tcPr>
            <w:tcW w:w="2093" w:type="dxa"/>
            <w:shd w:val="clear" w:color="auto" w:fill="auto"/>
          </w:tcPr>
          <w:p w14:paraId="269F4FD9" w14:textId="77777777" w:rsidR="00611539" w:rsidRPr="000C5085" w:rsidRDefault="00611539" w:rsidP="000C5085">
            <w:pPr>
              <w:widowControl w:val="0"/>
              <w:spacing w:after="0" w:line="240" w:lineRule="auto"/>
              <w:jc w:val="both"/>
              <w:rPr>
                <w:rFonts w:ascii="Times New Roman" w:eastAsia="Calibri" w:hAnsi="Times New Roman" w:cs="Times New Roman"/>
                <w:b/>
              </w:rPr>
            </w:pPr>
          </w:p>
        </w:tc>
        <w:tc>
          <w:tcPr>
            <w:tcW w:w="3118" w:type="dxa"/>
            <w:gridSpan w:val="2"/>
            <w:shd w:val="clear" w:color="auto" w:fill="auto"/>
          </w:tcPr>
          <w:p w14:paraId="48C70BAD" w14:textId="77777777" w:rsidR="00611539" w:rsidRPr="000C5085" w:rsidRDefault="00611539" w:rsidP="000C5085">
            <w:pPr>
              <w:widowControl w:val="0"/>
              <w:spacing w:after="0" w:line="240" w:lineRule="auto"/>
              <w:jc w:val="both"/>
              <w:rPr>
                <w:rFonts w:ascii="Times New Roman" w:eastAsia="Calibri" w:hAnsi="Times New Roman" w:cs="Times New Roman"/>
                <w:b/>
              </w:rPr>
            </w:pPr>
            <w:proofErr w:type="spellStart"/>
            <w:r w:rsidRPr="000C5085">
              <w:rPr>
                <w:rFonts w:ascii="Times New Roman" w:eastAsia="Calibri" w:hAnsi="Times New Roman" w:cs="Times New Roman"/>
                <w:b/>
              </w:rPr>
              <w:t>Letrozolas</w:t>
            </w:r>
            <w:proofErr w:type="spellEnd"/>
            <w:r w:rsidRPr="000C5085">
              <w:rPr>
                <w:rFonts w:ascii="Times New Roman" w:eastAsia="Calibri" w:hAnsi="Times New Roman" w:cs="Times New Roman"/>
                <w:b/>
              </w:rPr>
              <w:t xml:space="preserve">, poveikio dažnis </w:t>
            </w:r>
          </w:p>
        </w:tc>
        <w:tc>
          <w:tcPr>
            <w:tcW w:w="3715" w:type="dxa"/>
            <w:gridSpan w:val="2"/>
          </w:tcPr>
          <w:p w14:paraId="1717CF81" w14:textId="77777777" w:rsidR="00611539" w:rsidRPr="000C5085" w:rsidRDefault="00611539" w:rsidP="000C5085">
            <w:pPr>
              <w:widowControl w:val="0"/>
              <w:spacing w:after="0" w:line="240" w:lineRule="auto"/>
              <w:jc w:val="both"/>
              <w:rPr>
                <w:rFonts w:ascii="Times New Roman" w:eastAsia="Calibri" w:hAnsi="Times New Roman" w:cs="Times New Roman"/>
                <w:b/>
              </w:rPr>
            </w:pPr>
            <w:proofErr w:type="spellStart"/>
            <w:r w:rsidRPr="000C5085">
              <w:rPr>
                <w:rFonts w:ascii="Times New Roman" w:eastAsia="Calibri" w:hAnsi="Times New Roman" w:cs="Times New Roman"/>
                <w:b/>
              </w:rPr>
              <w:t>Tamoksifenas</w:t>
            </w:r>
            <w:proofErr w:type="spellEnd"/>
            <w:r w:rsidRPr="000C5085">
              <w:rPr>
                <w:rFonts w:ascii="Times New Roman" w:eastAsia="Calibri" w:hAnsi="Times New Roman" w:cs="Times New Roman"/>
                <w:b/>
              </w:rPr>
              <w:t>, poveikio dažnis</w:t>
            </w:r>
          </w:p>
        </w:tc>
      </w:tr>
      <w:tr w:rsidR="00611539" w:rsidRPr="000C5085" w14:paraId="4D7F75AF" w14:textId="77777777" w:rsidTr="008100DF">
        <w:tc>
          <w:tcPr>
            <w:tcW w:w="2093" w:type="dxa"/>
            <w:shd w:val="clear" w:color="auto" w:fill="auto"/>
          </w:tcPr>
          <w:p w14:paraId="60C9E3BD" w14:textId="77777777" w:rsidR="00611539" w:rsidRPr="000C5085" w:rsidRDefault="00611539" w:rsidP="000C5085">
            <w:pPr>
              <w:widowControl w:val="0"/>
              <w:spacing w:after="0" w:line="240" w:lineRule="auto"/>
              <w:jc w:val="both"/>
              <w:rPr>
                <w:rFonts w:ascii="Times New Roman" w:eastAsia="Calibri" w:hAnsi="Times New Roman" w:cs="Times New Roman"/>
                <w:b/>
              </w:rPr>
            </w:pPr>
          </w:p>
        </w:tc>
        <w:tc>
          <w:tcPr>
            <w:tcW w:w="3118" w:type="dxa"/>
            <w:gridSpan w:val="2"/>
            <w:shd w:val="clear" w:color="auto" w:fill="auto"/>
          </w:tcPr>
          <w:p w14:paraId="3C32A29A"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N=2448</w:t>
            </w:r>
          </w:p>
        </w:tc>
        <w:tc>
          <w:tcPr>
            <w:tcW w:w="3715" w:type="dxa"/>
            <w:gridSpan w:val="2"/>
          </w:tcPr>
          <w:p w14:paraId="7D94B8B8"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N=2447</w:t>
            </w:r>
          </w:p>
        </w:tc>
      </w:tr>
      <w:tr w:rsidR="00611539" w:rsidRPr="000C5085" w14:paraId="79549E8B" w14:textId="77777777" w:rsidTr="008100DF">
        <w:tc>
          <w:tcPr>
            <w:tcW w:w="2093" w:type="dxa"/>
            <w:shd w:val="clear" w:color="auto" w:fill="auto"/>
          </w:tcPr>
          <w:p w14:paraId="2DD2AABE" w14:textId="77777777" w:rsidR="00611539" w:rsidRPr="000C5085" w:rsidRDefault="00611539" w:rsidP="000C5085">
            <w:pPr>
              <w:widowControl w:val="0"/>
              <w:spacing w:after="0" w:line="240" w:lineRule="auto"/>
              <w:jc w:val="both"/>
              <w:rPr>
                <w:rFonts w:ascii="Times New Roman" w:eastAsia="Calibri" w:hAnsi="Times New Roman" w:cs="Times New Roman"/>
              </w:rPr>
            </w:pPr>
          </w:p>
        </w:tc>
        <w:tc>
          <w:tcPr>
            <w:tcW w:w="1304" w:type="dxa"/>
            <w:shd w:val="clear" w:color="auto" w:fill="auto"/>
          </w:tcPr>
          <w:p w14:paraId="05ED11A5"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Gydymo metu</w:t>
            </w:r>
          </w:p>
          <w:p w14:paraId="72CA9984"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(mediana 5 m.)</w:t>
            </w:r>
          </w:p>
        </w:tc>
        <w:tc>
          <w:tcPr>
            <w:tcW w:w="1814" w:type="dxa"/>
          </w:tcPr>
          <w:p w14:paraId="61704E18"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Bet kuriuo metu po priskyrimo atsitiktinei imčiai</w:t>
            </w:r>
          </w:p>
          <w:p w14:paraId="2C70D359"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(mediana 8 m.)</w:t>
            </w:r>
          </w:p>
        </w:tc>
        <w:tc>
          <w:tcPr>
            <w:tcW w:w="1305" w:type="dxa"/>
          </w:tcPr>
          <w:p w14:paraId="7F68D4FF"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Gydymo</w:t>
            </w:r>
          </w:p>
          <w:p w14:paraId="73C02867"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metu</w:t>
            </w:r>
          </w:p>
          <w:p w14:paraId="2DDAFBAB"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(mediana 5 m.)</w:t>
            </w:r>
          </w:p>
        </w:tc>
        <w:tc>
          <w:tcPr>
            <w:tcW w:w="2410" w:type="dxa"/>
            <w:shd w:val="clear" w:color="auto" w:fill="auto"/>
          </w:tcPr>
          <w:p w14:paraId="44F59986"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Bet kuriuo metu po priskyrimo atsitiktinei imčiai</w:t>
            </w:r>
          </w:p>
          <w:p w14:paraId="1D0F91AF"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(mediana 8 m.)</w:t>
            </w:r>
          </w:p>
        </w:tc>
      </w:tr>
      <w:tr w:rsidR="00611539" w:rsidRPr="000C5085" w14:paraId="0D205B86" w14:textId="77777777" w:rsidTr="008100DF">
        <w:tc>
          <w:tcPr>
            <w:tcW w:w="2093" w:type="dxa"/>
            <w:shd w:val="clear" w:color="auto" w:fill="auto"/>
          </w:tcPr>
          <w:p w14:paraId="3E532EA3"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Kaulų lūžimai</w:t>
            </w:r>
          </w:p>
        </w:tc>
        <w:tc>
          <w:tcPr>
            <w:tcW w:w="1304" w:type="dxa"/>
            <w:shd w:val="clear" w:color="auto" w:fill="auto"/>
          </w:tcPr>
          <w:p w14:paraId="1830EBA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10,2</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814" w:type="dxa"/>
          </w:tcPr>
          <w:p w14:paraId="27CDF1C3"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14,7</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305" w:type="dxa"/>
          </w:tcPr>
          <w:p w14:paraId="22C09C3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7,2</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410" w:type="dxa"/>
            <w:shd w:val="clear" w:color="auto" w:fill="auto"/>
          </w:tcPr>
          <w:p w14:paraId="52366DD5"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11,4</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04B6B628" w14:textId="77777777" w:rsidTr="008100DF">
        <w:tc>
          <w:tcPr>
            <w:tcW w:w="2093" w:type="dxa"/>
            <w:shd w:val="clear" w:color="auto" w:fill="auto"/>
          </w:tcPr>
          <w:p w14:paraId="2D63E0A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Osteoporozė</w:t>
            </w:r>
          </w:p>
        </w:tc>
        <w:tc>
          <w:tcPr>
            <w:tcW w:w="1304" w:type="dxa"/>
            <w:shd w:val="clear" w:color="auto" w:fill="auto"/>
          </w:tcPr>
          <w:p w14:paraId="6BAEFAC7"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5,1</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814" w:type="dxa"/>
          </w:tcPr>
          <w:p w14:paraId="32D78B65"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5,1</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305" w:type="dxa"/>
          </w:tcPr>
          <w:p w14:paraId="120B7923"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2,7</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410" w:type="dxa"/>
            <w:shd w:val="clear" w:color="auto" w:fill="auto"/>
          </w:tcPr>
          <w:p w14:paraId="5D32E637"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2,7</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597B8B71" w14:textId="77777777" w:rsidTr="008100DF">
        <w:trPr>
          <w:trHeight w:val="312"/>
        </w:trPr>
        <w:tc>
          <w:tcPr>
            <w:tcW w:w="2093" w:type="dxa"/>
            <w:shd w:val="clear" w:color="auto" w:fill="auto"/>
          </w:tcPr>
          <w:p w14:paraId="7076DEC4" w14:textId="77777777" w:rsidR="00611539" w:rsidRPr="000C5085" w:rsidRDefault="00611539" w:rsidP="000C5085">
            <w:pPr>
              <w:widowControl w:val="0"/>
              <w:spacing w:after="0" w:line="240" w:lineRule="auto"/>
              <w:jc w:val="both"/>
              <w:rPr>
                <w:rFonts w:ascii="Times New Roman" w:eastAsia="Calibri" w:hAnsi="Times New Roman" w:cs="Times New Roman"/>
              </w:rPr>
            </w:pPr>
            <w:proofErr w:type="spellStart"/>
            <w:r w:rsidRPr="000C5085">
              <w:rPr>
                <w:rFonts w:ascii="Times New Roman" w:eastAsia="Calibri" w:hAnsi="Times New Roman" w:cs="Times New Roman"/>
              </w:rPr>
              <w:t>Tromboemboliniai</w:t>
            </w:r>
            <w:proofErr w:type="spellEnd"/>
            <w:r w:rsidRPr="000C5085">
              <w:rPr>
                <w:rFonts w:ascii="Times New Roman" w:eastAsia="Calibri" w:hAnsi="Times New Roman" w:cs="Times New Roman"/>
              </w:rPr>
              <w:t xml:space="preserve"> reiškiniai</w:t>
            </w:r>
          </w:p>
        </w:tc>
        <w:tc>
          <w:tcPr>
            <w:tcW w:w="1304" w:type="dxa"/>
            <w:shd w:val="clear" w:color="auto" w:fill="auto"/>
          </w:tcPr>
          <w:p w14:paraId="1B4CF4E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2,1</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814" w:type="dxa"/>
          </w:tcPr>
          <w:p w14:paraId="725CD4FA"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3,2</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305" w:type="dxa"/>
          </w:tcPr>
          <w:p w14:paraId="6E637374"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3,6</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410" w:type="dxa"/>
            <w:shd w:val="clear" w:color="auto" w:fill="auto"/>
          </w:tcPr>
          <w:p w14:paraId="7851140F"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4,6</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0D0A86EF" w14:textId="77777777" w:rsidTr="008100DF">
        <w:tc>
          <w:tcPr>
            <w:tcW w:w="2093" w:type="dxa"/>
            <w:shd w:val="clear" w:color="auto" w:fill="auto"/>
          </w:tcPr>
          <w:p w14:paraId="73A161F6"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Miokardo infarktas</w:t>
            </w:r>
          </w:p>
        </w:tc>
        <w:tc>
          <w:tcPr>
            <w:tcW w:w="1304" w:type="dxa"/>
            <w:shd w:val="clear" w:color="auto" w:fill="auto"/>
          </w:tcPr>
          <w:p w14:paraId="11381A7F"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1,0</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814" w:type="dxa"/>
          </w:tcPr>
          <w:p w14:paraId="305D44FE"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1,7</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305" w:type="dxa"/>
          </w:tcPr>
          <w:p w14:paraId="052C895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0,5</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410" w:type="dxa"/>
            <w:shd w:val="clear" w:color="auto" w:fill="auto"/>
          </w:tcPr>
          <w:p w14:paraId="189E5408"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1,1</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731306AA" w14:textId="77777777" w:rsidTr="008100DF">
        <w:tc>
          <w:tcPr>
            <w:tcW w:w="2093" w:type="dxa"/>
            <w:shd w:val="clear" w:color="auto" w:fill="auto"/>
          </w:tcPr>
          <w:p w14:paraId="67E73200" w14:textId="77777777" w:rsidR="00611539" w:rsidRPr="000C5085" w:rsidRDefault="00611539" w:rsidP="000C5085">
            <w:pPr>
              <w:widowControl w:val="0"/>
              <w:spacing w:after="0" w:line="240" w:lineRule="auto"/>
              <w:jc w:val="both"/>
              <w:rPr>
                <w:rFonts w:ascii="Times New Roman" w:eastAsia="Calibri" w:hAnsi="Times New Roman" w:cs="Times New Roman"/>
              </w:rPr>
            </w:pPr>
            <w:proofErr w:type="spellStart"/>
            <w:r w:rsidRPr="000C5085">
              <w:rPr>
                <w:rFonts w:ascii="Times New Roman" w:eastAsia="Calibri" w:hAnsi="Times New Roman" w:cs="Times New Roman"/>
              </w:rPr>
              <w:t>Endometriumo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hiperplazija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endometriumo</w:t>
            </w:r>
            <w:proofErr w:type="spellEnd"/>
            <w:r w:rsidRPr="000C5085">
              <w:rPr>
                <w:rFonts w:ascii="Times New Roman" w:eastAsia="Calibri" w:hAnsi="Times New Roman" w:cs="Times New Roman"/>
              </w:rPr>
              <w:t xml:space="preserve"> vėžys</w:t>
            </w:r>
          </w:p>
        </w:tc>
        <w:tc>
          <w:tcPr>
            <w:tcW w:w="1304" w:type="dxa"/>
            <w:shd w:val="clear" w:color="auto" w:fill="auto"/>
          </w:tcPr>
          <w:p w14:paraId="2B76062A"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0,2</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814" w:type="dxa"/>
          </w:tcPr>
          <w:p w14:paraId="69D73CC4"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0,4</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305" w:type="dxa"/>
          </w:tcPr>
          <w:p w14:paraId="01431E4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2,3</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410" w:type="dxa"/>
            <w:shd w:val="clear" w:color="auto" w:fill="auto"/>
          </w:tcPr>
          <w:p w14:paraId="06EDFD17"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2,9</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667095AE" w14:textId="77777777" w:rsidTr="008100DF">
        <w:tc>
          <w:tcPr>
            <w:tcW w:w="8926" w:type="dxa"/>
            <w:gridSpan w:val="5"/>
          </w:tcPr>
          <w:p w14:paraId="3BF38CA6"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Pastaba. „Gydymo metu“ apima 30</w:t>
            </w:r>
            <w:r w:rsidRPr="000C5085">
              <w:rPr>
                <w:rFonts w:ascii="Times New Roman" w:eastAsia="Calibri" w:hAnsi="Times New Roman" w:cs="Times New Roman"/>
                <w:b/>
              </w:rPr>
              <w:t> </w:t>
            </w:r>
            <w:r w:rsidRPr="000C5085">
              <w:rPr>
                <w:rFonts w:ascii="Times New Roman" w:eastAsia="Calibri" w:hAnsi="Times New Roman" w:cs="Times New Roman"/>
              </w:rPr>
              <w:t>dienų laikotarpį po paskutinės dozės suvartojimo. „Bet kuriuo metu“ apima stebėjimo laikotarpį užbaigus arba nutraukus tiriamąjį gydymą.</w:t>
            </w:r>
          </w:p>
          <w:p w14:paraId="0967994B"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Skirtumai buvo pagrįsti santykine rizika ir 95</w:t>
            </w:r>
            <w:r w:rsidR="0045175C">
              <w:rPr>
                <w:rFonts w:ascii="Times New Roman" w:eastAsia="Calibri" w:hAnsi="Times New Roman" w:cs="Times New Roman"/>
              </w:rPr>
              <w:t> </w:t>
            </w:r>
            <w:r w:rsidRPr="000C5085">
              <w:rPr>
                <w:rFonts w:ascii="Times New Roman" w:eastAsia="Calibri" w:hAnsi="Times New Roman" w:cs="Times New Roman"/>
              </w:rPr>
              <w:t>% pasikliautinumo intervalu.</w:t>
            </w:r>
          </w:p>
        </w:tc>
      </w:tr>
    </w:tbl>
    <w:p w14:paraId="082B2056" w14:textId="77777777" w:rsidR="00611539" w:rsidRPr="000C5085" w:rsidRDefault="00611539" w:rsidP="000C5085">
      <w:pPr>
        <w:widowControl w:val="0"/>
        <w:spacing w:after="0" w:line="240" w:lineRule="auto"/>
        <w:rPr>
          <w:rFonts w:ascii="Times New Roman" w:eastAsia="Calibri" w:hAnsi="Times New Roman" w:cs="Times New Roman"/>
          <w:lang w:val="sl-SI"/>
        </w:rPr>
      </w:pPr>
    </w:p>
    <w:p w14:paraId="79843AD6"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3 lentelė. Nuoseklus gydymas ir </w:t>
      </w:r>
      <w:proofErr w:type="spellStart"/>
      <w:r w:rsidRPr="000C5085">
        <w:rPr>
          <w:rFonts w:ascii="Times New Roman" w:eastAsia="Calibri" w:hAnsi="Times New Roman" w:cs="Times New Roman"/>
          <w:b/>
        </w:rPr>
        <w:t>monoterapija</w:t>
      </w:r>
      <w:proofErr w:type="spellEnd"/>
      <w:r w:rsidRPr="000C5085">
        <w:rPr>
          <w:rFonts w:ascii="Times New Roman" w:eastAsia="Calibri" w:hAnsi="Times New Roman" w:cs="Times New Roman"/>
          <w:b/>
        </w:rPr>
        <w:t xml:space="preserve"> </w:t>
      </w:r>
      <w:proofErr w:type="spellStart"/>
      <w:r w:rsidRPr="000C5085">
        <w:rPr>
          <w:rFonts w:ascii="Times New Roman" w:eastAsia="Calibri" w:hAnsi="Times New Roman" w:cs="Times New Roman"/>
          <w:b/>
        </w:rPr>
        <w:t>letrozolu</w:t>
      </w:r>
      <w:proofErr w:type="spellEnd"/>
      <w:r w:rsidRPr="000C5085">
        <w:rPr>
          <w:rFonts w:ascii="Times New Roman" w:eastAsia="Calibri" w:hAnsi="Times New Roman" w:cs="Times New Roman"/>
          <w:b/>
        </w:rPr>
        <w:t>: nepageidaujami reiškiniai, kurių dažnis reikšmingai skyrėsi</w:t>
      </w:r>
    </w:p>
    <w:p w14:paraId="60D21B67"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1"/>
        <w:gridCol w:w="2298"/>
        <w:gridCol w:w="2299"/>
        <w:gridCol w:w="2299"/>
      </w:tblGrid>
      <w:tr w:rsidR="00611539" w:rsidRPr="000C5085" w14:paraId="428B729D" w14:textId="77777777" w:rsidTr="008637BB">
        <w:tc>
          <w:tcPr>
            <w:tcW w:w="2391" w:type="dxa"/>
          </w:tcPr>
          <w:p w14:paraId="77721B67"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p>
        </w:tc>
        <w:tc>
          <w:tcPr>
            <w:tcW w:w="2298" w:type="dxa"/>
          </w:tcPr>
          <w:p w14:paraId="6F922837"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t>Letrozolo</w:t>
            </w:r>
            <w:proofErr w:type="spellEnd"/>
          </w:p>
          <w:p w14:paraId="551DB21A"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lastRenderedPageBreak/>
              <w:t>monoterapija</w:t>
            </w:r>
            <w:proofErr w:type="spellEnd"/>
          </w:p>
        </w:tc>
        <w:tc>
          <w:tcPr>
            <w:tcW w:w="2299" w:type="dxa"/>
          </w:tcPr>
          <w:p w14:paraId="6F466D7A"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lastRenderedPageBreak/>
              <w:t>Letrozolas-</w:t>
            </w:r>
            <w:proofErr w:type="spellEnd"/>
          </w:p>
          <w:p w14:paraId="7BE2DFF2"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lastRenderedPageBreak/>
              <w:t>&gt;</w:t>
            </w:r>
            <w:proofErr w:type="spellStart"/>
            <w:r w:rsidRPr="000C5085">
              <w:rPr>
                <w:rFonts w:ascii="Times New Roman" w:eastAsia="Calibri" w:hAnsi="Times New Roman" w:cs="Times New Roman"/>
                <w:b/>
              </w:rPr>
              <w:t>tamoksifenas</w:t>
            </w:r>
            <w:proofErr w:type="spellEnd"/>
          </w:p>
        </w:tc>
        <w:tc>
          <w:tcPr>
            <w:tcW w:w="2299" w:type="dxa"/>
          </w:tcPr>
          <w:p w14:paraId="49B64638"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lastRenderedPageBreak/>
              <w:t>Tamoksifenas-</w:t>
            </w:r>
            <w:proofErr w:type="spellEnd"/>
          </w:p>
          <w:p w14:paraId="70B09D32"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lastRenderedPageBreak/>
              <w:t>&gt;</w:t>
            </w:r>
            <w:proofErr w:type="spellStart"/>
            <w:r w:rsidRPr="000C5085">
              <w:rPr>
                <w:rFonts w:ascii="Times New Roman" w:eastAsia="Calibri" w:hAnsi="Times New Roman" w:cs="Times New Roman"/>
                <w:b/>
              </w:rPr>
              <w:t>letrozolas</w:t>
            </w:r>
            <w:proofErr w:type="spellEnd"/>
          </w:p>
        </w:tc>
      </w:tr>
      <w:tr w:rsidR="00611539" w:rsidRPr="000C5085" w14:paraId="62FD6C76" w14:textId="77777777" w:rsidTr="008637BB">
        <w:tc>
          <w:tcPr>
            <w:tcW w:w="2371" w:type="dxa"/>
          </w:tcPr>
          <w:p w14:paraId="7AB8B6C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p>
        </w:tc>
        <w:tc>
          <w:tcPr>
            <w:tcW w:w="2223" w:type="dxa"/>
          </w:tcPr>
          <w:p w14:paraId="1B4967B5"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rPr>
              <w:t>N=1535</w:t>
            </w:r>
          </w:p>
        </w:tc>
        <w:tc>
          <w:tcPr>
            <w:tcW w:w="2232" w:type="dxa"/>
          </w:tcPr>
          <w:p w14:paraId="6A1C5C33"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rPr>
              <w:t>N=1527</w:t>
            </w:r>
          </w:p>
        </w:tc>
        <w:tc>
          <w:tcPr>
            <w:tcW w:w="2234" w:type="dxa"/>
          </w:tcPr>
          <w:p w14:paraId="5D09FB60"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rPr>
              <w:t>N=1541</w:t>
            </w:r>
          </w:p>
        </w:tc>
      </w:tr>
      <w:tr w:rsidR="00611539" w:rsidRPr="000C5085" w14:paraId="1E73AE7D" w14:textId="77777777" w:rsidTr="008637BB">
        <w:tc>
          <w:tcPr>
            <w:tcW w:w="2371" w:type="dxa"/>
          </w:tcPr>
          <w:p w14:paraId="2F36DBDC"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p>
        </w:tc>
        <w:tc>
          <w:tcPr>
            <w:tcW w:w="2223" w:type="dxa"/>
          </w:tcPr>
          <w:p w14:paraId="669D5D76" w14:textId="24B53017"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rPr>
              <w:t>5</w:t>
            </w:r>
            <w:r w:rsidR="00B66BB6">
              <w:rPr>
                <w:rFonts w:ascii="Times New Roman" w:eastAsia="Calibri" w:hAnsi="Times New Roman" w:cs="Times New Roman"/>
              </w:rPr>
              <w:t> </w:t>
            </w:r>
            <w:r w:rsidRPr="000C5085">
              <w:rPr>
                <w:rFonts w:ascii="Times New Roman" w:eastAsia="Calibri" w:hAnsi="Times New Roman" w:cs="Times New Roman"/>
              </w:rPr>
              <w:t>metai</w:t>
            </w:r>
          </w:p>
        </w:tc>
        <w:tc>
          <w:tcPr>
            <w:tcW w:w="2232" w:type="dxa"/>
          </w:tcPr>
          <w:p w14:paraId="3E177034" w14:textId="1B499AC4"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rPr>
              <w:t>5</w:t>
            </w:r>
            <w:r w:rsidR="00B66BB6">
              <w:rPr>
                <w:rFonts w:ascii="Times New Roman" w:eastAsia="Calibri" w:hAnsi="Times New Roman" w:cs="Times New Roman"/>
              </w:rPr>
              <w:t> </w:t>
            </w:r>
            <w:r w:rsidRPr="000C5085">
              <w:rPr>
                <w:rFonts w:ascii="Times New Roman" w:eastAsia="Calibri" w:hAnsi="Times New Roman" w:cs="Times New Roman"/>
              </w:rPr>
              <w:t>metai &gt;</w:t>
            </w:r>
            <w:r w:rsidR="00B66BB6">
              <w:rPr>
                <w:rFonts w:ascii="Times New Roman" w:eastAsia="Calibri" w:hAnsi="Times New Roman" w:cs="Times New Roman"/>
              </w:rPr>
              <w:t> </w:t>
            </w:r>
            <w:r w:rsidRPr="000C5085">
              <w:rPr>
                <w:rFonts w:ascii="Times New Roman" w:eastAsia="Calibri" w:hAnsi="Times New Roman" w:cs="Times New Roman"/>
              </w:rPr>
              <w:t>3</w:t>
            </w:r>
            <w:r w:rsidR="00B66BB6">
              <w:rPr>
                <w:rFonts w:ascii="Times New Roman" w:eastAsia="Calibri" w:hAnsi="Times New Roman" w:cs="Times New Roman"/>
              </w:rPr>
              <w:t> </w:t>
            </w:r>
            <w:r w:rsidRPr="000C5085">
              <w:rPr>
                <w:rFonts w:ascii="Times New Roman" w:eastAsia="Calibri" w:hAnsi="Times New Roman" w:cs="Times New Roman"/>
              </w:rPr>
              <w:t>metai</w:t>
            </w:r>
          </w:p>
        </w:tc>
        <w:tc>
          <w:tcPr>
            <w:tcW w:w="2234" w:type="dxa"/>
          </w:tcPr>
          <w:p w14:paraId="243849CB" w14:textId="1164CDAA" w:rsidR="00611539" w:rsidRPr="000C5085" w:rsidRDefault="00611539" w:rsidP="000C5085">
            <w:pPr>
              <w:widowControl w:val="0"/>
              <w:tabs>
                <w:tab w:val="left" w:pos="567"/>
              </w:tabs>
              <w:spacing w:after="0" w:line="240" w:lineRule="auto"/>
              <w:jc w:val="center"/>
              <w:rPr>
                <w:rFonts w:ascii="Times New Roman" w:eastAsia="Calibri" w:hAnsi="Times New Roman" w:cs="Times New Roman"/>
                <w:b/>
              </w:rPr>
            </w:pPr>
            <w:r w:rsidRPr="000C5085">
              <w:rPr>
                <w:rFonts w:ascii="Times New Roman" w:eastAsia="Calibri" w:hAnsi="Times New Roman" w:cs="Times New Roman"/>
              </w:rPr>
              <w:t>2</w:t>
            </w:r>
            <w:r w:rsidR="00B66BB6">
              <w:rPr>
                <w:rFonts w:ascii="Times New Roman" w:eastAsia="Calibri" w:hAnsi="Times New Roman" w:cs="Times New Roman"/>
              </w:rPr>
              <w:t> </w:t>
            </w:r>
            <w:r w:rsidRPr="000C5085">
              <w:rPr>
                <w:rFonts w:ascii="Times New Roman" w:eastAsia="Calibri" w:hAnsi="Times New Roman" w:cs="Times New Roman"/>
              </w:rPr>
              <w:t>metai &gt;</w:t>
            </w:r>
            <w:r w:rsidR="00B66BB6">
              <w:rPr>
                <w:rFonts w:ascii="Times New Roman" w:eastAsia="Calibri" w:hAnsi="Times New Roman" w:cs="Times New Roman"/>
              </w:rPr>
              <w:t> </w:t>
            </w:r>
            <w:r w:rsidRPr="000C5085">
              <w:rPr>
                <w:rFonts w:ascii="Times New Roman" w:eastAsia="Calibri" w:hAnsi="Times New Roman" w:cs="Times New Roman"/>
              </w:rPr>
              <w:t>3</w:t>
            </w:r>
            <w:r w:rsidR="00B66BB6">
              <w:rPr>
                <w:rFonts w:ascii="Times New Roman" w:eastAsia="Calibri" w:hAnsi="Times New Roman" w:cs="Times New Roman"/>
              </w:rPr>
              <w:t> </w:t>
            </w:r>
            <w:r w:rsidRPr="000C5085">
              <w:rPr>
                <w:rFonts w:ascii="Times New Roman" w:eastAsia="Calibri" w:hAnsi="Times New Roman" w:cs="Times New Roman"/>
              </w:rPr>
              <w:t>metai</w:t>
            </w:r>
          </w:p>
        </w:tc>
      </w:tr>
      <w:tr w:rsidR="00611539" w:rsidRPr="000C5085" w14:paraId="517CA7F5" w14:textId="77777777" w:rsidTr="008637BB">
        <w:tc>
          <w:tcPr>
            <w:tcW w:w="2391" w:type="dxa"/>
          </w:tcPr>
          <w:p w14:paraId="56F9BEA9"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Kaulų lūžiai</w:t>
            </w:r>
          </w:p>
        </w:tc>
        <w:tc>
          <w:tcPr>
            <w:tcW w:w="2298" w:type="dxa"/>
          </w:tcPr>
          <w:p w14:paraId="46143DA6"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9,9</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118DE47F"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7,7</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0B8391CA"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9,7</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5A46630E" w14:textId="77777777" w:rsidTr="008637BB">
        <w:tc>
          <w:tcPr>
            <w:tcW w:w="2391" w:type="dxa"/>
          </w:tcPr>
          <w:p w14:paraId="364436F9"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Proliferacinės</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endometriumo</w:t>
            </w:r>
            <w:proofErr w:type="spellEnd"/>
            <w:r w:rsidRPr="000C5085">
              <w:rPr>
                <w:rFonts w:ascii="Times New Roman" w:eastAsia="Calibri" w:hAnsi="Times New Roman" w:cs="Times New Roman"/>
              </w:rPr>
              <w:t xml:space="preserve"> ligos</w:t>
            </w:r>
          </w:p>
        </w:tc>
        <w:tc>
          <w:tcPr>
            <w:tcW w:w="2298" w:type="dxa"/>
          </w:tcPr>
          <w:p w14:paraId="71FDC78B"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2FDD1E93"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3,4</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50EAC9A3"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1,7</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2270E23F" w14:textId="77777777" w:rsidTr="008637BB">
        <w:tc>
          <w:tcPr>
            <w:tcW w:w="2391" w:type="dxa"/>
          </w:tcPr>
          <w:p w14:paraId="5952FF0E"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Hipercholesterolemija</w:t>
            </w:r>
            <w:proofErr w:type="spellEnd"/>
          </w:p>
        </w:tc>
        <w:tc>
          <w:tcPr>
            <w:tcW w:w="2298" w:type="dxa"/>
          </w:tcPr>
          <w:p w14:paraId="600F964C"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52,5</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5105D61F"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44,2</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67F44E68"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40,8</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4A8D8377" w14:textId="77777777" w:rsidTr="008637BB">
        <w:tc>
          <w:tcPr>
            <w:tcW w:w="2391" w:type="dxa"/>
          </w:tcPr>
          <w:p w14:paraId="5FA44508"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Karščio pylimas</w:t>
            </w:r>
          </w:p>
        </w:tc>
        <w:tc>
          <w:tcPr>
            <w:tcW w:w="2298" w:type="dxa"/>
          </w:tcPr>
          <w:p w14:paraId="3BF91BF3"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37,6</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5EB1FD29"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41,7</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6D49FD76"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43,9</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06811667" w14:textId="77777777" w:rsidTr="008637BB">
        <w:tc>
          <w:tcPr>
            <w:tcW w:w="2391" w:type="dxa"/>
          </w:tcPr>
          <w:p w14:paraId="31F93FC7"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Kraujavimas iš makšties</w:t>
            </w:r>
          </w:p>
        </w:tc>
        <w:tc>
          <w:tcPr>
            <w:tcW w:w="2298" w:type="dxa"/>
          </w:tcPr>
          <w:p w14:paraId="42107D13"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6,3</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0D9B1C32"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9,6</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299" w:type="dxa"/>
          </w:tcPr>
          <w:p w14:paraId="129558EC" w14:textId="77777777" w:rsidR="00611539" w:rsidRPr="000C5085" w:rsidRDefault="00611539" w:rsidP="000C5085">
            <w:pPr>
              <w:widowControl w:val="0"/>
              <w:tabs>
                <w:tab w:val="left" w:pos="567"/>
              </w:tabs>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12,7</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3AB59EBA" w14:textId="77777777" w:rsidTr="008637BB">
        <w:tc>
          <w:tcPr>
            <w:tcW w:w="9287" w:type="dxa"/>
            <w:gridSpan w:val="4"/>
          </w:tcPr>
          <w:p w14:paraId="21451788"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 Reikšmingai rečiau nei </w:t>
            </w:r>
            <w:proofErr w:type="spellStart"/>
            <w:r w:rsidRPr="000C5085">
              <w:rPr>
                <w:rFonts w:ascii="Times New Roman" w:eastAsia="Calibri" w:hAnsi="Times New Roman" w:cs="Times New Roman"/>
              </w:rPr>
              <w:t>monoterapijos</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atveju</w:t>
            </w:r>
          </w:p>
          <w:p w14:paraId="72A47307"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 Reikšmingai dažniau nei </w:t>
            </w:r>
            <w:proofErr w:type="spellStart"/>
            <w:r w:rsidRPr="000C5085">
              <w:rPr>
                <w:rFonts w:ascii="Times New Roman" w:eastAsia="Calibri" w:hAnsi="Times New Roman" w:cs="Times New Roman"/>
              </w:rPr>
              <w:t>monoterapijos</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atveju</w:t>
            </w:r>
          </w:p>
          <w:p w14:paraId="29DDBD58" w14:textId="6332A92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PASTABA. Laikotarpis, kurio metu rinkti duomenys, apima gydymo laikotarpį ir 30</w:t>
            </w:r>
            <w:r w:rsidR="00B66BB6">
              <w:rPr>
                <w:rFonts w:ascii="Times New Roman" w:eastAsia="Calibri" w:hAnsi="Times New Roman" w:cs="Times New Roman"/>
              </w:rPr>
              <w:t> </w:t>
            </w:r>
            <w:r w:rsidRPr="000C5085">
              <w:rPr>
                <w:rFonts w:ascii="Times New Roman" w:eastAsia="Calibri" w:hAnsi="Times New Roman" w:cs="Times New Roman"/>
              </w:rPr>
              <w:t>dienų po jo nutraukimo.</w:t>
            </w:r>
          </w:p>
        </w:tc>
      </w:tr>
    </w:tbl>
    <w:p w14:paraId="64972387"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p>
    <w:p w14:paraId="153AE9B5"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u w:val="single"/>
        </w:rPr>
        <w:t>Atrinktų nepageidaujamų reakcijų apibūdinimas</w:t>
      </w:r>
    </w:p>
    <w:p w14:paraId="10247B4E"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i/>
        </w:rPr>
      </w:pPr>
    </w:p>
    <w:p w14:paraId="629B1BCD"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i/>
        </w:rPr>
      </w:pPr>
      <w:r w:rsidRPr="000C5085">
        <w:rPr>
          <w:rFonts w:ascii="Times New Roman" w:eastAsia="Calibri" w:hAnsi="Times New Roman" w:cs="Times New Roman"/>
          <w:i/>
        </w:rPr>
        <w:t>Su širdimi susijusios nepageidaujamos reakcijos</w:t>
      </w:r>
    </w:p>
    <w:p w14:paraId="738677B6" w14:textId="2990386D" w:rsidR="00611539" w:rsidRPr="000C5085" w:rsidRDefault="00611539" w:rsidP="000C5085">
      <w:pPr>
        <w:widowControl w:val="0"/>
        <w:tabs>
          <w:tab w:val="left" w:pos="567"/>
        </w:tabs>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metu, be 2 lentelėje pateiktų duomenų, pranešta apie šiuos atitinkamai su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susijusius nepageidaujamus reiškinius (gydymo trukmės mediana 60</w:t>
      </w:r>
      <w:r w:rsidR="00B66BB6">
        <w:rPr>
          <w:rFonts w:ascii="Times New Roman" w:eastAsia="Calibri" w:hAnsi="Times New Roman" w:cs="Times New Roman"/>
        </w:rPr>
        <w:t> </w:t>
      </w:r>
      <w:r w:rsidRPr="000C5085">
        <w:rPr>
          <w:rFonts w:ascii="Times New Roman" w:eastAsia="Calibri" w:hAnsi="Times New Roman" w:cs="Times New Roman"/>
        </w:rPr>
        <w:t>mėnesių ir dar 30 dienų): krūtinės angina, dėl kurios reikėjo atlikti operaciją (1,0</w:t>
      </w:r>
      <w:r w:rsidR="0045175C">
        <w:rPr>
          <w:rFonts w:ascii="Times New Roman" w:eastAsia="Calibri" w:hAnsi="Times New Roman" w:cs="Times New Roman"/>
        </w:rPr>
        <w:t> </w:t>
      </w:r>
      <w:r w:rsidRPr="000C5085">
        <w:rPr>
          <w:rFonts w:ascii="Times New Roman" w:eastAsia="Calibri" w:hAnsi="Times New Roman" w:cs="Times New Roman"/>
        </w:rPr>
        <w:t>% ir 1,0</w:t>
      </w:r>
      <w:r w:rsidR="0045175C">
        <w:rPr>
          <w:rFonts w:ascii="Times New Roman" w:eastAsia="Calibri" w:hAnsi="Times New Roman" w:cs="Times New Roman"/>
        </w:rPr>
        <w:t> </w:t>
      </w:r>
      <w:r w:rsidRPr="000C5085">
        <w:rPr>
          <w:rFonts w:ascii="Times New Roman" w:eastAsia="Calibri" w:hAnsi="Times New Roman" w:cs="Times New Roman"/>
        </w:rPr>
        <w:t>%), širdies nepakankamumas (1,1</w:t>
      </w:r>
      <w:r w:rsidR="0045175C">
        <w:rPr>
          <w:rFonts w:ascii="Times New Roman" w:eastAsia="Calibri" w:hAnsi="Times New Roman" w:cs="Times New Roman"/>
        </w:rPr>
        <w:t> </w:t>
      </w:r>
      <w:r w:rsidRPr="000C5085">
        <w:rPr>
          <w:rFonts w:ascii="Times New Roman" w:eastAsia="Calibri" w:hAnsi="Times New Roman" w:cs="Times New Roman"/>
        </w:rPr>
        <w:t>% ir 0,6</w:t>
      </w:r>
      <w:r w:rsidR="0045175C">
        <w:rPr>
          <w:rFonts w:ascii="Times New Roman" w:eastAsia="Calibri" w:hAnsi="Times New Roman" w:cs="Times New Roman"/>
        </w:rPr>
        <w:t> </w:t>
      </w:r>
      <w:r w:rsidRPr="000C5085">
        <w:rPr>
          <w:rFonts w:ascii="Times New Roman" w:eastAsia="Calibri" w:hAnsi="Times New Roman" w:cs="Times New Roman"/>
        </w:rPr>
        <w:t>%), hipertenzija (5,6</w:t>
      </w:r>
      <w:r w:rsidR="0045175C">
        <w:rPr>
          <w:rFonts w:ascii="Times New Roman" w:eastAsia="Calibri" w:hAnsi="Times New Roman" w:cs="Times New Roman"/>
        </w:rPr>
        <w:t> </w:t>
      </w:r>
      <w:r w:rsidRPr="000C5085">
        <w:rPr>
          <w:rFonts w:ascii="Times New Roman" w:eastAsia="Calibri" w:hAnsi="Times New Roman" w:cs="Times New Roman"/>
        </w:rPr>
        <w:t>% ir 5,7</w:t>
      </w:r>
      <w:r w:rsidR="0045175C">
        <w:rPr>
          <w:rFonts w:ascii="Times New Roman" w:eastAsia="Calibri" w:hAnsi="Times New Roman" w:cs="Times New Roman"/>
        </w:rPr>
        <w:t> </w:t>
      </w:r>
      <w:r w:rsidRPr="000C5085">
        <w:rPr>
          <w:rFonts w:ascii="Times New Roman" w:eastAsia="Calibri" w:hAnsi="Times New Roman" w:cs="Times New Roman"/>
        </w:rPr>
        <w:t>%), smegenų kraujagyslių sutrikimas/praeinantis išemijos priepuolis (2,1</w:t>
      </w:r>
      <w:r w:rsidR="0045175C">
        <w:rPr>
          <w:rFonts w:ascii="Times New Roman" w:eastAsia="Calibri" w:hAnsi="Times New Roman" w:cs="Times New Roman"/>
        </w:rPr>
        <w:t> </w:t>
      </w:r>
      <w:r w:rsidRPr="000C5085">
        <w:rPr>
          <w:rFonts w:ascii="Times New Roman" w:eastAsia="Calibri" w:hAnsi="Times New Roman" w:cs="Times New Roman"/>
        </w:rPr>
        <w:t>% ir 1,9</w:t>
      </w:r>
      <w:r w:rsidR="0045175C">
        <w:rPr>
          <w:rFonts w:ascii="Times New Roman" w:eastAsia="Calibri" w:hAnsi="Times New Roman" w:cs="Times New Roman"/>
        </w:rPr>
        <w:t> </w:t>
      </w:r>
      <w:r w:rsidRPr="000C5085">
        <w:rPr>
          <w:rFonts w:ascii="Times New Roman" w:eastAsia="Calibri" w:hAnsi="Times New Roman" w:cs="Times New Roman"/>
        </w:rPr>
        <w:t>%).</w:t>
      </w:r>
    </w:p>
    <w:p w14:paraId="08AB8512"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
    <w:p w14:paraId="371CB212" w14:textId="1CD17FB9"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Tęstinio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metu vartojant atitinkamai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(gydymo trukmės mediana 5 metai) ir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(vartojimo trukmės mediana 3</w:t>
      </w:r>
      <w:r w:rsidR="00B66BB6">
        <w:rPr>
          <w:rFonts w:ascii="Times New Roman" w:eastAsia="Calibri" w:hAnsi="Times New Roman" w:cs="Times New Roman"/>
        </w:rPr>
        <w:t> </w:t>
      </w:r>
      <w:r w:rsidRPr="000C5085">
        <w:rPr>
          <w:rFonts w:ascii="Times New Roman" w:eastAsia="Calibri" w:hAnsi="Times New Roman" w:cs="Times New Roman"/>
        </w:rPr>
        <w:t>metai), pasireiškė krūtinės angina, dėl kurios reikėjo atlikti operaciją (0,8</w:t>
      </w:r>
      <w:r w:rsidR="0045175C">
        <w:rPr>
          <w:rFonts w:ascii="Times New Roman" w:eastAsia="Calibri" w:hAnsi="Times New Roman" w:cs="Times New Roman"/>
        </w:rPr>
        <w:t> </w:t>
      </w:r>
      <w:r w:rsidRPr="000C5085">
        <w:rPr>
          <w:rFonts w:ascii="Times New Roman" w:eastAsia="Calibri" w:hAnsi="Times New Roman" w:cs="Times New Roman"/>
        </w:rPr>
        <w:t>% ir 0,6</w:t>
      </w:r>
      <w:r w:rsidR="0045175C">
        <w:rPr>
          <w:rFonts w:ascii="Times New Roman" w:eastAsia="Calibri" w:hAnsi="Times New Roman" w:cs="Times New Roman"/>
        </w:rPr>
        <w:t> </w:t>
      </w:r>
      <w:r w:rsidRPr="000C5085">
        <w:rPr>
          <w:rFonts w:ascii="Times New Roman" w:eastAsia="Calibri" w:hAnsi="Times New Roman" w:cs="Times New Roman"/>
        </w:rPr>
        <w:t>%), pirmą kartą diagnozuota ar pasunkėjusi krūtinės angina (1,4</w:t>
      </w:r>
      <w:r w:rsidR="0045175C">
        <w:rPr>
          <w:rFonts w:ascii="Times New Roman" w:eastAsia="Calibri" w:hAnsi="Times New Roman" w:cs="Times New Roman"/>
        </w:rPr>
        <w:t> </w:t>
      </w:r>
      <w:r w:rsidRPr="000C5085">
        <w:rPr>
          <w:rFonts w:ascii="Times New Roman" w:eastAsia="Calibri" w:hAnsi="Times New Roman" w:cs="Times New Roman"/>
        </w:rPr>
        <w:t>% ir 1,0</w:t>
      </w:r>
      <w:r w:rsidR="0045175C">
        <w:rPr>
          <w:rFonts w:ascii="Times New Roman" w:eastAsia="Calibri" w:hAnsi="Times New Roman" w:cs="Times New Roman"/>
        </w:rPr>
        <w:t> </w:t>
      </w:r>
      <w:r w:rsidRPr="000C5085">
        <w:rPr>
          <w:rFonts w:ascii="Times New Roman" w:eastAsia="Calibri" w:hAnsi="Times New Roman" w:cs="Times New Roman"/>
        </w:rPr>
        <w:t>%), miokardo infarktas (1,0</w:t>
      </w:r>
      <w:r w:rsidR="0045175C">
        <w:rPr>
          <w:rFonts w:ascii="Times New Roman" w:eastAsia="Calibri" w:hAnsi="Times New Roman" w:cs="Times New Roman"/>
        </w:rPr>
        <w:t> </w:t>
      </w:r>
      <w:r w:rsidRPr="000C5085">
        <w:rPr>
          <w:rFonts w:ascii="Times New Roman" w:eastAsia="Calibri" w:hAnsi="Times New Roman" w:cs="Times New Roman"/>
        </w:rPr>
        <w:t>% ir 0,7</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tromboembolinis</w:t>
      </w:r>
      <w:proofErr w:type="spellEnd"/>
      <w:r w:rsidRPr="000C5085">
        <w:rPr>
          <w:rFonts w:ascii="Times New Roman" w:eastAsia="Calibri" w:hAnsi="Times New Roman" w:cs="Times New Roman"/>
        </w:rPr>
        <w:t xml:space="preserve"> reiškinys* (0,9</w:t>
      </w:r>
      <w:r w:rsidR="0045175C">
        <w:rPr>
          <w:rFonts w:ascii="Times New Roman" w:eastAsia="Calibri" w:hAnsi="Times New Roman" w:cs="Times New Roman"/>
        </w:rPr>
        <w:t> </w:t>
      </w:r>
      <w:r w:rsidRPr="000C5085">
        <w:rPr>
          <w:rFonts w:ascii="Times New Roman" w:eastAsia="Calibri" w:hAnsi="Times New Roman" w:cs="Times New Roman"/>
        </w:rPr>
        <w:t>% ir 0,3</w:t>
      </w:r>
      <w:r w:rsidR="0045175C">
        <w:rPr>
          <w:rFonts w:ascii="Times New Roman" w:eastAsia="Calibri" w:hAnsi="Times New Roman" w:cs="Times New Roman"/>
        </w:rPr>
        <w:t> </w:t>
      </w:r>
      <w:r w:rsidRPr="000C5085">
        <w:rPr>
          <w:rFonts w:ascii="Times New Roman" w:eastAsia="Calibri" w:hAnsi="Times New Roman" w:cs="Times New Roman"/>
        </w:rPr>
        <w:t>%), insultas/praeinantis išemijos priepuolis * (1,5</w:t>
      </w:r>
      <w:r w:rsidR="0045175C">
        <w:rPr>
          <w:rFonts w:ascii="Times New Roman" w:eastAsia="Calibri" w:hAnsi="Times New Roman" w:cs="Times New Roman"/>
        </w:rPr>
        <w:t> </w:t>
      </w:r>
      <w:r w:rsidRPr="000C5085">
        <w:rPr>
          <w:rFonts w:ascii="Times New Roman" w:eastAsia="Calibri" w:hAnsi="Times New Roman" w:cs="Times New Roman"/>
        </w:rPr>
        <w:t>% ir 0,8</w:t>
      </w:r>
      <w:r w:rsidR="0045175C">
        <w:rPr>
          <w:rFonts w:ascii="Times New Roman" w:eastAsia="Calibri" w:hAnsi="Times New Roman" w:cs="Times New Roman"/>
        </w:rPr>
        <w:t> </w:t>
      </w:r>
      <w:r w:rsidRPr="000C5085">
        <w:rPr>
          <w:rFonts w:ascii="Times New Roman" w:eastAsia="Calibri" w:hAnsi="Times New Roman" w:cs="Times New Roman"/>
        </w:rPr>
        <w:t>%).</w:t>
      </w:r>
    </w:p>
    <w:p w14:paraId="62E82EA9"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
    <w:p w14:paraId="0052E63C"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Reiškinių, pažymėtų „*“, dažnis dviejose gydymo grupėse skyrėsi </w:t>
      </w:r>
      <w:proofErr w:type="spellStart"/>
      <w:r w:rsidRPr="000C5085">
        <w:rPr>
          <w:rFonts w:ascii="Times New Roman" w:eastAsia="Calibri" w:hAnsi="Times New Roman" w:cs="Times New Roman"/>
        </w:rPr>
        <w:t>statistiškai</w:t>
      </w:r>
      <w:proofErr w:type="spellEnd"/>
      <w:r w:rsidRPr="000C5085">
        <w:rPr>
          <w:rFonts w:ascii="Times New Roman" w:eastAsia="Calibri" w:hAnsi="Times New Roman" w:cs="Times New Roman"/>
        </w:rPr>
        <w:t xml:space="preserve"> reikšmingai.</w:t>
      </w:r>
    </w:p>
    <w:p w14:paraId="0757414D"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
    <w:p w14:paraId="3970CE9D"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i/>
        </w:rPr>
      </w:pPr>
      <w:r w:rsidRPr="000C5085">
        <w:rPr>
          <w:rFonts w:ascii="Times New Roman" w:eastAsia="Calibri" w:hAnsi="Times New Roman" w:cs="Times New Roman"/>
          <w:i/>
        </w:rPr>
        <w:t>Su skeletu susijusios nepageidaujamos reakcijos</w:t>
      </w:r>
    </w:p>
    <w:p w14:paraId="37B32243"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metu gauti su skeletu susiję saugumo duomenys pateikti 2 lentelėje.</w:t>
      </w:r>
    </w:p>
    <w:p w14:paraId="6E362899"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
    <w:p w14:paraId="2EC061A1" w14:textId="2C1D92AE"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Tęstinio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metu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gydytoms pacientėms reikšmingai dažniau pasireiškė kaulų lūžiai ir osteoporozė (kaulų lūžiai 10,4</w:t>
      </w:r>
      <w:r w:rsidR="0045175C">
        <w:rPr>
          <w:rFonts w:ascii="Times New Roman" w:eastAsia="Calibri" w:hAnsi="Times New Roman" w:cs="Times New Roman"/>
        </w:rPr>
        <w:t> </w:t>
      </w:r>
      <w:r w:rsidRPr="000C5085">
        <w:rPr>
          <w:rFonts w:ascii="Times New Roman" w:eastAsia="Calibri" w:hAnsi="Times New Roman" w:cs="Times New Roman"/>
        </w:rPr>
        <w:t>% ir osteoporozė 12,2</w:t>
      </w:r>
      <w:r w:rsidR="0045175C">
        <w:rPr>
          <w:rFonts w:ascii="Times New Roman" w:eastAsia="Calibri" w:hAnsi="Times New Roman" w:cs="Times New Roman"/>
        </w:rPr>
        <w:t> </w:t>
      </w:r>
      <w:r w:rsidRPr="000C5085">
        <w:rPr>
          <w:rFonts w:ascii="Times New Roman" w:eastAsia="Calibri" w:hAnsi="Times New Roman" w:cs="Times New Roman"/>
        </w:rPr>
        <w:t xml:space="preserve">%), palyginti su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vartojusiomis pacientėmis (atitinkamai 5,8</w:t>
      </w:r>
      <w:r w:rsidR="0045175C">
        <w:rPr>
          <w:rFonts w:ascii="Times New Roman" w:eastAsia="Calibri" w:hAnsi="Times New Roman" w:cs="Times New Roman"/>
        </w:rPr>
        <w:t> </w:t>
      </w:r>
      <w:r w:rsidRPr="000C5085">
        <w:rPr>
          <w:rFonts w:ascii="Times New Roman" w:eastAsia="Calibri" w:hAnsi="Times New Roman" w:cs="Times New Roman"/>
        </w:rPr>
        <w:t>% ir 6,4</w:t>
      </w:r>
      <w:r w:rsidR="0045175C">
        <w:rPr>
          <w:rFonts w:ascii="Times New Roman" w:eastAsia="Calibri" w:hAnsi="Times New Roman" w:cs="Times New Roman"/>
        </w:rPr>
        <w:t> </w:t>
      </w:r>
      <w:r w:rsidRPr="000C5085">
        <w:rPr>
          <w:rFonts w:ascii="Times New Roman" w:eastAsia="Calibri" w:hAnsi="Times New Roman" w:cs="Times New Roman"/>
        </w:rPr>
        <w:t xml:space="preserve">%). Gydymo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trukmės mediana 5 metai,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vartojimo trukmės mediana buvo 3</w:t>
      </w:r>
      <w:r w:rsidR="0045175C">
        <w:rPr>
          <w:rFonts w:ascii="Times New Roman" w:eastAsia="Calibri" w:hAnsi="Times New Roman" w:cs="Times New Roman"/>
        </w:rPr>
        <w:t> </w:t>
      </w:r>
      <w:r w:rsidRPr="000C5085">
        <w:rPr>
          <w:rFonts w:ascii="Times New Roman" w:eastAsia="Calibri" w:hAnsi="Times New Roman" w:cs="Times New Roman"/>
        </w:rPr>
        <w:t>metai.</w:t>
      </w:r>
    </w:p>
    <w:p w14:paraId="256E34A2" w14:textId="77777777" w:rsidR="00611539" w:rsidRPr="000C5085" w:rsidRDefault="00611539" w:rsidP="000C5085">
      <w:pPr>
        <w:widowControl w:val="0"/>
        <w:spacing w:after="0" w:line="240" w:lineRule="auto"/>
        <w:rPr>
          <w:rFonts w:ascii="Times New Roman" w:eastAsia="Calibri" w:hAnsi="Times New Roman" w:cs="Times New Roman"/>
        </w:rPr>
      </w:pPr>
    </w:p>
    <w:p w14:paraId="0FE5E7D9" w14:textId="77777777" w:rsidR="00611539" w:rsidRPr="000C5085" w:rsidRDefault="00611539" w:rsidP="000C5085">
      <w:pPr>
        <w:widowControl w:val="0"/>
        <w:tabs>
          <w:tab w:val="left" w:pos="567"/>
        </w:tabs>
        <w:autoSpaceDE w:val="0"/>
        <w:autoSpaceDN w:val="0"/>
        <w:adjustRightInd w:val="0"/>
        <w:spacing w:after="0" w:line="240" w:lineRule="auto"/>
        <w:jc w:val="both"/>
        <w:rPr>
          <w:rFonts w:ascii="Times New Roman" w:eastAsia="Calibri" w:hAnsi="Times New Roman" w:cs="Times New Roman"/>
          <w:u w:val="single"/>
        </w:rPr>
      </w:pPr>
      <w:bookmarkStart w:id="29" w:name="_Toc129243110"/>
      <w:bookmarkStart w:id="30" w:name="_Toc129243235"/>
      <w:r w:rsidRPr="000C5085">
        <w:rPr>
          <w:rFonts w:ascii="Times New Roman" w:eastAsia="Calibri" w:hAnsi="Times New Roman" w:cs="Times New Roman"/>
          <w:u w:val="single"/>
        </w:rPr>
        <w:t>Pranešimas apie įtariamas nepageidaujamas reakcijas</w:t>
      </w:r>
    </w:p>
    <w:p w14:paraId="01FC1DC4" w14:textId="1485019A" w:rsidR="00EA69B9" w:rsidRPr="00EA69B9" w:rsidRDefault="00EA69B9" w:rsidP="00947DEE">
      <w:pPr>
        <w:widowControl w:val="0"/>
        <w:tabs>
          <w:tab w:val="left" w:pos="567"/>
        </w:tabs>
        <w:autoSpaceDE w:val="0"/>
        <w:autoSpaceDN w:val="0"/>
        <w:adjustRightInd w:val="0"/>
        <w:spacing w:after="0" w:line="240" w:lineRule="auto"/>
        <w:rPr>
          <w:rFonts w:ascii="Times New Roman" w:eastAsia="Calibri" w:hAnsi="Times New Roman" w:cs="Times New Roman"/>
        </w:rPr>
      </w:pPr>
      <w:r w:rsidRPr="00EA69B9">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EA69B9">
          <w:rPr>
            <w:rStyle w:val="Hipersaitas"/>
            <w:rFonts w:eastAsia="Calibri" w:cs="Times New Roman"/>
            <w:sz w:val="22"/>
            <w:szCs w:val="22"/>
            <w:lang w:val="lt-LT"/>
          </w:rPr>
          <w:t>https://vapris.vvkt.lt/vvkt-web/public/nrvSpecialist</w:t>
        </w:r>
      </w:hyperlink>
      <w:r w:rsidRPr="00EA69B9">
        <w:rPr>
          <w:rFonts w:ascii="Times New Roman" w:eastAsia="Calibri" w:hAnsi="Times New Roman" w:cs="Times New Roman"/>
        </w:rPr>
        <w:t xml:space="preserve"> arba užpildę Sveikatos priežiūros ar farmacijos specialisto pranešimo apie įtariamą nepageidaujamą reakciją (ĮNR) formą, kuri skelbiama </w:t>
      </w:r>
      <w:hyperlink r:id="rId9" w:history="1">
        <w:r w:rsidRPr="00EA69B9">
          <w:rPr>
            <w:rStyle w:val="Hipersaitas"/>
            <w:rFonts w:eastAsia="Calibri" w:cs="Times New Roman"/>
            <w:sz w:val="22"/>
            <w:szCs w:val="22"/>
            <w:lang w:val="lt-LT"/>
          </w:rPr>
          <w:t>https://www.vvkt.lt/index.php?1399030386</w:t>
        </w:r>
      </w:hyperlink>
      <w:r w:rsidRPr="00EA69B9">
        <w:rPr>
          <w:rFonts w:ascii="Times New Roman" w:eastAsia="Calibri" w:hAnsi="Times New Roman" w:cs="Times New Roman"/>
        </w:rPr>
        <w:t xml:space="preserve">, ir atsiųsti elektroniniu paštu (adresu </w:t>
      </w:r>
      <w:proofErr w:type="spellStart"/>
      <w:r w:rsidRPr="00EA69B9">
        <w:rPr>
          <w:rFonts w:ascii="Times New Roman" w:eastAsia="Calibri" w:hAnsi="Times New Roman" w:cs="Times New Roman"/>
        </w:rPr>
        <w:t>NepageidaujamaR@vvkt.lt</w:t>
      </w:r>
      <w:proofErr w:type="spellEnd"/>
      <w:r w:rsidRPr="00EA69B9">
        <w:rPr>
          <w:rFonts w:ascii="Times New Roman" w:eastAsia="Calibri" w:hAnsi="Times New Roman" w:cs="Times New Roman"/>
        </w:rPr>
        <w:t>).</w:t>
      </w:r>
    </w:p>
    <w:p w14:paraId="400EA8F1" w14:textId="77777777" w:rsidR="00611539" w:rsidRPr="000C5085" w:rsidRDefault="00611539" w:rsidP="000C5085">
      <w:pPr>
        <w:widowControl w:val="0"/>
        <w:tabs>
          <w:tab w:val="left" w:pos="567"/>
        </w:tabs>
        <w:autoSpaceDE w:val="0"/>
        <w:autoSpaceDN w:val="0"/>
        <w:adjustRightInd w:val="0"/>
        <w:spacing w:after="0" w:line="240" w:lineRule="auto"/>
        <w:jc w:val="both"/>
        <w:rPr>
          <w:rFonts w:ascii="Times New Roman" w:eastAsia="Calibri" w:hAnsi="Times New Roman" w:cs="Times New Roman"/>
        </w:rPr>
      </w:pPr>
    </w:p>
    <w:p w14:paraId="0D73FCFF" w14:textId="77777777" w:rsidR="00611539" w:rsidRPr="000C5085" w:rsidRDefault="00611539" w:rsidP="000C5085">
      <w:pPr>
        <w:widowControl w:val="0"/>
        <w:spacing w:after="0" w:line="240" w:lineRule="auto"/>
        <w:rPr>
          <w:rFonts w:ascii="Times New Roman" w:eastAsia="Calibri" w:hAnsi="Times New Roman" w:cs="Times New Roman"/>
        </w:rPr>
      </w:pPr>
    </w:p>
    <w:p w14:paraId="35BD8C24"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r w:rsidRPr="000C5085">
        <w:rPr>
          <w:rFonts w:ascii="Times New Roman" w:eastAsia="Calibri" w:hAnsi="Times New Roman" w:cs="Times New Roman"/>
          <w:b/>
          <w:kern w:val="28"/>
        </w:rPr>
        <w:t>4.9</w:t>
      </w:r>
      <w:r w:rsidRPr="000C5085">
        <w:rPr>
          <w:rFonts w:ascii="Times New Roman" w:eastAsia="Calibri" w:hAnsi="Times New Roman" w:cs="Times New Roman"/>
          <w:b/>
          <w:kern w:val="28"/>
        </w:rPr>
        <w:tab/>
        <w:t>Perdozavimas</w:t>
      </w:r>
      <w:bookmarkEnd w:id="29"/>
      <w:bookmarkEnd w:id="30"/>
    </w:p>
    <w:p w14:paraId="43B6222F" w14:textId="77777777" w:rsidR="00611539" w:rsidRPr="000C5085" w:rsidRDefault="00611539" w:rsidP="000C5085">
      <w:pPr>
        <w:widowControl w:val="0"/>
        <w:spacing w:after="0" w:line="240" w:lineRule="auto"/>
        <w:rPr>
          <w:rFonts w:ascii="Times New Roman" w:eastAsia="Calibri" w:hAnsi="Times New Roman" w:cs="Times New Roman"/>
        </w:rPr>
      </w:pPr>
    </w:p>
    <w:p w14:paraId="3D4A4E8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Buvo pavienių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perdozavimo atvejų.</w:t>
      </w:r>
    </w:p>
    <w:p w14:paraId="66B24DC7" w14:textId="77777777" w:rsidR="00611539" w:rsidRPr="000C5085" w:rsidRDefault="00611539" w:rsidP="000C5085">
      <w:pPr>
        <w:widowControl w:val="0"/>
        <w:spacing w:after="0" w:line="240" w:lineRule="auto"/>
        <w:rPr>
          <w:rFonts w:ascii="Times New Roman" w:eastAsia="Calibri" w:hAnsi="Times New Roman" w:cs="Times New Roman"/>
        </w:rPr>
      </w:pPr>
    </w:p>
    <w:p w14:paraId="615EBDD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Specifinio perdozavimo gydymo nėra. Perdozavimo atveju skiriamas simptominis ir palaikomasis gydymas.</w:t>
      </w:r>
    </w:p>
    <w:p w14:paraId="0AA67059" w14:textId="77777777" w:rsidR="00611539" w:rsidRPr="000C5085" w:rsidRDefault="00611539" w:rsidP="000C5085">
      <w:pPr>
        <w:widowControl w:val="0"/>
        <w:spacing w:after="0" w:line="240" w:lineRule="auto"/>
        <w:rPr>
          <w:rFonts w:ascii="Times New Roman" w:eastAsia="Calibri" w:hAnsi="Times New Roman" w:cs="Times New Roman"/>
        </w:rPr>
      </w:pPr>
    </w:p>
    <w:p w14:paraId="2E30CE7D" w14:textId="77777777" w:rsidR="00611539" w:rsidRPr="000C5085" w:rsidRDefault="00611539" w:rsidP="000C5085">
      <w:pPr>
        <w:widowControl w:val="0"/>
        <w:spacing w:after="0" w:line="240" w:lineRule="auto"/>
        <w:rPr>
          <w:rFonts w:ascii="Times New Roman" w:eastAsia="Calibri" w:hAnsi="Times New Roman" w:cs="Times New Roman"/>
        </w:rPr>
      </w:pPr>
    </w:p>
    <w:p w14:paraId="216E682E"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31" w:name="_Toc129243111"/>
      <w:bookmarkStart w:id="32" w:name="_Toc129243236"/>
      <w:r w:rsidRPr="000C5085">
        <w:rPr>
          <w:rFonts w:ascii="Times New Roman" w:eastAsia="Calibri" w:hAnsi="Times New Roman" w:cs="Times New Roman"/>
          <w:b/>
        </w:rPr>
        <w:t>5.</w:t>
      </w:r>
      <w:r w:rsidRPr="000C5085">
        <w:rPr>
          <w:rFonts w:ascii="Times New Roman" w:eastAsia="Calibri" w:hAnsi="Times New Roman" w:cs="Times New Roman"/>
          <w:b/>
        </w:rPr>
        <w:tab/>
        <w:t>FARMAKOLOGINĖS SAVYBĖS</w:t>
      </w:r>
      <w:bookmarkEnd w:id="31"/>
      <w:bookmarkEnd w:id="32"/>
    </w:p>
    <w:p w14:paraId="239F6D3A" w14:textId="77777777" w:rsidR="00611539" w:rsidRPr="000C5085" w:rsidRDefault="00611539" w:rsidP="000C5085">
      <w:pPr>
        <w:widowControl w:val="0"/>
        <w:spacing w:after="0" w:line="240" w:lineRule="auto"/>
        <w:rPr>
          <w:rFonts w:ascii="Times New Roman" w:eastAsia="Calibri" w:hAnsi="Times New Roman" w:cs="Times New Roman"/>
        </w:rPr>
      </w:pPr>
    </w:p>
    <w:p w14:paraId="362E0C9C"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3" w:name="_Toc129243112"/>
      <w:bookmarkStart w:id="34" w:name="_Toc129243237"/>
      <w:r w:rsidRPr="000C5085">
        <w:rPr>
          <w:rFonts w:ascii="Times New Roman" w:eastAsia="Calibri" w:hAnsi="Times New Roman" w:cs="Times New Roman"/>
          <w:b/>
          <w:kern w:val="28"/>
        </w:rPr>
        <w:t>5.1</w:t>
      </w:r>
      <w:r w:rsidRPr="000C5085">
        <w:rPr>
          <w:rFonts w:ascii="Times New Roman" w:eastAsia="Calibri" w:hAnsi="Times New Roman" w:cs="Times New Roman"/>
          <w:b/>
          <w:kern w:val="28"/>
        </w:rPr>
        <w:tab/>
      </w:r>
      <w:proofErr w:type="spellStart"/>
      <w:r w:rsidRPr="000C5085">
        <w:rPr>
          <w:rFonts w:ascii="Times New Roman" w:eastAsia="Calibri" w:hAnsi="Times New Roman" w:cs="Times New Roman"/>
          <w:b/>
          <w:kern w:val="28"/>
        </w:rPr>
        <w:t>Farmakodinaminės</w:t>
      </w:r>
      <w:proofErr w:type="spellEnd"/>
      <w:r w:rsidRPr="000C5085">
        <w:rPr>
          <w:rFonts w:ascii="Times New Roman" w:eastAsia="Calibri" w:hAnsi="Times New Roman" w:cs="Times New Roman"/>
          <w:b/>
          <w:kern w:val="28"/>
        </w:rPr>
        <w:t xml:space="preserve"> savybės</w:t>
      </w:r>
      <w:bookmarkEnd w:id="33"/>
      <w:bookmarkEnd w:id="34"/>
    </w:p>
    <w:p w14:paraId="1FA67B8A" w14:textId="77777777" w:rsidR="00611539" w:rsidRPr="000C5085" w:rsidRDefault="00611539" w:rsidP="000C5085">
      <w:pPr>
        <w:widowControl w:val="0"/>
        <w:spacing w:after="0" w:line="240" w:lineRule="auto"/>
        <w:rPr>
          <w:rFonts w:ascii="Times New Roman" w:eastAsia="Calibri" w:hAnsi="Times New Roman" w:cs="Times New Roman"/>
        </w:rPr>
      </w:pPr>
    </w:p>
    <w:p w14:paraId="50DE1FD1"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Farmakoterapinė</w:t>
      </w:r>
      <w:proofErr w:type="spellEnd"/>
      <w:r w:rsidRPr="000C5085">
        <w:rPr>
          <w:rFonts w:ascii="Times New Roman" w:eastAsia="Calibri" w:hAnsi="Times New Roman" w:cs="Times New Roman"/>
        </w:rPr>
        <w:t xml:space="preserve"> grupė – endokrininę sistemą veikiantys preparatai, hormonų antagonistai ir susiję preparatai, </w:t>
      </w:r>
      <w:proofErr w:type="spellStart"/>
      <w:r w:rsidRPr="000C5085">
        <w:rPr>
          <w:rFonts w:ascii="Times New Roman" w:eastAsia="Calibri" w:hAnsi="Times New Roman" w:cs="Times New Roman"/>
        </w:rPr>
        <w:t>aromatazės</w:t>
      </w:r>
      <w:proofErr w:type="spellEnd"/>
      <w:r w:rsidRPr="000C5085">
        <w:rPr>
          <w:rFonts w:ascii="Times New Roman" w:eastAsia="Calibri" w:hAnsi="Times New Roman" w:cs="Times New Roman"/>
        </w:rPr>
        <w:t xml:space="preserve"> inhibitoriai, ATC kodas – L02BG04.</w:t>
      </w:r>
    </w:p>
    <w:p w14:paraId="74778816" w14:textId="77777777" w:rsidR="00611539" w:rsidRPr="000C5085" w:rsidRDefault="00611539" w:rsidP="000C5085">
      <w:pPr>
        <w:widowControl w:val="0"/>
        <w:spacing w:after="0" w:line="240" w:lineRule="auto"/>
        <w:rPr>
          <w:rFonts w:ascii="Times New Roman" w:eastAsia="Calibri" w:hAnsi="Times New Roman" w:cs="Times New Roman"/>
        </w:rPr>
      </w:pPr>
    </w:p>
    <w:p w14:paraId="28ACBB2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Farmakodinaminis</w:t>
      </w:r>
      <w:proofErr w:type="spellEnd"/>
      <w:r w:rsidRPr="000C5085">
        <w:rPr>
          <w:rFonts w:ascii="Times New Roman" w:eastAsia="Calibri" w:hAnsi="Times New Roman" w:cs="Times New Roman"/>
          <w:b/>
        </w:rPr>
        <w:t xml:space="preserve"> poveikis</w:t>
      </w:r>
    </w:p>
    <w:p w14:paraId="059507D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skiriama vaistinių preparatų, veikiančių endokrininę sistemą, skatinamojo estrogenų poveikio augimui šalinimas yra būtina sąlyga naviko, kurio audinių augimas priklauso nuo estrogenų, reakcijai į gydymą sukelti.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periodu moterų organizme estrogenai daugiausia gaminami veikiant fermentui </w:t>
      </w:r>
      <w:proofErr w:type="spellStart"/>
      <w:r w:rsidRPr="000C5085">
        <w:rPr>
          <w:rFonts w:ascii="Times New Roman" w:eastAsia="Calibri" w:hAnsi="Times New Roman" w:cs="Times New Roman"/>
        </w:rPr>
        <w:t>aromatazei</w:t>
      </w:r>
      <w:proofErr w:type="spellEnd"/>
      <w:r w:rsidRPr="000C5085">
        <w:rPr>
          <w:rFonts w:ascii="Times New Roman" w:eastAsia="Calibri" w:hAnsi="Times New Roman" w:cs="Times New Roman"/>
        </w:rPr>
        <w:t xml:space="preserve">, kuris antinksčių androgenus (visų pirma </w:t>
      </w:r>
      <w:proofErr w:type="spellStart"/>
      <w:r w:rsidRPr="000C5085">
        <w:rPr>
          <w:rFonts w:ascii="Times New Roman" w:eastAsia="Calibri" w:hAnsi="Times New Roman" w:cs="Times New Roman"/>
        </w:rPr>
        <w:t>androstenedioną</w:t>
      </w:r>
      <w:proofErr w:type="spellEnd"/>
      <w:r w:rsidRPr="000C5085">
        <w:rPr>
          <w:rFonts w:ascii="Times New Roman" w:eastAsia="Calibri" w:hAnsi="Times New Roman" w:cs="Times New Roman"/>
        </w:rPr>
        <w:t xml:space="preserve"> ir testosteroną) verčia estronu ir </w:t>
      </w:r>
      <w:proofErr w:type="spellStart"/>
      <w:r w:rsidRPr="000C5085">
        <w:rPr>
          <w:rFonts w:ascii="Times New Roman" w:eastAsia="Calibri" w:hAnsi="Times New Roman" w:cs="Times New Roman"/>
        </w:rPr>
        <w:t>estradioliu</w:t>
      </w:r>
      <w:proofErr w:type="spellEnd"/>
      <w:r w:rsidRPr="000C5085">
        <w:rPr>
          <w:rFonts w:ascii="Times New Roman" w:eastAsia="Calibri" w:hAnsi="Times New Roman" w:cs="Times New Roman"/>
        </w:rPr>
        <w:t xml:space="preserve">. Vadinasi, specifiškai užslopinus fermentą </w:t>
      </w:r>
      <w:proofErr w:type="spellStart"/>
      <w:r w:rsidRPr="000C5085">
        <w:rPr>
          <w:rFonts w:ascii="Times New Roman" w:eastAsia="Calibri" w:hAnsi="Times New Roman" w:cs="Times New Roman"/>
        </w:rPr>
        <w:t>aromatazę</w:t>
      </w:r>
      <w:proofErr w:type="spellEnd"/>
      <w:r w:rsidRPr="000C5085">
        <w:rPr>
          <w:rFonts w:ascii="Times New Roman" w:eastAsia="Calibri" w:hAnsi="Times New Roman" w:cs="Times New Roman"/>
        </w:rPr>
        <w:t xml:space="preserve">, galima nuslopinti ir estrogenų </w:t>
      </w:r>
      <w:proofErr w:type="spellStart"/>
      <w:r w:rsidRPr="000C5085">
        <w:rPr>
          <w:rFonts w:ascii="Times New Roman" w:eastAsia="Calibri" w:hAnsi="Times New Roman" w:cs="Times New Roman"/>
        </w:rPr>
        <w:t>biosintezę</w:t>
      </w:r>
      <w:proofErr w:type="spellEnd"/>
      <w:r w:rsidRPr="000C5085">
        <w:rPr>
          <w:rFonts w:ascii="Times New Roman" w:eastAsia="Calibri" w:hAnsi="Times New Roman" w:cs="Times New Roman"/>
        </w:rPr>
        <w:t xml:space="preserve"> periferiniuose audiniuose bei naviko audinyje.</w:t>
      </w:r>
    </w:p>
    <w:p w14:paraId="415969F7" w14:textId="77777777" w:rsidR="00611539" w:rsidRPr="000C5085" w:rsidRDefault="00611539" w:rsidP="000C5085">
      <w:pPr>
        <w:widowControl w:val="0"/>
        <w:spacing w:after="0" w:line="240" w:lineRule="auto"/>
        <w:rPr>
          <w:rFonts w:ascii="Times New Roman" w:eastAsia="Calibri" w:hAnsi="Times New Roman" w:cs="Times New Roman"/>
        </w:rPr>
      </w:pPr>
    </w:p>
    <w:p w14:paraId="1E42F370"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yra nesteroidinis </w:t>
      </w:r>
      <w:proofErr w:type="spellStart"/>
      <w:r w:rsidRPr="000C5085">
        <w:rPr>
          <w:rFonts w:ascii="Times New Roman" w:eastAsia="Calibri" w:hAnsi="Times New Roman" w:cs="Times New Roman"/>
        </w:rPr>
        <w:t>aromatazės</w:t>
      </w:r>
      <w:proofErr w:type="spellEnd"/>
      <w:r w:rsidRPr="000C5085">
        <w:rPr>
          <w:rFonts w:ascii="Times New Roman" w:eastAsia="Calibri" w:hAnsi="Times New Roman" w:cs="Times New Roman"/>
        </w:rPr>
        <w:t xml:space="preserve"> inhibitorius. Fermentą </w:t>
      </w:r>
      <w:proofErr w:type="spellStart"/>
      <w:r w:rsidRPr="000C5085">
        <w:rPr>
          <w:rFonts w:ascii="Times New Roman" w:eastAsia="Calibri" w:hAnsi="Times New Roman" w:cs="Times New Roman"/>
        </w:rPr>
        <w:t>aromatazę</w:t>
      </w:r>
      <w:proofErr w:type="spellEnd"/>
      <w:r w:rsidRPr="000C5085">
        <w:rPr>
          <w:rFonts w:ascii="Times New Roman" w:eastAsia="Calibri" w:hAnsi="Times New Roman" w:cs="Times New Roman"/>
        </w:rPr>
        <w:t xml:space="preserve"> jis slopina konkurenciniu būdu jungdamasis prie </w:t>
      </w:r>
      <w:proofErr w:type="spellStart"/>
      <w:r w:rsidRPr="000C5085">
        <w:rPr>
          <w:rFonts w:ascii="Times New Roman" w:eastAsia="Calibri" w:hAnsi="Times New Roman" w:cs="Times New Roman"/>
        </w:rPr>
        <w:t>aromatazės</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citochromo</w:t>
      </w:r>
      <w:proofErr w:type="spellEnd"/>
      <w:r w:rsidRPr="000C5085">
        <w:rPr>
          <w:rFonts w:ascii="Times New Roman" w:eastAsia="Calibri" w:hAnsi="Times New Roman" w:cs="Times New Roman"/>
        </w:rPr>
        <w:t xml:space="preserve"> P 450 </w:t>
      </w:r>
      <w:proofErr w:type="spellStart"/>
      <w:r w:rsidRPr="000C5085">
        <w:rPr>
          <w:rFonts w:ascii="Times New Roman" w:eastAsia="Calibri" w:hAnsi="Times New Roman" w:cs="Times New Roman"/>
        </w:rPr>
        <w:t>hemo</w:t>
      </w:r>
      <w:proofErr w:type="spellEnd"/>
      <w:r w:rsidRPr="000C5085">
        <w:rPr>
          <w:rFonts w:ascii="Times New Roman" w:eastAsia="Calibri" w:hAnsi="Times New Roman" w:cs="Times New Roman"/>
        </w:rPr>
        <w:t xml:space="preserve">, todėl estrogenų </w:t>
      </w:r>
      <w:proofErr w:type="spellStart"/>
      <w:r w:rsidRPr="000C5085">
        <w:rPr>
          <w:rFonts w:ascii="Times New Roman" w:eastAsia="Calibri" w:hAnsi="Times New Roman" w:cs="Times New Roman"/>
        </w:rPr>
        <w:t>biosintezė</w:t>
      </w:r>
      <w:proofErr w:type="spellEnd"/>
      <w:r w:rsidRPr="000C5085">
        <w:rPr>
          <w:rFonts w:ascii="Times New Roman" w:eastAsia="Calibri" w:hAnsi="Times New Roman" w:cs="Times New Roman"/>
        </w:rPr>
        <w:t xml:space="preserve"> mažėja visuose audiniuose, kuriuose šio fermento yra.</w:t>
      </w:r>
    </w:p>
    <w:p w14:paraId="0981C6D7" w14:textId="77777777" w:rsidR="00611539" w:rsidRPr="000C5085" w:rsidRDefault="00611539" w:rsidP="000C5085">
      <w:pPr>
        <w:widowControl w:val="0"/>
        <w:spacing w:after="0" w:line="240" w:lineRule="auto"/>
        <w:rPr>
          <w:rFonts w:ascii="Times New Roman" w:eastAsia="Calibri" w:hAnsi="Times New Roman" w:cs="Times New Roman"/>
        </w:rPr>
      </w:pPr>
    </w:p>
    <w:p w14:paraId="52B5CD9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Nustatyta, kad sveikoms moterims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periodu vienkartinė 0,1 mg, 0,5 mg ar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dozė mažina estrono ir </w:t>
      </w:r>
      <w:proofErr w:type="spellStart"/>
      <w:r w:rsidRPr="000C5085">
        <w:rPr>
          <w:rFonts w:ascii="Times New Roman" w:eastAsia="Calibri" w:hAnsi="Times New Roman" w:cs="Times New Roman"/>
        </w:rPr>
        <w:t>estradiolio</w:t>
      </w:r>
      <w:proofErr w:type="spellEnd"/>
      <w:r w:rsidRPr="000C5085">
        <w:rPr>
          <w:rFonts w:ascii="Times New Roman" w:eastAsia="Calibri" w:hAnsi="Times New Roman" w:cs="Times New Roman"/>
        </w:rPr>
        <w:t xml:space="preserve"> kiekį serume atitinkamai 75</w:t>
      </w:r>
      <w:r w:rsidR="0045175C">
        <w:rPr>
          <w:rFonts w:ascii="Times New Roman" w:eastAsia="Calibri" w:hAnsi="Times New Roman" w:cs="Times New Roman"/>
        </w:rPr>
        <w:t> </w:t>
      </w:r>
      <w:r w:rsidRPr="000C5085">
        <w:rPr>
          <w:rFonts w:ascii="Times New Roman" w:eastAsia="Calibri" w:hAnsi="Times New Roman" w:cs="Times New Roman"/>
        </w:rPr>
        <w:t>%, 78</w:t>
      </w:r>
      <w:r w:rsidR="0045175C">
        <w:rPr>
          <w:rFonts w:ascii="Times New Roman" w:eastAsia="Calibri" w:hAnsi="Times New Roman" w:cs="Times New Roman"/>
        </w:rPr>
        <w:t> </w:t>
      </w:r>
      <w:r w:rsidRPr="000C5085">
        <w:rPr>
          <w:rFonts w:ascii="Times New Roman" w:eastAsia="Calibri" w:hAnsi="Times New Roman" w:cs="Times New Roman"/>
        </w:rPr>
        <w:t>% ir 78</w:t>
      </w:r>
      <w:r w:rsidR="0045175C">
        <w:rPr>
          <w:rFonts w:ascii="Times New Roman" w:eastAsia="Calibri" w:hAnsi="Times New Roman" w:cs="Times New Roman"/>
        </w:rPr>
        <w:t> </w:t>
      </w:r>
      <w:r w:rsidRPr="000C5085">
        <w:rPr>
          <w:rFonts w:ascii="Times New Roman" w:eastAsia="Calibri" w:hAnsi="Times New Roman" w:cs="Times New Roman"/>
        </w:rPr>
        <w:t>% nuo pradinio rodmens. Stipriausias slopinamasis poveikis pasireiškia per 48-78 val. po vaistinio preparato pavartojimo.</w:t>
      </w:r>
    </w:p>
    <w:p w14:paraId="239D0F7F" w14:textId="77777777" w:rsidR="00611539" w:rsidRPr="000C5085" w:rsidRDefault="00611539" w:rsidP="000C5085">
      <w:pPr>
        <w:widowControl w:val="0"/>
        <w:spacing w:after="0" w:line="240" w:lineRule="auto"/>
        <w:rPr>
          <w:rFonts w:ascii="Times New Roman" w:eastAsia="Calibri" w:hAnsi="Times New Roman" w:cs="Times New Roman"/>
        </w:rPr>
      </w:pPr>
    </w:p>
    <w:p w14:paraId="5B68355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Visoms tirtoms moterims,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periodu sergančioms progresuojančiu krūties vėžiu, 0,1</w:t>
      </w:r>
      <w:r w:rsidRPr="000C5085">
        <w:rPr>
          <w:rFonts w:ascii="Times New Roman" w:eastAsia="Calibri" w:hAnsi="Times New Roman" w:cs="Times New Roman"/>
        </w:rPr>
        <w:noBreakHyphen/>
        <w:t xml:space="preserve">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dozė sumažino </w:t>
      </w:r>
      <w:proofErr w:type="spellStart"/>
      <w:r w:rsidRPr="000C5085">
        <w:rPr>
          <w:rFonts w:ascii="Times New Roman" w:eastAsia="Calibri" w:hAnsi="Times New Roman" w:cs="Times New Roman"/>
        </w:rPr>
        <w:t>estradiolio</w:t>
      </w:r>
      <w:proofErr w:type="spellEnd"/>
      <w:r w:rsidRPr="000C5085">
        <w:rPr>
          <w:rFonts w:ascii="Times New Roman" w:eastAsia="Calibri" w:hAnsi="Times New Roman" w:cs="Times New Roman"/>
        </w:rPr>
        <w:t>, estrono ir estrono sulfato kiekį plazmoje 75</w:t>
      </w:r>
      <w:r w:rsidRPr="000C5085">
        <w:rPr>
          <w:rFonts w:ascii="Times New Roman" w:eastAsia="Calibri" w:hAnsi="Times New Roman" w:cs="Times New Roman"/>
        </w:rPr>
        <w:noBreakHyphen/>
        <w:t>95</w:t>
      </w:r>
      <w:r w:rsidR="0045175C">
        <w:rPr>
          <w:rFonts w:ascii="Times New Roman" w:eastAsia="Calibri" w:hAnsi="Times New Roman" w:cs="Times New Roman"/>
        </w:rPr>
        <w:t> </w:t>
      </w:r>
      <w:r w:rsidRPr="000C5085">
        <w:rPr>
          <w:rFonts w:ascii="Times New Roman" w:eastAsia="Calibri" w:hAnsi="Times New Roman" w:cs="Times New Roman"/>
        </w:rPr>
        <w:t xml:space="preserve">%, palyginti su pradiniais rodmenimis. Gydant 0,5 mg ar didesne doze, estrono ir estrono sulfato kiekio plazmoje rodmenys būna mažesni, nei įmanoma nustatyti. Tai rodo, kad vartojant tokią dozę, estrogenų sintezė slopinama daugiau. Visoms tirtoms pacientėms estrogenų sintezę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slopino visu gydymo juo laikotarpiu.</w:t>
      </w:r>
    </w:p>
    <w:p w14:paraId="47D3C311" w14:textId="77777777" w:rsidR="00611539" w:rsidRPr="000C5085" w:rsidRDefault="00611539" w:rsidP="000C5085">
      <w:pPr>
        <w:widowControl w:val="0"/>
        <w:spacing w:after="0" w:line="240" w:lineRule="auto"/>
        <w:rPr>
          <w:rFonts w:ascii="Times New Roman" w:eastAsia="Calibri" w:hAnsi="Times New Roman" w:cs="Times New Roman"/>
        </w:rPr>
      </w:pPr>
    </w:p>
    <w:p w14:paraId="21EF494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labai specifiškai slopina </w:t>
      </w:r>
      <w:proofErr w:type="spellStart"/>
      <w:r w:rsidRPr="000C5085">
        <w:rPr>
          <w:rFonts w:ascii="Times New Roman" w:eastAsia="Calibri" w:hAnsi="Times New Roman" w:cs="Times New Roman"/>
        </w:rPr>
        <w:t>aromatazės</w:t>
      </w:r>
      <w:proofErr w:type="spellEnd"/>
      <w:r w:rsidRPr="000C5085">
        <w:rPr>
          <w:rFonts w:ascii="Times New Roman" w:eastAsia="Calibri" w:hAnsi="Times New Roman" w:cs="Times New Roman"/>
        </w:rPr>
        <w:t xml:space="preserve"> aktyvumą. Steroidinių antinksčių hormonų sintezė nesutrinka. Pacientėms, </w:t>
      </w:r>
      <w:proofErr w:type="spellStart"/>
      <w:r w:rsidRPr="000C5085">
        <w:rPr>
          <w:rFonts w:ascii="Times New Roman" w:eastAsia="Calibri" w:hAnsi="Times New Roman" w:cs="Times New Roman"/>
        </w:rPr>
        <w:t>pomenopauzės</w:t>
      </w:r>
      <w:proofErr w:type="spellEnd"/>
      <w:r w:rsidRPr="000C5085">
        <w:rPr>
          <w:rFonts w:ascii="Times New Roman" w:eastAsia="Calibri" w:hAnsi="Times New Roman" w:cs="Times New Roman"/>
        </w:rPr>
        <w:t xml:space="preserve"> periodu gydytoms 0,1</w:t>
      </w:r>
      <w:r w:rsidRPr="000C5085">
        <w:rPr>
          <w:rFonts w:ascii="Times New Roman" w:eastAsia="Calibri" w:hAnsi="Times New Roman" w:cs="Times New Roman"/>
        </w:rPr>
        <w:noBreakHyphen/>
        <w:t xml:space="preserve">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doze, kliniškai reikšmingų kortizolio, </w:t>
      </w:r>
      <w:proofErr w:type="spellStart"/>
      <w:r w:rsidRPr="000C5085">
        <w:rPr>
          <w:rFonts w:ascii="Times New Roman" w:eastAsia="Calibri" w:hAnsi="Times New Roman" w:cs="Times New Roman"/>
        </w:rPr>
        <w:t>aldosterono</w:t>
      </w:r>
      <w:proofErr w:type="spellEnd"/>
      <w:r w:rsidRPr="000C5085">
        <w:rPr>
          <w:rFonts w:ascii="Times New Roman" w:eastAsia="Calibri" w:hAnsi="Times New Roman" w:cs="Times New Roman"/>
        </w:rPr>
        <w:t>, 11-deoksikortizolio, 17</w:t>
      </w:r>
      <w:r w:rsidRPr="000C5085">
        <w:rPr>
          <w:rFonts w:ascii="Times New Roman" w:eastAsia="Calibri" w:hAnsi="Times New Roman" w:cs="Times New Roman"/>
        </w:rPr>
        <w:noBreakHyphen/>
      </w:r>
      <w:proofErr w:type="spellStart"/>
      <w:r w:rsidRPr="000C5085">
        <w:rPr>
          <w:rFonts w:ascii="Times New Roman" w:eastAsia="Calibri" w:hAnsi="Times New Roman" w:cs="Times New Roman"/>
        </w:rPr>
        <w:t>hidroksiprogesterono</w:t>
      </w:r>
      <w:proofErr w:type="spellEnd"/>
      <w:r w:rsidRPr="000C5085">
        <w:rPr>
          <w:rFonts w:ascii="Times New Roman" w:eastAsia="Calibri" w:hAnsi="Times New Roman" w:cs="Times New Roman"/>
        </w:rPr>
        <w:t xml:space="preserve">, AKTH bei </w:t>
      </w:r>
      <w:proofErr w:type="spellStart"/>
      <w:r w:rsidRPr="000C5085">
        <w:rPr>
          <w:rFonts w:ascii="Times New Roman" w:eastAsia="Calibri" w:hAnsi="Times New Roman" w:cs="Times New Roman"/>
        </w:rPr>
        <w:t>renino</w:t>
      </w:r>
      <w:proofErr w:type="spellEnd"/>
      <w:r w:rsidRPr="000C5085">
        <w:rPr>
          <w:rFonts w:ascii="Times New Roman" w:eastAsia="Calibri" w:hAnsi="Times New Roman" w:cs="Times New Roman"/>
        </w:rPr>
        <w:t xml:space="preserve"> kiekio plazmoje pokyčių nepastebėta. Po 6 ir 12 gydymo 0,1 mg, 0,25 mg, 0,5 mg, 1 mg, 2,5 mg ar 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doze savaičių AKTH stimuliavimo mėginiu nustatyta, kad </w:t>
      </w:r>
      <w:proofErr w:type="spellStart"/>
      <w:r w:rsidRPr="000C5085">
        <w:rPr>
          <w:rFonts w:ascii="Times New Roman" w:eastAsia="Calibri" w:hAnsi="Times New Roman" w:cs="Times New Roman"/>
        </w:rPr>
        <w:t>aldosterono</w:t>
      </w:r>
      <w:proofErr w:type="spellEnd"/>
      <w:r w:rsidRPr="000C5085">
        <w:rPr>
          <w:rFonts w:ascii="Times New Roman" w:eastAsia="Calibri" w:hAnsi="Times New Roman" w:cs="Times New Roman"/>
        </w:rPr>
        <w:t xml:space="preserve"> ar kortizolio gamyba nesumažėjo. Taigi, gydant šiuo vaistiniu preparatu, papildomai vartoti </w:t>
      </w:r>
      <w:proofErr w:type="spellStart"/>
      <w:r w:rsidRPr="000C5085">
        <w:rPr>
          <w:rFonts w:ascii="Times New Roman" w:eastAsia="Calibri" w:hAnsi="Times New Roman" w:cs="Times New Roman"/>
        </w:rPr>
        <w:t>gliukokortikoidų</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mineralkortikoidų</w:t>
      </w:r>
      <w:proofErr w:type="spellEnd"/>
      <w:r w:rsidRPr="000C5085">
        <w:rPr>
          <w:rFonts w:ascii="Times New Roman" w:eastAsia="Calibri" w:hAnsi="Times New Roman" w:cs="Times New Roman"/>
        </w:rPr>
        <w:t xml:space="preserve"> nebūtina.</w:t>
      </w:r>
    </w:p>
    <w:p w14:paraId="73DBFEEA" w14:textId="77777777" w:rsidR="00611539" w:rsidRPr="000C5085" w:rsidRDefault="00611539" w:rsidP="000C5085">
      <w:pPr>
        <w:widowControl w:val="0"/>
        <w:spacing w:after="0" w:line="240" w:lineRule="auto"/>
        <w:rPr>
          <w:rFonts w:ascii="Times New Roman" w:eastAsia="Calibri" w:hAnsi="Times New Roman" w:cs="Times New Roman"/>
        </w:rPr>
      </w:pPr>
    </w:p>
    <w:p w14:paraId="59CF3F1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Sveikoms moterims,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periodu išgėrusioms vienkartinę 0,1 mg, 0,5 mg ar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dozę, androgenų (</w:t>
      </w:r>
      <w:proofErr w:type="spellStart"/>
      <w:r w:rsidRPr="000C5085">
        <w:rPr>
          <w:rFonts w:ascii="Times New Roman" w:eastAsia="Calibri" w:hAnsi="Times New Roman" w:cs="Times New Roman"/>
        </w:rPr>
        <w:t>androstenediono</w:t>
      </w:r>
      <w:proofErr w:type="spellEnd"/>
      <w:r w:rsidRPr="000C5085">
        <w:rPr>
          <w:rFonts w:ascii="Times New Roman" w:eastAsia="Calibri" w:hAnsi="Times New Roman" w:cs="Times New Roman"/>
        </w:rPr>
        <w:t xml:space="preserve"> ir testosterono) kiekis plazmoje nekito. </w:t>
      </w:r>
      <w:proofErr w:type="spellStart"/>
      <w:r w:rsidRPr="000C5085">
        <w:rPr>
          <w:rFonts w:ascii="Times New Roman" w:eastAsia="Calibri" w:hAnsi="Times New Roman" w:cs="Times New Roman"/>
        </w:rPr>
        <w:t>Androstenediono</w:t>
      </w:r>
      <w:proofErr w:type="spellEnd"/>
      <w:r w:rsidRPr="000C5085">
        <w:rPr>
          <w:rFonts w:ascii="Times New Roman" w:eastAsia="Calibri" w:hAnsi="Times New Roman" w:cs="Times New Roman"/>
        </w:rPr>
        <w:t xml:space="preserve"> kiekis plazmoje nekito ir moterų, </w:t>
      </w:r>
      <w:proofErr w:type="spellStart"/>
      <w:r w:rsidRPr="000C5085">
        <w:rPr>
          <w:rFonts w:ascii="Times New Roman" w:eastAsia="Calibri" w:hAnsi="Times New Roman" w:cs="Times New Roman"/>
        </w:rPr>
        <w:t>pomenopauziniu</w:t>
      </w:r>
      <w:proofErr w:type="spellEnd"/>
      <w:r w:rsidRPr="000C5085">
        <w:rPr>
          <w:rFonts w:ascii="Times New Roman" w:eastAsia="Calibri" w:hAnsi="Times New Roman" w:cs="Times New Roman"/>
        </w:rPr>
        <w:t xml:space="preserve"> periodu vartojusių 0,1</w:t>
      </w:r>
      <w:r w:rsidRPr="000C5085">
        <w:rPr>
          <w:rFonts w:ascii="Times New Roman" w:eastAsia="Calibri" w:hAnsi="Times New Roman" w:cs="Times New Roman"/>
        </w:rPr>
        <w:noBreakHyphen/>
        <w:t xml:space="preserve">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dozę. Šie duomenys rodo, kad užblokavus estrogenų </w:t>
      </w:r>
      <w:proofErr w:type="spellStart"/>
      <w:r w:rsidRPr="000C5085">
        <w:rPr>
          <w:rFonts w:ascii="Times New Roman" w:eastAsia="Calibri" w:hAnsi="Times New Roman" w:cs="Times New Roman"/>
        </w:rPr>
        <w:t>biosintezę</w:t>
      </w:r>
      <w:proofErr w:type="spellEnd"/>
      <w:r w:rsidRPr="000C5085">
        <w:rPr>
          <w:rFonts w:ascii="Times New Roman" w:eastAsia="Calibri" w:hAnsi="Times New Roman" w:cs="Times New Roman"/>
        </w:rPr>
        <w:t xml:space="preserve">, androgenų pirmtakų organizme nesikaupia.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gydomų pacienčių LH ir FSH kiekis plazmoje bei skydliaukės funkcija (remiantis TSH, T4, ir T3 pasisavinimo tyrimų duomenimis) nepakito.</w:t>
      </w:r>
    </w:p>
    <w:p w14:paraId="7EB3EE01" w14:textId="77777777" w:rsidR="00611539" w:rsidRPr="000C5085" w:rsidRDefault="00611539" w:rsidP="000C5085">
      <w:pPr>
        <w:widowControl w:val="0"/>
        <w:spacing w:after="0" w:line="240" w:lineRule="auto"/>
        <w:rPr>
          <w:rFonts w:ascii="Times New Roman" w:eastAsia="Calibri" w:hAnsi="Times New Roman" w:cs="Times New Roman"/>
        </w:rPr>
      </w:pPr>
    </w:p>
    <w:p w14:paraId="57BE9359"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Adjuvantinis</w:t>
      </w:r>
      <w:proofErr w:type="spellEnd"/>
      <w:r w:rsidRPr="000C5085">
        <w:rPr>
          <w:rFonts w:ascii="Times New Roman" w:eastAsia="Calibri" w:hAnsi="Times New Roman" w:cs="Times New Roman"/>
        </w:rPr>
        <w:t xml:space="preserve"> gydymas</w:t>
      </w:r>
    </w:p>
    <w:p w14:paraId="4527A841" w14:textId="77777777" w:rsidR="00611539" w:rsidRPr="000C5085" w:rsidRDefault="00611539" w:rsidP="000C5085">
      <w:pPr>
        <w:widowControl w:val="0"/>
        <w:spacing w:after="0" w:line="240" w:lineRule="auto"/>
        <w:rPr>
          <w:rFonts w:ascii="Times New Roman" w:eastAsia="Calibri" w:hAnsi="Times New Roman" w:cs="Times New Roman"/>
          <w:i/>
          <w:u w:val="single"/>
        </w:rPr>
      </w:pPr>
      <w:r w:rsidRPr="000C5085">
        <w:rPr>
          <w:rFonts w:ascii="Times New Roman" w:eastAsia="Calibri" w:hAnsi="Times New Roman" w:cs="Times New Roman"/>
          <w:i/>
          <w:u w:val="single"/>
        </w:rPr>
        <w:t>BIG 1-98 tyrimas</w:t>
      </w:r>
    </w:p>
    <w:p w14:paraId="1D6EA72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BIG 1-98 buvo </w:t>
      </w:r>
      <w:proofErr w:type="spellStart"/>
      <w:r w:rsidRPr="000C5085">
        <w:rPr>
          <w:rFonts w:ascii="Times New Roman" w:eastAsia="Calibri" w:hAnsi="Times New Roman" w:cs="Times New Roman"/>
        </w:rPr>
        <w:t>daugiacentris</w:t>
      </w:r>
      <w:proofErr w:type="spellEnd"/>
      <w:r w:rsidRPr="000C5085">
        <w:rPr>
          <w:rFonts w:ascii="Times New Roman" w:eastAsia="Calibri" w:hAnsi="Times New Roman" w:cs="Times New Roman"/>
        </w:rPr>
        <w:t>, dvigubai koduotas tyrimas, kuriame dalyvavusios daugiau kaip 8 000 moterų, kurios buvo po menopauzės ir sirgo ankstyvu hormonų receptoriams teigiamu krūties vėžiu, buvo suskirstytos į tokias gydymo grupes:</w:t>
      </w:r>
    </w:p>
    <w:p w14:paraId="3910097E" w14:textId="77777777" w:rsidR="00611539" w:rsidRPr="000C5085" w:rsidRDefault="00611539" w:rsidP="000C5085">
      <w:pPr>
        <w:widowControl w:val="0"/>
        <w:spacing w:after="0" w:line="240" w:lineRule="auto"/>
        <w:rPr>
          <w:rFonts w:ascii="Times New Roman" w:eastAsia="Calibri" w:hAnsi="Times New Roman" w:cs="Times New Roman"/>
          <w:lang w:val="x-none"/>
        </w:rPr>
      </w:pPr>
      <w:r w:rsidRPr="000C5085">
        <w:rPr>
          <w:rFonts w:ascii="Times New Roman" w:eastAsia="Calibri" w:hAnsi="Times New Roman" w:cs="Times New Roman"/>
          <w:lang w:val="x-none"/>
        </w:rPr>
        <w:t xml:space="preserve">A. </w:t>
      </w:r>
      <w:proofErr w:type="spellStart"/>
      <w:r w:rsidRPr="000C5085">
        <w:rPr>
          <w:rFonts w:ascii="Times New Roman" w:eastAsia="Calibri" w:hAnsi="Times New Roman" w:cs="Times New Roman"/>
          <w:lang w:val="x-none"/>
        </w:rPr>
        <w:t>tamoksifenas</w:t>
      </w:r>
      <w:proofErr w:type="spellEnd"/>
      <w:r w:rsidRPr="000C5085">
        <w:rPr>
          <w:rFonts w:ascii="Times New Roman" w:eastAsia="Calibri" w:hAnsi="Times New Roman" w:cs="Times New Roman"/>
          <w:lang w:val="x-none"/>
        </w:rPr>
        <w:t xml:space="preserve"> 5 metus;</w:t>
      </w:r>
    </w:p>
    <w:p w14:paraId="3748FDB1" w14:textId="77777777" w:rsidR="00611539" w:rsidRPr="000C5085" w:rsidRDefault="00611539" w:rsidP="000C5085">
      <w:pPr>
        <w:widowControl w:val="0"/>
        <w:spacing w:after="0" w:line="240" w:lineRule="auto"/>
        <w:rPr>
          <w:rFonts w:ascii="Times New Roman" w:eastAsia="Calibri" w:hAnsi="Times New Roman" w:cs="Times New Roman"/>
          <w:lang w:val="x-none"/>
        </w:rPr>
      </w:pPr>
      <w:r w:rsidRPr="000C5085">
        <w:rPr>
          <w:rFonts w:ascii="Times New Roman" w:eastAsia="Calibri" w:hAnsi="Times New Roman" w:cs="Times New Roman"/>
          <w:lang w:val="x-none"/>
        </w:rPr>
        <w:t xml:space="preserve">B. </w:t>
      </w:r>
      <w:proofErr w:type="spellStart"/>
      <w:r w:rsidRPr="000C5085">
        <w:rPr>
          <w:rFonts w:ascii="Times New Roman" w:eastAsia="Calibri" w:hAnsi="Times New Roman" w:cs="Times New Roman"/>
          <w:lang w:val="x-none"/>
        </w:rPr>
        <w:t>letrozolas</w:t>
      </w:r>
      <w:proofErr w:type="spellEnd"/>
      <w:r w:rsidRPr="000C5085">
        <w:rPr>
          <w:rFonts w:ascii="Times New Roman" w:eastAsia="Calibri" w:hAnsi="Times New Roman" w:cs="Times New Roman"/>
          <w:lang w:val="x-none"/>
        </w:rPr>
        <w:t xml:space="preserve"> 5 metus;</w:t>
      </w:r>
    </w:p>
    <w:p w14:paraId="06393DC1" w14:textId="77777777" w:rsidR="00611539" w:rsidRPr="000C5085" w:rsidRDefault="00611539" w:rsidP="000C5085">
      <w:pPr>
        <w:widowControl w:val="0"/>
        <w:spacing w:after="0" w:line="240" w:lineRule="auto"/>
        <w:rPr>
          <w:rFonts w:ascii="Times New Roman" w:eastAsia="Calibri" w:hAnsi="Times New Roman" w:cs="Times New Roman"/>
          <w:lang w:val="x-none"/>
        </w:rPr>
      </w:pPr>
      <w:r w:rsidRPr="000C5085">
        <w:rPr>
          <w:rFonts w:ascii="Times New Roman" w:eastAsia="Calibri" w:hAnsi="Times New Roman" w:cs="Times New Roman"/>
          <w:lang w:val="x-none"/>
        </w:rPr>
        <w:t xml:space="preserve">C. </w:t>
      </w:r>
      <w:proofErr w:type="spellStart"/>
      <w:r w:rsidRPr="000C5085">
        <w:rPr>
          <w:rFonts w:ascii="Times New Roman" w:eastAsia="Calibri" w:hAnsi="Times New Roman" w:cs="Times New Roman"/>
          <w:lang w:val="x-none"/>
        </w:rPr>
        <w:t>tamoksifenas</w:t>
      </w:r>
      <w:proofErr w:type="spellEnd"/>
      <w:r w:rsidRPr="000C5085">
        <w:rPr>
          <w:rFonts w:ascii="Times New Roman" w:eastAsia="Calibri" w:hAnsi="Times New Roman" w:cs="Times New Roman"/>
          <w:lang w:val="x-none"/>
        </w:rPr>
        <w:t xml:space="preserve"> 2 metus, po to </w:t>
      </w:r>
      <w:proofErr w:type="spellStart"/>
      <w:r w:rsidRPr="000C5085">
        <w:rPr>
          <w:rFonts w:ascii="Times New Roman" w:eastAsia="Calibri" w:hAnsi="Times New Roman" w:cs="Times New Roman"/>
          <w:lang w:val="x-none"/>
        </w:rPr>
        <w:t>letrozolas</w:t>
      </w:r>
      <w:proofErr w:type="spellEnd"/>
      <w:r w:rsidRPr="000C5085">
        <w:rPr>
          <w:rFonts w:ascii="Times New Roman" w:eastAsia="Calibri" w:hAnsi="Times New Roman" w:cs="Times New Roman"/>
          <w:lang w:val="x-none"/>
        </w:rPr>
        <w:t xml:space="preserve"> 3 metus;</w:t>
      </w:r>
    </w:p>
    <w:p w14:paraId="5D02CF68" w14:textId="77777777" w:rsidR="00611539" w:rsidRPr="000C5085" w:rsidRDefault="00611539" w:rsidP="000C5085">
      <w:pPr>
        <w:widowControl w:val="0"/>
        <w:spacing w:after="0" w:line="240" w:lineRule="auto"/>
        <w:rPr>
          <w:rFonts w:ascii="Times New Roman" w:eastAsia="Calibri" w:hAnsi="Times New Roman" w:cs="Times New Roman"/>
          <w:lang w:val="x-none"/>
        </w:rPr>
      </w:pPr>
      <w:r w:rsidRPr="000C5085">
        <w:rPr>
          <w:rFonts w:ascii="Times New Roman" w:eastAsia="Calibri" w:hAnsi="Times New Roman" w:cs="Times New Roman"/>
          <w:lang w:val="x-none"/>
        </w:rPr>
        <w:lastRenderedPageBreak/>
        <w:t xml:space="preserve">D. </w:t>
      </w:r>
      <w:proofErr w:type="spellStart"/>
      <w:r w:rsidRPr="000C5085">
        <w:rPr>
          <w:rFonts w:ascii="Times New Roman" w:eastAsia="Calibri" w:hAnsi="Times New Roman" w:cs="Times New Roman"/>
          <w:lang w:val="x-none"/>
        </w:rPr>
        <w:t>letrozolas</w:t>
      </w:r>
      <w:proofErr w:type="spellEnd"/>
      <w:r w:rsidRPr="000C5085">
        <w:rPr>
          <w:rFonts w:ascii="Times New Roman" w:eastAsia="Calibri" w:hAnsi="Times New Roman" w:cs="Times New Roman"/>
          <w:lang w:val="x-none"/>
        </w:rPr>
        <w:t xml:space="preserve"> 2 metus, po to </w:t>
      </w:r>
      <w:proofErr w:type="spellStart"/>
      <w:r w:rsidRPr="000C5085">
        <w:rPr>
          <w:rFonts w:ascii="Times New Roman" w:eastAsia="Calibri" w:hAnsi="Times New Roman" w:cs="Times New Roman"/>
          <w:lang w:val="x-none"/>
        </w:rPr>
        <w:t>tamoksifenas</w:t>
      </w:r>
      <w:proofErr w:type="spellEnd"/>
      <w:r w:rsidRPr="000C5085">
        <w:rPr>
          <w:rFonts w:ascii="Times New Roman" w:eastAsia="Calibri" w:hAnsi="Times New Roman" w:cs="Times New Roman"/>
          <w:lang w:val="x-none"/>
        </w:rPr>
        <w:t xml:space="preserve"> 3 metus.</w:t>
      </w:r>
    </w:p>
    <w:p w14:paraId="4FDBAEC2" w14:textId="77777777" w:rsidR="00611539" w:rsidRPr="000C5085" w:rsidRDefault="00611539" w:rsidP="000C5085">
      <w:pPr>
        <w:widowControl w:val="0"/>
        <w:spacing w:after="0" w:line="240" w:lineRule="auto"/>
        <w:rPr>
          <w:rFonts w:ascii="Times New Roman" w:eastAsia="Calibri" w:hAnsi="Times New Roman" w:cs="Times New Roman"/>
          <w:lang w:val="x-none"/>
        </w:rPr>
      </w:pPr>
    </w:p>
    <w:p w14:paraId="39CC2A7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Pagrindinė vertinamoji baigtis buvo </w:t>
      </w: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be ligos pasireiškimo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Disease-free</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survival</w:t>
      </w:r>
      <w:proofErr w:type="spellEnd"/>
      <w:r w:rsidRPr="000C5085">
        <w:rPr>
          <w:rFonts w:ascii="Times New Roman" w:eastAsia="Calibri" w:hAnsi="Times New Roman" w:cs="Times New Roman"/>
        </w:rPr>
        <w:t>, DFS), antrinės veiksmingumo vertinamosios baigtys buvo laikas iki tolimųjų metastazių atsiradimo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Time</w:t>
      </w:r>
      <w:proofErr w:type="spellEnd"/>
      <w:r w:rsidRPr="000C5085">
        <w:rPr>
          <w:rFonts w:ascii="Times New Roman" w:eastAsia="Calibri" w:hAnsi="Times New Roman" w:cs="Times New Roman"/>
          <w:i/>
        </w:rPr>
        <w:t xml:space="preserve"> to </w:t>
      </w:r>
      <w:proofErr w:type="spellStart"/>
      <w:r w:rsidRPr="000C5085">
        <w:rPr>
          <w:rFonts w:ascii="Times New Roman" w:eastAsia="Calibri" w:hAnsi="Times New Roman" w:cs="Times New Roman"/>
          <w:i/>
        </w:rPr>
        <w:t>distant</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metastasis</w:t>
      </w:r>
      <w:proofErr w:type="spellEnd"/>
      <w:r w:rsidRPr="000C5085">
        <w:rPr>
          <w:rFonts w:ascii="Times New Roman" w:eastAsia="Calibri" w:hAnsi="Times New Roman" w:cs="Times New Roman"/>
        </w:rPr>
        <w:t xml:space="preserve">, TDM), </w:t>
      </w: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be tolimųjų metastazių atsiradimo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Distant</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disease</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free</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survival</w:t>
      </w:r>
      <w:proofErr w:type="spellEnd"/>
      <w:r w:rsidRPr="000C5085">
        <w:rPr>
          <w:rFonts w:ascii="Times New Roman" w:eastAsia="Calibri" w:hAnsi="Times New Roman" w:cs="Times New Roman"/>
        </w:rPr>
        <w:t xml:space="preserve">, DDFS), bendrasis </w:t>
      </w: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Overall</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survival</w:t>
      </w:r>
      <w:proofErr w:type="spellEnd"/>
      <w:r w:rsidRPr="000C5085">
        <w:rPr>
          <w:rFonts w:ascii="Times New Roman" w:eastAsia="Calibri" w:hAnsi="Times New Roman" w:cs="Times New Roman"/>
        </w:rPr>
        <w:t xml:space="preserve">, OS), </w:t>
      </w: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be sisteminio ligos pasireiškimo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Systemic</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disease-free</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survival</w:t>
      </w:r>
      <w:proofErr w:type="spellEnd"/>
      <w:r w:rsidRPr="000C5085">
        <w:rPr>
          <w:rFonts w:ascii="Times New Roman" w:eastAsia="Calibri" w:hAnsi="Times New Roman" w:cs="Times New Roman"/>
        </w:rPr>
        <w:t>, SDFS), invazinis kitos krūties vėžys ir laikas iki krūties vėžio atsinaujinimo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Time</w:t>
      </w:r>
      <w:proofErr w:type="spellEnd"/>
      <w:r w:rsidRPr="000C5085">
        <w:rPr>
          <w:rFonts w:ascii="Times New Roman" w:eastAsia="Calibri" w:hAnsi="Times New Roman" w:cs="Times New Roman"/>
          <w:i/>
        </w:rPr>
        <w:t xml:space="preserve"> to </w:t>
      </w:r>
      <w:proofErr w:type="spellStart"/>
      <w:r w:rsidRPr="000C5085">
        <w:rPr>
          <w:rFonts w:ascii="Times New Roman" w:eastAsia="Calibri" w:hAnsi="Times New Roman" w:cs="Times New Roman"/>
          <w:i/>
        </w:rPr>
        <w:t>breast</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cancer</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recurrence</w:t>
      </w:r>
      <w:proofErr w:type="spellEnd"/>
      <w:r w:rsidRPr="000C5085">
        <w:rPr>
          <w:rFonts w:ascii="Times New Roman" w:eastAsia="Calibri" w:hAnsi="Times New Roman" w:cs="Times New Roman"/>
        </w:rPr>
        <w:t>).</w:t>
      </w:r>
    </w:p>
    <w:p w14:paraId="6886A100" w14:textId="77777777" w:rsidR="00611539" w:rsidRPr="000C5085" w:rsidRDefault="00611539" w:rsidP="000C5085">
      <w:pPr>
        <w:widowControl w:val="0"/>
        <w:spacing w:after="0" w:line="240" w:lineRule="auto"/>
        <w:rPr>
          <w:rFonts w:ascii="Times New Roman" w:eastAsia="Calibri" w:hAnsi="Times New Roman" w:cs="Times New Roman"/>
        </w:rPr>
      </w:pPr>
    </w:p>
    <w:p w14:paraId="0FDB618F"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Veiksmingumo rezultatai (stebėjimo trukmės mediana 26 mėnesiai ir 60 mėnesių)</w:t>
      </w:r>
    </w:p>
    <w:p w14:paraId="6E3A5548" w14:textId="57D1197D"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4 lentelėje pateikiami duomenys atspindi pagrindinės svarbiausiosios analizės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Primary</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Core</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Analysis</w:t>
      </w:r>
      <w:proofErr w:type="spellEnd"/>
      <w:r w:rsidRPr="000C5085">
        <w:rPr>
          <w:rFonts w:ascii="Times New Roman" w:eastAsia="Calibri" w:hAnsi="Times New Roman" w:cs="Times New Roman"/>
        </w:rPr>
        <w:t xml:space="preserve">, PCA) rezultatus, gautus remiantis </w:t>
      </w:r>
      <w:proofErr w:type="spellStart"/>
      <w:r w:rsidRPr="000C5085">
        <w:rPr>
          <w:rFonts w:ascii="Times New Roman" w:eastAsia="Calibri" w:hAnsi="Times New Roman" w:cs="Times New Roman"/>
        </w:rPr>
        <w:t>monoterapijos</w:t>
      </w:r>
      <w:proofErr w:type="spellEnd"/>
      <w:r w:rsidRPr="000C5085">
        <w:rPr>
          <w:rFonts w:ascii="Times New Roman" w:eastAsia="Calibri" w:hAnsi="Times New Roman" w:cs="Times New Roman"/>
        </w:rPr>
        <w:t xml:space="preserve"> grupių (A ir B) ir pakeisto gydymo grupių (C ir D) duomenų analize (gydymo trukmės mediana – 24 mėnesiai, stebėjimo trukmės mediana – 26</w:t>
      </w:r>
      <w:r w:rsidR="00B66BB6">
        <w:rPr>
          <w:rFonts w:ascii="Times New Roman" w:eastAsia="Calibri" w:hAnsi="Times New Roman" w:cs="Times New Roman"/>
        </w:rPr>
        <w:t> </w:t>
      </w:r>
      <w:r w:rsidRPr="000C5085">
        <w:rPr>
          <w:rFonts w:ascii="Times New Roman" w:eastAsia="Calibri" w:hAnsi="Times New Roman" w:cs="Times New Roman"/>
        </w:rPr>
        <w:t>mėnesiai bei gydymo trukmės mediana – 32</w:t>
      </w:r>
      <w:r w:rsidR="00B66BB6">
        <w:rPr>
          <w:rFonts w:ascii="Times New Roman" w:eastAsia="Calibri" w:hAnsi="Times New Roman" w:cs="Times New Roman"/>
        </w:rPr>
        <w:t> </w:t>
      </w:r>
      <w:r w:rsidRPr="000C5085">
        <w:rPr>
          <w:rFonts w:ascii="Times New Roman" w:eastAsia="Calibri" w:hAnsi="Times New Roman" w:cs="Times New Roman"/>
        </w:rPr>
        <w:t>mėnesiai, stebėjimo trukmės mediana – 60</w:t>
      </w:r>
      <w:r w:rsidR="00B66BB6">
        <w:rPr>
          <w:rFonts w:ascii="Times New Roman" w:eastAsia="Calibri" w:hAnsi="Times New Roman" w:cs="Times New Roman"/>
        </w:rPr>
        <w:t> </w:t>
      </w:r>
      <w:r w:rsidRPr="000C5085">
        <w:rPr>
          <w:rFonts w:ascii="Times New Roman" w:eastAsia="Calibri" w:hAnsi="Times New Roman" w:cs="Times New Roman"/>
        </w:rPr>
        <w:t>mėnesių).</w:t>
      </w:r>
    </w:p>
    <w:p w14:paraId="4EE69D0C" w14:textId="77777777" w:rsidR="00611539" w:rsidRPr="000C5085" w:rsidRDefault="00611539" w:rsidP="000C5085">
      <w:pPr>
        <w:widowControl w:val="0"/>
        <w:spacing w:after="0" w:line="240" w:lineRule="auto"/>
        <w:rPr>
          <w:rFonts w:ascii="Times New Roman" w:eastAsia="Calibri" w:hAnsi="Times New Roman" w:cs="Times New Roman"/>
        </w:rPr>
      </w:pPr>
    </w:p>
    <w:p w14:paraId="0023B2C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5 metų DFS dažnis buvo 84</w:t>
      </w:r>
      <w:r w:rsidR="00EA69B9">
        <w:rPr>
          <w:rFonts w:ascii="Times New Roman" w:eastAsia="Calibri" w:hAnsi="Times New Roman" w:cs="Times New Roman"/>
        </w:rPr>
        <w:t> </w:t>
      </w:r>
      <w:r w:rsidRPr="000C5085">
        <w:rPr>
          <w:rFonts w:ascii="Times New Roman" w:eastAsia="Calibri" w:hAnsi="Times New Roman" w:cs="Times New Roman"/>
        </w:rPr>
        <w:t xml:space="preserve">%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81,4</w:t>
      </w:r>
      <w:r w:rsidR="0045175C">
        <w:rPr>
          <w:rFonts w:ascii="Times New Roman" w:eastAsia="Calibri" w:hAnsi="Times New Roman" w:cs="Times New Roman"/>
        </w:rPr>
        <w:t> </w:t>
      </w:r>
      <w:r w:rsidRPr="000C5085">
        <w:rPr>
          <w:rFonts w:ascii="Times New Roman" w:eastAsia="Calibri" w:hAnsi="Times New Roman" w:cs="Times New Roman"/>
        </w:rPr>
        <w:t xml:space="preserve">% vartojant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w:t>
      </w:r>
    </w:p>
    <w:p w14:paraId="748F02FD" w14:textId="77777777" w:rsidR="00611539" w:rsidRPr="000C5085" w:rsidRDefault="00611539" w:rsidP="000C5085">
      <w:pPr>
        <w:widowControl w:val="0"/>
        <w:spacing w:after="0" w:line="240" w:lineRule="auto"/>
        <w:rPr>
          <w:rFonts w:ascii="Times New Roman" w:eastAsia="Calibri" w:hAnsi="Times New Roman" w:cs="Times New Roman"/>
        </w:rPr>
      </w:pPr>
    </w:p>
    <w:p w14:paraId="2D729DAC" w14:textId="0BCBAFB9"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4 lentelė. Pagrindinė svarbiausioji analizė: </w:t>
      </w: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xml:space="preserve"> be ligos pasireiškimo ir bendrasis </w:t>
      </w: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stebėjimo trukmės mediana 26</w:t>
      </w:r>
      <w:r w:rsidR="00B66BB6">
        <w:rPr>
          <w:rFonts w:ascii="Times New Roman" w:eastAsia="Calibri" w:hAnsi="Times New Roman" w:cs="Times New Roman"/>
        </w:rPr>
        <w:t> </w:t>
      </w:r>
      <w:r w:rsidRPr="000C5085">
        <w:rPr>
          <w:rFonts w:ascii="Times New Roman" w:eastAsia="Calibri" w:hAnsi="Times New Roman" w:cs="Times New Roman"/>
          <w:b/>
        </w:rPr>
        <w:t>mėnesiai ir 60 mėnesių (</w:t>
      </w:r>
      <w:r w:rsidRPr="000C5085">
        <w:rPr>
          <w:rFonts w:ascii="Times New Roman" w:eastAsia="Calibri" w:hAnsi="Times New Roman" w:cs="Times New Roman"/>
          <w:b/>
          <w:i/>
        </w:rPr>
        <w:t>ITT</w:t>
      </w:r>
      <w:r w:rsidRPr="000C5085">
        <w:rPr>
          <w:rFonts w:ascii="Times New Roman" w:eastAsia="Calibri" w:hAnsi="Times New Roman" w:cs="Times New Roman"/>
          <w:b/>
        </w:rPr>
        <w:t xml:space="preserve"> populiacija)</w:t>
      </w:r>
    </w:p>
    <w:p w14:paraId="211797CB" w14:textId="77777777" w:rsidR="00611539" w:rsidRPr="000C5085" w:rsidRDefault="00611539" w:rsidP="000C5085">
      <w:pPr>
        <w:widowControl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7"/>
        <w:gridCol w:w="1152"/>
        <w:gridCol w:w="1459"/>
        <w:gridCol w:w="822"/>
        <w:gridCol w:w="1150"/>
        <w:gridCol w:w="1457"/>
        <w:gridCol w:w="820"/>
      </w:tblGrid>
      <w:tr w:rsidR="00611539" w:rsidRPr="000C5085" w14:paraId="679412C6" w14:textId="77777777" w:rsidTr="008637BB">
        <w:tc>
          <w:tcPr>
            <w:tcW w:w="0" w:type="auto"/>
            <w:gridSpan w:val="7"/>
          </w:tcPr>
          <w:p w14:paraId="21270517" w14:textId="77777777" w:rsidR="00611539" w:rsidRPr="000C5085" w:rsidRDefault="00611539" w:rsidP="008100DF">
            <w:pPr>
              <w:widowControl w:val="0"/>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t>Pagrindinė svarbiausioji analizė</w:t>
            </w:r>
          </w:p>
          <w:p w14:paraId="70FAFBA0" w14:textId="77777777" w:rsidR="00611539" w:rsidRPr="000C5085" w:rsidRDefault="00611539" w:rsidP="000C5085">
            <w:pPr>
              <w:widowControl w:val="0"/>
              <w:spacing w:after="0" w:line="240" w:lineRule="auto"/>
              <w:rPr>
                <w:rFonts w:ascii="Times New Roman" w:eastAsia="Calibri" w:hAnsi="Times New Roman" w:cs="Times New Roman"/>
              </w:rPr>
            </w:pPr>
          </w:p>
        </w:tc>
      </w:tr>
      <w:tr w:rsidR="00611539" w:rsidRPr="000C5085" w14:paraId="3CE63E9D" w14:textId="77777777" w:rsidTr="008637BB">
        <w:tc>
          <w:tcPr>
            <w:tcW w:w="0" w:type="auto"/>
          </w:tcPr>
          <w:p w14:paraId="36A11444" w14:textId="77777777" w:rsidR="00611539" w:rsidRPr="000C5085" w:rsidRDefault="00611539" w:rsidP="000C5085">
            <w:pPr>
              <w:widowControl w:val="0"/>
              <w:spacing w:after="0" w:line="240" w:lineRule="auto"/>
              <w:rPr>
                <w:rFonts w:ascii="Times New Roman" w:eastAsia="Calibri" w:hAnsi="Times New Roman" w:cs="Times New Roman"/>
              </w:rPr>
            </w:pPr>
          </w:p>
        </w:tc>
        <w:tc>
          <w:tcPr>
            <w:tcW w:w="0" w:type="auto"/>
            <w:gridSpan w:val="3"/>
          </w:tcPr>
          <w:p w14:paraId="5C93427A" w14:textId="2021017C" w:rsidR="00611539" w:rsidRPr="008100DF" w:rsidRDefault="00611539" w:rsidP="008100DF">
            <w:pPr>
              <w:widowControl w:val="0"/>
              <w:spacing w:after="0" w:line="240" w:lineRule="auto"/>
              <w:jc w:val="center"/>
              <w:rPr>
                <w:rFonts w:ascii="Times New Roman" w:eastAsia="Calibri" w:hAnsi="Times New Roman" w:cs="Times New Roman"/>
                <w:b/>
              </w:rPr>
            </w:pPr>
            <w:r w:rsidRPr="008100DF">
              <w:rPr>
                <w:rFonts w:ascii="Times New Roman" w:eastAsia="Calibri" w:hAnsi="Times New Roman" w:cs="Times New Roman"/>
                <w:b/>
              </w:rPr>
              <w:t>Stebėjimo trukmės mediana 26</w:t>
            </w:r>
            <w:r w:rsidR="00B66BB6">
              <w:rPr>
                <w:rFonts w:ascii="Times New Roman" w:eastAsia="Calibri" w:hAnsi="Times New Roman" w:cs="Times New Roman"/>
              </w:rPr>
              <w:t> </w:t>
            </w:r>
            <w:r w:rsidRPr="008100DF">
              <w:rPr>
                <w:rFonts w:ascii="Times New Roman" w:eastAsia="Calibri" w:hAnsi="Times New Roman" w:cs="Times New Roman"/>
                <w:b/>
              </w:rPr>
              <w:t>mėnesiai</w:t>
            </w:r>
          </w:p>
        </w:tc>
        <w:tc>
          <w:tcPr>
            <w:tcW w:w="0" w:type="auto"/>
            <w:gridSpan w:val="3"/>
          </w:tcPr>
          <w:p w14:paraId="186A30FE" w14:textId="77777777" w:rsidR="00611539" w:rsidRPr="008100DF" w:rsidRDefault="00611539" w:rsidP="000C5085">
            <w:pPr>
              <w:widowControl w:val="0"/>
              <w:spacing w:after="0" w:line="240" w:lineRule="auto"/>
              <w:jc w:val="center"/>
              <w:rPr>
                <w:rFonts w:ascii="Times New Roman" w:eastAsia="Calibri" w:hAnsi="Times New Roman" w:cs="Times New Roman"/>
                <w:b/>
              </w:rPr>
            </w:pPr>
            <w:r w:rsidRPr="008100DF">
              <w:rPr>
                <w:rFonts w:ascii="Times New Roman" w:eastAsia="Calibri" w:hAnsi="Times New Roman" w:cs="Times New Roman"/>
                <w:b/>
              </w:rPr>
              <w:t>Stebėjimo trukmės mediana 60 mėnesių</w:t>
            </w:r>
          </w:p>
        </w:tc>
      </w:tr>
      <w:tr w:rsidR="00611539" w:rsidRPr="000C5085" w14:paraId="0165ADD9" w14:textId="77777777" w:rsidTr="008637BB">
        <w:tc>
          <w:tcPr>
            <w:tcW w:w="0" w:type="auto"/>
          </w:tcPr>
          <w:p w14:paraId="67FCEBAB" w14:textId="77777777" w:rsidR="00611539" w:rsidRPr="000C5085" w:rsidRDefault="00611539" w:rsidP="000C5085">
            <w:pPr>
              <w:widowControl w:val="0"/>
              <w:spacing w:after="0" w:line="240" w:lineRule="auto"/>
              <w:rPr>
                <w:rFonts w:ascii="Times New Roman" w:eastAsia="Calibri" w:hAnsi="Times New Roman" w:cs="Times New Roman"/>
              </w:rPr>
            </w:pPr>
          </w:p>
        </w:tc>
        <w:tc>
          <w:tcPr>
            <w:tcW w:w="0" w:type="auto"/>
          </w:tcPr>
          <w:p w14:paraId="6CE9E8C4" w14:textId="77777777" w:rsidR="00611539" w:rsidRPr="000C5085" w:rsidRDefault="00611539" w:rsidP="000C5085">
            <w:pPr>
              <w:widowControl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p>
          <w:p w14:paraId="6493ABC0"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N=4003</w:t>
            </w:r>
          </w:p>
        </w:tc>
        <w:tc>
          <w:tcPr>
            <w:tcW w:w="0" w:type="auto"/>
          </w:tcPr>
          <w:p w14:paraId="1030CB08" w14:textId="77777777" w:rsidR="00611539" w:rsidRPr="000C5085" w:rsidRDefault="00611539" w:rsidP="000C5085">
            <w:pPr>
              <w:widowControl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rPr>
              <w:t>Tamoksifenas</w:t>
            </w:r>
            <w:proofErr w:type="spellEnd"/>
          </w:p>
          <w:p w14:paraId="3AE9A30F"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N=4007</w:t>
            </w:r>
          </w:p>
          <w:p w14:paraId="30215649" w14:textId="77777777" w:rsidR="00611539" w:rsidRPr="000C5085" w:rsidRDefault="00611539" w:rsidP="000C5085">
            <w:pPr>
              <w:widowControl w:val="0"/>
              <w:spacing w:after="0" w:line="240" w:lineRule="auto"/>
              <w:jc w:val="center"/>
              <w:rPr>
                <w:rFonts w:ascii="Times New Roman" w:eastAsia="Calibri" w:hAnsi="Times New Roman" w:cs="Times New Roman"/>
              </w:rPr>
            </w:pPr>
          </w:p>
        </w:tc>
        <w:tc>
          <w:tcPr>
            <w:tcW w:w="0" w:type="auto"/>
          </w:tcPr>
          <w:p w14:paraId="09F7EE36"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RS </w:t>
            </w:r>
            <w:r w:rsidRPr="000C5085">
              <w:rPr>
                <w:rFonts w:ascii="Times New Roman" w:eastAsia="Calibri" w:hAnsi="Times New Roman" w:cs="Times New Roman"/>
                <w:vertAlign w:val="superscript"/>
              </w:rPr>
              <w:t>1</w:t>
            </w:r>
          </w:p>
          <w:p w14:paraId="077A503B"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w:t>
            </w:r>
          </w:p>
          <w:p w14:paraId="7A64AD4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P</w:t>
            </w:r>
          </w:p>
        </w:tc>
        <w:tc>
          <w:tcPr>
            <w:tcW w:w="0" w:type="auto"/>
          </w:tcPr>
          <w:p w14:paraId="0357EEA3" w14:textId="77777777" w:rsidR="00611539" w:rsidRPr="000C5085" w:rsidRDefault="00611539" w:rsidP="000C5085">
            <w:pPr>
              <w:widowControl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p>
          <w:p w14:paraId="5F6A8A1A"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N=4003</w:t>
            </w:r>
          </w:p>
        </w:tc>
        <w:tc>
          <w:tcPr>
            <w:tcW w:w="0" w:type="auto"/>
          </w:tcPr>
          <w:p w14:paraId="1540EBB4" w14:textId="77777777" w:rsidR="00611539" w:rsidRPr="000C5085" w:rsidRDefault="00611539" w:rsidP="000C5085">
            <w:pPr>
              <w:widowControl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rPr>
              <w:t>Tamoksifenas</w:t>
            </w:r>
            <w:proofErr w:type="spellEnd"/>
          </w:p>
          <w:p w14:paraId="769F0D36"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N=4007</w:t>
            </w:r>
          </w:p>
          <w:p w14:paraId="4ECAD2FE" w14:textId="77777777" w:rsidR="00611539" w:rsidRPr="000C5085" w:rsidRDefault="00611539" w:rsidP="000C5085">
            <w:pPr>
              <w:widowControl w:val="0"/>
              <w:spacing w:after="0" w:line="240" w:lineRule="auto"/>
              <w:jc w:val="center"/>
              <w:rPr>
                <w:rFonts w:ascii="Times New Roman" w:eastAsia="Calibri" w:hAnsi="Times New Roman" w:cs="Times New Roman"/>
              </w:rPr>
            </w:pPr>
          </w:p>
        </w:tc>
        <w:tc>
          <w:tcPr>
            <w:tcW w:w="0" w:type="auto"/>
          </w:tcPr>
          <w:p w14:paraId="560D3636"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RS </w:t>
            </w:r>
            <w:r w:rsidRPr="000C5085">
              <w:rPr>
                <w:rFonts w:ascii="Times New Roman" w:eastAsia="Calibri" w:hAnsi="Times New Roman" w:cs="Times New Roman"/>
                <w:vertAlign w:val="superscript"/>
              </w:rPr>
              <w:t>1</w:t>
            </w:r>
          </w:p>
          <w:p w14:paraId="53E58A96"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w:t>
            </w:r>
          </w:p>
          <w:p w14:paraId="28027595"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P</w:t>
            </w:r>
          </w:p>
        </w:tc>
      </w:tr>
      <w:tr w:rsidR="00611539" w:rsidRPr="000C5085" w14:paraId="0AD77A70" w14:textId="77777777" w:rsidTr="00947DEE">
        <w:tc>
          <w:tcPr>
            <w:tcW w:w="0" w:type="auto"/>
          </w:tcPr>
          <w:p w14:paraId="34CB13B5"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be ligos pasireiškimo (pagrindinė vertinamoji baigtis) – reiškiniai</w:t>
            </w:r>
          </w:p>
          <w:p w14:paraId="6DBFD13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(protokolinis apibūdinimas</w:t>
            </w:r>
            <w:r w:rsidRPr="000C5085">
              <w:rPr>
                <w:rFonts w:ascii="Times New Roman" w:eastAsia="Calibri" w:hAnsi="Times New Roman" w:cs="Times New Roman"/>
                <w:vertAlign w:val="superscript"/>
              </w:rPr>
              <w:t>2</w:t>
            </w:r>
            <w:r w:rsidRPr="000C5085">
              <w:rPr>
                <w:rFonts w:ascii="Times New Roman" w:eastAsia="Calibri" w:hAnsi="Times New Roman" w:cs="Times New Roman"/>
              </w:rPr>
              <w:t>)</w:t>
            </w:r>
          </w:p>
        </w:tc>
        <w:tc>
          <w:tcPr>
            <w:tcW w:w="0" w:type="auto"/>
          </w:tcPr>
          <w:p w14:paraId="72CABEE7"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351</w:t>
            </w:r>
          </w:p>
        </w:tc>
        <w:tc>
          <w:tcPr>
            <w:tcW w:w="0" w:type="auto"/>
          </w:tcPr>
          <w:p w14:paraId="670A8CE4"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428</w:t>
            </w:r>
          </w:p>
        </w:tc>
        <w:tc>
          <w:tcPr>
            <w:tcW w:w="0" w:type="auto"/>
          </w:tcPr>
          <w:p w14:paraId="1ACBF31A"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0,81</w:t>
            </w:r>
          </w:p>
          <w:p w14:paraId="1D39F1FB"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(0,70, 0,93)</w:t>
            </w:r>
          </w:p>
          <w:p w14:paraId="5304F33D"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0,003</w:t>
            </w:r>
          </w:p>
        </w:tc>
        <w:tc>
          <w:tcPr>
            <w:tcW w:w="0" w:type="auto"/>
          </w:tcPr>
          <w:p w14:paraId="7FF448D1"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585</w:t>
            </w:r>
          </w:p>
        </w:tc>
        <w:tc>
          <w:tcPr>
            <w:tcW w:w="0" w:type="auto"/>
          </w:tcPr>
          <w:p w14:paraId="599A7C1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664</w:t>
            </w:r>
          </w:p>
        </w:tc>
        <w:tc>
          <w:tcPr>
            <w:tcW w:w="0" w:type="auto"/>
          </w:tcPr>
          <w:p w14:paraId="1696D260"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0,86</w:t>
            </w:r>
          </w:p>
          <w:p w14:paraId="33116ED0"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(0,77, 0,96)</w:t>
            </w:r>
          </w:p>
          <w:p w14:paraId="3ED4F568"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0,008</w:t>
            </w:r>
          </w:p>
        </w:tc>
      </w:tr>
      <w:tr w:rsidR="00611539" w:rsidRPr="000C5085" w14:paraId="5091E5DC" w14:textId="77777777" w:rsidTr="00947DEE">
        <w:tc>
          <w:tcPr>
            <w:tcW w:w="0" w:type="auto"/>
          </w:tcPr>
          <w:p w14:paraId="0780E47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Bendrasis </w:t>
            </w:r>
            <w:proofErr w:type="spellStart"/>
            <w:r w:rsidRPr="000C5085">
              <w:rPr>
                <w:rFonts w:ascii="Times New Roman" w:eastAsia="Calibri" w:hAnsi="Times New Roman" w:cs="Times New Roman"/>
              </w:rPr>
              <w:t>išgyvenamumas</w:t>
            </w:r>
            <w:proofErr w:type="spellEnd"/>
          </w:p>
          <w:p w14:paraId="76CA8C6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(antrinė vertinamoji baigtis)</w:t>
            </w:r>
          </w:p>
          <w:p w14:paraId="5378B14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Mirčių skaičius</w:t>
            </w:r>
          </w:p>
        </w:tc>
        <w:tc>
          <w:tcPr>
            <w:tcW w:w="0" w:type="auto"/>
          </w:tcPr>
          <w:p w14:paraId="58356EEB"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166</w:t>
            </w:r>
          </w:p>
        </w:tc>
        <w:tc>
          <w:tcPr>
            <w:tcW w:w="0" w:type="auto"/>
          </w:tcPr>
          <w:p w14:paraId="14ED18D2"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192</w:t>
            </w:r>
          </w:p>
        </w:tc>
        <w:tc>
          <w:tcPr>
            <w:tcW w:w="0" w:type="auto"/>
          </w:tcPr>
          <w:p w14:paraId="66DDF5E5"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0,86</w:t>
            </w:r>
          </w:p>
          <w:p w14:paraId="6C2F489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(0,70, 1,06)</w:t>
            </w:r>
          </w:p>
        </w:tc>
        <w:tc>
          <w:tcPr>
            <w:tcW w:w="0" w:type="auto"/>
          </w:tcPr>
          <w:p w14:paraId="6D002F4D"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330</w:t>
            </w:r>
          </w:p>
        </w:tc>
        <w:tc>
          <w:tcPr>
            <w:tcW w:w="0" w:type="auto"/>
          </w:tcPr>
          <w:p w14:paraId="3B239F9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374</w:t>
            </w:r>
          </w:p>
        </w:tc>
        <w:tc>
          <w:tcPr>
            <w:tcW w:w="0" w:type="auto"/>
          </w:tcPr>
          <w:p w14:paraId="60AD94F4"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0,87</w:t>
            </w:r>
          </w:p>
          <w:p w14:paraId="7E384A9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(0,75, 1,01)</w:t>
            </w:r>
          </w:p>
        </w:tc>
      </w:tr>
    </w:tbl>
    <w:p w14:paraId="082BF786" w14:textId="77777777" w:rsidR="00611539" w:rsidRPr="000C5085" w:rsidRDefault="00611539" w:rsidP="000C5085">
      <w:pPr>
        <w:widowControl w:val="0"/>
        <w:spacing w:after="0" w:line="240" w:lineRule="auto"/>
        <w:rPr>
          <w:rFonts w:ascii="Times New Roman" w:eastAsia="Calibri" w:hAnsi="Times New Roman" w:cs="Times New Roman"/>
        </w:rPr>
      </w:pPr>
    </w:p>
    <w:p w14:paraId="19C397E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RS = rizikos santykis; PI = pasikliautinieji intervalai</w:t>
      </w:r>
    </w:p>
    <w:p w14:paraId="7FA7A36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vertAlign w:val="superscript"/>
        </w:rPr>
        <w:t>1</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Log</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rank</w:t>
      </w:r>
      <w:proofErr w:type="spellEnd"/>
      <w:r w:rsidRPr="000C5085">
        <w:rPr>
          <w:rFonts w:ascii="Times New Roman" w:eastAsia="Calibri" w:hAnsi="Times New Roman" w:cs="Times New Roman"/>
        </w:rPr>
        <w:t xml:space="preserve"> testas, </w:t>
      </w:r>
      <w:proofErr w:type="spellStart"/>
      <w:r w:rsidRPr="000C5085">
        <w:rPr>
          <w:rFonts w:ascii="Times New Roman" w:eastAsia="Calibri" w:hAnsi="Times New Roman" w:cs="Times New Roman"/>
        </w:rPr>
        <w:t>stratifikuota</w:t>
      </w:r>
      <w:proofErr w:type="spellEnd"/>
      <w:r w:rsidRPr="000C5085">
        <w:rPr>
          <w:rFonts w:ascii="Times New Roman" w:eastAsia="Calibri" w:hAnsi="Times New Roman" w:cs="Times New Roman"/>
        </w:rPr>
        <w:t xml:space="preserve"> pagal atsitiktinių imčių sudarymo galimybes ir chemoterapijos taikymą (taip/ne).</w:t>
      </w:r>
    </w:p>
    <w:p w14:paraId="5D33A2F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vertAlign w:val="superscript"/>
        </w:rPr>
        <w:t>2</w:t>
      </w:r>
      <w:r w:rsidRPr="000C5085">
        <w:rPr>
          <w:rFonts w:ascii="Times New Roman" w:eastAsia="Calibri" w:hAnsi="Times New Roman" w:cs="Times New Roman"/>
        </w:rPr>
        <w:t xml:space="preserve"> DFS reiškiniai: lokalus regioninis atsinaujinimas, tolimosios metastazės, invazinis kitos krūties vėžys, antrasis (ne krūties) pirminis vėžys, mirtis nuo bet kokios priežasties nepasireiškus jokiam su vėžiu susijusiam reiškiniui.</w:t>
      </w:r>
    </w:p>
    <w:p w14:paraId="2100D3B3" w14:textId="77777777" w:rsidR="00611539" w:rsidRPr="000C5085" w:rsidRDefault="00611539" w:rsidP="000C5085">
      <w:pPr>
        <w:widowControl w:val="0"/>
        <w:spacing w:after="0" w:line="240" w:lineRule="auto"/>
        <w:rPr>
          <w:rFonts w:ascii="Times New Roman" w:eastAsia="Calibri" w:hAnsi="Times New Roman" w:cs="Times New Roman"/>
        </w:rPr>
      </w:pPr>
    </w:p>
    <w:p w14:paraId="37C6434F"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 xml:space="preserve">96 mėnesių trukmės (mediana) stebėjimo rezultatai (tik </w:t>
      </w:r>
      <w:proofErr w:type="spellStart"/>
      <w:r w:rsidRPr="000C5085">
        <w:rPr>
          <w:rFonts w:ascii="Times New Roman" w:eastAsia="Calibri" w:hAnsi="Times New Roman" w:cs="Times New Roman"/>
          <w:i/>
        </w:rPr>
        <w:t>monoterapijos</w:t>
      </w:r>
      <w:proofErr w:type="spellEnd"/>
      <w:r w:rsidRPr="000C5085">
        <w:rPr>
          <w:rFonts w:ascii="Times New Roman" w:eastAsia="Calibri" w:hAnsi="Times New Roman" w:cs="Times New Roman"/>
          <w:i/>
        </w:rPr>
        <w:t xml:space="preserve"> grupės)</w:t>
      </w:r>
    </w:p>
    <w:p w14:paraId="4C10F9E7"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Monoterapijos</w:t>
      </w:r>
      <w:proofErr w:type="spellEnd"/>
      <w:r w:rsidRPr="000C5085">
        <w:rPr>
          <w:rFonts w:ascii="Times New Roman" w:eastAsia="Calibri" w:hAnsi="Times New Roman" w:cs="Times New Roman"/>
        </w:rPr>
        <w:t xml:space="preserve"> grupių analizės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Monotherapy</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Arms</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Analysis</w:t>
      </w:r>
      <w:proofErr w:type="spellEnd"/>
      <w:r w:rsidRPr="000C5085">
        <w:rPr>
          <w:rFonts w:ascii="Times New Roman" w:eastAsia="Calibri" w:hAnsi="Times New Roman" w:cs="Times New Roman"/>
        </w:rPr>
        <w:t xml:space="preserve">, MAA) ilgalaikių duomenų papildymas, lyginant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monoterapijos</w:t>
      </w:r>
      <w:proofErr w:type="spellEnd"/>
      <w:r w:rsidRPr="000C5085">
        <w:rPr>
          <w:rFonts w:ascii="Times New Roman" w:eastAsia="Calibri" w:hAnsi="Times New Roman" w:cs="Times New Roman"/>
        </w:rPr>
        <w:t xml:space="preserve"> veiksmingumą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trukmės mediana – 5 metai) pateiktas 5 lentelėje.</w:t>
      </w:r>
    </w:p>
    <w:p w14:paraId="424FE258" w14:textId="77777777" w:rsidR="00611539" w:rsidRPr="000C5085" w:rsidRDefault="00611539" w:rsidP="000C5085">
      <w:pPr>
        <w:widowControl w:val="0"/>
        <w:spacing w:after="0" w:line="240" w:lineRule="auto"/>
        <w:rPr>
          <w:rFonts w:ascii="Times New Roman" w:eastAsia="Calibri" w:hAnsi="Times New Roman" w:cs="Times New Roman"/>
        </w:rPr>
      </w:pPr>
    </w:p>
    <w:p w14:paraId="0DAB1221" w14:textId="2D42AB25"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5 lentelė. </w:t>
      </w:r>
      <w:proofErr w:type="spellStart"/>
      <w:r w:rsidRPr="000C5085">
        <w:rPr>
          <w:rFonts w:ascii="Times New Roman" w:eastAsia="Calibri" w:hAnsi="Times New Roman" w:cs="Times New Roman"/>
          <w:b/>
        </w:rPr>
        <w:t>Monoterapijos</w:t>
      </w:r>
      <w:proofErr w:type="spellEnd"/>
      <w:r w:rsidRPr="000C5085">
        <w:rPr>
          <w:rFonts w:ascii="Times New Roman" w:eastAsia="Calibri" w:hAnsi="Times New Roman" w:cs="Times New Roman"/>
          <w:b/>
        </w:rPr>
        <w:t xml:space="preserve"> grupių analizė: </w:t>
      </w: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xml:space="preserve"> be ligos pasireiškimo ir bendrasis </w:t>
      </w: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stebėjimo trukmės mediana 96</w:t>
      </w:r>
      <w:r w:rsidR="00B66BB6">
        <w:rPr>
          <w:rFonts w:ascii="Times New Roman" w:eastAsia="Calibri" w:hAnsi="Times New Roman" w:cs="Times New Roman"/>
        </w:rPr>
        <w:t> </w:t>
      </w:r>
      <w:r w:rsidRPr="000C5085">
        <w:rPr>
          <w:rFonts w:ascii="Times New Roman" w:eastAsia="Calibri" w:hAnsi="Times New Roman" w:cs="Times New Roman"/>
          <w:b/>
        </w:rPr>
        <w:t>mėnesiai (</w:t>
      </w:r>
      <w:r w:rsidRPr="000C5085">
        <w:rPr>
          <w:rFonts w:ascii="Times New Roman" w:eastAsia="Calibri" w:hAnsi="Times New Roman" w:cs="Times New Roman"/>
          <w:b/>
          <w:i/>
        </w:rPr>
        <w:t>ITT</w:t>
      </w:r>
      <w:r w:rsidRPr="000C5085">
        <w:rPr>
          <w:rFonts w:ascii="Times New Roman" w:eastAsia="Calibri" w:hAnsi="Times New Roman" w:cs="Times New Roman"/>
          <w:b/>
        </w:rPr>
        <w:t xml:space="preserve"> populiacija)</w:t>
      </w:r>
    </w:p>
    <w:p w14:paraId="76E32C64" w14:textId="77777777" w:rsidR="00611539" w:rsidRPr="000C5085" w:rsidRDefault="00611539" w:rsidP="000C5085">
      <w:pPr>
        <w:widowControl w:val="0"/>
        <w:spacing w:after="0" w:line="240" w:lineRule="auto"/>
        <w:rPr>
          <w:rFonts w:ascii="Times New Roman" w:eastAsia="Calibri" w:hAnsi="Times New Roman" w:cs="Times New Roman"/>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76"/>
        <w:gridCol w:w="1417"/>
        <w:gridCol w:w="1843"/>
        <w:gridCol w:w="957"/>
      </w:tblGrid>
      <w:tr w:rsidR="00611539" w:rsidRPr="000C5085" w14:paraId="4E741736" w14:textId="77777777" w:rsidTr="008637BB">
        <w:trPr>
          <w:trHeight w:val="154"/>
        </w:trPr>
        <w:tc>
          <w:tcPr>
            <w:tcW w:w="3686" w:type="dxa"/>
          </w:tcPr>
          <w:p w14:paraId="042ADF35"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tc>
        <w:tc>
          <w:tcPr>
            <w:tcW w:w="1276" w:type="dxa"/>
          </w:tcPr>
          <w:p w14:paraId="7BC1B6DD"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t>Letrozolas</w:t>
            </w:r>
            <w:proofErr w:type="spellEnd"/>
          </w:p>
          <w:p w14:paraId="5191287B"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t>N=2463</w:t>
            </w:r>
          </w:p>
        </w:tc>
        <w:tc>
          <w:tcPr>
            <w:tcW w:w="1417" w:type="dxa"/>
          </w:tcPr>
          <w:p w14:paraId="48CADB9D"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b/>
              </w:rPr>
              <w:t>Tamoksifenas</w:t>
            </w:r>
            <w:proofErr w:type="spellEnd"/>
          </w:p>
          <w:p w14:paraId="2957E337"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b/>
              </w:rPr>
              <w:t>N=2459</w:t>
            </w:r>
          </w:p>
        </w:tc>
        <w:tc>
          <w:tcPr>
            <w:tcW w:w="1843" w:type="dxa"/>
          </w:tcPr>
          <w:p w14:paraId="2BB46BE8"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b/>
              </w:rPr>
              <w:t>Rizikos santykis</w:t>
            </w:r>
            <w:r w:rsidRPr="000C5085">
              <w:rPr>
                <w:rFonts w:ascii="Times New Roman" w:eastAsia="Calibri" w:hAnsi="Times New Roman" w:cs="Times New Roman"/>
                <w:b/>
                <w:position w:val="8"/>
                <w:vertAlign w:val="superscript"/>
              </w:rPr>
              <w:t>1</w:t>
            </w:r>
          </w:p>
          <w:p w14:paraId="439C5C3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b/>
              </w:rPr>
              <w:t>(95</w:t>
            </w:r>
            <w:r w:rsidR="0045175C">
              <w:rPr>
                <w:rFonts w:ascii="Times New Roman" w:eastAsia="Calibri" w:hAnsi="Times New Roman" w:cs="Times New Roman"/>
              </w:rPr>
              <w:t> </w:t>
            </w:r>
            <w:r w:rsidRPr="000C5085">
              <w:rPr>
                <w:rFonts w:ascii="Times New Roman" w:eastAsia="Calibri" w:hAnsi="Times New Roman" w:cs="Times New Roman"/>
                <w:b/>
              </w:rPr>
              <w:t>% PI)</w:t>
            </w:r>
          </w:p>
        </w:tc>
        <w:tc>
          <w:tcPr>
            <w:tcW w:w="957" w:type="dxa"/>
          </w:tcPr>
          <w:p w14:paraId="608AF8B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b/>
                <w:i/>
              </w:rPr>
              <w:t xml:space="preserve">P </w:t>
            </w:r>
            <w:r w:rsidRPr="000C5085">
              <w:rPr>
                <w:rFonts w:ascii="Times New Roman" w:eastAsia="Calibri" w:hAnsi="Times New Roman" w:cs="Times New Roman"/>
                <w:b/>
              </w:rPr>
              <w:t>reikšmė</w:t>
            </w:r>
          </w:p>
        </w:tc>
      </w:tr>
      <w:tr w:rsidR="00611539" w:rsidRPr="000C5085" w14:paraId="76808BAC" w14:textId="77777777" w:rsidTr="008637BB">
        <w:trPr>
          <w:trHeight w:val="154"/>
        </w:trPr>
        <w:tc>
          <w:tcPr>
            <w:tcW w:w="3686" w:type="dxa"/>
          </w:tcPr>
          <w:p w14:paraId="56AB5C31"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be ligos pasireiškimo (pagrindinė vertinamoji baigtis)</w:t>
            </w:r>
            <w:r w:rsidRPr="000C5085">
              <w:rPr>
                <w:rFonts w:ascii="Times New Roman" w:eastAsia="Calibri" w:hAnsi="Times New Roman" w:cs="Times New Roman"/>
                <w:position w:val="8"/>
                <w:vertAlign w:val="superscript"/>
              </w:rPr>
              <w:t xml:space="preserve">2 </w:t>
            </w:r>
          </w:p>
        </w:tc>
        <w:tc>
          <w:tcPr>
            <w:tcW w:w="1276" w:type="dxa"/>
          </w:tcPr>
          <w:p w14:paraId="06FC9B0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626</w:t>
            </w:r>
          </w:p>
        </w:tc>
        <w:tc>
          <w:tcPr>
            <w:tcW w:w="1417" w:type="dxa"/>
          </w:tcPr>
          <w:p w14:paraId="23D3D2C7"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698</w:t>
            </w:r>
          </w:p>
        </w:tc>
        <w:tc>
          <w:tcPr>
            <w:tcW w:w="1843" w:type="dxa"/>
          </w:tcPr>
          <w:p w14:paraId="1049EC78"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0,87 (0,78, 0,99)</w:t>
            </w:r>
          </w:p>
        </w:tc>
        <w:tc>
          <w:tcPr>
            <w:tcW w:w="957" w:type="dxa"/>
          </w:tcPr>
          <w:p w14:paraId="7F0178B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0,01</w:t>
            </w:r>
          </w:p>
        </w:tc>
      </w:tr>
      <w:tr w:rsidR="00611539" w:rsidRPr="000C5085" w14:paraId="03DE4B43" w14:textId="77777777" w:rsidTr="008637BB">
        <w:trPr>
          <w:trHeight w:val="144"/>
        </w:trPr>
        <w:tc>
          <w:tcPr>
            <w:tcW w:w="3686" w:type="dxa"/>
          </w:tcPr>
          <w:p w14:paraId="3C7B301C"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Laikas iki tolimųjų metastazių atsiradimo (antrinė vertinamoji baigtis)</w:t>
            </w:r>
          </w:p>
        </w:tc>
        <w:tc>
          <w:tcPr>
            <w:tcW w:w="1276" w:type="dxa"/>
          </w:tcPr>
          <w:p w14:paraId="5CF167EE"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301</w:t>
            </w:r>
          </w:p>
        </w:tc>
        <w:tc>
          <w:tcPr>
            <w:tcW w:w="1417" w:type="dxa"/>
          </w:tcPr>
          <w:p w14:paraId="342CF36C"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342</w:t>
            </w:r>
          </w:p>
        </w:tc>
        <w:tc>
          <w:tcPr>
            <w:tcW w:w="1843" w:type="dxa"/>
          </w:tcPr>
          <w:p w14:paraId="3B834788"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0,86 (0,74, 1,01)</w:t>
            </w:r>
          </w:p>
        </w:tc>
        <w:tc>
          <w:tcPr>
            <w:tcW w:w="957" w:type="dxa"/>
          </w:tcPr>
          <w:p w14:paraId="365C0951"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0,06</w:t>
            </w:r>
          </w:p>
        </w:tc>
      </w:tr>
      <w:tr w:rsidR="00611539" w:rsidRPr="000C5085" w14:paraId="1E2439BF" w14:textId="77777777" w:rsidTr="008637BB">
        <w:trPr>
          <w:trHeight w:val="144"/>
        </w:trPr>
        <w:tc>
          <w:tcPr>
            <w:tcW w:w="3686" w:type="dxa"/>
          </w:tcPr>
          <w:p w14:paraId="01F9ECDC"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Bendrasis </w:t>
            </w: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(antrinė vertinamoji baigtis) - mirtys </w:t>
            </w:r>
          </w:p>
        </w:tc>
        <w:tc>
          <w:tcPr>
            <w:tcW w:w="1276" w:type="dxa"/>
          </w:tcPr>
          <w:p w14:paraId="6C006B2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393</w:t>
            </w:r>
          </w:p>
        </w:tc>
        <w:tc>
          <w:tcPr>
            <w:tcW w:w="1417" w:type="dxa"/>
          </w:tcPr>
          <w:p w14:paraId="671B3F4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436</w:t>
            </w:r>
          </w:p>
        </w:tc>
        <w:tc>
          <w:tcPr>
            <w:tcW w:w="1843" w:type="dxa"/>
          </w:tcPr>
          <w:p w14:paraId="1B56CF9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0,89 (0,77, 1,02)</w:t>
            </w:r>
          </w:p>
        </w:tc>
        <w:tc>
          <w:tcPr>
            <w:tcW w:w="957" w:type="dxa"/>
          </w:tcPr>
          <w:p w14:paraId="6C65F2E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lang w:val="sl-SI"/>
              </w:rPr>
              <w:t>0,08</w:t>
            </w:r>
          </w:p>
        </w:tc>
      </w:tr>
      <w:tr w:rsidR="00611539" w:rsidRPr="000C5085" w14:paraId="320234F0" w14:textId="77777777" w:rsidTr="008637BB">
        <w:trPr>
          <w:trHeight w:val="154"/>
        </w:trPr>
        <w:tc>
          <w:tcPr>
            <w:tcW w:w="4962" w:type="dxa"/>
            <w:gridSpan w:val="2"/>
          </w:tcPr>
          <w:p w14:paraId="6EC8264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Koreguota (</w:t>
            </w:r>
            <w:proofErr w:type="spellStart"/>
            <w:r w:rsidRPr="000C5085">
              <w:rPr>
                <w:rFonts w:ascii="Times New Roman" w:eastAsia="Calibri" w:hAnsi="Times New Roman" w:cs="Times New Roman"/>
                <w:i/>
              </w:rPr>
              <w:t>censored</w:t>
            </w:r>
            <w:proofErr w:type="spellEnd"/>
            <w:r w:rsidRPr="000C5085">
              <w:rPr>
                <w:rFonts w:ascii="Times New Roman" w:eastAsia="Calibri" w:hAnsi="Times New Roman" w:cs="Times New Roman"/>
              </w:rPr>
              <w:t>) DFS analizė</w:t>
            </w:r>
            <w:r w:rsidRPr="000C5085">
              <w:rPr>
                <w:rFonts w:ascii="Times New Roman" w:eastAsia="Calibri" w:hAnsi="Times New Roman" w:cs="Times New Roman"/>
                <w:position w:val="8"/>
                <w:vertAlign w:val="superscript"/>
              </w:rPr>
              <w:t xml:space="preserve"> 3 </w:t>
            </w:r>
            <w:r w:rsidRPr="000C5085">
              <w:rPr>
                <w:rFonts w:ascii="Times New Roman" w:eastAsia="Calibri" w:hAnsi="Times New Roman" w:cs="Times New Roman"/>
              </w:rPr>
              <w:t>626</w:t>
            </w:r>
          </w:p>
        </w:tc>
        <w:tc>
          <w:tcPr>
            <w:tcW w:w="1417" w:type="dxa"/>
          </w:tcPr>
          <w:p w14:paraId="0F71867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649 </w:t>
            </w:r>
          </w:p>
        </w:tc>
        <w:tc>
          <w:tcPr>
            <w:tcW w:w="1843" w:type="dxa"/>
          </w:tcPr>
          <w:p w14:paraId="113FD201"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0,83 (0,74, 0,92)</w:t>
            </w:r>
          </w:p>
        </w:tc>
        <w:tc>
          <w:tcPr>
            <w:tcW w:w="957" w:type="dxa"/>
          </w:tcPr>
          <w:p w14:paraId="58683D3D"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p>
        </w:tc>
      </w:tr>
      <w:tr w:rsidR="00611539" w:rsidRPr="000C5085" w14:paraId="5A4AAC9A" w14:textId="77777777" w:rsidTr="008637BB">
        <w:trPr>
          <w:trHeight w:val="154"/>
        </w:trPr>
        <w:tc>
          <w:tcPr>
            <w:tcW w:w="4962" w:type="dxa"/>
            <w:gridSpan w:val="2"/>
          </w:tcPr>
          <w:p w14:paraId="19B5A49F"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Koreguota (</w:t>
            </w:r>
            <w:proofErr w:type="spellStart"/>
            <w:r w:rsidRPr="000C5085">
              <w:rPr>
                <w:rFonts w:ascii="Times New Roman" w:eastAsia="Calibri" w:hAnsi="Times New Roman" w:cs="Times New Roman"/>
                <w:i/>
              </w:rPr>
              <w:t>censored</w:t>
            </w:r>
            <w:proofErr w:type="spellEnd"/>
            <w:r w:rsidRPr="000C5085">
              <w:rPr>
                <w:rFonts w:ascii="Times New Roman" w:eastAsia="Calibri" w:hAnsi="Times New Roman" w:cs="Times New Roman"/>
              </w:rPr>
              <w:t>) OS analizė</w:t>
            </w:r>
            <w:r w:rsidRPr="000C5085">
              <w:rPr>
                <w:rFonts w:ascii="Times New Roman" w:eastAsia="Calibri" w:hAnsi="Times New Roman" w:cs="Times New Roman"/>
                <w:position w:val="8"/>
                <w:vertAlign w:val="superscript"/>
              </w:rPr>
              <w:t xml:space="preserve"> 3 </w:t>
            </w:r>
            <w:r w:rsidRPr="000C5085">
              <w:rPr>
                <w:rFonts w:ascii="Times New Roman" w:eastAsia="Calibri" w:hAnsi="Times New Roman" w:cs="Times New Roman"/>
              </w:rPr>
              <w:t>393</w:t>
            </w:r>
          </w:p>
        </w:tc>
        <w:tc>
          <w:tcPr>
            <w:tcW w:w="1417" w:type="dxa"/>
          </w:tcPr>
          <w:p w14:paraId="68791B89"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419 </w:t>
            </w:r>
          </w:p>
        </w:tc>
        <w:tc>
          <w:tcPr>
            <w:tcW w:w="1843" w:type="dxa"/>
          </w:tcPr>
          <w:p w14:paraId="09224452"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0,81 (0,70, 0,93)</w:t>
            </w:r>
          </w:p>
        </w:tc>
        <w:tc>
          <w:tcPr>
            <w:tcW w:w="957" w:type="dxa"/>
          </w:tcPr>
          <w:p w14:paraId="02A3A056"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p>
        </w:tc>
      </w:tr>
      <w:tr w:rsidR="00611539" w:rsidRPr="000C5085" w14:paraId="1979CC69" w14:textId="77777777" w:rsidTr="008637BB">
        <w:trPr>
          <w:trHeight w:val="533"/>
        </w:trPr>
        <w:tc>
          <w:tcPr>
            <w:tcW w:w="9179" w:type="dxa"/>
            <w:gridSpan w:val="5"/>
          </w:tcPr>
          <w:p w14:paraId="7DCC73F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vertAlign w:val="superscript"/>
              </w:rPr>
              <w:t>1</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Log</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rank</w:t>
            </w:r>
            <w:proofErr w:type="spellEnd"/>
            <w:r w:rsidRPr="000C5085">
              <w:rPr>
                <w:rFonts w:ascii="Times New Roman" w:eastAsia="Calibri" w:hAnsi="Times New Roman" w:cs="Times New Roman"/>
              </w:rPr>
              <w:t xml:space="preserve"> testas, </w:t>
            </w:r>
            <w:proofErr w:type="spellStart"/>
            <w:r w:rsidRPr="000C5085">
              <w:rPr>
                <w:rFonts w:ascii="Times New Roman" w:eastAsia="Calibri" w:hAnsi="Times New Roman" w:cs="Times New Roman"/>
              </w:rPr>
              <w:t>stratifikuota</w:t>
            </w:r>
            <w:proofErr w:type="spellEnd"/>
            <w:r w:rsidRPr="000C5085">
              <w:rPr>
                <w:rFonts w:ascii="Times New Roman" w:eastAsia="Calibri" w:hAnsi="Times New Roman" w:cs="Times New Roman"/>
              </w:rPr>
              <w:t xml:space="preserve"> pagal atsitiktinių imčių sudarymo galimybes ir chemoterapijos taikymą (taip/ne).</w:t>
            </w:r>
          </w:p>
          <w:p w14:paraId="278A1B1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vertAlign w:val="superscript"/>
              </w:rPr>
              <w:t>2</w:t>
            </w:r>
            <w:r w:rsidRPr="000C5085">
              <w:rPr>
                <w:rFonts w:ascii="Times New Roman" w:eastAsia="Calibri" w:hAnsi="Times New Roman" w:cs="Times New Roman"/>
              </w:rPr>
              <w:t xml:space="preserve"> DFS reiškiniai: lokalus regioninis atsinaujinimas, tolimosios metastazės, invazinis kitos krūties vėžys, antrasis (ne krūties) pirminis vėžys, mirtis nuo bet kokios priežasties nepasireiškus jokiam su vėžiu susijusiam reiškiniui.</w:t>
            </w:r>
          </w:p>
          <w:p w14:paraId="783EBA30"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3</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 xml:space="preserve">Stebėjimo laiko duomenys vertinti iki datos, kai pacientėms vietoj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selektyviai skirta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tc>
      </w:tr>
    </w:tbl>
    <w:p w14:paraId="70A38D1E" w14:textId="77777777" w:rsidR="00611539" w:rsidRPr="000C5085" w:rsidRDefault="00611539" w:rsidP="000C5085">
      <w:pPr>
        <w:widowControl w:val="0"/>
        <w:spacing w:after="0" w:line="240" w:lineRule="auto"/>
        <w:rPr>
          <w:rFonts w:ascii="Times New Roman" w:eastAsia="Calibri" w:hAnsi="Times New Roman" w:cs="Times New Roman"/>
        </w:rPr>
      </w:pPr>
    </w:p>
    <w:p w14:paraId="4D69A1D9"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i/>
        </w:rPr>
      </w:pPr>
      <w:r w:rsidRPr="000C5085">
        <w:rPr>
          <w:rFonts w:ascii="Times New Roman" w:eastAsia="Calibri" w:hAnsi="Times New Roman" w:cs="Times New Roman"/>
          <w:i/>
        </w:rPr>
        <w:t>Nuoseklaus gydymo analizė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w:t>
      </w:r>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Sequential</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Treatments</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Analysis</w:t>
      </w:r>
      <w:proofErr w:type="spellEnd"/>
      <w:r w:rsidRPr="000C5085">
        <w:rPr>
          <w:rFonts w:ascii="Times New Roman" w:eastAsia="Calibri" w:hAnsi="Times New Roman" w:cs="Times New Roman"/>
          <w:i/>
        </w:rPr>
        <w:t xml:space="preserve">, </w:t>
      </w:r>
      <w:r w:rsidRPr="000C5085">
        <w:rPr>
          <w:rFonts w:ascii="Times New Roman" w:eastAsia="Calibri" w:hAnsi="Times New Roman" w:cs="Times New Roman"/>
        </w:rPr>
        <w:t>STA</w:t>
      </w:r>
      <w:r w:rsidRPr="000C5085">
        <w:rPr>
          <w:rFonts w:ascii="Times New Roman" w:eastAsia="Calibri" w:hAnsi="Times New Roman" w:cs="Times New Roman"/>
          <w:i/>
        </w:rPr>
        <w:t>)</w:t>
      </w:r>
    </w:p>
    <w:p w14:paraId="6872D5AD" w14:textId="71AC6DA6"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Nuoseklaus gydymo analizės (STA) metu siekta atsakyti į antrąjį pagrindinį BIG 1-98 klausimą, t. y. ar nuoseklus gydymas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yra pranašesnis už </w:t>
      </w:r>
      <w:proofErr w:type="spellStart"/>
      <w:r w:rsidRPr="000C5085">
        <w:rPr>
          <w:rFonts w:ascii="Times New Roman" w:eastAsia="Calibri" w:hAnsi="Times New Roman" w:cs="Times New Roman"/>
        </w:rPr>
        <w:t>monoterapiją</w:t>
      </w:r>
      <w:proofErr w:type="spellEnd"/>
      <w:r w:rsidRPr="000C5085">
        <w:rPr>
          <w:rFonts w:ascii="Times New Roman" w:eastAsia="Calibri" w:hAnsi="Times New Roman" w:cs="Times New Roman"/>
        </w:rPr>
        <w:t xml:space="preserve">. Nuoseklaus gydymo atveju DFS, OS, SDFS ar DDFS reikšmingai nesiskyrė nuo atitinkamų </w:t>
      </w:r>
      <w:proofErr w:type="spellStart"/>
      <w:r w:rsidRPr="000C5085">
        <w:rPr>
          <w:rFonts w:ascii="Times New Roman" w:eastAsia="Calibri" w:hAnsi="Times New Roman" w:cs="Times New Roman"/>
        </w:rPr>
        <w:t>monoterapijos</w:t>
      </w:r>
      <w:proofErr w:type="spellEnd"/>
      <w:r w:rsidRPr="000C5085">
        <w:rPr>
          <w:rFonts w:ascii="Times New Roman" w:eastAsia="Calibri" w:hAnsi="Times New Roman" w:cs="Times New Roman"/>
        </w:rPr>
        <w:t xml:space="preserve"> rodmenų (6</w:t>
      </w:r>
      <w:r w:rsidR="00B66BB6">
        <w:rPr>
          <w:rFonts w:ascii="Times New Roman" w:eastAsia="Calibri" w:hAnsi="Times New Roman" w:cs="Times New Roman"/>
        </w:rPr>
        <w:t> </w:t>
      </w:r>
      <w:r w:rsidRPr="000C5085">
        <w:rPr>
          <w:rFonts w:ascii="Times New Roman" w:eastAsia="Calibri" w:hAnsi="Times New Roman" w:cs="Times New Roman"/>
        </w:rPr>
        <w:t>lentelė).</w:t>
      </w:r>
    </w:p>
    <w:p w14:paraId="187C3181" w14:textId="77777777" w:rsidR="00611539" w:rsidRPr="000C5085" w:rsidRDefault="00611539" w:rsidP="000C5085">
      <w:pPr>
        <w:widowControl w:val="0"/>
        <w:spacing w:after="0" w:line="240" w:lineRule="auto"/>
        <w:rPr>
          <w:rFonts w:ascii="Times New Roman" w:eastAsia="Calibri" w:hAnsi="Times New Roman" w:cs="Times New Roman"/>
          <w:b/>
        </w:rPr>
      </w:pPr>
    </w:p>
    <w:p w14:paraId="6F83EBAA" w14:textId="7EF776E2"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6</w:t>
      </w:r>
      <w:r w:rsidR="00B66BB6">
        <w:rPr>
          <w:rFonts w:ascii="Times New Roman" w:eastAsia="Calibri" w:hAnsi="Times New Roman" w:cs="Times New Roman"/>
        </w:rPr>
        <w:t> </w:t>
      </w:r>
      <w:r w:rsidRPr="000C5085">
        <w:rPr>
          <w:rFonts w:ascii="Times New Roman" w:eastAsia="Calibri" w:hAnsi="Times New Roman" w:cs="Times New Roman"/>
          <w:b/>
        </w:rPr>
        <w:t xml:space="preserve">lentelė. Nuoseklaus gydymo analizė, vertinant </w:t>
      </w:r>
      <w:proofErr w:type="spellStart"/>
      <w:r w:rsidRPr="000C5085">
        <w:rPr>
          <w:rFonts w:ascii="Times New Roman" w:eastAsia="Calibri" w:hAnsi="Times New Roman" w:cs="Times New Roman"/>
          <w:b/>
        </w:rPr>
        <w:t>išgyvenamumą</w:t>
      </w:r>
      <w:proofErr w:type="spellEnd"/>
      <w:r w:rsidRPr="000C5085">
        <w:rPr>
          <w:rFonts w:ascii="Times New Roman" w:eastAsia="Calibri" w:hAnsi="Times New Roman" w:cs="Times New Roman"/>
          <w:b/>
        </w:rPr>
        <w:t xml:space="preserve"> be ligos pasireiškimo, kai </w:t>
      </w:r>
      <w:proofErr w:type="spellStart"/>
      <w:r w:rsidRPr="000C5085">
        <w:rPr>
          <w:rFonts w:ascii="Times New Roman" w:eastAsia="Calibri" w:hAnsi="Times New Roman" w:cs="Times New Roman"/>
          <w:b/>
        </w:rPr>
        <w:t>letrozolas</w:t>
      </w:r>
      <w:proofErr w:type="spellEnd"/>
      <w:r w:rsidRPr="000C5085">
        <w:rPr>
          <w:rFonts w:ascii="Times New Roman" w:eastAsia="Calibri" w:hAnsi="Times New Roman" w:cs="Times New Roman"/>
          <w:b/>
        </w:rPr>
        <w:t xml:space="preserve"> buvo pirmasis vartotas endokrininę sistemą veikiantis vaistinis preparatas (pakeisto gydymo į STA populiacija)</w:t>
      </w:r>
    </w:p>
    <w:p w14:paraId="32F4D5BD" w14:textId="77777777" w:rsidR="00611539" w:rsidRPr="000C5085" w:rsidRDefault="00611539" w:rsidP="000C5085">
      <w:pPr>
        <w:widowControl w:val="0"/>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0"/>
        <w:gridCol w:w="829"/>
        <w:gridCol w:w="1252"/>
        <w:gridCol w:w="1371"/>
        <w:gridCol w:w="1524"/>
        <w:gridCol w:w="1391"/>
      </w:tblGrid>
      <w:tr w:rsidR="00611539" w:rsidRPr="000C5085" w14:paraId="46265A90" w14:textId="77777777" w:rsidTr="008637BB">
        <w:tc>
          <w:tcPr>
            <w:tcW w:w="2943" w:type="dxa"/>
          </w:tcPr>
          <w:p w14:paraId="75B88C99" w14:textId="77777777" w:rsidR="00611539" w:rsidRPr="000C5085" w:rsidRDefault="00611539" w:rsidP="000C5085">
            <w:pPr>
              <w:widowControl w:val="0"/>
              <w:spacing w:after="0" w:line="240" w:lineRule="auto"/>
              <w:rPr>
                <w:rFonts w:ascii="Times New Roman" w:eastAsia="Calibri" w:hAnsi="Times New Roman" w:cs="Times New Roman"/>
              </w:rPr>
            </w:pPr>
          </w:p>
        </w:tc>
        <w:tc>
          <w:tcPr>
            <w:tcW w:w="851" w:type="dxa"/>
          </w:tcPr>
          <w:p w14:paraId="43F6BAB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w:t>
            </w:r>
          </w:p>
        </w:tc>
        <w:tc>
          <w:tcPr>
            <w:tcW w:w="1276" w:type="dxa"/>
          </w:tcPr>
          <w:p w14:paraId="6B662FD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Reiškinių skaičius</w:t>
            </w:r>
            <w:r w:rsidRPr="000C5085">
              <w:rPr>
                <w:rFonts w:ascii="Times New Roman" w:eastAsia="Calibri" w:hAnsi="Times New Roman" w:cs="Times New Roman"/>
                <w:vertAlign w:val="superscript"/>
              </w:rPr>
              <w:t>1</w:t>
            </w:r>
          </w:p>
        </w:tc>
        <w:tc>
          <w:tcPr>
            <w:tcW w:w="1417" w:type="dxa"/>
          </w:tcPr>
          <w:p w14:paraId="4A45FC6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Rizikos santykis</w:t>
            </w:r>
            <w:r w:rsidRPr="000C5085">
              <w:rPr>
                <w:rFonts w:ascii="Times New Roman" w:eastAsia="Calibri" w:hAnsi="Times New Roman" w:cs="Times New Roman"/>
                <w:vertAlign w:val="superscript"/>
              </w:rPr>
              <w:t>2</w:t>
            </w:r>
          </w:p>
        </w:tc>
        <w:tc>
          <w:tcPr>
            <w:tcW w:w="1524" w:type="dxa"/>
          </w:tcPr>
          <w:p w14:paraId="79F10FB3" w14:textId="7698A66C"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(97</w:t>
            </w:r>
            <w:r w:rsidR="0045175C">
              <w:rPr>
                <w:rFonts w:ascii="Times New Roman" w:eastAsia="Calibri" w:hAnsi="Times New Roman" w:cs="Times New Roman"/>
              </w:rPr>
              <w:t>,</w:t>
            </w:r>
            <w:r w:rsidRPr="000C5085">
              <w:rPr>
                <w:rFonts w:ascii="Times New Roman" w:eastAsia="Calibri" w:hAnsi="Times New Roman" w:cs="Times New Roman"/>
              </w:rPr>
              <w:t>5</w:t>
            </w:r>
            <w:r w:rsidR="0045175C">
              <w:rPr>
                <w:rFonts w:ascii="Times New Roman" w:eastAsia="Calibri" w:hAnsi="Times New Roman" w:cs="Times New Roman"/>
              </w:rPr>
              <w:t> </w:t>
            </w:r>
            <w:r w:rsidRPr="000C5085">
              <w:rPr>
                <w:rFonts w:ascii="Times New Roman" w:eastAsia="Calibri" w:hAnsi="Times New Roman" w:cs="Times New Roman"/>
              </w:rPr>
              <w:t>% pasikliautinieji intervalai)</w:t>
            </w:r>
          </w:p>
        </w:tc>
        <w:tc>
          <w:tcPr>
            <w:tcW w:w="1448" w:type="dxa"/>
          </w:tcPr>
          <w:p w14:paraId="2FF431C7"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Cox</w:t>
            </w:r>
            <w:proofErr w:type="spellEnd"/>
            <w:r w:rsidRPr="000C5085">
              <w:rPr>
                <w:rFonts w:ascii="Times New Roman" w:eastAsia="Calibri" w:hAnsi="Times New Roman" w:cs="Times New Roman"/>
              </w:rPr>
              <w:t xml:space="preserve"> modelio P reikšmė</w:t>
            </w:r>
          </w:p>
        </w:tc>
      </w:tr>
      <w:tr w:rsidR="00611539" w:rsidRPr="000C5085" w14:paraId="4AC46C76" w14:textId="77777777" w:rsidTr="008637BB">
        <w:tc>
          <w:tcPr>
            <w:tcW w:w="2891" w:type="dxa"/>
          </w:tcPr>
          <w:p w14:paraId="486D13C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w:t>
            </w:r>
            <w:proofErr w:type="spellStart"/>
            <w:r w:rsidRPr="000C5085">
              <w:rPr>
                <w:rFonts w:ascii="Times New Roman" w:eastAsia="Calibri" w:hAnsi="Times New Roman" w:cs="Times New Roman"/>
              </w:rPr>
              <w:t>Letrozolas→]Tamoksifenas</w:t>
            </w:r>
            <w:proofErr w:type="spellEnd"/>
          </w:p>
        </w:tc>
        <w:tc>
          <w:tcPr>
            <w:tcW w:w="800" w:type="dxa"/>
          </w:tcPr>
          <w:p w14:paraId="1B9CFF2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1460</w:t>
            </w:r>
          </w:p>
        </w:tc>
        <w:tc>
          <w:tcPr>
            <w:tcW w:w="1220" w:type="dxa"/>
          </w:tcPr>
          <w:p w14:paraId="70F6568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254</w:t>
            </w:r>
          </w:p>
        </w:tc>
        <w:tc>
          <w:tcPr>
            <w:tcW w:w="1310" w:type="dxa"/>
          </w:tcPr>
          <w:p w14:paraId="3562A2E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1,03</w:t>
            </w:r>
          </w:p>
        </w:tc>
        <w:tc>
          <w:tcPr>
            <w:tcW w:w="1524" w:type="dxa"/>
          </w:tcPr>
          <w:p w14:paraId="24106FB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color w:val="000000"/>
                <w:lang w:val="sl-SI"/>
              </w:rPr>
              <w:t>(0,84, 1,26)</w:t>
            </w:r>
          </w:p>
        </w:tc>
        <w:tc>
          <w:tcPr>
            <w:tcW w:w="1315" w:type="dxa"/>
          </w:tcPr>
          <w:p w14:paraId="259B1D6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0,72</w:t>
            </w:r>
          </w:p>
        </w:tc>
      </w:tr>
      <w:tr w:rsidR="00611539" w:rsidRPr="000C5085" w14:paraId="0F87C5F1" w14:textId="77777777" w:rsidTr="008637BB">
        <w:tc>
          <w:tcPr>
            <w:tcW w:w="2943" w:type="dxa"/>
          </w:tcPr>
          <w:p w14:paraId="6C81B57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w:t>
            </w:r>
            <w:proofErr w:type="spellStart"/>
            <w:r w:rsidRPr="000C5085">
              <w:rPr>
                <w:rFonts w:ascii="Times New Roman" w:eastAsia="Calibri" w:hAnsi="Times New Roman" w:cs="Times New Roman"/>
              </w:rPr>
              <w:t>Letrozolas</w:t>
            </w:r>
            <w:proofErr w:type="spellEnd"/>
          </w:p>
        </w:tc>
        <w:tc>
          <w:tcPr>
            <w:tcW w:w="851" w:type="dxa"/>
          </w:tcPr>
          <w:p w14:paraId="471C9FA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1463</w:t>
            </w:r>
          </w:p>
        </w:tc>
        <w:tc>
          <w:tcPr>
            <w:tcW w:w="1276" w:type="dxa"/>
          </w:tcPr>
          <w:p w14:paraId="3026A84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178</w:t>
            </w:r>
          </w:p>
        </w:tc>
        <w:tc>
          <w:tcPr>
            <w:tcW w:w="1417" w:type="dxa"/>
          </w:tcPr>
          <w:p w14:paraId="5611C1D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0,92</w:t>
            </w:r>
          </w:p>
        </w:tc>
        <w:tc>
          <w:tcPr>
            <w:tcW w:w="1524" w:type="dxa"/>
          </w:tcPr>
          <w:p w14:paraId="02465B7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(0,72,1,17)</w:t>
            </w:r>
          </w:p>
        </w:tc>
        <w:tc>
          <w:tcPr>
            <w:tcW w:w="1448" w:type="dxa"/>
          </w:tcPr>
          <w:p w14:paraId="602F3EC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0,42</w:t>
            </w:r>
          </w:p>
        </w:tc>
      </w:tr>
    </w:tbl>
    <w:p w14:paraId="66C165C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1 Protokolinis apibūdinimas, įskaitant antrąjį (ne krūties) pirminį vėžį, po gydymo keitimo / praėjus dvejiems metams</w:t>
      </w:r>
    </w:p>
    <w:p w14:paraId="246A31C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2 Koreguota pagal taikytą chemoterapiją</w:t>
      </w:r>
    </w:p>
    <w:p w14:paraId="19035DE8" w14:textId="77777777" w:rsidR="00611539" w:rsidRPr="000C5085" w:rsidRDefault="00611539" w:rsidP="000C5085">
      <w:pPr>
        <w:widowControl w:val="0"/>
        <w:spacing w:after="0" w:line="240" w:lineRule="auto"/>
        <w:rPr>
          <w:rFonts w:ascii="Times New Roman" w:eastAsia="Calibri" w:hAnsi="Times New Roman" w:cs="Times New Roman"/>
        </w:rPr>
      </w:pPr>
    </w:p>
    <w:p w14:paraId="313647E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Reikšmingo DFS, OS, SDFS ar DDFS skirtumo, atlikus STA (nuo atsitiktinių imčių sudarymo) porinį palyginimą, nenustatyta (7 lentelė).</w:t>
      </w:r>
    </w:p>
    <w:p w14:paraId="0A7037DE" w14:textId="77777777" w:rsidR="00611539" w:rsidRPr="000C5085" w:rsidRDefault="00611539" w:rsidP="000C5085">
      <w:pPr>
        <w:widowControl w:val="0"/>
        <w:spacing w:after="0" w:line="240" w:lineRule="auto"/>
        <w:rPr>
          <w:rFonts w:ascii="Times New Roman" w:eastAsia="Calibri" w:hAnsi="Times New Roman" w:cs="Times New Roman"/>
        </w:rPr>
      </w:pPr>
    </w:p>
    <w:p w14:paraId="0E1BEACF"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7 lentelė. Nuoseklaus gydymo analizė nuo atsitiktinių imčių sudarymo (STA-R), vertinant </w:t>
      </w:r>
      <w:proofErr w:type="spellStart"/>
      <w:r w:rsidRPr="000C5085">
        <w:rPr>
          <w:rFonts w:ascii="Times New Roman" w:eastAsia="Calibri" w:hAnsi="Times New Roman" w:cs="Times New Roman"/>
          <w:b/>
        </w:rPr>
        <w:t>išgyvenamumą</w:t>
      </w:r>
      <w:proofErr w:type="spellEnd"/>
      <w:r w:rsidRPr="000C5085">
        <w:rPr>
          <w:rFonts w:ascii="Times New Roman" w:eastAsia="Calibri" w:hAnsi="Times New Roman" w:cs="Times New Roman"/>
          <w:b/>
        </w:rPr>
        <w:t xml:space="preserve"> be ligos pasireiškimo (</w:t>
      </w:r>
      <w:r w:rsidRPr="000C5085">
        <w:rPr>
          <w:rFonts w:ascii="Times New Roman" w:eastAsia="Calibri" w:hAnsi="Times New Roman" w:cs="Times New Roman"/>
          <w:b/>
          <w:i/>
        </w:rPr>
        <w:t>ITT</w:t>
      </w:r>
      <w:r w:rsidRPr="000C5085">
        <w:rPr>
          <w:rFonts w:ascii="Times New Roman" w:eastAsia="Calibri" w:hAnsi="Times New Roman" w:cs="Times New Roman"/>
          <w:b/>
        </w:rPr>
        <w:t xml:space="preserve"> STA-R populiacija)</w:t>
      </w:r>
    </w:p>
    <w:p w14:paraId="600BD2A6" w14:textId="77777777" w:rsidR="00611539" w:rsidRPr="000C5085" w:rsidRDefault="00611539" w:rsidP="000C5085">
      <w:pPr>
        <w:widowControl w:val="0"/>
        <w:spacing w:after="0" w:line="240" w:lineRule="auto"/>
        <w:ind w:left="1440" w:hanging="1440"/>
        <w:rPr>
          <w:rFonts w:ascii="Times New Roman" w:eastAsia="Calibri"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04"/>
        <w:gridCol w:w="1914"/>
      </w:tblGrid>
      <w:tr w:rsidR="00611539" w:rsidRPr="000C5085" w14:paraId="6F308703" w14:textId="77777777" w:rsidTr="008637BB">
        <w:tc>
          <w:tcPr>
            <w:tcW w:w="5242" w:type="dxa"/>
            <w:shd w:val="clear" w:color="auto" w:fill="auto"/>
          </w:tcPr>
          <w:p w14:paraId="409D2723"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1904" w:type="dxa"/>
            <w:shd w:val="clear" w:color="auto" w:fill="auto"/>
          </w:tcPr>
          <w:p w14:paraId="67F334B7" w14:textId="77777777" w:rsidR="00611539" w:rsidRPr="000C5085" w:rsidRDefault="00611539" w:rsidP="000C5085">
            <w:pPr>
              <w:widowControl w:val="0"/>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t>Letrozolas</w:t>
            </w:r>
            <w:proofErr w:type="spellEnd"/>
            <w:r w:rsidRPr="000C5085">
              <w:rPr>
                <w:rFonts w:ascii="Times New Roman" w:eastAsia="Calibri" w:hAnsi="Times New Roman" w:cs="Times New Roman"/>
                <w:b/>
              </w:rPr>
              <w:t xml:space="preserve"> </w:t>
            </w:r>
            <w:r w:rsidRPr="000C5085">
              <w:rPr>
                <w:rFonts w:ascii="Times New Roman" w:eastAsia="Calibri" w:hAnsi="Times New Roman" w:cs="Times New Roman"/>
                <w:b/>
                <w:color w:val="000000"/>
              </w:rPr>
              <w:t>→</w:t>
            </w:r>
            <w:r w:rsidRPr="000C5085">
              <w:rPr>
                <w:rFonts w:ascii="Times New Roman" w:eastAsia="Calibri" w:hAnsi="Times New Roman" w:cs="Times New Roman"/>
                <w:b/>
              </w:rPr>
              <w:t xml:space="preserve"> </w:t>
            </w:r>
            <w:proofErr w:type="spellStart"/>
            <w:r w:rsidRPr="000C5085">
              <w:rPr>
                <w:rFonts w:ascii="Times New Roman" w:eastAsia="Calibri" w:hAnsi="Times New Roman" w:cs="Times New Roman"/>
                <w:b/>
              </w:rPr>
              <w:t>Tamoksifenas</w:t>
            </w:r>
            <w:proofErr w:type="spellEnd"/>
          </w:p>
        </w:tc>
        <w:tc>
          <w:tcPr>
            <w:tcW w:w="1914" w:type="dxa"/>
            <w:shd w:val="clear" w:color="auto" w:fill="auto"/>
          </w:tcPr>
          <w:p w14:paraId="783A49DC" w14:textId="77777777" w:rsidR="00611539" w:rsidRPr="000C5085" w:rsidRDefault="00611539" w:rsidP="000C5085">
            <w:pPr>
              <w:widowControl w:val="0"/>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t>Letrozolas</w:t>
            </w:r>
            <w:proofErr w:type="spellEnd"/>
          </w:p>
        </w:tc>
      </w:tr>
      <w:tr w:rsidR="00611539" w:rsidRPr="000C5085" w14:paraId="79C41C9F" w14:textId="77777777" w:rsidTr="008637BB">
        <w:tc>
          <w:tcPr>
            <w:tcW w:w="5242" w:type="dxa"/>
            <w:shd w:val="clear" w:color="auto" w:fill="auto"/>
          </w:tcPr>
          <w:p w14:paraId="33B8754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Pacienčių skaičius</w:t>
            </w:r>
          </w:p>
        </w:tc>
        <w:tc>
          <w:tcPr>
            <w:tcW w:w="1904" w:type="dxa"/>
            <w:shd w:val="clear" w:color="auto" w:fill="auto"/>
          </w:tcPr>
          <w:p w14:paraId="4678E48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1540</w:t>
            </w:r>
          </w:p>
        </w:tc>
        <w:tc>
          <w:tcPr>
            <w:tcW w:w="1914" w:type="dxa"/>
            <w:shd w:val="clear" w:color="auto" w:fill="auto"/>
          </w:tcPr>
          <w:p w14:paraId="26E351C1"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1546</w:t>
            </w:r>
          </w:p>
        </w:tc>
      </w:tr>
      <w:tr w:rsidR="00611539" w:rsidRPr="000C5085" w14:paraId="7B4A3FCF" w14:textId="77777777" w:rsidTr="008637BB">
        <w:tc>
          <w:tcPr>
            <w:tcW w:w="5242" w:type="dxa"/>
            <w:shd w:val="clear" w:color="auto" w:fill="auto"/>
          </w:tcPr>
          <w:p w14:paraId="738AF2D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Skaičius pacienčių, kurioms atsirado DFS reiškinių (protokolinis apibūdinimas)</w:t>
            </w:r>
          </w:p>
        </w:tc>
        <w:tc>
          <w:tcPr>
            <w:tcW w:w="1904" w:type="dxa"/>
            <w:shd w:val="clear" w:color="auto" w:fill="auto"/>
          </w:tcPr>
          <w:p w14:paraId="34936F09"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330</w:t>
            </w:r>
          </w:p>
        </w:tc>
        <w:tc>
          <w:tcPr>
            <w:tcW w:w="1914" w:type="dxa"/>
            <w:shd w:val="clear" w:color="auto" w:fill="auto"/>
          </w:tcPr>
          <w:p w14:paraId="17177E05"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319</w:t>
            </w:r>
          </w:p>
        </w:tc>
      </w:tr>
      <w:tr w:rsidR="00611539" w:rsidRPr="000C5085" w14:paraId="17261394" w14:textId="77777777" w:rsidTr="008637BB">
        <w:tc>
          <w:tcPr>
            <w:tcW w:w="5242" w:type="dxa"/>
            <w:shd w:val="clear" w:color="auto" w:fill="auto"/>
          </w:tcPr>
          <w:p w14:paraId="6A7ED8A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Rizikos santykis</w:t>
            </w:r>
            <w:r w:rsidRPr="000C5085">
              <w:rPr>
                <w:rFonts w:ascii="Times New Roman" w:eastAsia="Calibri" w:hAnsi="Times New Roman" w:cs="Times New Roman"/>
                <w:vertAlign w:val="superscript"/>
              </w:rPr>
              <w:t>1</w:t>
            </w:r>
            <w:r w:rsidRPr="000C5085">
              <w:rPr>
                <w:rFonts w:ascii="Times New Roman" w:eastAsia="Calibri" w:hAnsi="Times New Roman" w:cs="Times New Roman"/>
              </w:rPr>
              <w:t xml:space="preserve"> (99</w:t>
            </w:r>
            <w:r w:rsidR="0045175C">
              <w:rPr>
                <w:rFonts w:ascii="Times New Roman" w:eastAsia="Calibri" w:hAnsi="Times New Roman" w:cs="Times New Roman"/>
              </w:rPr>
              <w:t> </w:t>
            </w:r>
            <w:r w:rsidRPr="000C5085">
              <w:rPr>
                <w:rFonts w:ascii="Times New Roman" w:eastAsia="Calibri" w:hAnsi="Times New Roman" w:cs="Times New Roman"/>
              </w:rPr>
              <w:t>% PI)</w:t>
            </w:r>
          </w:p>
        </w:tc>
        <w:tc>
          <w:tcPr>
            <w:tcW w:w="3818" w:type="dxa"/>
            <w:gridSpan w:val="2"/>
            <w:shd w:val="clear" w:color="auto" w:fill="auto"/>
          </w:tcPr>
          <w:p w14:paraId="1F4AE45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1,04 (0,85, 1,27)</w:t>
            </w:r>
          </w:p>
        </w:tc>
      </w:tr>
      <w:tr w:rsidR="00611539" w:rsidRPr="000C5085" w14:paraId="51EF0CC6" w14:textId="77777777" w:rsidTr="008637BB">
        <w:tc>
          <w:tcPr>
            <w:tcW w:w="5242" w:type="dxa"/>
            <w:shd w:val="clear" w:color="auto" w:fill="auto"/>
          </w:tcPr>
          <w:p w14:paraId="2AC9DCEC" w14:textId="77777777" w:rsidR="00611539" w:rsidRPr="000C5085" w:rsidRDefault="00611539" w:rsidP="000C5085">
            <w:pPr>
              <w:widowControl w:val="0"/>
              <w:spacing w:after="0" w:line="240" w:lineRule="auto"/>
              <w:rPr>
                <w:rFonts w:ascii="Times New Roman" w:eastAsia="Calibri" w:hAnsi="Times New Roman" w:cs="Times New Roman"/>
              </w:rPr>
            </w:pPr>
          </w:p>
        </w:tc>
        <w:tc>
          <w:tcPr>
            <w:tcW w:w="1904" w:type="dxa"/>
            <w:shd w:val="clear" w:color="auto" w:fill="auto"/>
          </w:tcPr>
          <w:p w14:paraId="1D2D2081" w14:textId="77777777" w:rsidR="00611539" w:rsidRPr="000C5085" w:rsidRDefault="00611539" w:rsidP="000C5085">
            <w:pPr>
              <w:widowControl w:val="0"/>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t>Letrozolas</w:t>
            </w:r>
            <w:proofErr w:type="spellEnd"/>
            <w:r w:rsidRPr="000C5085">
              <w:rPr>
                <w:rFonts w:ascii="Times New Roman" w:eastAsia="Calibri" w:hAnsi="Times New Roman" w:cs="Times New Roman"/>
                <w:b/>
              </w:rPr>
              <w:t xml:space="preserve"> </w:t>
            </w:r>
            <w:r w:rsidRPr="000C5085">
              <w:rPr>
                <w:rFonts w:ascii="Times New Roman" w:eastAsia="Calibri" w:hAnsi="Times New Roman" w:cs="Times New Roman"/>
                <w:b/>
                <w:color w:val="000000"/>
              </w:rPr>
              <w:t>→</w:t>
            </w:r>
            <w:r w:rsidRPr="000C5085">
              <w:rPr>
                <w:rFonts w:ascii="Times New Roman" w:eastAsia="Calibri" w:hAnsi="Times New Roman" w:cs="Times New Roman"/>
                <w:b/>
              </w:rPr>
              <w:t xml:space="preserve"> </w:t>
            </w:r>
            <w:proofErr w:type="spellStart"/>
            <w:r w:rsidRPr="000C5085">
              <w:rPr>
                <w:rFonts w:ascii="Times New Roman" w:eastAsia="Calibri" w:hAnsi="Times New Roman" w:cs="Times New Roman"/>
                <w:b/>
              </w:rPr>
              <w:t>Tamoksifenas</w:t>
            </w:r>
            <w:proofErr w:type="spellEnd"/>
          </w:p>
        </w:tc>
        <w:tc>
          <w:tcPr>
            <w:tcW w:w="1914" w:type="dxa"/>
            <w:shd w:val="clear" w:color="auto" w:fill="auto"/>
          </w:tcPr>
          <w:p w14:paraId="6744B560" w14:textId="77777777" w:rsidR="00611539" w:rsidRPr="000C5085" w:rsidRDefault="00611539" w:rsidP="000C5085">
            <w:pPr>
              <w:widowControl w:val="0"/>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t>Tamoksifenas</w:t>
            </w:r>
            <w:r w:rsidRPr="000C5085">
              <w:rPr>
                <w:rFonts w:ascii="Times New Roman" w:eastAsia="Calibri" w:hAnsi="Times New Roman" w:cs="Times New Roman"/>
                <w:b/>
                <w:vertAlign w:val="superscript"/>
              </w:rPr>
              <w:t>2</w:t>
            </w:r>
          </w:p>
        </w:tc>
      </w:tr>
      <w:tr w:rsidR="00611539" w:rsidRPr="000C5085" w14:paraId="1B2F2B45" w14:textId="77777777" w:rsidTr="008637BB">
        <w:tc>
          <w:tcPr>
            <w:tcW w:w="5242" w:type="dxa"/>
            <w:shd w:val="clear" w:color="auto" w:fill="auto"/>
          </w:tcPr>
          <w:p w14:paraId="5AC9ED2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Pacienčių skaičius</w:t>
            </w:r>
          </w:p>
        </w:tc>
        <w:tc>
          <w:tcPr>
            <w:tcW w:w="1904" w:type="dxa"/>
            <w:shd w:val="clear" w:color="auto" w:fill="auto"/>
          </w:tcPr>
          <w:p w14:paraId="0F9C0096"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1540</w:t>
            </w:r>
          </w:p>
        </w:tc>
        <w:tc>
          <w:tcPr>
            <w:tcW w:w="1914" w:type="dxa"/>
            <w:shd w:val="clear" w:color="auto" w:fill="auto"/>
          </w:tcPr>
          <w:p w14:paraId="6ECF20EE"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1548</w:t>
            </w:r>
          </w:p>
        </w:tc>
      </w:tr>
      <w:tr w:rsidR="00611539" w:rsidRPr="000C5085" w14:paraId="19FFE99F" w14:textId="77777777" w:rsidTr="008637BB">
        <w:tc>
          <w:tcPr>
            <w:tcW w:w="5242" w:type="dxa"/>
            <w:shd w:val="clear" w:color="auto" w:fill="auto"/>
          </w:tcPr>
          <w:p w14:paraId="7B9BC39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Skaičius pacienčių, kurioms atsirado DFS reiškinių </w:t>
            </w:r>
            <w:r w:rsidRPr="000C5085">
              <w:rPr>
                <w:rFonts w:ascii="Times New Roman" w:eastAsia="Calibri" w:hAnsi="Times New Roman" w:cs="Times New Roman"/>
              </w:rPr>
              <w:lastRenderedPageBreak/>
              <w:t>(protokolinis apibūdinimas)</w:t>
            </w:r>
          </w:p>
        </w:tc>
        <w:tc>
          <w:tcPr>
            <w:tcW w:w="1904" w:type="dxa"/>
            <w:shd w:val="clear" w:color="auto" w:fill="auto"/>
          </w:tcPr>
          <w:p w14:paraId="21AC5E2A"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lastRenderedPageBreak/>
              <w:t>330</w:t>
            </w:r>
          </w:p>
        </w:tc>
        <w:tc>
          <w:tcPr>
            <w:tcW w:w="1914" w:type="dxa"/>
            <w:shd w:val="clear" w:color="auto" w:fill="auto"/>
          </w:tcPr>
          <w:p w14:paraId="6CA53C1C"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353</w:t>
            </w:r>
          </w:p>
        </w:tc>
      </w:tr>
      <w:tr w:rsidR="00611539" w:rsidRPr="000C5085" w14:paraId="4B023F17" w14:textId="77777777" w:rsidTr="008637BB">
        <w:tc>
          <w:tcPr>
            <w:tcW w:w="5242" w:type="dxa"/>
            <w:shd w:val="clear" w:color="auto" w:fill="auto"/>
          </w:tcPr>
          <w:p w14:paraId="09B23E8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lastRenderedPageBreak/>
              <w:t>Rizikos santykis</w:t>
            </w:r>
            <w:r w:rsidRPr="000C5085">
              <w:rPr>
                <w:rFonts w:ascii="Times New Roman" w:eastAsia="Calibri" w:hAnsi="Times New Roman" w:cs="Times New Roman"/>
                <w:vertAlign w:val="superscript"/>
              </w:rPr>
              <w:t>1</w:t>
            </w:r>
            <w:r w:rsidRPr="000C5085">
              <w:rPr>
                <w:rFonts w:ascii="Times New Roman" w:eastAsia="Calibri" w:hAnsi="Times New Roman" w:cs="Times New Roman"/>
              </w:rPr>
              <w:t xml:space="preserve"> (99</w:t>
            </w:r>
            <w:r w:rsidR="0045175C">
              <w:rPr>
                <w:rFonts w:ascii="Times New Roman" w:eastAsia="Calibri" w:hAnsi="Times New Roman" w:cs="Times New Roman"/>
              </w:rPr>
              <w:t> </w:t>
            </w:r>
            <w:r w:rsidRPr="000C5085">
              <w:rPr>
                <w:rFonts w:ascii="Times New Roman" w:eastAsia="Calibri" w:hAnsi="Times New Roman" w:cs="Times New Roman"/>
              </w:rPr>
              <w:t>% PI)</w:t>
            </w:r>
          </w:p>
        </w:tc>
        <w:tc>
          <w:tcPr>
            <w:tcW w:w="3818" w:type="dxa"/>
            <w:gridSpan w:val="2"/>
            <w:shd w:val="clear" w:color="auto" w:fill="auto"/>
          </w:tcPr>
          <w:p w14:paraId="16155248"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0,92 (0,75, 1,12)</w:t>
            </w:r>
          </w:p>
        </w:tc>
      </w:tr>
    </w:tbl>
    <w:p w14:paraId="303B3245" w14:textId="77777777" w:rsidR="00611539" w:rsidRPr="000C5085" w:rsidRDefault="00611539" w:rsidP="000C5085">
      <w:pPr>
        <w:widowControl w:val="0"/>
        <w:spacing w:after="0" w:line="240" w:lineRule="auto"/>
        <w:rPr>
          <w:rFonts w:ascii="Times New Roman" w:eastAsia="Calibri" w:hAnsi="Times New Roman" w:cs="Times New Roman"/>
          <w:b/>
        </w:rPr>
      </w:pPr>
    </w:p>
    <w:p w14:paraId="6A043D8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1</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Koreguota pagal taikytą chemoterapiją (taip/ne).</w:t>
      </w:r>
    </w:p>
    <w:p w14:paraId="3FB97AA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2</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624 (40</w:t>
      </w:r>
      <w:r w:rsidR="0045175C">
        <w:rPr>
          <w:rFonts w:ascii="Times New Roman" w:eastAsia="Calibri" w:hAnsi="Times New Roman" w:cs="Times New Roman"/>
        </w:rPr>
        <w:t> </w:t>
      </w:r>
      <w:r w:rsidRPr="000C5085">
        <w:rPr>
          <w:rFonts w:ascii="Times New Roman" w:eastAsia="Calibri" w:hAnsi="Times New Roman" w:cs="Times New Roman"/>
        </w:rPr>
        <w:t xml:space="preserve">%) selektyviai pradėjo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 to, kai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grupė </w:t>
      </w:r>
      <w:smartTag w:uri="urn:schemas-microsoft-com:office:smarttags" w:element="metricconverter">
        <w:smartTagPr>
          <w:attr w:name="ProductID" w:val="2005 m"/>
        </w:smartTagPr>
        <w:r w:rsidRPr="000C5085">
          <w:rPr>
            <w:rFonts w:ascii="Times New Roman" w:eastAsia="Calibri" w:hAnsi="Times New Roman" w:cs="Times New Roman"/>
          </w:rPr>
          <w:t>2005 m</w:t>
        </w:r>
      </w:smartTag>
      <w:r w:rsidRPr="000C5085">
        <w:rPr>
          <w:rFonts w:ascii="Times New Roman" w:eastAsia="Calibri" w:hAnsi="Times New Roman" w:cs="Times New Roman"/>
        </w:rPr>
        <w:t>. buvo atkoduota.</w:t>
      </w:r>
    </w:p>
    <w:p w14:paraId="49A30FE4" w14:textId="77777777" w:rsidR="00611539" w:rsidRPr="000C5085" w:rsidRDefault="00611539" w:rsidP="000C5085">
      <w:pPr>
        <w:widowControl w:val="0"/>
        <w:spacing w:after="0" w:line="240" w:lineRule="auto"/>
        <w:rPr>
          <w:rFonts w:ascii="Times New Roman" w:eastAsia="Calibri" w:hAnsi="Times New Roman" w:cs="Times New Roman"/>
        </w:rPr>
      </w:pPr>
    </w:p>
    <w:p w14:paraId="0FA572A6"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i/>
          <w:u w:val="single"/>
        </w:rPr>
        <w:t>D2407 tyrimas</w:t>
      </w:r>
    </w:p>
    <w:p w14:paraId="592C1575" w14:textId="01CDA7AE"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D2407 buvo atviras, atsitiktinių imčių, </w:t>
      </w:r>
      <w:proofErr w:type="spellStart"/>
      <w:r w:rsidRPr="000C5085">
        <w:rPr>
          <w:rFonts w:ascii="Times New Roman" w:eastAsia="Calibri" w:hAnsi="Times New Roman" w:cs="Times New Roman"/>
        </w:rPr>
        <w:t>daugiacentris</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poregistracinis</w:t>
      </w:r>
      <w:proofErr w:type="spellEnd"/>
      <w:r w:rsidRPr="000C5085">
        <w:rPr>
          <w:rFonts w:ascii="Times New Roman" w:eastAsia="Calibri" w:hAnsi="Times New Roman" w:cs="Times New Roman"/>
        </w:rPr>
        <w:t xml:space="preserve"> saugumo tyrimas, atliktas siekiant palyginti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poveikį mineraliniam kaulų tankiui (MKT) ir riebalų kiekiui serume. Iš viso 262 pacientės arba 5</w:t>
      </w:r>
      <w:r w:rsidR="00B66BB6">
        <w:rPr>
          <w:rFonts w:ascii="Times New Roman" w:eastAsia="Calibri" w:hAnsi="Times New Roman" w:cs="Times New Roman"/>
        </w:rPr>
        <w:t> </w:t>
      </w:r>
      <w:r w:rsidRPr="000C5085">
        <w:rPr>
          <w:rFonts w:ascii="Times New Roman" w:eastAsia="Calibri" w:hAnsi="Times New Roman" w:cs="Times New Roman"/>
        </w:rPr>
        <w:t xml:space="preserve">metus vartojo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arba 2</w:t>
      </w:r>
      <w:r w:rsidR="00B66BB6">
        <w:rPr>
          <w:rFonts w:ascii="Times New Roman" w:eastAsia="Calibri" w:hAnsi="Times New Roman" w:cs="Times New Roman"/>
        </w:rPr>
        <w:t> </w:t>
      </w:r>
      <w:r w:rsidRPr="000C5085">
        <w:rPr>
          <w:rFonts w:ascii="Times New Roman" w:eastAsia="Calibri" w:hAnsi="Times New Roman" w:cs="Times New Roman"/>
        </w:rPr>
        <w:t xml:space="preserve">metus vartojo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ir po to 3</w:t>
      </w:r>
      <w:r w:rsidR="00B66BB6">
        <w:rPr>
          <w:rFonts w:ascii="Times New Roman" w:eastAsia="Calibri" w:hAnsi="Times New Roman" w:cs="Times New Roman"/>
        </w:rPr>
        <w:t> </w:t>
      </w:r>
      <w:r w:rsidRPr="000C5085">
        <w:rPr>
          <w:rFonts w:ascii="Times New Roman" w:eastAsia="Calibri" w:hAnsi="Times New Roman" w:cs="Times New Roman"/>
        </w:rPr>
        <w:t xml:space="preserve">metus -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p w14:paraId="0B400A77" w14:textId="77777777" w:rsidR="00611539" w:rsidRPr="000C5085" w:rsidRDefault="00611539" w:rsidP="000C5085">
      <w:pPr>
        <w:widowControl w:val="0"/>
        <w:spacing w:after="0" w:line="240" w:lineRule="auto"/>
        <w:rPr>
          <w:rFonts w:ascii="Times New Roman" w:eastAsia="Calibri" w:hAnsi="Times New Roman" w:cs="Times New Roman"/>
        </w:rPr>
      </w:pPr>
    </w:p>
    <w:p w14:paraId="32DE2C5B" w14:textId="49A67EE0"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Po 24</w:t>
      </w:r>
      <w:r w:rsidR="00B66BB6">
        <w:rPr>
          <w:rFonts w:ascii="Times New Roman" w:eastAsia="Calibri" w:hAnsi="Times New Roman" w:cs="Times New Roman"/>
        </w:rPr>
        <w:t> </w:t>
      </w:r>
      <w:r w:rsidRPr="000C5085">
        <w:rPr>
          <w:rFonts w:ascii="Times New Roman" w:eastAsia="Calibri" w:hAnsi="Times New Roman" w:cs="Times New Roman"/>
        </w:rPr>
        <w:t xml:space="preserve">mėnesių poveikis pagrindinei vertinamajai baigčiai </w:t>
      </w:r>
      <w:proofErr w:type="spellStart"/>
      <w:r w:rsidRPr="000C5085">
        <w:rPr>
          <w:rFonts w:ascii="Times New Roman" w:eastAsia="Calibri" w:hAnsi="Times New Roman" w:cs="Times New Roman"/>
        </w:rPr>
        <w:t>statistiškai</w:t>
      </w:r>
      <w:proofErr w:type="spellEnd"/>
      <w:r w:rsidRPr="000C5085">
        <w:rPr>
          <w:rFonts w:ascii="Times New Roman" w:eastAsia="Calibri" w:hAnsi="Times New Roman" w:cs="Times New Roman"/>
        </w:rPr>
        <w:t xml:space="preserve"> reikšmingai nesiskyrė; </w:t>
      </w:r>
      <w:proofErr w:type="spellStart"/>
      <w:r w:rsidRPr="000C5085">
        <w:rPr>
          <w:rFonts w:ascii="Times New Roman" w:eastAsia="Calibri" w:hAnsi="Times New Roman" w:cs="Times New Roman"/>
        </w:rPr>
        <w:t>juosmeninių</w:t>
      </w:r>
      <w:proofErr w:type="spellEnd"/>
      <w:r w:rsidRPr="000C5085">
        <w:rPr>
          <w:rFonts w:ascii="Times New Roman" w:eastAsia="Calibri" w:hAnsi="Times New Roman" w:cs="Times New Roman"/>
        </w:rPr>
        <w:t xml:space="preserve"> slankstelių (L2-L4) MKT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vartojusių pacienčių grupėje sumažėjo 4,1</w:t>
      </w:r>
      <w:r w:rsidR="0045175C">
        <w:rPr>
          <w:rFonts w:ascii="Times New Roman" w:eastAsia="Calibri" w:hAnsi="Times New Roman" w:cs="Times New Roman"/>
        </w:rPr>
        <w:t> </w:t>
      </w:r>
      <w:r w:rsidRPr="000C5085">
        <w:rPr>
          <w:rFonts w:ascii="Times New Roman" w:eastAsia="Calibri" w:hAnsi="Times New Roman" w:cs="Times New Roman"/>
        </w:rPr>
        <w:t xml:space="preserve">% (mediana),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vartojusių ligonių grupėje padidėjo 0,3</w:t>
      </w:r>
      <w:r w:rsidR="0045175C">
        <w:rPr>
          <w:rFonts w:ascii="Times New Roman" w:eastAsia="Calibri" w:hAnsi="Times New Roman" w:cs="Times New Roman"/>
        </w:rPr>
        <w:t> </w:t>
      </w:r>
      <w:r w:rsidRPr="000C5085">
        <w:rPr>
          <w:rFonts w:ascii="Times New Roman" w:eastAsia="Calibri" w:hAnsi="Times New Roman" w:cs="Times New Roman"/>
        </w:rPr>
        <w:t>% (mediana).</w:t>
      </w:r>
    </w:p>
    <w:p w14:paraId="10587095" w14:textId="77777777" w:rsidR="00611539" w:rsidRPr="000C5085" w:rsidRDefault="00611539" w:rsidP="000C5085">
      <w:pPr>
        <w:widowControl w:val="0"/>
        <w:spacing w:after="0" w:line="240" w:lineRule="auto"/>
        <w:rPr>
          <w:rFonts w:ascii="Times New Roman" w:eastAsia="Calibri" w:hAnsi="Times New Roman" w:cs="Times New Roman"/>
        </w:rPr>
      </w:pPr>
    </w:p>
    <w:p w14:paraId="2BE3CF9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Nė vienai pacientei, kurios pradinis MKT buvo normalus, osteoporozė po 2 gydymo metų neatsirado, ir tik 1 ligonei, kuriai prieš tyrimą buvo </w:t>
      </w:r>
      <w:proofErr w:type="spellStart"/>
      <w:r w:rsidRPr="000C5085">
        <w:rPr>
          <w:rFonts w:ascii="Times New Roman" w:eastAsia="Calibri" w:hAnsi="Times New Roman" w:cs="Times New Roman"/>
        </w:rPr>
        <w:t>osteopenija</w:t>
      </w:r>
      <w:proofErr w:type="spellEnd"/>
      <w:r w:rsidRPr="000C5085">
        <w:rPr>
          <w:rFonts w:ascii="Times New Roman" w:eastAsia="Calibri" w:hAnsi="Times New Roman" w:cs="Times New Roman"/>
        </w:rPr>
        <w:t xml:space="preserve"> (T rodmuo -1,9), gydymo laikotarpiu atsirado osteoporozė (vertinta atliekant centrinę peržiūrą).</w:t>
      </w:r>
    </w:p>
    <w:p w14:paraId="5D9F5D98" w14:textId="77777777" w:rsidR="00611539" w:rsidRPr="000C5085" w:rsidRDefault="00611539" w:rsidP="000C5085">
      <w:pPr>
        <w:widowControl w:val="0"/>
        <w:spacing w:after="0" w:line="240" w:lineRule="auto"/>
        <w:rPr>
          <w:rFonts w:ascii="Times New Roman" w:eastAsia="Calibri" w:hAnsi="Times New Roman" w:cs="Times New Roman"/>
        </w:rPr>
      </w:pPr>
    </w:p>
    <w:p w14:paraId="45D6819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Vertinant viso šlaunikaulio MKT, rezultatai buvo panašūs į </w:t>
      </w:r>
      <w:proofErr w:type="spellStart"/>
      <w:r w:rsidRPr="000C5085">
        <w:rPr>
          <w:rFonts w:ascii="Times New Roman" w:eastAsia="Calibri" w:hAnsi="Times New Roman" w:cs="Times New Roman"/>
        </w:rPr>
        <w:t>juosmeninių</w:t>
      </w:r>
      <w:proofErr w:type="spellEnd"/>
      <w:r w:rsidRPr="000C5085">
        <w:rPr>
          <w:rFonts w:ascii="Times New Roman" w:eastAsia="Calibri" w:hAnsi="Times New Roman" w:cs="Times New Roman"/>
        </w:rPr>
        <w:t xml:space="preserve"> slankstelių MKT rodmenis, tačiau skirtumas buvo mažesnis.</w:t>
      </w:r>
    </w:p>
    <w:p w14:paraId="51362A83" w14:textId="77777777" w:rsidR="00611539" w:rsidRPr="000C5085" w:rsidRDefault="00611539" w:rsidP="000C5085">
      <w:pPr>
        <w:widowControl w:val="0"/>
        <w:spacing w:after="0" w:line="240" w:lineRule="auto"/>
        <w:rPr>
          <w:rFonts w:ascii="Times New Roman" w:eastAsia="Calibri" w:hAnsi="Times New Roman" w:cs="Times New Roman"/>
        </w:rPr>
      </w:pPr>
    </w:p>
    <w:p w14:paraId="2609C75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Lūžių dažnis gydymo grupėse reikšmingai nesiskyrė (juos patyrė 15</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17</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vartojusių pacienčių).</w:t>
      </w:r>
    </w:p>
    <w:p w14:paraId="6030658F" w14:textId="77777777" w:rsidR="00611539" w:rsidRPr="000C5085" w:rsidRDefault="00611539" w:rsidP="000C5085">
      <w:pPr>
        <w:widowControl w:val="0"/>
        <w:spacing w:after="0" w:line="240" w:lineRule="auto"/>
        <w:rPr>
          <w:rFonts w:ascii="Times New Roman" w:eastAsia="Calibri" w:hAnsi="Times New Roman" w:cs="Times New Roman"/>
        </w:rPr>
      </w:pPr>
    </w:p>
    <w:p w14:paraId="3BB517C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Po 6 mėnesių bendrojo cholesterolio koncentracijos sumažėjimo, palyginti su pradiniu rodmeniu, mediana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vartojusių ligonių grupėje buvo 16</w:t>
      </w:r>
      <w:r w:rsidR="0045175C">
        <w:rPr>
          <w:rFonts w:ascii="Times New Roman" w:eastAsia="Calibri" w:hAnsi="Times New Roman" w:cs="Times New Roman"/>
        </w:rPr>
        <w:t> </w:t>
      </w:r>
      <w:r w:rsidRPr="000C5085">
        <w:rPr>
          <w:rFonts w:ascii="Times New Roman" w:eastAsia="Calibri" w:hAnsi="Times New Roman" w:cs="Times New Roman"/>
        </w:rPr>
        <w:t xml:space="preserve">%, panašus sumažėjimas išliko ir kitų apsilankymų metu iki 24 mėnesio.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vartojusioms pacientėms bendrojo cholesterolio koncentracija išliko stabili, skirtumas buvo </w:t>
      </w:r>
      <w:proofErr w:type="spellStart"/>
      <w:r w:rsidRPr="000C5085">
        <w:rPr>
          <w:rFonts w:ascii="Times New Roman" w:eastAsia="Calibri" w:hAnsi="Times New Roman" w:cs="Times New Roman"/>
        </w:rPr>
        <w:t>statistiškai</w:t>
      </w:r>
      <w:proofErr w:type="spellEnd"/>
      <w:r w:rsidRPr="000C5085">
        <w:rPr>
          <w:rFonts w:ascii="Times New Roman" w:eastAsia="Calibri" w:hAnsi="Times New Roman" w:cs="Times New Roman"/>
        </w:rPr>
        <w:t xml:space="preserve"> reikšmingai palankus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naudai visais laiko taškais.</w:t>
      </w:r>
    </w:p>
    <w:p w14:paraId="2D5F3984" w14:textId="77777777" w:rsidR="00611539" w:rsidRPr="000C5085" w:rsidRDefault="00611539" w:rsidP="000C5085">
      <w:pPr>
        <w:widowControl w:val="0"/>
        <w:spacing w:after="0" w:line="240" w:lineRule="auto"/>
        <w:rPr>
          <w:rFonts w:ascii="Times New Roman" w:eastAsia="Calibri" w:hAnsi="Times New Roman" w:cs="Times New Roman"/>
        </w:rPr>
      </w:pPr>
    </w:p>
    <w:p w14:paraId="392E4436" w14:textId="77777777" w:rsidR="00611539" w:rsidRPr="000C5085" w:rsidRDefault="00611539" w:rsidP="000C5085">
      <w:pPr>
        <w:widowControl w:val="0"/>
        <w:spacing w:after="0" w:line="240" w:lineRule="auto"/>
        <w:rPr>
          <w:rFonts w:ascii="Times New Roman" w:eastAsia="Calibri" w:hAnsi="Times New Roman" w:cs="Times New Roman"/>
          <w:i/>
          <w:u w:val="single"/>
        </w:rPr>
      </w:pPr>
      <w:r w:rsidRPr="000C5085">
        <w:rPr>
          <w:rFonts w:ascii="Times New Roman" w:eastAsia="Calibri" w:hAnsi="Times New Roman" w:cs="Times New Roman"/>
          <w:i/>
          <w:u w:val="single"/>
        </w:rPr>
        <w:t xml:space="preserve">Tęstinis </w:t>
      </w:r>
      <w:proofErr w:type="spellStart"/>
      <w:r w:rsidRPr="000C5085">
        <w:rPr>
          <w:rFonts w:ascii="Times New Roman" w:eastAsia="Calibri" w:hAnsi="Times New Roman" w:cs="Times New Roman"/>
          <w:i/>
          <w:u w:val="single"/>
        </w:rPr>
        <w:t>adjuvantinis</w:t>
      </w:r>
      <w:proofErr w:type="spellEnd"/>
      <w:r w:rsidRPr="000C5085">
        <w:rPr>
          <w:rFonts w:ascii="Times New Roman" w:eastAsia="Calibri" w:hAnsi="Times New Roman" w:cs="Times New Roman"/>
          <w:i/>
          <w:u w:val="single"/>
        </w:rPr>
        <w:t xml:space="preserve"> </w:t>
      </w:r>
      <w:proofErr w:type="spellStart"/>
      <w:r w:rsidRPr="000C5085">
        <w:rPr>
          <w:rFonts w:ascii="Times New Roman" w:eastAsia="Calibri" w:hAnsi="Times New Roman" w:cs="Times New Roman"/>
          <w:i/>
          <w:u w:val="single"/>
        </w:rPr>
        <w:t>gydymas(MA-17)</w:t>
      </w:r>
      <w:proofErr w:type="spellEnd"/>
    </w:p>
    <w:p w14:paraId="3EFB9B7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Daugiacentrio</w:t>
      </w:r>
      <w:proofErr w:type="spellEnd"/>
      <w:r w:rsidRPr="000C5085">
        <w:rPr>
          <w:rFonts w:ascii="Times New Roman" w:eastAsia="Calibri" w:hAnsi="Times New Roman" w:cs="Times New Roman"/>
        </w:rPr>
        <w:t xml:space="preserve">, dvigubai koduoto, atsitiktinių imčių, </w:t>
      </w:r>
      <w:proofErr w:type="spellStart"/>
      <w:r w:rsidRPr="000C5085">
        <w:rPr>
          <w:rFonts w:ascii="Times New Roman" w:eastAsia="Calibri" w:hAnsi="Times New Roman" w:cs="Times New Roman"/>
        </w:rPr>
        <w:t>placebu</w:t>
      </w:r>
      <w:proofErr w:type="spellEnd"/>
      <w:r w:rsidRPr="000C5085">
        <w:rPr>
          <w:rFonts w:ascii="Times New Roman" w:eastAsia="Calibri" w:hAnsi="Times New Roman" w:cs="Times New Roman"/>
        </w:rPr>
        <w:t xml:space="preserve"> kontroliuojamojo klinikinio tyrimo (MA-17) metu daugiau kaip 5100 moterų, kurios buvo po menopauzės ir kurios sirgo pirminiu krūties vėžiu (jo audinyje nustatyta hormonų receptorių arba jų buvimas netirtas) bei baigė 4,5–6 metų </w:t>
      </w:r>
      <w:proofErr w:type="spellStart"/>
      <w:r w:rsidRPr="000C5085">
        <w:rPr>
          <w:rFonts w:ascii="Times New Roman" w:eastAsia="Calibri" w:hAnsi="Times New Roman" w:cs="Times New Roman"/>
        </w:rPr>
        <w:t>adjuvantinį</w:t>
      </w:r>
      <w:proofErr w:type="spellEnd"/>
      <w:r w:rsidRPr="000C5085">
        <w:rPr>
          <w:rFonts w:ascii="Times New Roman" w:eastAsia="Calibri" w:hAnsi="Times New Roman" w:cs="Times New Roman"/>
        </w:rPr>
        <w:t xml:space="preserve"> gydymą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buvo suskirstytos į atsitiktines imtis ir 5 metus vartojo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arba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w:t>
      </w:r>
    </w:p>
    <w:p w14:paraId="5588FC60" w14:textId="77777777" w:rsidR="00611539" w:rsidRPr="000C5085" w:rsidRDefault="00611539" w:rsidP="000C5085">
      <w:pPr>
        <w:widowControl w:val="0"/>
        <w:spacing w:after="0" w:line="240" w:lineRule="auto"/>
        <w:rPr>
          <w:rFonts w:ascii="Times New Roman" w:eastAsia="Calibri" w:hAnsi="Times New Roman" w:cs="Times New Roman"/>
        </w:rPr>
      </w:pPr>
    </w:p>
    <w:p w14:paraId="0346D34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Pagrindinė vertinamoji baigtis buvo </w:t>
      </w: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be ligos pasireiškimo, apibrėžtas kaip intervalas tarp priskyrimo atsitiktinei imčiai ir pirmojo lokalaus - regioninio pasikartojimo, tolimosios metastazės ar kitos krūties vėžio pasireiškimo.</w:t>
      </w:r>
    </w:p>
    <w:p w14:paraId="4F2433EB" w14:textId="77777777" w:rsidR="00611539" w:rsidRPr="000C5085" w:rsidRDefault="00611539" w:rsidP="000C5085">
      <w:pPr>
        <w:widowControl w:val="0"/>
        <w:spacing w:after="0" w:line="240" w:lineRule="auto"/>
        <w:rPr>
          <w:rFonts w:ascii="Times New Roman" w:eastAsia="Calibri" w:hAnsi="Times New Roman" w:cs="Times New Roman"/>
        </w:rPr>
      </w:pPr>
    </w:p>
    <w:p w14:paraId="3AE8922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Pirmosios suplanuotos tarpinės analizės, atliktos po maždaug 28 mėnesių (mediana) stebėjimo laikotarpio (25</w:t>
      </w:r>
      <w:r w:rsidR="0045175C">
        <w:rPr>
          <w:rFonts w:ascii="Times New Roman" w:eastAsia="Calibri" w:hAnsi="Times New Roman" w:cs="Times New Roman"/>
        </w:rPr>
        <w:t> </w:t>
      </w:r>
      <w:r w:rsidRPr="000C5085">
        <w:rPr>
          <w:rFonts w:ascii="Times New Roman" w:eastAsia="Calibri" w:hAnsi="Times New Roman" w:cs="Times New Roman"/>
        </w:rPr>
        <w:t xml:space="preserve">% pacienčių buvo stebėtos mažiausiai 38 mėnesius), duomenys parodė, kad gydymas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reikšmingai (42</w:t>
      </w:r>
      <w:r w:rsidR="0045175C">
        <w:rPr>
          <w:rFonts w:ascii="Times New Roman" w:eastAsia="Calibri" w:hAnsi="Times New Roman" w:cs="Times New Roman"/>
        </w:rPr>
        <w:t> </w:t>
      </w:r>
      <w:r w:rsidRPr="000C5085">
        <w:rPr>
          <w:rFonts w:ascii="Times New Roman" w:eastAsia="Calibri" w:hAnsi="Times New Roman" w:cs="Times New Roman"/>
        </w:rPr>
        <w:t xml:space="preserve">%, palyginti su </w:t>
      </w:r>
      <w:proofErr w:type="spellStart"/>
      <w:r w:rsidRPr="000C5085">
        <w:rPr>
          <w:rFonts w:ascii="Times New Roman" w:eastAsia="Calibri" w:hAnsi="Times New Roman" w:cs="Times New Roman"/>
        </w:rPr>
        <w:t>placebu</w:t>
      </w:r>
      <w:proofErr w:type="spellEnd"/>
      <w:r w:rsidRPr="000C5085">
        <w:rPr>
          <w:rFonts w:ascii="Times New Roman" w:eastAsia="Calibri" w:hAnsi="Times New Roman" w:cs="Times New Roman"/>
        </w:rPr>
        <w:t xml:space="preserve">) sumažino vėžio atsinaujinimo riziką </w:t>
      </w:r>
      <w:r w:rsidRPr="000C5085">
        <w:rPr>
          <w:rFonts w:ascii="Times New Roman" w:eastAsia="Calibri" w:hAnsi="Times New Roman" w:cs="Times New Roman"/>
          <w:shd w:val="clear" w:color="auto" w:fill="FFFFFF"/>
        </w:rPr>
        <w:t xml:space="preserve">(RS 0,58; </w:t>
      </w: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xml:space="preserve">% PI 0,45, 0,76; </w:t>
      </w:r>
      <w:r w:rsidRPr="000C5085">
        <w:rPr>
          <w:rFonts w:ascii="Times New Roman" w:eastAsia="Calibri" w:hAnsi="Times New Roman" w:cs="Times New Roman"/>
          <w:i/>
        </w:rPr>
        <w:t>P</w:t>
      </w:r>
      <w:r w:rsidRPr="000C5085">
        <w:rPr>
          <w:rFonts w:ascii="Times New Roman" w:eastAsia="Calibri" w:hAnsi="Times New Roman" w:cs="Times New Roman"/>
        </w:rPr>
        <w:t>=0,00003</w:t>
      </w:r>
      <w:r w:rsidRPr="000C5085">
        <w:rPr>
          <w:rFonts w:ascii="Times New Roman" w:eastAsia="Calibri" w:hAnsi="Times New Roman" w:cs="Times New Roman"/>
          <w:shd w:val="clear" w:color="auto" w:fill="FFFFFF"/>
        </w:rPr>
        <w:t xml:space="preserve">). </w:t>
      </w:r>
      <w:r w:rsidRPr="000C5085">
        <w:rPr>
          <w:rFonts w:ascii="Times New Roman" w:eastAsia="Calibri" w:hAnsi="Times New Roman" w:cs="Times New Roman"/>
        </w:rPr>
        <w:t xml:space="preserve">Šis pranašesnis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poveikis nepriklausė nuo metastazių limfmazgiuose buvimo. Poveikis bendrajam </w:t>
      </w:r>
      <w:proofErr w:type="spellStart"/>
      <w:r w:rsidRPr="000C5085">
        <w:rPr>
          <w:rFonts w:ascii="Times New Roman" w:eastAsia="Calibri" w:hAnsi="Times New Roman" w:cs="Times New Roman"/>
        </w:rPr>
        <w:t>išgyvenamumui</w:t>
      </w:r>
      <w:proofErr w:type="spellEnd"/>
      <w:r w:rsidRPr="000C5085">
        <w:rPr>
          <w:rFonts w:ascii="Times New Roman" w:eastAsia="Calibri" w:hAnsi="Times New Roman" w:cs="Times New Roman"/>
        </w:rPr>
        <w:t xml:space="preserve"> reikšmingai nesiskyrė: mirė 51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62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vartojusios ligonės (RS 0,82; 95</w:t>
      </w:r>
      <w:r w:rsidR="0045175C">
        <w:rPr>
          <w:rFonts w:ascii="Times New Roman" w:eastAsia="Calibri" w:hAnsi="Times New Roman" w:cs="Times New Roman"/>
        </w:rPr>
        <w:t> </w:t>
      </w:r>
      <w:r w:rsidRPr="000C5085">
        <w:rPr>
          <w:rFonts w:ascii="Times New Roman" w:eastAsia="Calibri" w:hAnsi="Times New Roman" w:cs="Times New Roman"/>
        </w:rPr>
        <w:t>% PI 0,56, 1,19).</w:t>
      </w:r>
    </w:p>
    <w:p w14:paraId="073B62C5" w14:textId="77777777" w:rsidR="00611539" w:rsidRPr="000C5085" w:rsidRDefault="00611539" w:rsidP="000C5085">
      <w:pPr>
        <w:widowControl w:val="0"/>
        <w:spacing w:after="0" w:line="240" w:lineRule="auto"/>
        <w:rPr>
          <w:rFonts w:ascii="Times New Roman" w:eastAsia="Calibri" w:hAnsi="Times New Roman" w:cs="Times New Roman"/>
        </w:rPr>
      </w:pPr>
    </w:p>
    <w:p w14:paraId="0C48E46E" w14:textId="77777777" w:rsidR="00611539" w:rsidRPr="000C5085" w:rsidRDefault="00611539" w:rsidP="000C5085">
      <w:pPr>
        <w:widowControl w:val="0"/>
        <w:spacing w:after="0" w:line="240" w:lineRule="auto"/>
        <w:rPr>
          <w:rFonts w:ascii="Times New Roman" w:eastAsia="Calibri" w:hAnsi="Times New Roman" w:cs="Times New Roman"/>
        </w:rPr>
      </w:pPr>
      <w:bookmarkStart w:id="35" w:name="_DV_C768"/>
      <w:r w:rsidRPr="000C5085">
        <w:rPr>
          <w:rFonts w:ascii="Times New Roman" w:eastAsia="Calibri" w:hAnsi="Times New Roman" w:cs="Times New Roman"/>
        </w:rPr>
        <w:t xml:space="preserve">Po pirmosios tarpinės analizės tyrimas buvo atkoduotas ir tęsiamas kaip atviras tyrimas.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vartojusioms moterims buvo leista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iki 5 metų. Vietoj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pradėjo daugiau kaip 60</w:t>
      </w:r>
      <w:r w:rsidR="0045175C">
        <w:rPr>
          <w:rFonts w:ascii="Times New Roman" w:eastAsia="Calibri" w:hAnsi="Times New Roman" w:cs="Times New Roman"/>
        </w:rPr>
        <w:t> </w:t>
      </w:r>
      <w:r w:rsidRPr="000C5085">
        <w:rPr>
          <w:rFonts w:ascii="Times New Roman" w:eastAsia="Calibri" w:hAnsi="Times New Roman" w:cs="Times New Roman"/>
        </w:rPr>
        <w:t xml:space="preserve">% tinkamų moterų (kurioms atkodavimo metu liga nebuvo pasireiškusi). Į galutinę analizę buvo įtraukti duomenys 1551 moters, kuri vietoj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pradėjo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(laikotarpio, praėjusio po </w:t>
      </w:r>
      <w:proofErr w:type="spellStart"/>
      <w:r w:rsidRPr="000C5085">
        <w:rPr>
          <w:rFonts w:ascii="Times New Roman" w:eastAsia="Calibri" w:hAnsi="Times New Roman" w:cs="Times New Roman"/>
        </w:rPr>
        <w:t>adjuvantinio</w:t>
      </w:r>
      <w:proofErr w:type="spellEnd"/>
      <w:r w:rsidRPr="000C5085">
        <w:rPr>
          <w:rFonts w:ascii="Times New Roman" w:eastAsia="Calibri" w:hAnsi="Times New Roman" w:cs="Times New Roman"/>
        </w:rPr>
        <w:t xml:space="preserve"> gydymo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pabaigos, mediana buvo 31 mėnuo). Po gydymo pakeitimo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vartojimo trukmės mediana buvo 40 mėnesių.</w:t>
      </w:r>
      <w:bookmarkEnd w:id="35"/>
    </w:p>
    <w:p w14:paraId="637000AA" w14:textId="77777777" w:rsidR="00611539" w:rsidRPr="000C5085" w:rsidRDefault="00611539" w:rsidP="000C5085">
      <w:pPr>
        <w:widowControl w:val="0"/>
        <w:spacing w:after="0" w:line="240" w:lineRule="auto"/>
        <w:rPr>
          <w:rFonts w:ascii="Times New Roman" w:eastAsia="Calibri" w:hAnsi="Times New Roman" w:cs="Times New Roman"/>
        </w:rPr>
      </w:pPr>
    </w:p>
    <w:p w14:paraId="5AD6562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Galutinė analizė (stebėjimo laikotarpio mediana 62 mėnesiai) patvirtino reikšmingą krūties vėžio atsinaujinimo rizikos sumažėjimą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p w14:paraId="6BB3A1DB" w14:textId="77777777" w:rsidR="00611539" w:rsidRPr="000C5085" w:rsidRDefault="00611539" w:rsidP="000C5085">
      <w:pPr>
        <w:widowControl w:val="0"/>
        <w:spacing w:after="0" w:line="240" w:lineRule="auto"/>
        <w:rPr>
          <w:rFonts w:ascii="Times New Roman" w:eastAsia="Calibri" w:hAnsi="Times New Roman" w:cs="Times New Roman"/>
          <w:b/>
        </w:rPr>
      </w:pPr>
    </w:p>
    <w:p w14:paraId="65553549" w14:textId="7862A2B9"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8</w:t>
      </w:r>
      <w:r w:rsidR="00B66BB6">
        <w:rPr>
          <w:rFonts w:ascii="Times New Roman" w:eastAsia="Calibri" w:hAnsi="Times New Roman" w:cs="Times New Roman"/>
        </w:rPr>
        <w:t> </w:t>
      </w:r>
      <w:r w:rsidRPr="000C5085">
        <w:rPr>
          <w:rFonts w:ascii="Times New Roman" w:eastAsia="Calibri" w:hAnsi="Times New Roman" w:cs="Times New Roman"/>
          <w:b/>
        </w:rPr>
        <w:t xml:space="preserve">lentelė. </w:t>
      </w: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xml:space="preserve"> be ligos atsinaujinimo ir bendrasis </w:t>
      </w: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xml:space="preserve"> (modifikuota </w:t>
      </w:r>
      <w:r w:rsidRPr="000C5085">
        <w:rPr>
          <w:rFonts w:ascii="Times New Roman" w:eastAsia="Calibri" w:hAnsi="Times New Roman" w:cs="Times New Roman"/>
          <w:b/>
          <w:i/>
        </w:rPr>
        <w:t>ITT</w:t>
      </w:r>
      <w:r w:rsidRPr="000C5085">
        <w:rPr>
          <w:rFonts w:ascii="Times New Roman" w:eastAsia="Calibri" w:hAnsi="Times New Roman" w:cs="Times New Roman"/>
          <w:b/>
        </w:rPr>
        <w:t xml:space="preserve"> populiacija)</w:t>
      </w:r>
    </w:p>
    <w:p w14:paraId="10EA0C90" w14:textId="77777777" w:rsidR="00611539" w:rsidRPr="000C5085" w:rsidRDefault="00611539" w:rsidP="000C5085">
      <w:pPr>
        <w:widowControl w:val="0"/>
        <w:spacing w:after="0" w:line="240" w:lineRule="auto"/>
        <w:rPr>
          <w:rFonts w:ascii="Times New Roman" w:eastAsia="Calibri" w:hAnsi="Times New Roman" w:cs="Times New Roman"/>
          <w:b/>
        </w:rPr>
      </w:pPr>
    </w:p>
    <w:tbl>
      <w:tblPr>
        <w:tblW w:w="5000" w:type="pc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232"/>
        <w:gridCol w:w="1138"/>
        <w:gridCol w:w="121"/>
        <w:gridCol w:w="1142"/>
        <w:gridCol w:w="11"/>
        <w:gridCol w:w="997"/>
        <w:gridCol w:w="212"/>
        <w:gridCol w:w="58"/>
        <w:gridCol w:w="6"/>
        <w:gridCol w:w="1126"/>
        <w:gridCol w:w="7"/>
        <w:gridCol w:w="15"/>
        <w:gridCol w:w="970"/>
        <w:gridCol w:w="13"/>
        <w:gridCol w:w="15"/>
        <w:gridCol w:w="1224"/>
      </w:tblGrid>
      <w:tr w:rsidR="00611539" w:rsidRPr="000C5085" w14:paraId="653857B7" w14:textId="77777777" w:rsidTr="008637BB">
        <w:trPr>
          <w:trHeight w:val="118"/>
        </w:trPr>
        <w:tc>
          <w:tcPr>
            <w:tcW w:w="3038" w:type="pct"/>
            <w:gridSpan w:val="6"/>
            <w:tcBorders>
              <w:top w:val="single" w:sz="8" w:space="0" w:color="000000"/>
              <w:bottom w:val="single" w:sz="8" w:space="0" w:color="000000"/>
              <w:right w:val="nil"/>
            </w:tcBorders>
          </w:tcPr>
          <w:p w14:paraId="7DF0980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 Stebėjimo mediana 28 mėnesiai</w:t>
            </w:r>
            <w:r w:rsidRPr="000C5085">
              <w:rPr>
                <w:rFonts w:ascii="Times New Roman" w:eastAsia="Calibri" w:hAnsi="Times New Roman" w:cs="Times New Roman"/>
                <w:vertAlign w:val="superscript"/>
              </w:rPr>
              <w:t>1</w:t>
            </w:r>
          </w:p>
        </w:tc>
        <w:tc>
          <w:tcPr>
            <w:tcW w:w="1962" w:type="pct"/>
            <w:gridSpan w:val="10"/>
            <w:tcBorders>
              <w:top w:val="single" w:sz="8" w:space="0" w:color="000000"/>
              <w:left w:val="nil"/>
              <w:bottom w:val="single" w:sz="8" w:space="0" w:color="000000"/>
            </w:tcBorders>
          </w:tcPr>
          <w:p w14:paraId="1205025D"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Stebėjimo mediana 62 mėnesiai</w:t>
            </w:r>
          </w:p>
        </w:tc>
      </w:tr>
      <w:tr w:rsidR="00611539" w:rsidRPr="000C5085" w14:paraId="5FB8B2E8" w14:textId="77777777" w:rsidTr="008637BB">
        <w:trPr>
          <w:trHeight w:val="324"/>
        </w:trPr>
        <w:tc>
          <w:tcPr>
            <w:tcW w:w="1880" w:type="pct"/>
            <w:gridSpan w:val="3"/>
            <w:tcBorders>
              <w:top w:val="single" w:sz="8" w:space="0" w:color="000000"/>
              <w:bottom w:val="single" w:sz="8" w:space="0" w:color="000000"/>
              <w:right w:val="nil"/>
            </w:tcBorders>
          </w:tcPr>
          <w:p w14:paraId="3D89EE95" w14:textId="77777777" w:rsidR="00611539" w:rsidRPr="000C5085" w:rsidRDefault="00611539" w:rsidP="000C5085">
            <w:pPr>
              <w:widowControl w:val="0"/>
              <w:autoSpaceDE w:val="0"/>
              <w:autoSpaceDN w:val="0"/>
              <w:adjustRightInd w:val="0"/>
              <w:spacing w:after="0" w:line="240" w:lineRule="auto"/>
              <w:jc w:val="right"/>
              <w:rPr>
                <w:rFonts w:ascii="Times New Roman" w:eastAsia="Calibri" w:hAnsi="Times New Roman" w:cs="Times New Roman"/>
              </w:rPr>
            </w:pP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Letrozolas</w:t>
            </w:r>
            <w:proofErr w:type="spellEnd"/>
          </w:p>
          <w:p w14:paraId="6F92A191"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N=2582</w:t>
            </w:r>
          </w:p>
        </w:tc>
        <w:tc>
          <w:tcPr>
            <w:tcW w:w="615" w:type="pct"/>
            <w:tcBorders>
              <w:top w:val="single" w:sz="8" w:space="0" w:color="000000"/>
              <w:left w:val="nil"/>
              <w:bottom w:val="single" w:sz="8" w:space="0" w:color="000000"/>
              <w:right w:val="nil"/>
            </w:tcBorders>
          </w:tcPr>
          <w:p w14:paraId="674D36E7"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rPr>
              <w:t>Placebas</w:t>
            </w:r>
            <w:proofErr w:type="spellEnd"/>
          </w:p>
          <w:p w14:paraId="1840263E"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N=2586</w:t>
            </w:r>
          </w:p>
        </w:tc>
        <w:tc>
          <w:tcPr>
            <w:tcW w:w="688" w:type="pct"/>
            <w:gridSpan w:val="4"/>
            <w:tcBorders>
              <w:top w:val="single" w:sz="8" w:space="0" w:color="000000"/>
              <w:left w:val="nil"/>
              <w:bottom w:val="single" w:sz="8" w:space="0" w:color="000000"/>
              <w:right w:val="nil"/>
            </w:tcBorders>
          </w:tcPr>
          <w:p w14:paraId="7007E8B2"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RS</w:t>
            </w:r>
          </w:p>
          <w:p w14:paraId="7A76DC2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position w:val="8"/>
                <w:vertAlign w:val="superscript"/>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w:t>
            </w:r>
            <w:r w:rsidRPr="000C5085">
              <w:rPr>
                <w:rFonts w:ascii="Times New Roman" w:eastAsia="Calibri" w:hAnsi="Times New Roman" w:cs="Times New Roman"/>
                <w:position w:val="8"/>
                <w:vertAlign w:val="superscript"/>
              </w:rPr>
              <w:t>2</w:t>
            </w:r>
          </w:p>
          <w:p w14:paraId="3CE8251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i/>
              </w:rPr>
              <w:t xml:space="preserve">P </w:t>
            </w:r>
            <w:r w:rsidRPr="000C5085">
              <w:rPr>
                <w:rFonts w:ascii="Times New Roman" w:eastAsia="Calibri" w:hAnsi="Times New Roman" w:cs="Times New Roman"/>
              </w:rPr>
              <w:t>reikšmė</w:t>
            </w:r>
          </w:p>
        </w:tc>
        <w:tc>
          <w:tcPr>
            <w:tcW w:w="609" w:type="pct"/>
            <w:gridSpan w:val="2"/>
            <w:tcBorders>
              <w:top w:val="single" w:sz="8" w:space="0" w:color="000000"/>
              <w:left w:val="nil"/>
              <w:bottom w:val="single" w:sz="8" w:space="0" w:color="000000"/>
              <w:right w:val="nil"/>
            </w:tcBorders>
          </w:tcPr>
          <w:p w14:paraId="30E3153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p>
          <w:p w14:paraId="12B15AC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N=2582</w:t>
            </w:r>
          </w:p>
        </w:tc>
        <w:tc>
          <w:tcPr>
            <w:tcW w:w="534" w:type="pct"/>
            <w:gridSpan w:val="3"/>
            <w:tcBorders>
              <w:top w:val="single" w:sz="8" w:space="0" w:color="000000"/>
              <w:left w:val="nil"/>
              <w:bottom w:val="single" w:sz="8" w:space="0" w:color="000000"/>
              <w:right w:val="nil"/>
            </w:tcBorders>
          </w:tcPr>
          <w:p w14:paraId="38F4A44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0C5085">
              <w:rPr>
                <w:rFonts w:ascii="Times New Roman" w:eastAsia="Calibri" w:hAnsi="Times New Roman" w:cs="Times New Roman"/>
              </w:rPr>
              <w:t>Placebas</w:t>
            </w:r>
            <w:proofErr w:type="spellEnd"/>
          </w:p>
          <w:p w14:paraId="1C4E96F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N=2586</w:t>
            </w:r>
          </w:p>
        </w:tc>
        <w:tc>
          <w:tcPr>
            <w:tcW w:w="674" w:type="pct"/>
            <w:gridSpan w:val="3"/>
            <w:tcBorders>
              <w:top w:val="single" w:sz="8" w:space="0" w:color="000000"/>
              <w:left w:val="nil"/>
              <w:bottom w:val="single" w:sz="8" w:space="0" w:color="000000"/>
            </w:tcBorders>
          </w:tcPr>
          <w:p w14:paraId="0E02B93C"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RS</w:t>
            </w:r>
          </w:p>
          <w:p w14:paraId="1988E00E"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w:t>
            </w:r>
            <w:r w:rsidRPr="000C5085">
              <w:rPr>
                <w:rFonts w:ascii="Times New Roman" w:eastAsia="Calibri" w:hAnsi="Times New Roman" w:cs="Times New Roman"/>
                <w:position w:val="8"/>
                <w:vertAlign w:val="superscript"/>
              </w:rPr>
              <w:t>2</w:t>
            </w:r>
          </w:p>
          <w:p w14:paraId="330847D6"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i/>
              </w:rPr>
              <w:t xml:space="preserve">P </w:t>
            </w:r>
            <w:r w:rsidRPr="000C5085">
              <w:rPr>
                <w:rFonts w:ascii="Times New Roman" w:eastAsia="Calibri" w:hAnsi="Times New Roman" w:cs="Times New Roman"/>
              </w:rPr>
              <w:t>reikšmė</w:t>
            </w:r>
          </w:p>
        </w:tc>
      </w:tr>
      <w:tr w:rsidR="00611539" w:rsidRPr="000C5085" w14:paraId="6358A438" w14:textId="77777777" w:rsidTr="008637BB">
        <w:trPr>
          <w:trHeight w:val="159"/>
        </w:trPr>
        <w:tc>
          <w:tcPr>
            <w:tcW w:w="5000" w:type="pct"/>
            <w:gridSpan w:val="16"/>
            <w:tcBorders>
              <w:top w:val="single" w:sz="8" w:space="0" w:color="000000"/>
              <w:bottom w:val="single" w:sz="6" w:space="0" w:color="000000"/>
            </w:tcBorders>
          </w:tcPr>
          <w:p w14:paraId="4BB46A23"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xml:space="preserve"> be ligos atsinaujinimo</w:t>
            </w:r>
            <w:r w:rsidRPr="000C5085">
              <w:rPr>
                <w:rFonts w:ascii="Times New Roman" w:eastAsia="Calibri" w:hAnsi="Times New Roman" w:cs="Times New Roman"/>
                <w:position w:val="8"/>
                <w:vertAlign w:val="superscript"/>
              </w:rPr>
              <w:t xml:space="preserve"> 3</w:t>
            </w:r>
          </w:p>
        </w:tc>
      </w:tr>
      <w:tr w:rsidR="00611539" w:rsidRPr="000C5085" w14:paraId="48BCBC8A" w14:textId="77777777" w:rsidTr="008637BB">
        <w:trPr>
          <w:trHeight w:val="324"/>
        </w:trPr>
        <w:tc>
          <w:tcPr>
            <w:tcW w:w="1202" w:type="pct"/>
            <w:tcBorders>
              <w:top w:val="single" w:sz="6" w:space="0" w:color="000000"/>
              <w:bottom w:val="single" w:sz="6" w:space="0" w:color="000000"/>
              <w:right w:val="nil"/>
            </w:tcBorders>
          </w:tcPr>
          <w:p w14:paraId="5AA0DA93"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Reiškiniai</w:t>
            </w:r>
          </w:p>
        </w:tc>
        <w:tc>
          <w:tcPr>
            <w:tcW w:w="613" w:type="pct"/>
            <w:tcBorders>
              <w:top w:val="single" w:sz="6" w:space="0" w:color="000000"/>
              <w:left w:val="nil"/>
              <w:bottom w:val="single" w:sz="6" w:space="0" w:color="000000"/>
              <w:right w:val="nil"/>
            </w:tcBorders>
          </w:tcPr>
          <w:p w14:paraId="67EE1842"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92 (3,6</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0" w:type="pct"/>
            <w:gridSpan w:val="2"/>
            <w:tcBorders>
              <w:top w:val="single" w:sz="6" w:space="0" w:color="000000"/>
              <w:left w:val="nil"/>
              <w:bottom w:val="single" w:sz="6" w:space="0" w:color="000000"/>
              <w:right w:val="nil"/>
            </w:tcBorders>
          </w:tcPr>
          <w:p w14:paraId="34259A8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155 (6,0</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8" w:type="pct"/>
            <w:gridSpan w:val="4"/>
            <w:tcBorders>
              <w:top w:val="single" w:sz="6" w:space="0" w:color="000000"/>
              <w:left w:val="nil"/>
              <w:bottom w:val="single" w:sz="6" w:space="0" w:color="000000"/>
              <w:right w:val="nil"/>
            </w:tcBorders>
          </w:tcPr>
          <w:p w14:paraId="21A6253B"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0,58</w:t>
            </w:r>
          </w:p>
          <w:p w14:paraId="7DEF096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(0,45, 0,76)</w:t>
            </w:r>
          </w:p>
          <w:p w14:paraId="56485409"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0,00003</w:t>
            </w:r>
          </w:p>
        </w:tc>
        <w:tc>
          <w:tcPr>
            <w:tcW w:w="609" w:type="pct"/>
            <w:gridSpan w:val="2"/>
            <w:tcBorders>
              <w:top w:val="single" w:sz="6" w:space="0" w:color="000000"/>
              <w:left w:val="nil"/>
              <w:bottom w:val="single" w:sz="6" w:space="0" w:color="000000"/>
              <w:right w:val="nil"/>
            </w:tcBorders>
          </w:tcPr>
          <w:p w14:paraId="2FCCD049"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209 (8,1</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534" w:type="pct"/>
            <w:gridSpan w:val="3"/>
            <w:tcBorders>
              <w:top w:val="single" w:sz="6" w:space="0" w:color="000000"/>
              <w:left w:val="nil"/>
              <w:bottom w:val="single" w:sz="6" w:space="0" w:color="000000"/>
              <w:right w:val="nil"/>
            </w:tcBorders>
          </w:tcPr>
          <w:p w14:paraId="5F5F536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286 (11,1</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74" w:type="pct"/>
            <w:gridSpan w:val="3"/>
            <w:tcBorders>
              <w:top w:val="single" w:sz="6" w:space="0" w:color="000000"/>
              <w:left w:val="nil"/>
              <w:bottom w:val="single" w:sz="6" w:space="0" w:color="000000"/>
            </w:tcBorders>
          </w:tcPr>
          <w:p w14:paraId="670EF91E"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0,75</w:t>
            </w:r>
          </w:p>
          <w:p w14:paraId="4477F347"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(0,63, 0,89)</w:t>
            </w:r>
          </w:p>
        </w:tc>
      </w:tr>
      <w:tr w:rsidR="00611539" w:rsidRPr="000C5085" w14:paraId="796ED6D8" w14:textId="77777777" w:rsidTr="008637BB">
        <w:trPr>
          <w:trHeight w:val="118"/>
        </w:trPr>
        <w:tc>
          <w:tcPr>
            <w:tcW w:w="1202" w:type="pct"/>
            <w:tcBorders>
              <w:top w:val="single" w:sz="6" w:space="0" w:color="000000"/>
              <w:bottom w:val="single" w:sz="8" w:space="0" w:color="000000"/>
              <w:right w:val="nil"/>
            </w:tcBorders>
          </w:tcPr>
          <w:p w14:paraId="0B99DA7E"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4 metų DFS dažnis</w:t>
            </w:r>
          </w:p>
        </w:tc>
        <w:tc>
          <w:tcPr>
            <w:tcW w:w="613" w:type="pct"/>
            <w:tcBorders>
              <w:top w:val="single" w:sz="6" w:space="0" w:color="000000"/>
              <w:left w:val="nil"/>
              <w:bottom w:val="single" w:sz="8" w:space="0" w:color="000000"/>
              <w:right w:val="nil"/>
            </w:tcBorders>
          </w:tcPr>
          <w:p w14:paraId="285FDDE1"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94,4</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368" w:type="pct"/>
            <w:gridSpan w:val="6"/>
            <w:tcBorders>
              <w:top w:val="single" w:sz="6" w:space="0" w:color="000000"/>
              <w:left w:val="nil"/>
              <w:bottom w:val="single" w:sz="8" w:space="0" w:color="000000"/>
              <w:right w:val="nil"/>
            </w:tcBorders>
          </w:tcPr>
          <w:p w14:paraId="00CFCCDF"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89,8</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09" w:type="pct"/>
            <w:gridSpan w:val="2"/>
            <w:tcBorders>
              <w:top w:val="single" w:sz="6" w:space="0" w:color="000000"/>
              <w:left w:val="nil"/>
              <w:bottom w:val="single" w:sz="8" w:space="0" w:color="000000"/>
              <w:right w:val="nil"/>
            </w:tcBorders>
          </w:tcPr>
          <w:p w14:paraId="3EF3291B"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94,4</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208" w:type="pct"/>
            <w:gridSpan w:val="6"/>
            <w:tcBorders>
              <w:top w:val="single" w:sz="6" w:space="0" w:color="000000"/>
              <w:left w:val="nil"/>
              <w:bottom w:val="single" w:sz="8" w:space="0" w:color="000000"/>
            </w:tcBorders>
          </w:tcPr>
          <w:p w14:paraId="117CBD17"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91,4</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0DE1757E" w14:textId="77777777" w:rsidTr="008637BB">
        <w:trPr>
          <w:trHeight w:val="159"/>
        </w:trPr>
        <w:tc>
          <w:tcPr>
            <w:tcW w:w="5000" w:type="pct"/>
            <w:gridSpan w:val="16"/>
            <w:tcBorders>
              <w:top w:val="single" w:sz="8" w:space="0" w:color="000000"/>
              <w:bottom w:val="single" w:sz="6" w:space="0" w:color="000000"/>
            </w:tcBorders>
          </w:tcPr>
          <w:p w14:paraId="2C352537"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proofErr w:type="spellStart"/>
            <w:r w:rsidRPr="000C5085">
              <w:rPr>
                <w:rFonts w:ascii="Times New Roman" w:eastAsia="Calibri" w:hAnsi="Times New Roman" w:cs="Times New Roman"/>
                <w:b/>
              </w:rPr>
              <w:t>Išgyvenamumas</w:t>
            </w:r>
            <w:proofErr w:type="spellEnd"/>
            <w:r w:rsidRPr="000C5085">
              <w:rPr>
                <w:rFonts w:ascii="Times New Roman" w:eastAsia="Calibri" w:hAnsi="Times New Roman" w:cs="Times New Roman"/>
                <w:b/>
              </w:rPr>
              <w:t xml:space="preserve"> be ligos atsinaujinimo</w:t>
            </w:r>
            <w:r w:rsidRPr="000C5085">
              <w:rPr>
                <w:rFonts w:ascii="Times New Roman" w:eastAsia="Calibri" w:hAnsi="Times New Roman" w:cs="Times New Roman"/>
                <w:position w:val="8"/>
                <w:vertAlign w:val="superscript"/>
              </w:rPr>
              <w:t xml:space="preserve"> 3</w:t>
            </w:r>
            <w:r w:rsidRPr="000C5085">
              <w:rPr>
                <w:rFonts w:ascii="Times New Roman" w:eastAsia="Calibri" w:hAnsi="Times New Roman" w:cs="Times New Roman"/>
                <w:b/>
              </w:rPr>
              <w:t>, įskaitant mirtį nuo bet kokios priežasties</w:t>
            </w:r>
          </w:p>
        </w:tc>
      </w:tr>
      <w:tr w:rsidR="00611539" w:rsidRPr="000C5085" w14:paraId="7BF6EB41" w14:textId="77777777" w:rsidTr="008637BB">
        <w:trPr>
          <w:trHeight w:val="221"/>
        </w:trPr>
        <w:tc>
          <w:tcPr>
            <w:tcW w:w="1202" w:type="pct"/>
            <w:tcBorders>
              <w:top w:val="single" w:sz="6" w:space="0" w:color="000000"/>
              <w:bottom w:val="single" w:sz="6" w:space="0" w:color="000000"/>
              <w:right w:val="single" w:sz="6" w:space="0" w:color="000000"/>
            </w:tcBorders>
          </w:tcPr>
          <w:p w14:paraId="1D651354"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Reiškiniai</w:t>
            </w:r>
          </w:p>
        </w:tc>
        <w:tc>
          <w:tcPr>
            <w:tcW w:w="613" w:type="pct"/>
            <w:tcBorders>
              <w:top w:val="single" w:sz="6" w:space="0" w:color="000000"/>
              <w:left w:val="single" w:sz="6" w:space="0" w:color="000000"/>
              <w:bottom w:val="single" w:sz="6" w:space="0" w:color="000000"/>
              <w:right w:val="single" w:sz="6" w:space="0" w:color="000000"/>
            </w:tcBorders>
          </w:tcPr>
          <w:p w14:paraId="49A34BF7"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122 (4,7</w:t>
            </w:r>
            <w:r w:rsidR="0045175C">
              <w:rPr>
                <w:rFonts w:ascii="Times New Roman" w:eastAsia="Calibri" w:hAnsi="Times New Roman" w:cs="Times New Roman"/>
              </w:rPr>
              <w:t> </w:t>
            </w:r>
            <w:r w:rsidRPr="000C5085">
              <w:rPr>
                <w:rFonts w:ascii="Times New Roman" w:eastAsia="Calibri" w:hAnsi="Times New Roman" w:cs="Times New Roman"/>
              </w:rPr>
              <w:t xml:space="preserve">%) </w:t>
            </w:r>
          </w:p>
        </w:tc>
        <w:tc>
          <w:tcPr>
            <w:tcW w:w="686" w:type="pct"/>
            <w:gridSpan w:val="3"/>
            <w:tcBorders>
              <w:top w:val="single" w:sz="6" w:space="0" w:color="000000"/>
              <w:left w:val="single" w:sz="6" w:space="0" w:color="000000"/>
              <w:bottom w:val="single" w:sz="6" w:space="0" w:color="000000"/>
              <w:right w:val="single" w:sz="6" w:space="0" w:color="000000"/>
            </w:tcBorders>
          </w:tcPr>
          <w:p w14:paraId="18A6236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193 (7,5</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5" w:type="pct"/>
            <w:gridSpan w:val="4"/>
            <w:tcBorders>
              <w:top w:val="single" w:sz="6" w:space="0" w:color="000000"/>
              <w:left w:val="single" w:sz="6" w:space="0" w:color="000000"/>
              <w:bottom w:val="single" w:sz="6" w:space="0" w:color="000000"/>
              <w:right w:val="single" w:sz="6" w:space="0" w:color="000000"/>
            </w:tcBorders>
          </w:tcPr>
          <w:p w14:paraId="38A872F1"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0,62</w:t>
            </w:r>
          </w:p>
          <w:p w14:paraId="314E698F"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(0,49, 0,78) </w:t>
            </w:r>
          </w:p>
        </w:tc>
        <w:tc>
          <w:tcPr>
            <w:tcW w:w="617" w:type="pct"/>
            <w:gridSpan w:val="3"/>
            <w:tcBorders>
              <w:top w:val="single" w:sz="6" w:space="0" w:color="000000"/>
              <w:left w:val="single" w:sz="6" w:space="0" w:color="000000"/>
              <w:bottom w:val="single" w:sz="6" w:space="0" w:color="000000"/>
              <w:right w:val="single" w:sz="6" w:space="0" w:color="000000"/>
            </w:tcBorders>
          </w:tcPr>
          <w:p w14:paraId="28345CE8"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344 (13,3</w:t>
            </w:r>
            <w:r w:rsidR="0045175C">
              <w:rPr>
                <w:rFonts w:ascii="Times New Roman" w:eastAsia="Calibri" w:hAnsi="Times New Roman" w:cs="Times New Roman"/>
              </w:rPr>
              <w:t> </w:t>
            </w:r>
            <w:r w:rsidRPr="000C5085">
              <w:rPr>
                <w:rFonts w:ascii="Times New Roman" w:eastAsia="Calibri" w:hAnsi="Times New Roman" w:cs="Times New Roman"/>
              </w:rPr>
              <w:t xml:space="preserve">%) </w:t>
            </w:r>
          </w:p>
        </w:tc>
        <w:tc>
          <w:tcPr>
            <w:tcW w:w="537" w:type="pct"/>
            <w:gridSpan w:val="3"/>
            <w:tcBorders>
              <w:top w:val="single" w:sz="6" w:space="0" w:color="000000"/>
              <w:left w:val="single" w:sz="6" w:space="0" w:color="000000"/>
              <w:bottom w:val="single" w:sz="6" w:space="0" w:color="000000"/>
              <w:right w:val="single" w:sz="6" w:space="0" w:color="000000"/>
            </w:tcBorders>
          </w:tcPr>
          <w:p w14:paraId="7BDCEE78"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402 (15,5</w:t>
            </w:r>
            <w:r w:rsidR="0045175C">
              <w:rPr>
                <w:rFonts w:ascii="Times New Roman" w:eastAsia="Calibri" w:hAnsi="Times New Roman" w:cs="Times New Roman"/>
              </w:rPr>
              <w:t> </w:t>
            </w:r>
            <w:r w:rsidRPr="000C5085">
              <w:rPr>
                <w:rFonts w:ascii="Times New Roman" w:eastAsia="Calibri" w:hAnsi="Times New Roman" w:cs="Times New Roman"/>
              </w:rPr>
              <w:t xml:space="preserve">%) </w:t>
            </w:r>
          </w:p>
        </w:tc>
        <w:tc>
          <w:tcPr>
            <w:tcW w:w="659" w:type="pct"/>
            <w:tcBorders>
              <w:top w:val="single" w:sz="6" w:space="0" w:color="000000"/>
              <w:left w:val="single" w:sz="6" w:space="0" w:color="000000"/>
              <w:bottom w:val="single" w:sz="6" w:space="0" w:color="000000"/>
            </w:tcBorders>
          </w:tcPr>
          <w:p w14:paraId="65B568A7"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0,89</w:t>
            </w:r>
          </w:p>
          <w:p w14:paraId="7B7CC0A1"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(0,77, 1,03) </w:t>
            </w:r>
          </w:p>
        </w:tc>
      </w:tr>
      <w:tr w:rsidR="00611539" w:rsidRPr="000C5085" w14:paraId="745625E1" w14:textId="77777777" w:rsidTr="008637BB">
        <w:trPr>
          <w:trHeight w:val="118"/>
        </w:trPr>
        <w:tc>
          <w:tcPr>
            <w:tcW w:w="1202" w:type="pct"/>
            <w:tcBorders>
              <w:top w:val="single" w:sz="6" w:space="0" w:color="000000"/>
              <w:bottom w:val="single" w:sz="8" w:space="0" w:color="000000"/>
              <w:right w:val="single" w:sz="6" w:space="0" w:color="000000"/>
            </w:tcBorders>
          </w:tcPr>
          <w:p w14:paraId="4AAC05BD"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5 metų DFS dažnis</w:t>
            </w:r>
          </w:p>
        </w:tc>
        <w:tc>
          <w:tcPr>
            <w:tcW w:w="613" w:type="pct"/>
            <w:tcBorders>
              <w:top w:val="single" w:sz="6" w:space="0" w:color="000000"/>
              <w:left w:val="single" w:sz="6" w:space="0" w:color="000000"/>
              <w:bottom w:val="single" w:sz="8" w:space="0" w:color="000000"/>
              <w:right w:val="single" w:sz="6" w:space="0" w:color="000000"/>
            </w:tcBorders>
          </w:tcPr>
          <w:p w14:paraId="4464F781"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90,5</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6" w:type="pct"/>
            <w:gridSpan w:val="3"/>
            <w:tcBorders>
              <w:top w:val="single" w:sz="6" w:space="0" w:color="000000"/>
              <w:left w:val="single" w:sz="6" w:space="0" w:color="000000"/>
              <w:bottom w:val="single" w:sz="8" w:space="0" w:color="000000"/>
              <w:right w:val="single" w:sz="6" w:space="0" w:color="000000"/>
            </w:tcBorders>
          </w:tcPr>
          <w:p w14:paraId="7077F38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80,8</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51" w:type="pct"/>
            <w:gridSpan w:val="2"/>
            <w:tcBorders>
              <w:top w:val="single" w:sz="6" w:space="0" w:color="000000"/>
              <w:left w:val="single" w:sz="6" w:space="0" w:color="000000"/>
              <w:bottom w:val="single" w:sz="8" w:space="0" w:color="000000"/>
              <w:right w:val="single" w:sz="6" w:space="0" w:color="000000"/>
            </w:tcBorders>
          </w:tcPr>
          <w:p w14:paraId="44C5FF1F"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 </w:t>
            </w:r>
          </w:p>
        </w:tc>
        <w:tc>
          <w:tcPr>
            <w:tcW w:w="652" w:type="pct"/>
            <w:gridSpan w:val="5"/>
            <w:tcBorders>
              <w:top w:val="single" w:sz="6" w:space="0" w:color="000000"/>
              <w:left w:val="single" w:sz="6" w:space="0" w:color="000000"/>
              <w:bottom w:val="single" w:sz="8" w:space="0" w:color="000000"/>
              <w:right w:val="single" w:sz="6" w:space="0" w:color="000000"/>
            </w:tcBorders>
          </w:tcPr>
          <w:p w14:paraId="7AD91EF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88,8</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1196" w:type="pct"/>
            <w:gridSpan w:val="4"/>
            <w:tcBorders>
              <w:top w:val="single" w:sz="6" w:space="0" w:color="000000"/>
              <w:left w:val="single" w:sz="6" w:space="0" w:color="000000"/>
              <w:bottom w:val="single" w:sz="8" w:space="0" w:color="000000"/>
            </w:tcBorders>
          </w:tcPr>
          <w:p w14:paraId="7685568C"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86,7</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7231265F" w14:textId="77777777" w:rsidTr="008637BB">
        <w:trPr>
          <w:trHeight w:val="118"/>
        </w:trPr>
        <w:tc>
          <w:tcPr>
            <w:tcW w:w="5000" w:type="pct"/>
            <w:gridSpan w:val="16"/>
            <w:tcBorders>
              <w:top w:val="single" w:sz="8" w:space="0" w:color="000000"/>
              <w:bottom w:val="single" w:sz="6" w:space="0" w:color="000000"/>
            </w:tcBorders>
          </w:tcPr>
          <w:p w14:paraId="27F80DAB"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Tolimosios metastazės</w:t>
            </w:r>
          </w:p>
        </w:tc>
      </w:tr>
      <w:tr w:rsidR="00611539" w:rsidRPr="000C5085" w14:paraId="6AAE7B9E" w14:textId="77777777" w:rsidTr="008637BB">
        <w:trPr>
          <w:trHeight w:val="221"/>
        </w:trPr>
        <w:tc>
          <w:tcPr>
            <w:tcW w:w="1202" w:type="pct"/>
            <w:tcBorders>
              <w:top w:val="single" w:sz="6" w:space="0" w:color="000000"/>
              <w:bottom w:val="single" w:sz="8" w:space="0" w:color="000000"/>
              <w:right w:val="single" w:sz="6" w:space="0" w:color="000000"/>
            </w:tcBorders>
          </w:tcPr>
          <w:p w14:paraId="6299EEC4"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Reiškiniai</w:t>
            </w:r>
          </w:p>
        </w:tc>
        <w:tc>
          <w:tcPr>
            <w:tcW w:w="613" w:type="pct"/>
            <w:tcBorders>
              <w:top w:val="single" w:sz="6" w:space="0" w:color="000000"/>
              <w:left w:val="single" w:sz="6" w:space="0" w:color="000000"/>
              <w:bottom w:val="single" w:sz="8" w:space="0" w:color="000000"/>
              <w:right w:val="single" w:sz="6" w:space="0" w:color="000000"/>
            </w:tcBorders>
          </w:tcPr>
          <w:p w14:paraId="4669B08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57 (2,2</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6" w:type="pct"/>
            <w:gridSpan w:val="3"/>
            <w:tcBorders>
              <w:top w:val="single" w:sz="6" w:space="0" w:color="000000"/>
              <w:left w:val="single" w:sz="6" w:space="0" w:color="000000"/>
              <w:bottom w:val="single" w:sz="8" w:space="0" w:color="000000"/>
              <w:right w:val="single" w:sz="6" w:space="0" w:color="000000"/>
            </w:tcBorders>
          </w:tcPr>
          <w:p w14:paraId="5FA6881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93 (3,6</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5" w:type="pct"/>
            <w:gridSpan w:val="4"/>
            <w:tcBorders>
              <w:top w:val="single" w:sz="6" w:space="0" w:color="000000"/>
              <w:left w:val="single" w:sz="6" w:space="0" w:color="000000"/>
              <w:bottom w:val="single" w:sz="8" w:space="0" w:color="000000"/>
              <w:right w:val="single" w:sz="6" w:space="0" w:color="000000"/>
            </w:tcBorders>
          </w:tcPr>
          <w:p w14:paraId="12BF615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0,61</w:t>
            </w:r>
          </w:p>
          <w:p w14:paraId="530582DF"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(0,44, 0,84)</w:t>
            </w:r>
          </w:p>
        </w:tc>
        <w:tc>
          <w:tcPr>
            <w:tcW w:w="617" w:type="pct"/>
            <w:gridSpan w:val="3"/>
            <w:tcBorders>
              <w:top w:val="single" w:sz="6" w:space="0" w:color="000000"/>
              <w:left w:val="single" w:sz="6" w:space="0" w:color="000000"/>
              <w:bottom w:val="single" w:sz="8" w:space="0" w:color="000000"/>
              <w:right w:val="single" w:sz="6" w:space="0" w:color="000000"/>
            </w:tcBorders>
          </w:tcPr>
          <w:p w14:paraId="157A7710"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142</w:t>
            </w:r>
          </w:p>
          <w:p w14:paraId="16365052"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(5,5</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537" w:type="pct"/>
            <w:gridSpan w:val="3"/>
            <w:tcBorders>
              <w:top w:val="single" w:sz="6" w:space="0" w:color="000000"/>
              <w:left w:val="single" w:sz="6" w:space="0" w:color="000000"/>
              <w:bottom w:val="single" w:sz="8" w:space="0" w:color="000000"/>
              <w:right w:val="single" w:sz="6" w:space="0" w:color="000000"/>
            </w:tcBorders>
          </w:tcPr>
          <w:p w14:paraId="3CB41369"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169</w:t>
            </w:r>
          </w:p>
          <w:p w14:paraId="635970C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(6,5</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59" w:type="pct"/>
            <w:tcBorders>
              <w:top w:val="single" w:sz="6" w:space="0" w:color="000000"/>
              <w:left w:val="single" w:sz="6" w:space="0" w:color="000000"/>
              <w:bottom w:val="single" w:sz="8" w:space="0" w:color="000000"/>
            </w:tcBorders>
          </w:tcPr>
          <w:p w14:paraId="7948164C"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0,88</w:t>
            </w:r>
          </w:p>
          <w:p w14:paraId="5D8C4E8E"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(0,70, 1,10)</w:t>
            </w:r>
          </w:p>
        </w:tc>
      </w:tr>
      <w:tr w:rsidR="00611539" w:rsidRPr="000C5085" w14:paraId="41B5F455" w14:textId="77777777" w:rsidTr="008637BB">
        <w:trPr>
          <w:trHeight w:val="119"/>
        </w:trPr>
        <w:tc>
          <w:tcPr>
            <w:tcW w:w="5000" w:type="pct"/>
            <w:gridSpan w:val="16"/>
            <w:tcBorders>
              <w:top w:val="single" w:sz="8" w:space="0" w:color="000000"/>
              <w:bottom w:val="single" w:sz="6" w:space="0" w:color="000000"/>
            </w:tcBorders>
          </w:tcPr>
          <w:p w14:paraId="42C95B07"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b/>
              </w:rPr>
              <w:t xml:space="preserve">Bendrasis </w:t>
            </w:r>
            <w:proofErr w:type="spellStart"/>
            <w:r w:rsidRPr="000C5085">
              <w:rPr>
                <w:rFonts w:ascii="Times New Roman" w:eastAsia="Calibri" w:hAnsi="Times New Roman" w:cs="Times New Roman"/>
                <w:b/>
              </w:rPr>
              <w:t>išgyvenamumas</w:t>
            </w:r>
            <w:proofErr w:type="spellEnd"/>
          </w:p>
        </w:tc>
      </w:tr>
      <w:tr w:rsidR="00611539" w:rsidRPr="000C5085" w14:paraId="2C79F967" w14:textId="77777777" w:rsidTr="008637BB">
        <w:trPr>
          <w:trHeight w:val="221"/>
        </w:trPr>
        <w:tc>
          <w:tcPr>
            <w:tcW w:w="1202" w:type="pct"/>
            <w:tcBorders>
              <w:top w:val="single" w:sz="6" w:space="0" w:color="000000"/>
              <w:bottom w:val="single" w:sz="6" w:space="0" w:color="000000"/>
              <w:right w:val="single" w:sz="6" w:space="0" w:color="000000"/>
            </w:tcBorders>
          </w:tcPr>
          <w:p w14:paraId="7C6B4415"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Mirtys</w:t>
            </w:r>
          </w:p>
        </w:tc>
        <w:tc>
          <w:tcPr>
            <w:tcW w:w="613" w:type="pct"/>
            <w:tcBorders>
              <w:top w:val="single" w:sz="6" w:space="0" w:color="000000"/>
              <w:left w:val="single" w:sz="6" w:space="0" w:color="000000"/>
              <w:bottom w:val="single" w:sz="6" w:space="0" w:color="000000"/>
              <w:right w:val="single" w:sz="6" w:space="0" w:color="000000"/>
            </w:tcBorders>
          </w:tcPr>
          <w:p w14:paraId="3A1FC65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51</w:t>
            </w:r>
          </w:p>
          <w:p w14:paraId="700933BF"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(2,0</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6" w:type="pct"/>
            <w:gridSpan w:val="3"/>
            <w:tcBorders>
              <w:top w:val="single" w:sz="6" w:space="0" w:color="000000"/>
              <w:left w:val="single" w:sz="6" w:space="0" w:color="000000"/>
              <w:bottom w:val="single" w:sz="6" w:space="0" w:color="000000"/>
              <w:right w:val="single" w:sz="6" w:space="0" w:color="000000"/>
            </w:tcBorders>
          </w:tcPr>
          <w:p w14:paraId="2C132A69"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62</w:t>
            </w:r>
          </w:p>
          <w:p w14:paraId="764EDA14"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(2,4</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85" w:type="pct"/>
            <w:gridSpan w:val="4"/>
            <w:tcBorders>
              <w:top w:val="single" w:sz="6" w:space="0" w:color="000000"/>
              <w:left w:val="single" w:sz="6" w:space="0" w:color="000000"/>
              <w:bottom w:val="single" w:sz="6" w:space="0" w:color="000000"/>
              <w:right w:val="single" w:sz="6" w:space="0" w:color="000000"/>
            </w:tcBorders>
          </w:tcPr>
          <w:p w14:paraId="4A112C99"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0,82</w:t>
            </w:r>
          </w:p>
          <w:p w14:paraId="0FE8C2D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(0,56, 1,19)</w:t>
            </w:r>
          </w:p>
        </w:tc>
        <w:tc>
          <w:tcPr>
            <w:tcW w:w="610" w:type="pct"/>
            <w:gridSpan w:val="2"/>
            <w:tcBorders>
              <w:top w:val="single" w:sz="6" w:space="0" w:color="000000"/>
              <w:left w:val="single" w:sz="6" w:space="0" w:color="000000"/>
              <w:bottom w:val="single" w:sz="6" w:space="0" w:color="000000"/>
              <w:right w:val="single" w:sz="6" w:space="0" w:color="000000"/>
            </w:tcBorders>
          </w:tcPr>
          <w:p w14:paraId="6F86D8F0"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236</w:t>
            </w:r>
          </w:p>
          <w:p w14:paraId="233D698C"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(9,1</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537" w:type="pct"/>
            <w:gridSpan w:val="3"/>
            <w:tcBorders>
              <w:top w:val="single" w:sz="6" w:space="0" w:color="000000"/>
              <w:left w:val="single" w:sz="6" w:space="0" w:color="000000"/>
              <w:bottom w:val="single" w:sz="6" w:space="0" w:color="000000"/>
              <w:right w:val="single" w:sz="6" w:space="0" w:color="000000"/>
            </w:tcBorders>
          </w:tcPr>
          <w:p w14:paraId="0606EB2B"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232</w:t>
            </w:r>
          </w:p>
          <w:p w14:paraId="527872C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(9,0</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66" w:type="pct"/>
            <w:gridSpan w:val="2"/>
            <w:tcBorders>
              <w:top w:val="single" w:sz="6" w:space="0" w:color="000000"/>
              <w:left w:val="single" w:sz="6" w:space="0" w:color="000000"/>
              <w:bottom w:val="single" w:sz="6" w:space="0" w:color="000000"/>
            </w:tcBorders>
          </w:tcPr>
          <w:p w14:paraId="71D882A0"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1,13</w:t>
            </w:r>
          </w:p>
          <w:p w14:paraId="1A182CC3"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(0,95, 1,36)</w:t>
            </w:r>
          </w:p>
        </w:tc>
      </w:tr>
      <w:tr w:rsidR="00611539" w:rsidRPr="000C5085" w14:paraId="12FBBC76" w14:textId="77777777" w:rsidTr="008637BB">
        <w:trPr>
          <w:trHeight w:val="229"/>
        </w:trPr>
        <w:tc>
          <w:tcPr>
            <w:tcW w:w="1202" w:type="pct"/>
            <w:tcBorders>
              <w:top w:val="single" w:sz="6" w:space="0" w:color="000000"/>
              <w:bottom w:val="single" w:sz="6" w:space="0" w:color="000000"/>
              <w:right w:val="single" w:sz="6" w:space="0" w:color="000000"/>
            </w:tcBorders>
          </w:tcPr>
          <w:p w14:paraId="5E619F9C"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position w:val="8"/>
                <w:vertAlign w:val="superscript"/>
              </w:rPr>
            </w:pPr>
            <w:r w:rsidRPr="000C5085">
              <w:rPr>
                <w:rFonts w:ascii="Times New Roman" w:eastAsia="Calibri" w:hAnsi="Times New Roman" w:cs="Times New Roman"/>
              </w:rPr>
              <w:t>Mirtys</w:t>
            </w:r>
            <w:r w:rsidRPr="000C5085">
              <w:rPr>
                <w:rFonts w:ascii="Times New Roman" w:eastAsia="Calibri" w:hAnsi="Times New Roman" w:cs="Times New Roman"/>
                <w:position w:val="8"/>
                <w:vertAlign w:val="superscript"/>
              </w:rPr>
              <w:t>4</w:t>
            </w:r>
          </w:p>
          <w:p w14:paraId="6235108A" w14:textId="77777777" w:rsidR="00611539" w:rsidRPr="000C5085" w:rsidRDefault="00611539" w:rsidP="000C5085">
            <w:pPr>
              <w:widowControl w:val="0"/>
              <w:autoSpaceDE w:val="0"/>
              <w:autoSpaceDN w:val="0"/>
              <w:adjustRightInd w:val="0"/>
              <w:spacing w:after="0" w:line="240" w:lineRule="auto"/>
              <w:jc w:val="both"/>
              <w:rPr>
                <w:rFonts w:ascii="Times New Roman" w:eastAsia="Calibri" w:hAnsi="Times New Roman" w:cs="Times New Roman"/>
              </w:rPr>
            </w:pPr>
          </w:p>
        </w:tc>
        <w:tc>
          <w:tcPr>
            <w:tcW w:w="613" w:type="pct"/>
            <w:tcBorders>
              <w:top w:val="single" w:sz="6" w:space="0" w:color="000000"/>
              <w:left w:val="single" w:sz="6" w:space="0" w:color="000000"/>
              <w:bottom w:val="single" w:sz="6" w:space="0" w:color="000000"/>
              <w:right w:val="single" w:sz="6" w:space="0" w:color="000000"/>
            </w:tcBorders>
          </w:tcPr>
          <w:p w14:paraId="28C87B6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 - </w:t>
            </w:r>
          </w:p>
        </w:tc>
        <w:tc>
          <w:tcPr>
            <w:tcW w:w="686" w:type="pct"/>
            <w:gridSpan w:val="3"/>
            <w:tcBorders>
              <w:top w:val="single" w:sz="6" w:space="0" w:color="000000"/>
              <w:left w:val="single" w:sz="6" w:space="0" w:color="000000"/>
              <w:bottom w:val="single" w:sz="6" w:space="0" w:color="000000"/>
              <w:right w:val="single" w:sz="6" w:space="0" w:color="000000"/>
            </w:tcBorders>
          </w:tcPr>
          <w:p w14:paraId="2E335FF6"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 - </w:t>
            </w:r>
          </w:p>
        </w:tc>
        <w:tc>
          <w:tcPr>
            <w:tcW w:w="685" w:type="pct"/>
            <w:gridSpan w:val="4"/>
            <w:tcBorders>
              <w:top w:val="single" w:sz="6" w:space="0" w:color="000000"/>
              <w:left w:val="single" w:sz="6" w:space="0" w:color="000000"/>
              <w:bottom w:val="single" w:sz="6" w:space="0" w:color="000000"/>
              <w:right w:val="single" w:sz="6" w:space="0" w:color="000000"/>
            </w:tcBorders>
          </w:tcPr>
          <w:p w14:paraId="03F51AAA"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 xml:space="preserve">- - </w:t>
            </w:r>
          </w:p>
        </w:tc>
        <w:tc>
          <w:tcPr>
            <w:tcW w:w="610" w:type="pct"/>
            <w:gridSpan w:val="2"/>
            <w:tcBorders>
              <w:top w:val="single" w:sz="6" w:space="0" w:color="000000"/>
              <w:left w:val="single" w:sz="6" w:space="0" w:color="000000"/>
              <w:bottom w:val="single" w:sz="6" w:space="0" w:color="000000"/>
              <w:right w:val="single" w:sz="6" w:space="0" w:color="000000"/>
            </w:tcBorders>
          </w:tcPr>
          <w:p w14:paraId="6D0CAB5F"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236</w:t>
            </w:r>
            <w:r w:rsidRPr="000C5085">
              <w:rPr>
                <w:rFonts w:ascii="Times New Roman" w:eastAsia="Calibri" w:hAnsi="Times New Roman" w:cs="Times New Roman"/>
                <w:position w:val="8"/>
                <w:vertAlign w:val="superscript"/>
              </w:rPr>
              <w:t>5</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(9,1</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537" w:type="pct"/>
            <w:gridSpan w:val="3"/>
            <w:tcBorders>
              <w:top w:val="single" w:sz="6" w:space="0" w:color="000000"/>
              <w:left w:val="single" w:sz="6" w:space="0" w:color="000000"/>
              <w:bottom w:val="single" w:sz="6" w:space="0" w:color="000000"/>
              <w:right w:val="single" w:sz="6" w:space="0" w:color="000000"/>
            </w:tcBorders>
          </w:tcPr>
          <w:p w14:paraId="1A173D85"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170</w:t>
            </w:r>
            <w:r w:rsidRPr="000C5085">
              <w:rPr>
                <w:rFonts w:ascii="Times New Roman" w:eastAsia="Calibri" w:hAnsi="Times New Roman" w:cs="Times New Roman"/>
                <w:position w:val="8"/>
                <w:vertAlign w:val="superscript"/>
              </w:rPr>
              <w:t>6</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(6,6</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666" w:type="pct"/>
            <w:gridSpan w:val="2"/>
            <w:tcBorders>
              <w:top w:val="single" w:sz="6" w:space="0" w:color="000000"/>
              <w:left w:val="single" w:sz="6" w:space="0" w:color="000000"/>
              <w:bottom w:val="single" w:sz="6" w:space="0" w:color="000000"/>
            </w:tcBorders>
          </w:tcPr>
          <w:p w14:paraId="089FE146"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0,78</w:t>
            </w:r>
          </w:p>
          <w:p w14:paraId="7891F89E" w14:textId="77777777" w:rsidR="00611539" w:rsidRPr="000C5085" w:rsidRDefault="00611539" w:rsidP="000C5085">
            <w:pPr>
              <w:widowControl w:val="0"/>
              <w:autoSpaceDE w:val="0"/>
              <w:autoSpaceDN w:val="0"/>
              <w:adjustRightInd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(0,64, 0,96)</w:t>
            </w:r>
          </w:p>
        </w:tc>
      </w:tr>
      <w:tr w:rsidR="00611539" w:rsidRPr="000C5085" w14:paraId="4D0C12E3" w14:textId="77777777" w:rsidTr="008637BB">
        <w:trPr>
          <w:trHeight w:val="415"/>
        </w:trPr>
        <w:tc>
          <w:tcPr>
            <w:tcW w:w="5000" w:type="pct"/>
            <w:gridSpan w:val="16"/>
            <w:tcBorders>
              <w:top w:val="single" w:sz="6" w:space="0" w:color="000000"/>
              <w:bottom w:val="single" w:sz="8" w:space="0" w:color="000000"/>
            </w:tcBorders>
          </w:tcPr>
          <w:p w14:paraId="5E79C67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RS = rizikos santykis; PI = pasikliautinieji intervalai</w:t>
            </w:r>
          </w:p>
          <w:p w14:paraId="00BFCE00"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1</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 xml:space="preserve">Kai </w:t>
            </w:r>
            <w:smartTag w:uri="urn:schemas-microsoft-com:office:smarttags" w:element="metricconverter">
              <w:smartTagPr>
                <w:attr w:name="ProductID" w:val="2003 m"/>
              </w:smartTagPr>
              <w:r w:rsidRPr="000C5085">
                <w:rPr>
                  <w:rFonts w:ascii="Times New Roman" w:eastAsia="Calibri" w:hAnsi="Times New Roman" w:cs="Times New Roman"/>
                </w:rPr>
                <w:t>2003 m</w:t>
              </w:r>
            </w:smartTag>
            <w:r w:rsidRPr="000C5085">
              <w:rPr>
                <w:rFonts w:ascii="Times New Roman" w:eastAsia="Calibri" w:hAnsi="Times New Roman" w:cs="Times New Roman"/>
              </w:rPr>
              <w:t xml:space="preserve">. tyrimas buvo atkoduotas, 1551 pacientė, atsitiktiniu būdu priskirta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grupei (60</w:t>
            </w:r>
            <w:r w:rsidR="0045175C">
              <w:rPr>
                <w:rFonts w:ascii="Times New Roman" w:eastAsia="Calibri" w:hAnsi="Times New Roman" w:cs="Times New Roman"/>
              </w:rPr>
              <w:t> </w:t>
            </w:r>
            <w:r w:rsidRPr="000C5085">
              <w:rPr>
                <w:rFonts w:ascii="Times New Roman" w:eastAsia="Calibri" w:hAnsi="Times New Roman" w:cs="Times New Roman"/>
              </w:rPr>
              <w:t xml:space="preserve">% iš jų gydymą buvo galima keisti, t. y. joms nebuvo pasireiškusi liga), pradėjo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(laiko po atsitiktinių imčių sudarymo mediana buvo 31 mėnuo). Šios analizės metu į selektyvų gydymo keitimą neatsižvelgta.</w:t>
            </w:r>
          </w:p>
          <w:p w14:paraId="594E98C3"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2</w:t>
            </w:r>
            <w:r w:rsidRPr="000C5085">
              <w:rPr>
                <w:rFonts w:ascii="Times New Roman" w:eastAsia="Calibri" w:hAnsi="Times New Roman" w:cs="Times New Roman"/>
                <w:position w:val="8"/>
              </w:rPr>
              <w:t xml:space="preserve"> </w:t>
            </w:r>
            <w:proofErr w:type="spellStart"/>
            <w:r w:rsidRPr="000C5085">
              <w:rPr>
                <w:rFonts w:ascii="Times New Roman" w:eastAsia="Calibri" w:hAnsi="Times New Roman" w:cs="Times New Roman"/>
              </w:rPr>
              <w:t>Stratifikuota</w:t>
            </w:r>
            <w:proofErr w:type="spellEnd"/>
            <w:r w:rsidRPr="000C5085">
              <w:rPr>
                <w:rFonts w:ascii="Times New Roman" w:eastAsia="Calibri" w:hAnsi="Times New Roman" w:cs="Times New Roman"/>
              </w:rPr>
              <w:t xml:space="preserve"> pagal receptorių būklę, metastazes limfmazgiuose ir ankstesnę </w:t>
            </w:r>
            <w:proofErr w:type="spellStart"/>
            <w:r w:rsidRPr="000C5085">
              <w:rPr>
                <w:rFonts w:ascii="Times New Roman" w:eastAsia="Calibri" w:hAnsi="Times New Roman" w:cs="Times New Roman"/>
              </w:rPr>
              <w:t>adjuvantinę</w:t>
            </w:r>
            <w:proofErr w:type="spellEnd"/>
            <w:r w:rsidRPr="000C5085">
              <w:rPr>
                <w:rFonts w:ascii="Times New Roman" w:eastAsia="Calibri" w:hAnsi="Times New Roman" w:cs="Times New Roman"/>
              </w:rPr>
              <w:t xml:space="preserve"> chemoterapiją.</w:t>
            </w:r>
          </w:p>
          <w:p w14:paraId="3747449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3</w:t>
            </w:r>
            <w:r w:rsidRPr="000C5085">
              <w:rPr>
                <w:rFonts w:ascii="Times New Roman" w:eastAsia="Calibri" w:hAnsi="Times New Roman" w:cs="Times New Roman"/>
                <w:position w:val="8"/>
              </w:rPr>
              <w:t xml:space="preserve"> </w:t>
            </w:r>
            <w:proofErr w:type="spellStart"/>
            <w:r w:rsidRPr="000C5085">
              <w:rPr>
                <w:rFonts w:ascii="Times New Roman" w:eastAsia="Calibri" w:hAnsi="Times New Roman" w:cs="Times New Roman"/>
              </w:rPr>
              <w:t>Išgyvenamumo</w:t>
            </w:r>
            <w:proofErr w:type="spellEnd"/>
            <w:r w:rsidRPr="000C5085">
              <w:rPr>
                <w:rFonts w:ascii="Times New Roman" w:eastAsia="Calibri" w:hAnsi="Times New Roman" w:cs="Times New Roman"/>
              </w:rPr>
              <w:t xml:space="preserve"> be ligos pasireiškimo reiškinių protokolinis apibūdinimas: lokalus - regioninis pasikartojimas, tolimosios metastazės ar kitos krūties vėžys.</w:t>
            </w:r>
          </w:p>
          <w:p w14:paraId="441FFCD3"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4</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 xml:space="preserve">Žvalgomoji analizė, stebėjimo laiko duomenis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grupėje vertinant iki gydymo keitimo datos (jei keitimas atliktas).</w:t>
            </w:r>
          </w:p>
          <w:p w14:paraId="1A32F090"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5</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Stebėjimo mediana 62 mėnesiai.</w:t>
            </w:r>
          </w:p>
          <w:p w14:paraId="2F4389D9"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position w:val="8"/>
                <w:vertAlign w:val="superscript"/>
              </w:rPr>
              <w:t>6</w:t>
            </w:r>
            <w:r w:rsidRPr="000C5085">
              <w:rPr>
                <w:rFonts w:ascii="Times New Roman" w:eastAsia="Calibri" w:hAnsi="Times New Roman" w:cs="Times New Roman"/>
                <w:position w:val="8"/>
              </w:rPr>
              <w:t xml:space="preserve"> </w:t>
            </w:r>
            <w:r w:rsidRPr="000C5085">
              <w:rPr>
                <w:rFonts w:ascii="Times New Roman" w:eastAsia="Calibri" w:hAnsi="Times New Roman" w:cs="Times New Roman"/>
              </w:rPr>
              <w:t>Stebėjimo iki gydymo keitimo (jei jis buvo) mediana 37 mėnesiai.</w:t>
            </w:r>
          </w:p>
        </w:tc>
      </w:tr>
    </w:tbl>
    <w:p w14:paraId="633D6C20" w14:textId="77777777" w:rsidR="00611539" w:rsidRPr="000C5085" w:rsidRDefault="00611539" w:rsidP="000C5085">
      <w:pPr>
        <w:widowControl w:val="0"/>
        <w:spacing w:after="0" w:line="240" w:lineRule="auto"/>
        <w:rPr>
          <w:rFonts w:ascii="Times New Roman" w:eastAsia="Calibri" w:hAnsi="Times New Roman" w:cs="Times New Roman"/>
        </w:rPr>
      </w:pPr>
    </w:p>
    <w:p w14:paraId="4669E36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MA</w:t>
      </w:r>
      <w:r w:rsidRPr="000C5085">
        <w:rPr>
          <w:rFonts w:ascii="Times New Roman" w:eastAsia="Calibri" w:hAnsi="Times New Roman" w:cs="Times New Roman"/>
        </w:rPr>
        <w:noBreakHyphen/>
        <w:t xml:space="preserve">17 poveikio kaulams </w:t>
      </w:r>
      <w:proofErr w:type="spellStart"/>
      <w:r w:rsidRPr="000C5085">
        <w:rPr>
          <w:rFonts w:ascii="Times New Roman" w:eastAsia="Calibri" w:hAnsi="Times New Roman" w:cs="Times New Roman"/>
        </w:rPr>
        <w:t>subtyrimo</w:t>
      </w:r>
      <w:proofErr w:type="spellEnd"/>
      <w:r w:rsidRPr="000C5085">
        <w:rPr>
          <w:rFonts w:ascii="Times New Roman" w:eastAsia="Calibri" w:hAnsi="Times New Roman" w:cs="Times New Roman"/>
        </w:rPr>
        <w:t xml:space="preserve"> analizė parodė, kad pacientėms, kurios papildomai vartojo kalcio ir vitamino D, MKT nuo pradinio rodmens,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sumažėjo labiau, nei vartojant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Vienintelis </w:t>
      </w:r>
      <w:proofErr w:type="spellStart"/>
      <w:r w:rsidRPr="000C5085">
        <w:rPr>
          <w:rFonts w:ascii="Times New Roman" w:eastAsia="Calibri" w:hAnsi="Times New Roman" w:cs="Times New Roman"/>
        </w:rPr>
        <w:t>statistiškai</w:t>
      </w:r>
      <w:proofErr w:type="spellEnd"/>
      <w:r w:rsidRPr="000C5085">
        <w:rPr>
          <w:rFonts w:ascii="Times New Roman" w:eastAsia="Calibri" w:hAnsi="Times New Roman" w:cs="Times New Roman"/>
        </w:rPr>
        <w:t xml:space="preserve"> reikšmingas skirtumas nustatytas analizuojant viso šlaunikaulio MKT po 2 metų: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sumažėjimo mediana buvo 3,8</w:t>
      </w:r>
      <w:r w:rsidR="0045175C">
        <w:rPr>
          <w:rFonts w:ascii="Times New Roman" w:eastAsia="Calibri" w:hAnsi="Times New Roman" w:cs="Times New Roman"/>
        </w:rPr>
        <w:t> </w:t>
      </w:r>
      <w:r w:rsidRPr="000C5085">
        <w:rPr>
          <w:rFonts w:ascii="Times New Roman" w:eastAsia="Calibri" w:hAnsi="Times New Roman" w:cs="Times New Roman"/>
        </w:rPr>
        <w:t xml:space="preserve">%, vartojant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 2,0</w:t>
      </w:r>
      <w:r w:rsidR="0045175C">
        <w:rPr>
          <w:rFonts w:ascii="Times New Roman" w:eastAsia="Calibri" w:hAnsi="Times New Roman" w:cs="Times New Roman"/>
        </w:rPr>
        <w:t> </w:t>
      </w:r>
      <w:r w:rsidRPr="000C5085">
        <w:rPr>
          <w:rFonts w:ascii="Times New Roman" w:eastAsia="Calibri" w:hAnsi="Times New Roman" w:cs="Times New Roman"/>
        </w:rPr>
        <w:t>%.</w:t>
      </w:r>
    </w:p>
    <w:p w14:paraId="6746208A" w14:textId="77777777" w:rsidR="00611539" w:rsidRPr="000C5085" w:rsidRDefault="00611539" w:rsidP="000C5085">
      <w:pPr>
        <w:widowControl w:val="0"/>
        <w:spacing w:after="0" w:line="240" w:lineRule="auto"/>
        <w:rPr>
          <w:rFonts w:ascii="Times New Roman" w:eastAsia="Calibri" w:hAnsi="Times New Roman" w:cs="Times New Roman"/>
        </w:rPr>
      </w:pPr>
    </w:p>
    <w:p w14:paraId="085B2F7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MA</w:t>
      </w:r>
      <w:r w:rsidRPr="000C5085">
        <w:rPr>
          <w:rFonts w:ascii="Times New Roman" w:eastAsia="Calibri" w:hAnsi="Times New Roman" w:cs="Times New Roman"/>
        </w:rPr>
        <w:noBreakHyphen/>
        <w:t xml:space="preserve">17 poveikio riebalų kiekiui serume </w:t>
      </w:r>
      <w:proofErr w:type="spellStart"/>
      <w:r w:rsidRPr="000C5085">
        <w:rPr>
          <w:rFonts w:ascii="Times New Roman" w:eastAsia="Calibri" w:hAnsi="Times New Roman" w:cs="Times New Roman"/>
        </w:rPr>
        <w:t>subtyrimo</w:t>
      </w:r>
      <w:proofErr w:type="spellEnd"/>
      <w:r w:rsidRPr="000C5085">
        <w:rPr>
          <w:rFonts w:ascii="Times New Roman" w:eastAsia="Calibri" w:hAnsi="Times New Roman" w:cs="Times New Roman"/>
        </w:rPr>
        <w:t xml:space="preserve"> duomenų analizės metu reikšmingo cholesterolio ar bet kokio riebalų parametro skirtumų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vartojusių moterų grupėse nebuvo.</w:t>
      </w:r>
    </w:p>
    <w:p w14:paraId="2D38C033" w14:textId="77777777" w:rsidR="00611539" w:rsidRPr="000C5085" w:rsidRDefault="00611539" w:rsidP="000C5085">
      <w:pPr>
        <w:widowControl w:val="0"/>
        <w:spacing w:after="0" w:line="240" w:lineRule="auto"/>
        <w:rPr>
          <w:rFonts w:ascii="Times New Roman" w:eastAsia="Calibri" w:hAnsi="Times New Roman" w:cs="Times New Roman"/>
        </w:rPr>
      </w:pPr>
    </w:p>
    <w:p w14:paraId="75322171"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Atnaujinta poveikio gyvenimo kokybei </w:t>
      </w:r>
      <w:proofErr w:type="spellStart"/>
      <w:r w:rsidRPr="000C5085">
        <w:rPr>
          <w:rFonts w:ascii="Times New Roman" w:eastAsia="Calibri" w:hAnsi="Times New Roman" w:cs="Times New Roman"/>
        </w:rPr>
        <w:t>subtyrimo</w:t>
      </w:r>
      <w:proofErr w:type="spellEnd"/>
      <w:r w:rsidRPr="000C5085">
        <w:rPr>
          <w:rFonts w:ascii="Times New Roman" w:eastAsia="Calibri" w:hAnsi="Times New Roman" w:cs="Times New Roman"/>
        </w:rPr>
        <w:t xml:space="preserve"> analizė parodė, kad, vertinant fizinės ar psichinės dalies komponentų įvertinimų sumą ar bet kokį SF-36 (</w:t>
      </w:r>
      <w:proofErr w:type="spellStart"/>
      <w:r w:rsidRPr="000C5085">
        <w:rPr>
          <w:rFonts w:ascii="Times New Roman" w:eastAsia="Calibri" w:hAnsi="Times New Roman" w:cs="Times New Roman"/>
        </w:rPr>
        <w:t>ang</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i/>
        </w:rPr>
        <w:t>Short</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Form</w:t>
      </w:r>
      <w:proofErr w:type="spellEnd"/>
      <w:r w:rsidRPr="000C5085">
        <w:rPr>
          <w:rFonts w:ascii="Times New Roman" w:eastAsia="Calibri" w:hAnsi="Times New Roman" w:cs="Times New Roman"/>
          <w:i/>
        </w:rPr>
        <w:t xml:space="preserve"> (36) </w:t>
      </w:r>
      <w:proofErr w:type="spellStart"/>
      <w:r w:rsidRPr="000C5085">
        <w:rPr>
          <w:rFonts w:ascii="Times New Roman" w:eastAsia="Calibri" w:hAnsi="Times New Roman" w:cs="Times New Roman"/>
          <w:i/>
        </w:rPr>
        <w:t>Health</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Survey</w:t>
      </w:r>
      <w:proofErr w:type="spellEnd"/>
      <w:r w:rsidRPr="000C5085">
        <w:rPr>
          <w:rFonts w:ascii="Times New Roman" w:eastAsia="Calibri" w:hAnsi="Times New Roman" w:cs="Times New Roman"/>
        </w:rPr>
        <w:t>) klausimyno įvertinimą, reikšmingų skirtumų tarp gydymo grupių nebuvo. Analizuojant MENQOL</w:t>
      </w:r>
      <w:r w:rsidRPr="000C5085">
        <w:rPr>
          <w:rFonts w:ascii="Times New Roman" w:eastAsia="Calibri" w:hAnsi="Times New Roman" w:cs="Times New Roman"/>
          <w:color w:val="000000"/>
        </w:rPr>
        <w:t xml:space="preserve"> (</w:t>
      </w:r>
      <w:proofErr w:type="spellStart"/>
      <w:r w:rsidRPr="000C5085">
        <w:rPr>
          <w:rFonts w:ascii="Times New Roman" w:eastAsia="Calibri" w:hAnsi="Times New Roman" w:cs="Times New Roman"/>
          <w:color w:val="000000"/>
        </w:rPr>
        <w:t>ang</w:t>
      </w:r>
      <w:proofErr w:type="spellEnd"/>
      <w:r w:rsidRPr="000C5085">
        <w:rPr>
          <w:rFonts w:ascii="Times New Roman" w:eastAsia="Calibri" w:hAnsi="Times New Roman" w:cs="Times New Roman"/>
          <w:color w:val="000000"/>
        </w:rPr>
        <w:t xml:space="preserve">. </w:t>
      </w:r>
      <w:proofErr w:type="spellStart"/>
      <w:r w:rsidRPr="000C5085">
        <w:rPr>
          <w:rFonts w:ascii="Times New Roman" w:eastAsia="Calibri" w:hAnsi="Times New Roman" w:cs="Times New Roman"/>
          <w:i/>
          <w:color w:val="000000"/>
        </w:rPr>
        <w:t>Menopause-Specific</w:t>
      </w:r>
      <w:proofErr w:type="spellEnd"/>
      <w:r w:rsidRPr="000C5085">
        <w:rPr>
          <w:rFonts w:ascii="Times New Roman" w:eastAsia="Calibri" w:hAnsi="Times New Roman" w:cs="Times New Roman"/>
          <w:i/>
          <w:color w:val="000000"/>
        </w:rPr>
        <w:t xml:space="preserve"> </w:t>
      </w:r>
      <w:proofErr w:type="spellStart"/>
      <w:r w:rsidRPr="000C5085">
        <w:rPr>
          <w:rFonts w:ascii="Times New Roman" w:eastAsia="Calibri" w:hAnsi="Times New Roman" w:cs="Times New Roman"/>
          <w:i/>
          <w:color w:val="000000"/>
        </w:rPr>
        <w:t>Quality</w:t>
      </w:r>
      <w:proofErr w:type="spellEnd"/>
      <w:r w:rsidRPr="000C5085">
        <w:rPr>
          <w:rFonts w:ascii="Times New Roman" w:eastAsia="Calibri" w:hAnsi="Times New Roman" w:cs="Times New Roman"/>
          <w:i/>
          <w:color w:val="000000"/>
        </w:rPr>
        <w:t xml:space="preserve"> </w:t>
      </w:r>
      <w:proofErr w:type="spellStart"/>
      <w:r w:rsidRPr="000C5085">
        <w:rPr>
          <w:rFonts w:ascii="Times New Roman" w:eastAsia="Calibri" w:hAnsi="Times New Roman" w:cs="Times New Roman"/>
          <w:i/>
          <w:color w:val="000000"/>
        </w:rPr>
        <w:t>of</w:t>
      </w:r>
      <w:proofErr w:type="spellEnd"/>
      <w:r w:rsidRPr="000C5085">
        <w:rPr>
          <w:rFonts w:ascii="Times New Roman" w:eastAsia="Calibri" w:hAnsi="Times New Roman" w:cs="Times New Roman"/>
          <w:i/>
          <w:color w:val="000000"/>
        </w:rPr>
        <w:t xml:space="preserve"> </w:t>
      </w:r>
      <w:proofErr w:type="spellStart"/>
      <w:r w:rsidRPr="000C5085">
        <w:rPr>
          <w:rFonts w:ascii="Times New Roman" w:eastAsia="Calibri" w:hAnsi="Times New Roman" w:cs="Times New Roman"/>
          <w:i/>
          <w:color w:val="000000"/>
        </w:rPr>
        <w:t>Life</w:t>
      </w:r>
      <w:proofErr w:type="spellEnd"/>
      <w:r w:rsidRPr="000C5085">
        <w:rPr>
          <w:rFonts w:ascii="Times New Roman" w:eastAsia="Calibri" w:hAnsi="Times New Roman" w:cs="Times New Roman"/>
          <w:color w:val="000000"/>
        </w:rPr>
        <w:t>)</w:t>
      </w:r>
      <w:r w:rsidRPr="000C5085">
        <w:rPr>
          <w:rFonts w:ascii="Times New Roman" w:eastAsia="Calibri" w:hAnsi="Times New Roman" w:cs="Times New Roman"/>
        </w:rPr>
        <w:t xml:space="preserve"> klausimyno įvertinimą, nustatyta, kad reikšmingai daugiau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vartojusių pacienčių, palyginti su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vartojusiomis ligonėmis, daugiausia nepatogumų kėlė (paprastai pirmaisiais gydymo metais) su estrogenų stoka susiję simptomai, t. y. karščio pylimas ir makšties sausmė. Simptomai, kurie kėlė nepatogumų daugumai pacienčių abiejose gydymo grupėse, buvo raumenų skausmas, </w:t>
      </w:r>
      <w:proofErr w:type="spellStart"/>
      <w:r w:rsidRPr="000C5085">
        <w:rPr>
          <w:rFonts w:ascii="Times New Roman" w:eastAsia="Calibri" w:hAnsi="Times New Roman" w:cs="Times New Roman"/>
        </w:rPr>
        <w:t>statistiškai</w:t>
      </w:r>
      <w:proofErr w:type="spellEnd"/>
      <w:r w:rsidRPr="000C5085">
        <w:rPr>
          <w:rFonts w:ascii="Times New Roman" w:eastAsia="Calibri" w:hAnsi="Times New Roman" w:cs="Times New Roman"/>
        </w:rPr>
        <w:t xml:space="preserve"> reikšmingai dažniau atsiradęs </w:t>
      </w:r>
      <w:proofErr w:type="spellStart"/>
      <w:r w:rsidRPr="000C5085">
        <w:rPr>
          <w:rFonts w:ascii="Times New Roman" w:eastAsia="Calibri" w:hAnsi="Times New Roman" w:cs="Times New Roman"/>
        </w:rPr>
        <w:t>placebo</w:t>
      </w:r>
      <w:proofErr w:type="spellEnd"/>
      <w:r w:rsidRPr="000C5085">
        <w:rPr>
          <w:rFonts w:ascii="Times New Roman" w:eastAsia="Calibri" w:hAnsi="Times New Roman" w:cs="Times New Roman"/>
        </w:rPr>
        <w:t xml:space="preserve"> vartojusioms ligonėms.</w:t>
      </w:r>
    </w:p>
    <w:p w14:paraId="1F39DFBE"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i/>
          <w:u w:val="single"/>
        </w:rPr>
      </w:pPr>
    </w:p>
    <w:p w14:paraId="0A4940E3"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i/>
          <w:u w:val="single"/>
        </w:rPr>
      </w:pPr>
      <w:proofErr w:type="spellStart"/>
      <w:r w:rsidRPr="000C5085">
        <w:rPr>
          <w:rFonts w:ascii="Times New Roman" w:eastAsia="Calibri" w:hAnsi="Times New Roman" w:cs="Times New Roman"/>
          <w:i/>
          <w:u w:val="single"/>
        </w:rPr>
        <w:t>Neoadjuvantinis</w:t>
      </w:r>
      <w:proofErr w:type="spellEnd"/>
      <w:r w:rsidRPr="000C5085">
        <w:rPr>
          <w:rFonts w:ascii="Times New Roman" w:eastAsia="Calibri" w:hAnsi="Times New Roman" w:cs="Times New Roman"/>
          <w:i/>
          <w:u w:val="single"/>
        </w:rPr>
        <w:t xml:space="preserve"> gydymas</w:t>
      </w:r>
    </w:p>
    <w:p w14:paraId="374AF52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Atliktas dvigubai koduotas klinikinis tyrimas (P024), kurio metu 337 krūties vėžiu sergančias pacientes po menopauzės suskirsčius į atsitiktines imtis buvo skirtas 4 mėnesių gydymas arba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doze, arba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Prieš pradedant tyrimą visoms pacientėms buvo nustatytas T2-T4c, N0-2, M0 stadijų, estrogenų receptoriams ir (arba) progesterono receptoriams teigiamas krūties vėžys, nė viena pacientė nebuvo tinkama krūtį išsaugančiai operacijai. Vertinant kliniškai, objektyvi reakcija į gydymą pasireiškė 55</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36</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vartojusių pacienčių (p&lt;0,001). Šiuos duomenis patvirtino ir tyrimas ultragarsu (35</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25</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grupėje, </w:t>
      </w:r>
      <w:r w:rsidRPr="000C5085">
        <w:rPr>
          <w:rFonts w:ascii="Times New Roman" w:eastAsia="Calibri" w:hAnsi="Times New Roman" w:cs="Times New Roman"/>
          <w:i/>
        </w:rPr>
        <w:t>P</w:t>
      </w:r>
      <w:r w:rsidRPr="000C5085">
        <w:rPr>
          <w:rFonts w:ascii="Times New Roman" w:eastAsia="Calibri" w:hAnsi="Times New Roman" w:cs="Times New Roman"/>
        </w:rPr>
        <w:t xml:space="preserve">=0,04) bei </w:t>
      </w:r>
      <w:proofErr w:type="spellStart"/>
      <w:r w:rsidRPr="000C5085">
        <w:rPr>
          <w:rFonts w:ascii="Times New Roman" w:eastAsia="Calibri" w:hAnsi="Times New Roman" w:cs="Times New Roman"/>
        </w:rPr>
        <w:t>mamografija</w:t>
      </w:r>
      <w:proofErr w:type="spellEnd"/>
      <w:r w:rsidRPr="000C5085">
        <w:rPr>
          <w:rFonts w:ascii="Times New Roman" w:eastAsia="Calibri" w:hAnsi="Times New Roman" w:cs="Times New Roman"/>
        </w:rPr>
        <w:t xml:space="preserve"> (34</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16</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grupėje, </w:t>
      </w:r>
      <w:r w:rsidRPr="000C5085">
        <w:rPr>
          <w:rFonts w:ascii="Times New Roman" w:eastAsia="Calibri" w:hAnsi="Times New Roman" w:cs="Times New Roman"/>
          <w:i/>
        </w:rPr>
        <w:t>P</w:t>
      </w:r>
      <w:r w:rsidRPr="000C5085">
        <w:rPr>
          <w:rFonts w:ascii="Times New Roman" w:eastAsia="Calibri" w:hAnsi="Times New Roman" w:cs="Times New Roman"/>
        </w:rPr>
        <w:t>&lt;0,001). Iš viso krūtį išsauganti operacija buvo atlikta 45</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35</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vartojusių pacienčių (</w:t>
      </w:r>
      <w:r w:rsidRPr="000C5085">
        <w:rPr>
          <w:rFonts w:ascii="Times New Roman" w:eastAsia="Calibri" w:hAnsi="Times New Roman" w:cs="Times New Roman"/>
          <w:i/>
        </w:rPr>
        <w:t>P</w:t>
      </w:r>
      <w:r w:rsidRPr="000C5085">
        <w:rPr>
          <w:rFonts w:ascii="Times New Roman" w:eastAsia="Calibri" w:hAnsi="Times New Roman" w:cs="Times New Roman"/>
        </w:rPr>
        <w:t xml:space="preserve">=0,02). Per 4 mėnesių trukmės </w:t>
      </w:r>
      <w:proofErr w:type="spellStart"/>
      <w:r w:rsidRPr="000C5085">
        <w:rPr>
          <w:rFonts w:ascii="Times New Roman" w:eastAsia="Calibri" w:hAnsi="Times New Roman" w:cs="Times New Roman"/>
        </w:rPr>
        <w:t>ikioperacinį</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neoadjuvantinio</w:t>
      </w:r>
      <w:proofErr w:type="spellEnd"/>
      <w:r w:rsidRPr="000C5085">
        <w:rPr>
          <w:rFonts w:ascii="Times New Roman" w:eastAsia="Calibri" w:hAnsi="Times New Roman" w:cs="Times New Roman"/>
        </w:rPr>
        <w:t xml:space="preserve"> gydymo laikotarpį 12</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gydytų pacienčių ir 17</w:t>
      </w:r>
      <w:r w:rsidR="0045175C">
        <w:rPr>
          <w:rFonts w:ascii="Times New Roman" w:eastAsia="Calibri" w:hAnsi="Times New Roman" w:cs="Times New Roman"/>
        </w:rPr>
        <w:t> </w:t>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vartojusių ligonių pasireiškė ligos progresavimas (vertinant kliniškai).</w:t>
      </w:r>
    </w:p>
    <w:p w14:paraId="51AC4F02" w14:textId="77777777" w:rsidR="00611539" w:rsidRPr="000C5085" w:rsidRDefault="00611539" w:rsidP="000C5085">
      <w:pPr>
        <w:widowControl w:val="0"/>
        <w:spacing w:after="0" w:line="240" w:lineRule="auto"/>
        <w:rPr>
          <w:rFonts w:ascii="Times New Roman" w:eastAsia="Calibri" w:hAnsi="Times New Roman" w:cs="Times New Roman"/>
        </w:rPr>
      </w:pPr>
    </w:p>
    <w:p w14:paraId="5A5FD824"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Pirmiausia pasirenkamas gydymas</w:t>
      </w:r>
    </w:p>
    <w:p w14:paraId="29F3C3C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Atliktas vienas kontroliuotas dvigubai koduotas klinikinis tyrimas, kurio metu lygintas moterų po menopauzės progresavusio krūties vėžio pirmiausia pasirenkamas gydymas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20 mg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paros doze. Tyrimo, kuriame dalyvavo 907 moterys, duomenimis gydymas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buvo pranašesnis už gydymą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vertinant laiką iki ligos progresavimo (pirminė vertinamoji baigtis), bendrą objektyvią reakciją, laiką, per kurį preparatas tapo neveiksmingas, bei klinikinę naudą.</w:t>
      </w:r>
    </w:p>
    <w:p w14:paraId="07AB90CD" w14:textId="77777777" w:rsidR="00611539" w:rsidRPr="000C5085" w:rsidRDefault="00611539" w:rsidP="000C5085">
      <w:pPr>
        <w:widowControl w:val="0"/>
        <w:spacing w:after="0" w:line="240" w:lineRule="auto"/>
        <w:rPr>
          <w:rFonts w:ascii="Times New Roman" w:eastAsia="Calibri" w:hAnsi="Times New Roman" w:cs="Times New Roman"/>
        </w:rPr>
      </w:pPr>
    </w:p>
    <w:p w14:paraId="5BDECF94"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9 lentelė. Rezultatai (stebėjimo trukmės mediana 32 mėnesiai)</w:t>
      </w:r>
    </w:p>
    <w:p w14:paraId="0DCE4912" w14:textId="77777777" w:rsidR="00611539" w:rsidRPr="000C5085" w:rsidRDefault="00611539" w:rsidP="000C5085">
      <w:pPr>
        <w:widowControl w:val="0"/>
        <w:spacing w:after="0" w:line="240" w:lineRule="auto"/>
        <w:jc w:val="both"/>
        <w:rPr>
          <w:rFonts w:ascii="Times New Roman" w:eastAsia="Calibri" w:hAnsi="Times New Roman" w:cs="Times New Roman"/>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4"/>
        <w:gridCol w:w="2324"/>
        <w:gridCol w:w="2324"/>
        <w:gridCol w:w="2324"/>
      </w:tblGrid>
      <w:tr w:rsidR="00611539" w:rsidRPr="000C5085" w14:paraId="57422F47" w14:textId="77777777" w:rsidTr="008637BB">
        <w:trPr>
          <w:tblHeader/>
        </w:trPr>
        <w:tc>
          <w:tcPr>
            <w:tcW w:w="2324" w:type="dxa"/>
          </w:tcPr>
          <w:p w14:paraId="3DD5E505"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Kintamasis</w:t>
            </w:r>
          </w:p>
        </w:tc>
        <w:tc>
          <w:tcPr>
            <w:tcW w:w="2324" w:type="dxa"/>
          </w:tcPr>
          <w:p w14:paraId="51BFD478" w14:textId="77777777" w:rsidR="00611539" w:rsidRPr="000C5085" w:rsidRDefault="00611539" w:rsidP="000C5085">
            <w:pPr>
              <w:widowControl w:val="0"/>
              <w:spacing w:after="0" w:line="240" w:lineRule="auto"/>
              <w:jc w:val="both"/>
              <w:rPr>
                <w:rFonts w:ascii="Times New Roman" w:eastAsia="Calibri" w:hAnsi="Times New Roman" w:cs="Times New Roman"/>
                <w:b/>
              </w:rPr>
            </w:pPr>
            <w:r w:rsidRPr="000C5085">
              <w:rPr>
                <w:rFonts w:ascii="Times New Roman" w:eastAsia="Calibri" w:hAnsi="Times New Roman" w:cs="Times New Roman"/>
                <w:b/>
              </w:rPr>
              <w:t>Statistinis parametras</w:t>
            </w:r>
          </w:p>
        </w:tc>
        <w:tc>
          <w:tcPr>
            <w:tcW w:w="2324" w:type="dxa"/>
          </w:tcPr>
          <w:p w14:paraId="4746EFC3"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Femara</w:t>
            </w:r>
            <w:proofErr w:type="spellEnd"/>
          </w:p>
          <w:p w14:paraId="0768E276"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N=453</w:t>
            </w:r>
          </w:p>
        </w:tc>
        <w:tc>
          <w:tcPr>
            <w:tcW w:w="2324" w:type="dxa"/>
          </w:tcPr>
          <w:p w14:paraId="5DC47B71"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Tamoksifenas</w:t>
            </w:r>
            <w:proofErr w:type="spellEnd"/>
          </w:p>
          <w:p w14:paraId="55C08F31"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N=454</w:t>
            </w:r>
          </w:p>
        </w:tc>
      </w:tr>
      <w:tr w:rsidR="00611539" w:rsidRPr="000C5085" w14:paraId="6CB16D9F" w14:textId="77777777" w:rsidTr="008637BB">
        <w:tc>
          <w:tcPr>
            <w:tcW w:w="2324" w:type="dxa"/>
          </w:tcPr>
          <w:p w14:paraId="211CA6E3"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Laikas iki progresavimo</w:t>
            </w:r>
          </w:p>
        </w:tc>
        <w:tc>
          <w:tcPr>
            <w:tcW w:w="2324" w:type="dxa"/>
          </w:tcPr>
          <w:p w14:paraId="633B221D"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Mediana</w:t>
            </w:r>
          </w:p>
        </w:tc>
        <w:tc>
          <w:tcPr>
            <w:tcW w:w="2324" w:type="dxa"/>
          </w:tcPr>
          <w:p w14:paraId="6E988F98"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9,4 mėnesio</w:t>
            </w:r>
          </w:p>
        </w:tc>
        <w:tc>
          <w:tcPr>
            <w:tcW w:w="2324" w:type="dxa"/>
          </w:tcPr>
          <w:p w14:paraId="6DC9AAF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6,0 mėnesio</w:t>
            </w:r>
          </w:p>
        </w:tc>
      </w:tr>
      <w:tr w:rsidR="00611539" w:rsidRPr="000C5085" w14:paraId="6C013157" w14:textId="77777777" w:rsidTr="008637BB">
        <w:tc>
          <w:tcPr>
            <w:tcW w:w="2324" w:type="dxa"/>
          </w:tcPr>
          <w:p w14:paraId="6DC75223"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12A6FFC7"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 medianai)</w:t>
            </w:r>
          </w:p>
        </w:tc>
        <w:tc>
          <w:tcPr>
            <w:tcW w:w="2324" w:type="dxa"/>
          </w:tcPr>
          <w:p w14:paraId="2BAF40E6"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(8,9, 11,6 mėnesio)</w:t>
            </w:r>
          </w:p>
        </w:tc>
        <w:tc>
          <w:tcPr>
            <w:tcW w:w="2324" w:type="dxa"/>
          </w:tcPr>
          <w:p w14:paraId="7D597598"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(5,4, 6,3 mėnesio)</w:t>
            </w:r>
          </w:p>
        </w:tc>
      </w:tr>
      <w:tr w:rsidR="00611539" w:rsidRPr="000C5085" w14:paraId="2D137F50" w14:textId="77777777" w:rsidTr="008637BB">
        <w:trPr>
          <w:cantSplit/>
        </w:trPr>
        <w:tc>
          <w:tcPr>
            <w:tcW w:w="2324" w:type="dxa"/>
          </w:tcPr>
          <w:p w14:paraId="04CED0D1"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0D2D9F4C"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Rizikos santykis (RS)</w:t>
            </w:r>
          </w:p>
        </w:tc>
        <w:tc>
          <w:tcPr>
            <w:tcW w:w="4648" w:type="dxa"/>
            <w:gridSpan w:val="2"/>
          </w:tcPr>
          <w:p w14:paraId="2A44D105"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0,72</w:t>
            </w:r>
          </w:p>
        </w:tc>
      </w:tr>
      <w:tr w:rsidR="00611539" w:rsidRPr="000C5085" w14:paraId="27E063B2" w14:textId="77777777" w:rsidTr="008637BB">
        <w:trPr>
          <w:cantSplit/>
        </w:trPr>
        <w:tc>
          <w:tcPr>
            <w:tcW w:w="2324" w:type="dxa"/>
          </w:tcPr>
          <w:p w14:paraId="6007F960"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2CF6C57F"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 RS)</w:t>
            </w:r>
          </w:p>
        </w:tc>
        <w:tc>
          <w:tcPr>
            <w:tcW w:w="4648" w:type="dxa"/>
            <w:gridSpan w:val="2"/>
          </w:tcPr>
          <w:p w14:paraId="12036903"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(0,62, 0,83)</w:t>
            </w:r>
          </w:p>
        </w:tc>
      </w:tr>
      <w:tr w:rsidR="00611539" w:rsidRPr="000C5085" w14:paraId="15C83BE5" w14:textId="77777777" w:rsidTr="008637BB">
        <w:trPr>
          <w:cantSplit/>
        </w:trPr>
        <w:tc>
          <w:tcPr>
            <w:tcW w:w="2324" w:type="dxa"/>
          </w:tcPr>
          <w:p w14:paraId="665D61B4"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277A1F84" w14:textId="77777777" w:rsidR="00611539" w:rsidRPr="000C5085" w:rsidRDefault="00611539" w:rsidP="000C5085">
            <w:pPr>
              <w:widowControl w:val="0"/>
              <w:spacing w:after="0" w:line="240" w:lineRule="auto"/>
              <w:jc w:val="both"/>
              <w:rPr>
                <w:rFonts w:ascii="Times New Roman" w:eastAsia="Calibri" w:hAnsi="Times New Roman" w:cs="Times New Roman"/>
                <w:i/>
              </w:rPr>
            </w:pPr>
          </w:p>
        </w:tc>
        <w:tc>
          <w:tcPr>
            <w:tcW w:w="4648" w:type="dxa"/>
            <w:gridSpan w:val="2"/>
          </w:tcPr>
          <w:p w14:paraId="1317DEBA"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i/>
              </w:rPr>
              <w:t>P</w:t>
            </w:r>
            <w:r w:rsidRPr="000C5085">
              <w:rPr>
                <w:rFonts w:ascii="Times New Roman" w:eastAsia="Calibri" w:hAnsi="Times New Roman" w:cs="Times New Roman"/>
              </w:rPr>
              <w:t>&lt;0,0001</w:t>
            </w:r>
          </w:p>
        </w:tc>
      </w:tr>
      <w:tr w:rsidR="00611539" w:rsidRPr="000C5085" w14:paraId="22F9434D" w14:textId="77777777" w:rsidTr="008637BB">
        <w:tc>
          <w:tcPr>
            <w:tcW w:w="2324" w:type="dxa"/>
          </w:tcPr>
          <w:p w14:paraId="3DAE8E1E"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Objektyvios reakcijos dažnis (ORD)</w:t>
            </w:r>
          </w:p>
        </w:tc>
        <w:tc>
          <w:tcPr>
            <w:tcW w:w="2324" w:type="dxa"/>
          </w:tcPr>
          <w:p w14:paraId="6C8EEB23"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Visiška reakcija + Dalinė reakcija</w:t>
            </w:r>
          </w:p>
        </w:tc>
        <w:tc>
          <w:tcPr>
            <w:tcW w:w="2324" w:type="dxa"/>
          </w:tcPr>
          <w:p w14:paraId="41DFA08A"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145 (32</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324" w:type="dxa"/>
          </w:tcPr>
          <w:p w14:paraId="3B1EADAB"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95 (21</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14D1CB4E" w14:textId="77777777" w:rsidTr="008637BB">
        <w:tc>
          <w:tcPr>
            <w:tcW w:w="2324" w:type="dxa"/>
          </w:tcPr>
          <w:p w14:paraId="4F97B411"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09E3DAE1"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 dažniui)</w:t>
            </w:r>
          </w:p>
        </w:tc>
        <w:tc>
          <w:tcPr>
            <w:tcW w:w="2324" w:type="dxa"/>
          </w:tcPr>
          <w:p w14:paraId="05509008"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(28, 36</w:t>
            </w:r>
            <w:r w:rsidR="0045175C">
              <w:rPr>
                <w:rFonts w:ascii="Times New Roman" w:eastAsia="Calibri" w:hAnsi="Times New Roman" w:cs="Times New Roman"/>
              </w:rPr>
              <w:t> </w:t>
            </w:r>
            <w:r w:rsidRPr="000C5085">
              <w:rPr>
                <w:rFonts w:ascii="Times New Roman" w:eastAsia="Calibri" w:hAnsi="Times New Roman" w:cs="Times New Roman"/>
              </w:rPr>
              <w:t>%)</w:t>
            </w:r>
          </w:p>
        </w:tc>
        <w:tc>
          <w:tcPr>
            <w:tcW w:w="2324" w:type="dxa"/>
          </w:tcPr>
          <w:p w14:paraId="7EB22F69"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(17, 25</w:t>
            </w:r>
            <w:r w:rsidR="0045175C">
              <w:rPr>
                <w:rFonts w:ascii="Times New Roman" w:eastAsia="Calibri" w:hAnsi="Times New Roman" w:cs="Times New Roman"/>
              </w:rPr>
              <w:t> </w:t>
            </w:r>
            <w:r w:rsidRPr="000C5085">
              <w:rPr>
                <w:rFonts w:ascii="Times New Roman" w:eastAsia="Calibri" w:hAnsi="Times New Roman" w:cs="Times New Roman"/>
              </w:rPr>
              <w:t>%)</w:t>
            </w:r>
          </w:p>
        </w:tc>
      </w:tr>
      <w:tr w:rsidR="00611539" w:rsidRPr="000C5085" w14:paraId="170A47A3" w14:textId="77777777" w:rsidTr="008637BB">
        <w:trPr>
          <w:cantSplit/>
        </w:trPr>
        <w:tc>
          <w:tcPr>
            <w:tcW w:w="2324" w:type="dxa"/>
          </w:tcPr>
          <w:p w14:paraId="4F712210"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42349887"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Šansų santykis</w:t>
            </w:r>
          </w:p>
        </w:tc>
        <w:tc>
          <w:tcPr>
            <w:tcW w:w="4648" w:type="dxa"/>
            <w:gridSpan w:val="2"/>
          </w:tcPr>
          <w:p w14:paraId="76CC4F47"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1,78</w:t>
            </w:r>
          </w:p>
        </w:tc>
      </w:tr>
      <w:tr w:rsidR="00611539" w:rsidRPr="000C5085" w14:paraId="17F22326" w14:textId="77777777" w:rsidTr="008637BB">
        <w:trPr>
          <w:cantSplit/>
        </w:trPr>
        <w:tc>
          <w:tcPr>
            <w:tcW w:w="2324" w:type="dxa"/>
          </w:tcPr>
          <w:p w14:paraId="006B00F9"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2411123F"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(95</w:t>
            </w:r>
            <w:r w:rsidR="0045175C">
              <w:rPr>
                <w:rFonts w:ascii="Times New Roman" w:eastAsia="Calibri" w:hAnsi="Times New Roman" w:cs="Times New Roman"/>
              </w:rPr>
              <w:t> </w:t>
            </w:r>
            <w:r w:rsidRPr="000C5085">
              <w:rPr>
                <w:rFonts w:ascii="Times New Roman" w:eastAsia="Calibri" w:hAnsi="Times New Roman" w:cs="Times New Roman"/>
              </w:rPr>
              <w:t>% PI šansų santykiui)</w:t>
            </w:r>
          </w:p>
        </w:tc>
        <w:tc>
          <w:tcPr>
            <w:tcW w:w="4648" w:type="dxa"/>
            <w:gridSpan w:val="2"/>
          </w:tcPr>
          <w:p w14:paraId="3DF5C0CC"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rPr>
              <w:t>(1,32, 2,40)</w:t>
            </w:r>
          </w:p>
        </w:tc>
      </w:tr>
      <w:tr w:rsidR="00611539" w:rsidRPr="000C5085" w14:paraId="101FF321" w14:textId="77777777" w:rsidTr="008637BB">
        <w:trPr>
          <w:cantSplit/>
        </w:trPr>
        <w:tc>
          <w:tcPr>
            <w:tcW w:w="2324" w:type="dxa"/>
          </w:tcPr>
          <w:p w14:paraId="3F3B1A1C" w14:textId="77777777" w:rsidR="00611539" w:rsidRPr="000C5085" w:rsidRDefault="00611539" w:rsidP="000C5085">
            <w:pPr>
              <w:widowControl w:val="0"/>
              <w:spacing w:after="0" w:line="240" w:lineRule="auto"/>
              <w:rPr>
                <w:rFonts w:ascii="Times New Roman" w:eastAsia="Calibri" w:hAnsi="Times New Roman" w:cs="Times New Roman"/>
                <w:b/>
              </w:rPr>
            </w:pPr>
          </w:p>
        </w:tc>
        <w:tc>
          <w:tcPr>
            <w:tcW w:w="2324" w:type="dxa"/>
          </w:tcPr>
          <w:p w14:paraId="59656B94" w14:textId="77777777" w:rsidR="00611539" w:rsidRPr="000C5085" w:rsidRDefault="00611539" w:rsidP="000C5085">
            <w:pPr>
              <w:widowControl w:val="0"/>
              <w:spacing w:after="0" w:line="240" w:lineRule="auto"/>
              <w:jc w:val="both"/>
              <w:rPr>
                <w:rFonts w:ascii="Times New Roman" w:eastAsia="Calibri" w:hAnsi="Times New Roman" w:cs="Times New Roman"/>
                <w:i/>
              </w:rPr>
            </w:pPr>
          </w:p>
        </w:tc>
        <w:tc>
          <w:tcPr>
            <w:tcW w:w="4648" w:type="dxa"/>
            <w:gridSpan w:val="2"/>
          </w:tcPr>
          <w:p w14:paraId="22DCEA94" w14:textId="77777777" w:rsidR="00611539" w:rsidRPr="000C5085" w:rsidRDefault="00611539" w:rsidP="000C5085">
            <w:pPr>
              <w:widowControl w:val="0"/>
              <w:spacing w:after="0" w:line="240" w:lineRule="auto"/>
              <w:jc w:val="center"/>
              <w:rPr>
                <w:rFonts w:ascii="Times New Roman" w:eastAsia="Calibri" w:hAnsi="Times New Roman" w:cs="Times New Roman"/>
              </w:rPr>
            </w:pPr>
            <w:r w:rsidRPr="000C5085">
              <w:rPr>
                <w:rFonts w:ascii="Times New Roman" w:eastAsia="Calibri" w:hAnsi="Times New Roman" w:cs="Times New Roman"/>
                <w:i/>
              </w:rPr>
              <w:t>P</w:t>
            </w:r>
            <w:r w:rsidRPr="000C5085">
              <w:rPr>
                <w:rFonts w:ascii="Times New Roman" w:eastAsia="Calibri" w:hAnsi="Times New Roman" w:cs="Times New Roman"/>
              </w:rPr>
              <w:t>=0,0002</w:t>
            </w:r>
          </w:p>
        </w:tc>
      </w:tr>
    </w:tbl>
    <w:p w14:paraId="34BEF7C7" w14:textId="77777777" w:rsidR="00611539" w:rsidRPr="000C5085" w:rsidRDefault="00611539" w:rsidP="000C5085">
      <w:pPr>
        <w:widowControl w:val="0"/>
        <w:spacing w:after="0" w:line="240" w:lineRule="auto"/>
        <w:rPr>
          <w:rFonts w:ascii="Times New Roman" w:eastAsia="Calibri" w:hAnsi="Times New Roman" w:cs="Times New Roman"/>
        </w:rPr>
      </w:pPr>
    </w:p>
    <w:p w14:paraId="1D346F6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laikas iki progresavimo buvo reikšmingai ilgesnis, o reakcijos dažnis – reikšmingai didesnis, ir toks poveikis nepriklausė nuo to, ar buvo skiriamas </w:t>
      </w:r>
      <w:proofErr w:type="spellStart"/>
      <w:r w:rsidRPr="000C5085">
        <w:rPr>
          <w:rFonts w:ascii="Times New Roman" w:eastAsia="Calibri" w:hAnsi="Times New Roman" w:cs="Times New Roman"/>
        </w:rPr>
        <w:t>adjuvantinis</w:t>
      </w:r>
      <w:proofErr w:type="spellEnd"/>
      <w:r w:rsidRPr="000C5085">
        <w:rPr>
          <w:rFonts w:ascii="Times New Roman" w:eastAsia="Calibri" w:hAnsi="Times New Roman" w:cs="Times New Roman"/>
        </w:rPr>
        <w:t xml:space="preserve"> gydymas </w:t>
      </w:r>
      <w:proofErr w:type="spellStart"/>
      <w:r w:rsidRPr="000C5085">
        <w:rPr>
          <w:rFonts w:ascii="Times New Roman" w:eastAsia="Calibri" w:hAnsi="Times New Roman" w:cs="Times New Roman"/>
        </w:rPr>
        <w:t>antiestrogenais</w:t>
      </w:r>
      <w:proofErr w:type="spellEnd"/>
      <w:r w:rsidRPr="000C5085">
        <w:rPr>
          <w:rFonts w:ascii="Times New Roman" w:eastAsia="Calibri" w:hAnsi="Times New Roman" w:cs="Times New Roman"/>
        </w:rPr>
        <w:t xml:space="preserve">.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laikas iki progresavimo buvo reikšmingai ilgesnis nepriklausomai nuo dominuojančios ligos pasireiškimo srities. Pacientėms, kurioms liga buvo apėmusi tik minkštuosius audinius, laiko iki progresavimo pasireiškimo mediana buvo 12,1 mėnesio,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6,4 mėnesio, vartojant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Ligonėms, kurioms buvo </w:t>
      </w:r>
      <w:proofErr w:type="spellStart"/>
      <w:r w:rsidRPr="000C5085">
        <w:rPr>
          <w:rFonts w:ascii="Times New Roman" w:eastAsia="Calibri" w:hAnsi="Times New Roman" w:cs="Times New Roman"/>
        </w:rPr>
        <w:t>visceralinių</w:t>
      </w:r>
      <w:proofErr w:type="spellEnd"/>
      <w:r w:rsidRPr="000C5085">
        <w:rPr>
          <w:rFonts w:ascii="Times New Roman" w:eastAsia="Calibri" w:hAnsi="Times New Roman" w:cs="Times New Roman"/>
        </w:rPr>
        <w:t xml:space="preserve"> metastazių, laiko iki progresavimo pasireiškimo mediana buvo 8,3 mėnesio, vartojant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ir 4,6 mėnesio, vartojant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w:t>
      </w:r>
    </w:p>
    <w:p w14:paraId="7FA186CB" w14:textId="77777777" w:rsidR="00611539" w:rsidRPr="000C5085" w:rsidRDefault="00611539" w:rsidP="000C5085">
      <w:pPr>
        <w:widowControl w:val="0"/>
        <w:spacing w:after="0" w:line="240" w:lineRule="auto"/>
        <w:rPr>
          <w:rFonts w:ascii="Times New Roman" w:eastAsia="Calibri" w:hAnsi="Times New Roman" w:cs="Times New Roman"/>
        </w:rPr>
      </w:pPr>
    </w:p>
    <w:p w14:paraId="72BD208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Tyrimo struktūra buvo tokia, kad, pasireiškus ligos progresavimui, pacientės galėjo arba pradėti kitokį gydymą, arba iš tyrimo pasitraukti. Maždaug 50</w:t>
      </w:r>
      <w:r w:rsidR="0045175C">
        <w:rPr>
          <w:rFonts w:ascii="Times New Roman" w:eastAsia="Calibri" w:hAnsi="Times New Roman" w:cs="Times New Roman"/>
        </w:rPr>
        <w:t> </w:t>
      </w:r>
      <w:r w:rsidRPr="000C5085">
        <w:rPr>
          <w:rFonts w:ascii="Times New Roman" w:eastAsia="Calibri" w:hAnsi="Times New Roman" w:cs="Times New Roman"/>
        </w:rPr>
        <w:t xml:space="preserve">% pacienčių perėjo į kitokio gydymo grupę, ir gydymo keitimas buvo baigtas iki 36 mėnesio. Laiko iki gydymo keitimo mediana buvo 17 mėnesių (vietoj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pradedant vartoti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ir 13 mėnesių (vietoj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pradedant vartoti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p w14:paraId="5C9645A4" w14:textId="77777777" w:rsidR="00611539" w:rsidRPr="000C5085" w:rsidRDefault="00611539" w:rsidP="000C5085">
      <w:pPr>
        <w:widowControl w:val="0"/>
        <w:spacing w:after="0" w:line="240" w:lineRule="auto"/>
        <w:rPr>
          <w:rFonts w:ascii="Times New Roman" w:eastAsia="Calibri" w:hAnsi="Times New Roman" w:cs="Times New Roman"/>
        </w:rPr>
      </w:pPr>
    </w:p>
    <w:p w14:paraId="0BFA99FF"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skiriant kaip pirmiausia pasirenkamą progresavusio krūties vėžio gydymą, bendrojo </w:t>
      </w:r>
      <w:proofErr w:type="spellStart"/>
      <w:r w:rsidRPr="000C5085">
        <w:rPr>
          <w:rFonts w:ascii="Times New Roman" w:eastAsia="Calibri" w:hAnsi="Times New Roman" w:cs="Times New Roman"/>
        </w:rPr>
        <w:t>išgyvenamumo</w:t>
      </w:r>
      <w:proofErr w:type="spellEnd"/>
      <w:r w:rsidRPr="000C5085">
        <w:rPr>
          <w:rFonts w:ascii="Times New Roman" w:eastAsia="Calibri" w:hAnsi="Times New Roman" w:cs="Times New Roman"/>
        </w:rPr>
        <w:t xml:space="preserve"> mediana buvo 34 mėnesiai, skiriant </w:t>
      </w:r>
      <w:proofErr w:type="spellStart"/>
      <w:r w:rsidRPr="000C5085">
        <w:rPr>
          <w:rFonts w:ascii="Times New Roman" w:eastAsia="Calibri" w:hAnsi="Times New Roman" w:cs="Times New Roman"/>
        </w:rPr>
        <w:t>tamoksifeno</w:t>
      </w:r>
      <w:proofErr w:type="spellEnd"/>
      <w:r w:rsidRPr="000C5085">
        <w:rPr>
          <w:rFonts w:ascii="Times New Roman" w:eastAsia="Calibri" w:hAnsi="Times New Roman" w:cs="Times New Roman"/>
        </w:rPr>
        <w:t xml:space="preserve"> – 30 mėnesių (</w:t>
      </w:r>
      <w:proofErr w:type="spellStart"/>
      <w:r w:rsidRPr="000C5085">
        <w:rPr>
          <w:rFonts w:ascii="Times New Roman" w:eastAsia="Calibri" w:hAnsi="Times New Roman" w:cs="Times New Roman"/>
          <w:i/>
        </w:rPr>
        <w:t>logrank</w:t>
      </w:r>
      <w:proofErr w:type="spellEnd"/>
      <w:r w:rsidRPr="000C5085">
        <w:rPr>
          <w:rFonts w:ascii="Times New Roman" w:eastAsia="Calibri" w:hAnsi="Times New Roman" w:cs="Times New Roman"/>
        </w:rPr>
        <w:t xml:space="preserve"> testo P=0,53, nereikšminga). Palankaus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poveikio bendrajam </w:t>
      </w:r>
      <w:proofErr w:type="spellStart"/>
      <w:r w:rsidRPr="000C5085">
        <w:rPr>
          <w:rFonts w:ascii="Times New Roman" w:eastAsia="Calibri" w:hAnsi="Times New Roman" w:cs="Times New Roman"/>
        </w:rPr>
        <w:t>išgyvenamumui</w:t>
      </w:r>
      <w:proofErr w:type="spellEnd"/>
      <w:r w:rsidRPr="000C5085">
        <w:rPr>
          <w:rFonts w:ascii="Times New Roman" w:eastAsia="Calibri" w:hAnsi="Times New Roman" w:cs="Times New Roman"/>
        </w:rPr>
        <w:t xml:space="preserve"> nebuvimas gali būti paaiškintas kryžminiu tyrimo pobūdžiu.</w:t>
      </w:r>
    </w:p>
    <w:p w14:paraId="27F270F4" w14:textId="77777777" w:rsidR="00611539" w:rsidRPr="000C5085" w:rsidRDefault="00611539" w:rsidP="000C5085">
      <w:pPr>
        <w:widowControl w:val="0"/>
        <w:spacing w:after="0" w:line="240" w:lineRule="auto"/>
        <w:rPr>
          <w:rFonts w:ascii="Times New Roman" w:eastAsia="Calibri" w:hAnsi="Times New Roman" w:cs="Times New Roman"/>
        </w:rPr>
      </w:pPr>
    </w:p>
    <w:p w14:paraId="1AE405A7" w14:textId="77777777" w:rsidR="00611539" w:rsidRPr="008100DF" w:rsidRDefault="00611539" w:rsidP="000C5085">
      <w:pPr>
        <w:widowControl w:val="0"/>
        <w:spacing w:after="0" w:line="240" w:lineRule="auto"/>
        <w:rPr>
          <w:rFonts w:ascii="Times New Roman" w:eastAsia="Calibri" w:hAnsi="Times New Roman" w:cs="Times New Roman"/>
          <w:u w:val="single"/>
        </w:rPr>
      </w:pPr>
      <w:r w:rsidRPr="008100DF">
        <w:rPr>
          <w:rFonts w:ascii="Times New Roman" w:eastAsia="Calibri" w:hAnsi="Times New Roman" w:cs="Times New Roman"/>
          <w:u w:val="single"/>
        </w:rPr>
        <w:t>Antrojo pasirinkimo gydymas</w:t>
      </w:r>
    </w:p>
    <w:p w14:paraId="38B9964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Dviejuose gerai kontroliuojamuose klinikiniuose tyrimuose, kurių metu buvo lygintas dviejų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dozių (0,5 mg ir 2,5 mg) ir </w:t>
      </w:r>
      <w:proofErr w:type="spellStart"/>
      <w:r w:rsidRPr="000C5085">
        <w:rPr>
          <w:rFonts w:ascii="Times New Roman" w:eastAsia="Calibri" w:hAnsi="Times New Roman" w:cs="Times New Roman"/>
        </w:rPr>
        <w:t>megestrolio</w:t>
      </w:r>
      <w:proofErr w:type="spellEnd"/>
      <w:r w:rsidRPr="000C5085">
        <w:rPr>
          <w:rFonts w:ascii="Times New Roman" w:eastAsia="Calibri" w:hAnsi="Times New Roman" w:cs="Times New Roman"/>
        </w:rPr>
        <w:t xml:space="preserve"> acetato bei </w:t>
      </w:r>
      <w:proofErr w:type="spellStart"/>
      <w:r w:rsidRPr="000C5085">
        <w:rPr>
          <w:rFonts w:ascii="Times New Roman" w:eastAsia="Calibri" w:hAnsi="Times New Roman" w:cs="Times New Roman"/>
        </w:rPr>
        <w:t>aminoglutetimido</w:t>
      </w:r>
      <w:proofErr w:type="spellEnd"/>
      <w:r w:rsidRPr="000C5085">
        <w:rPr>
          <w:rFonts w:ascii="Times New Roman" w:eastAsia="Calibri" w:hAnsi="Times New Roman" w:cs="Times New Roman"/>
        </w:rPr>
        <w:t xml:space="preserve"> poveikis, dalyvavo moterys, kurios buvo po menopauzės, sirgo progresavusiu krūties vėžiu ir anksčiau buvo gydytos </w:t>
      </w:r>
      <w:proofErr w:type="spellStart"/>
      <w:r w:rsidRPr="000C5085">
        <w:rPr>
          <w:rFonts w:ascii="Times New Roman" w:eastAsia="Calibri" w:hAnsi="Times New Roman" w:cs="Times New Roman"/>
        </w:rPr>
        <w:t>antiestrogenais</w:t>
      </w:r>
      <w:proofErr w:type="spellEnd"/>
      <w:r w:rsidRPr="000C5085">
        <w:rPr>
          <w:rFonts w:ascii="Times New Roman" w:eastAsia="Calibri" w:hAnsi="Times New Roman" w:cs="Times New Roman"/>
        </w:rPr>
        <w:t>.</w:t>
      </w:r>
    </w:p>
    <w:p w14:paraId="42C828D8" w14:textId="77777777" w:rsidR="00611539" w:rsidRPr="000C5085" w:rsidRDefault="00611539" w:rsidP="000C5085">
      <w:pPr>
        <w:widowControl w:val="0"/>
        <w:spacing w:after="0" w:line="240" w:lineRule="auto"/>
        <w:rPr>
          <w:rFonts w:ascii="Times New Roman" w:eastAsia="Calibri" w:hAnsi="Times New Roman" w:cs="Times New Roman"/>
        </w:rPr>
      </w:pPr>
    </w:p>
    <w:p w14:paraId="13D3BFA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Moterims, vartojusioms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dozę arba </w:t>
      </w:r>
      <w:proofErr w:type="spellStart"/>
      <w:r w:rsidRPr="000C5085">
        <w:rPr>
          <w:rFonts w:ascii="Times New Roman" w:eastAsia="Calibri" w:hAnsi="Times New Roman" w:cs="Times New Roman"/>
        </w:rPr>
        <w:t>megestrolio</w:t>
      </w:r>
      <w:proofErr w:type="spellEnd"/>
      <w:r w:rsidRPr="000C5085">
        <w:rPr>
          <w:rFonts w:ascii="Times New Roman" w:eastAsia="Calibri" w:hAnsi="Times New Roman" w:cs="Times New Roman"/>
        </w:rPr>
        <w:t xml:space="preserve"> acetato, laikas iki ligos progresavimo reikšmingai nesiskyrė (P=0,07).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dozės poveikis, palyginti su </w:t>
      </w:r>
      <w:proofErr w:type="spellStart"/>
      <w:r w:rsidRPr="000C5085">
        <w:rPr>
          <w:rFonts w:ascii="Times New Roman" w:eastAsia="Calibri" w:hAnsi="Times New Roman" w:cs="Times New Roman"/>
        </w:rPr>
        <w:t>megestrolio</w:t>
      </w:r>
      <w:proofErr w:type="spellEnd"/>
      <w:r w:rsidRPr="000C5085">
        <w:rPr>
          <w:rFonts w:ascii="Times New Roman" w:eastAsia="Calibri" w:hAnsi="Times New Roman" w:cs="Times New Roman"/>
        </w:rPr>
        <w:t xml:space="preserve"> acetato poveikiu, buvo </w:t>
      </w:r>
      <w:proofErr w:type="spellStart"/>
      <w:r w:rsidRPr="000C5085">
        <w:rPr>
          <w:rFonts w:ascii="Times New Roman" w:eastAsia="Calibri" w:hAnsi="Times New Roman" w:cs="Times New Roman"/>
        </w:rPr>
        <w:t>statistiškai</w:t>
      </w:r>
      <w:proofErr w:type="spellEnd"/>
      <w:r w:rsidRPr="000C5085">
        <w:rPr>
          <w:rFonts w:ascii="Times New Roman" w:eastAsia="Calibri" w:hAnsi="Times New Roman" w:cs="Times New Roman"/>
        </w:rPr>
        <w:t xml:space="preserve"> reikšmingai pranašesnis, vertinant bendrąjį objektyvios naviko reakcijos dažnį (24</w:t>
      </w:r>
      <w:r w:rsidR="0045175C">
        <w:rPr>
          <w:rFonts w:ascii="Times New Roman" w:eastAsia="Calibri" w:hAnsi="Times New Roman" w:cs="Times New Roman"/>
        </w:rPr>
        <w:t> </w:t>
      </w:r>
      <w:r w:rsidRPr="000C5085">
        <w:rPr>
          <w:rFonts w:ascii="Times New Roman" w:eastAsia="Calibri" w:hAnsi="Times New Roman" w:cs="Times New Roman"/>
        </w:rPr>
        <w:t>% ir 16</w:t>
      </w:r>
      <w:r w:rsidR="0045175C">
        <w:rPr>
          <w:rFonts w:ascii="Times New Roman" w:eastAsia="Calibri" w:hAnsi="Times New Roman" w:cs="Times New Roman"/>
        </w:rPr>
        <w:t> </w:t>
      </w:r>
      <w:r w:rsidRPr="000C5085">
        <w:rPr>
          <w:rFonts w:ascii="Times New Roman" w:eastAsia="Calibri" w:hAnsi="Times New Roman" w:cs="Times New Roman"/>
        </w:rPr>
        <w:t xml:space="preserve">%, P=0,04), ir laiką, per kurį gydymas tapo neveiksmingas (P=0,04). Bendrasis </w:t>
      </w:r>
      <w:proofErr w:type="spellStart"/>
      <w:r w:rsidRPr="000C5085">
        <w:rPr>
          <w:rFonts w:ascii="Times New Roman" w:eastAsia="Calibri" w:hAnsi="Times New Roman" w:cs="Times New Roman"/>
        </w:rPr>
        <w:t>išgyvenamumas</w:t>
      </w:r>
      <w:proofErr w:type="spellEnd"/>
      <w:r w:rsidRPr="000C5085">
        <w:rPr>
          <w:rFonts w:ascii="Times New Roman" w:eastAsia="Calibri" w:hAnsi="Times New Roman" w:cs="Times New Roman"/>
        </w:rPr>
        <w:t xml:space="preserve"> 2 grupėse reikšmingai nesiskyrė (P=0,2).</w:t>
      </w:r>
    </w:p>
    <w:p w14:paraId="3D6B8989" w14:textId="77777777" w:rsidR="00611539" w:rsidRPr="000C5085" w:rsidRDefault="00611539" w:rsidP="000C5085">
      <w:pPr>
        <w:widowControl w:val="0"/>
        <w:spacing w:after="0" w:line="240" w:lineRule="auto"/>
        <w:rPr>
          <w:rFonts w:ascii="Times New Roman" w:eastAsia="Calibri" w:hAnsi="Times New Roman" w:cs="Times New Roman"/>
        </w:rPr>
      </w:pPr>
    </w:p>
    <w:p w14:paraId="618824E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Antrojo tyrimo metu moterims, vartojusioms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dozę arba </w:t>
      </w:r>
      <w:proofErr w:type="spellStart"/>
      <w:r w:rsidRPr="000C5085">
        <w:rPr>
          <w:rFonts w:ascii="Times New Roman" w:eastAsia="Calibri" w:hAnsi="Times New Roman" w:cs="Times New Roman"/>
        </w:rPr>
        <w:t>aminoglutetimido</w:t>
      </w:r>
      <w:proofErr w:type="spellEnd"/>
      <w:r w:rsidRPr="000C5085">
        <w:rPr>
          <w:rFonts w:ascii="Times New Roman" w:eastAsia="Calibri" w:hAnsi="Times New Roman" w:cs="Times New Roman"/>
        </w:rPr>
        <w:t xml:space="preserve">, reakcijos dažnis reikšmingai nesiskyrė (P=0,06). Gydymas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paros doze buvo </w:t>
      </w:r>
      <w:proofErr w:type="spellStart"/>
      <w:r w:rsidRPr="000C5085">
        <w:rPr>
          <w:rFonts w:ascii="Times New Roman" w:eastAsia="Calibri" w:hAnsi="Times New Roman" w:cs="Times New Roman"/>
        </w:rPr>
        <w:t>statistiškai</w:t>
      </w:r>
      <w:proofErr w:type="spellEnd"/>
      <w:r w:rsidRPr="000C5085">
        <w:rPr>
          <w:rFonts w:ascii="Times New Roman" w:eastAsia="Calibri" w:hAnsi="Times New Roman" w:cs="Times New Roman"/>
        </w:rPr>
        <w:t xml:space="preserve"> reikšmingai pranašesnis už gydymą </w:t>
      </w:r>
      <w:proofErr w:type="spellStart"/>
      <w:r w:rsidRPr="000C5085">
        <w:rPr>
          <w:rFonts w:ascii="Times New Roman" w:eastAsia="Calibri" w:hAnsi="Times New Roman" w:cs="Times New Roman"/>
        </w:rPr>
        <w:t>aminoglutetimidu</w:t>
      </w:r>
      <w:proofErr w:type="spellEnd"/>
      <w:r w:rsidRPr="000C5085">
        <w:rPr>
          <w:rFonts w:ascii="Times New Roman" w:eastAsia="Calibri" w:hAnsi="Times New Roman" w:cs="Times New Roman"/>
        </w:rPr>
        <w:t xml:space="preserve">, vertinant laiką iki ligos progresavimo (P=0,008), laiką, per kurį gydymas tapo neveiksmingas (P=0,003), bei bendrąjį </w:t>
      </w:r>
      <w:proofErr w:type="spellStart"/>
      <w:r w:rsidRPr="000C5085">
        <w:rPr>
          <w:rFonts w:ascii="Times New Roman" w:eastAsia="Calibri" w:hAnsi="Times New Roman" w:cs="Times New Roman"/>
        </w:rPr>
        <w:t>išgyvenamumą</w:t>
      </w:r>
      <w:proofErr w:type="spellEnd"/>
      <w:r w:rsidRPr="000C5085">
        <w:rPr>
          <w:rFonts w:ascii="Times New Roman" w:eastAsia="Calibri" w:hAnsi="Times New Roman" w:cs="Times New Roman"/>
        </w:rPr>
        <w:t xml:space="preserve"> (P=0,002).</w:t>
      </w:r>
    </w:p>
    <w:p w14:paraId="3EFBE352" w14:textId="77777777" w:rsidR="00611539" w:rsidRPr="000C5085" w:rsidRDefault="00611539" w:rsidP="000C5085">
      <w:pPr>
        <w:widowControl w:val="0"/>
        <w:spacing w:after="0" w:line="240" w:lineRule="auto"/>
        <w:rPr>
          <w:rFonts w:ascii="Times New Roman" w:eastAsia="Calibri" w:hAnsi="Times New Roman" w:cs="Times New Roman"/>
        </w:rPr>
      </w:pPr>
    </w:p>
    <w:p w14:paraId="604C85D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Vyrų krūties vėžys</w:t>
      </w:r>
    </w:p>
    <w:p w14:paraId="72B8A7F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Vyrų krūties vėžio gydymas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netirtas.</w:t>
      </w:r>
    </w:p>
    <w:p w14:paraId="31113E92" w14:textId="77777777" w:rsidR="00611539" w:rsidRPr="000C5085" w:rsidRDefault="00611539" w:rsidP="000C5085">
      <w:pPr>
        <w:widowControl w:val="0"/>
        <w:spacing w:after="0" w:line="240" w:lineRule="auto"/>
        <w:rPr>
          <w:rFonts w:ascii="Times New Roman" w:eastAsia="Calibri" w:hAnsi="Times New Roman" w:cs="Times New Roman"/>
        </w:rPr>
      </w:pPr>
    </w:p>
    <w:p w14:paraId="7D9A4093"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6" w:name="_Toc129243113"/>
      <w:bookmarkStart w:id="37" w:name="_Toc129243238"/>
      <w:r w:rsidRPr="000C5085">
        <w:rPr>
          <w:rFonts w:ascii="Times New Roman" w:eastAsia="Calibri" w:hAnsi="Times New Roman" w:cs="Times New Roman"/>
          <w:b/>
          <w:kern w:val="28"/>
        </w:rPr>
        <w:t>5.2</w:t>
      </w:r>
      <w:r w:rsidRPr="000C5085">
        <w:rPr>
          <w:rFonts w:ascii="Times New Roman" w:eastAsia="Calibri" w:hAnsi="Times New Roman" w:cs="Times New Roman"/>
          <w:b/>
          <w:kern w:val="28"/>
        </w:rPr>
        <w:tab/>
      </w:r>
      <w:proofErr w:type="spellStart"/>
      <w:r w:rsidRPr="000C5085">
        <w:rPr>
          <w:rFonts w:ascii="Times New Roman" w:eastAsia="Calibri" w:hAnsi="Times New Roman" w:cs="Times New Roman"/>
          <w:b/>
          <w:kern w:val="28"/>
        </w:rPr>
        <w:t>Farmakokinetinės</w:t>
      </w:r>
      <w:proofErr w:type="spellEnd"/>
      <w:r w:rsidRPr="000C5085">
        <w:rPr>
          <w:rFonts w:ascii="Times New Roman" w:eastAsia="Calibri" w:hAnsi="Times New Roman" w:cs="Times New Roman"/>
          <w:b/>
          <w:kern w:val="28"/>
        </w:rPr>
        <w:t xml:space="preserve"> savybės</w:t>
      </w:r>
      <w:bookmarkEnd w:id="36"/>
      <w:bookmarkEnd w:id="37"/>
    </w:p>
    <w:p w14:paraId="21AC49EE" w14:textId="77777777" w:rsidR="00611539" w:rsidRPr="000C5085" w:rsidRDefault="00611539" w:rsidP="000C5085">
      <w:pPr>
        <w:widowControl w:val="0"/>
        <w:spacing w:after="0" w:line="240" w:lineRule="auto"/>
        <w:rPr>
          <w:rFonts w:ascii="Times New Roman" w:eastAsia="Calibri" w:hAnsi="Times New Roman" w:cs="Times New Roman"/>
        </w:rPr>
      </w:pPr>
    </w:p>
    <w:p w14:paraId="699CF31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u w:val="single"/>
        </w:rPr>
        <w:t>Absorbcija</w:t>
      </w:r>
    </w:p>
    <w:p w14:paraId="4527C6ED"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greitai ir visiškai absorbuojamas iš virškinimo trakto (vidutinis absoliutus biologinis prieinamumas yra 99,9</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Maistas šiek tiek lėtina preparato absorbciją (</w:t>
      </w:r>
      <w:proofErr w:type="spellStart"/>
      <w:r w:rsidRPr="000C5085">
        <w:rPr>
          <w:rFonts w:ascii="Times New Roman" w:eastAsia="Calibri" w:hAnsi="Times New Roman" w:cs="Times New Roman"/>
        </w:rPr>
        <w:t>t</w:t>
      </w:r>
      <w:r w:rsidRPr="000C5085">
        <w:rPr>
          <w:rFonts w:ascii="Times New Roman" w:eastAsia="Calibri" w:hAnsi="Times New Roman" w:cs="Times New Roman"/>
          <w:vertAlign w:val="subscript"/>
        </w:rPr>
        <w:t>max</w:t>
      </w:r>
      <w:proofErr w:type="spellEnd"/>
      <w:r w:rsidRPr="000C5085">
        <w:rPr>
          <w:rFonts w:ascii="Times New Roman" w:eastAsia="Calibri" w:hAnsi="Times New Roman" w:cs="Times New Roman"/>
        </w:rPr>
        <w:t xml:space="preserve"> mediana yra 1 val., jei vaistinio preparato vartojama nevalgius, ir 2 val. – jei po valgio; vidutinė </w:t>
      </w:r>
      <w:proofErr w:type="spellStart"/>
      <w:r w:rsidRPr="000C5085">
        <w:rPr>
          <w:rFonts w:ascii="Times New Roman" w:eastAsia="Calibri" w:hAnsi="Times New Roman" w:cs="Times New Roman"/>
        </w:rPr>
        <w:t>C</w:t>
      </w:r>
      <w:r w:rsidRPr="000C5085">
        <w:rPr>
          <w:rFonts w:ascii="Times New Roman" w:eastAsia="Calibri" w:hAnsi="Times New Roman" w:cs="Times New Roman"/>
          <w:vertAlign w:val="subscript"/>
        </w:rPr>
        <w:t>max</w:t>
      </w:r>
      <w:proofErr w:type="spellEnd"/>
      <w:r w:rsidRPr="000C5085">
        <w:rPr>
          <w:rFonts w:ascii="Times New Roman" w:eastAsia="Calibri" w:hAnsi="Times New Roman" w:cs="Times New Roman"/>
        </w:rPr>
        <w:t xml:space="preserve"> yra 129 </w:t>
      </w:r>
      <w:r w:rsidRPr="000C5085">
        <w:rPr>
          <w:rFonts w:ascii="Times New Roman" w:eastAsia="Calibri" w:hAnsi="Times New Roman" w:cs="Times New Roman"/>
        </w:rPr>
        <w:sym w:font="Symbol" w:char="F0B1"/>
      </w:r>
      <w:r w:rsidRPr="000C5085">
        <w:rPr>
          <w:rFonts w:ascii="Times New Roman" w:eastAsia="Calibri" w:hAnsi="Times New Roman" w:cs="Times New Roman"/>
        </w:rPr>
        <w:t> 20,3 </w:t>
      </w:r>
      <w:proofErr w:type="spellStart"/>
      <w:r w:rsidRPr="000C5085">
        <w:rPr>
          <w:rFonts w:ascii="Times New Roman" w:eastAsia="Calibri" w:hAnsi="Times New Roman" w:cs="Times New Roman"/>
        </w:rPr>
        <w:t>nmol</w:t>
      </w:r>
      <w:proofErr w:type="spellEnd"/>
      <w:r w:rsidRPr="000C5085">
        <w:rPr>
          <w:rFonts w:ascii="Times New Roman" w:eastAsia="Calibri" w:hAnsi="Times New Roman" w:cs="Times New Roman"/>
        </w:rPr>
        <w:t>/l, jei vaistinio preparato vartojama nevalgius, ir 98,7 </w:t>
      </w:r>
      <w:r w:rsidRPr="000C5085">
        <w:rPr>
          <w:rFonts w:ascii="Times New Roman" w:eastAsia="Calibri" w:hAnsi="Times New Roman" w:cs="Times New Roman"/>
        </w:rPr>
        <w:sym w:font="Symbol" w:char="F0B1"/>
      </w:r>
      <w:r w:rsidRPr="000C5085">
        <w:rPr>
          <w:rFonts w:ascii="Times New Roman" w:eastAsia="Calibri" w:hAnsi="Times New Roman" w:cs="Times New Roman"/>
        </w:rPr>
        <w:t> 18,6 </w:t>
      </w:r>
      <w:proofErr w:type="spellStart"/>
      <w:r w:rsidRPr="000C5085">
        <w:rPr>
          <w:rFonts w:ascii="Times New Roman" w:eastAsia="Calibri" w:hAnsi="Times New Roman" w:cs="Times New Roman"/>
        </w:rPr>
        <w:t>nmol</w:t>
      </w:r>
      <w:proofErr w:type="spellEnd"/>
      <w:r w:rsidRPr="000C5085">
        <w:rPr>
          <w:rFonts w:ascii="Times New Roman" w:eastAsia="Calibri" w:hAnsi="Times New Roman" w:cs="Times New Roman"/>
        </w:rPr>
        <w:t xml:space="preserve">/l – jei po valgio), tačiau absorbcijos apimtis (plotas po koncentracijos kreive, AUC) nepakinta. Manoma, kad nedidelis absorbcijos greičio pokytis nėra kliniškai svarbus, todėl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galima vartoti neatsižvelgiant į valgymo laiką.</w:t>
      </w:r>
    </w:p>
    <w:p w14:paraId="220743B2" w14:textId="77777777" w:rsidR="00611539" w:rsidRPr="000C5085" w:rsidRDefault="00611539" w:rsidP="000C5085">
      <w:pPr>
        <w:widowControl w:val="0"/>
        <w:spacing w:after="0" w:line="240" w:lineRule="auto"/>
        <w:rPr>
          <w:rFonts w:ascii="Times New Roman" w:eastAsia="Calibri" w:hAnsi="Times New Roman" w:cs="Times New Roman"/>
        </w:rPr>
      </w:pPr>
    </w:p>
    <w:p w14:paraId="0BBCD617"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Pasiskirstymas</w:t>
      </w:r>
    </w:p>
    <w:p w14:paraId="666DDC56" w14:textId="137BBB8F"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Maždaug 60</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jungiasi prie plazmos baltymų, daugiausia </w:t>
      </w:r>
      <w:proofErr w:type="spellStart"/>
      <w:r w:rsidRPr="000C5085">
        <w:rPr>
          <w:rFonts w:ascii="Times New Roman" w:eastAsia="Calibri" w:hAnsi="Times New Roman" w:cs="Times New Roman"/>
        </w:rPr>
        <w:t>albuminų</w:t>
      </w:r>
      <w:proofErr w:type="spellEnd"/>
      <w:r w:rsidRPr="000C5085">
        <w:rPr>
          <w:rFonts w:ascii="Times New Roman" w:eastAsia="Calibri" w:hAnsi="Times New Roman" w:cs="Times New Roman"/>
        </w:rPr>
        <w:t xml:space="preserve"> (55</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Eritrocituose preparato koncentracija būna maždaug 80</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koncentracijos plazmoje. Išgėrus 2,5</w:t>
      </w:r>
      <w:r w:rsidR="00B66BB6">
        <w:rPr>
          <w:rFonts w:ascii="Times New Roman" w:eastAsia="Calibri" w:hAnsi="Times New Roman" w:cs="Times New Roman"/>
        </w:rPr>
        <w:t> </w:t>
      </w:r>
      <w:r w:rsidRPr="000C5085">
        <w:rPr>
          <w:rFonts w:ascii="Times New Roman" w:eastAsia="Calibri" w:hAnsi="Times New Roman" w:cs="Times New Roman"/>
        </w:rPr>
        <w:t xml:space="preserve">mg </w:t>
      </w:r>
      <w:smartTag w:uri="urn:schemas-microsoft-com:office:smarttags" w:element="metricconverter">
        <w:smartTagPr>
          <w:attr w:name="ProductID" w:val="14C"/>
        </w:smartTagPr>
        <w:r w:rsidRPr="000C5085">
          <w:rPr>
            <w:rFonts w:ascii="Times New Roman" w:eastAsia="Calibri" w:hAnsi="Times New Roman" w:cs="Times New Roman"/>
            <w:vertAlign w:val="superscript"/>
          </w:rPr>
          <w:t>14</w:t>
        </w:r>
        <w:r w:rsidRPr="000C5085">
          <w:rPr>
            <w:rFonts w:ascii="Times New Roman" w:eastAsia="Calibri" w:hAnsi="Times New Roman" w:cs="Times New Roman"/>
          </w:rPr>
          <w:t>C</w:t>
        </w:r>
      </w:smartTag>
      <w:r w:rsidRPr="000C5085">
        <w:rPr>
          <w:rFonts w:ascii="Times New Roman" w:eastAsia="Calibri" w:hAnsi="Times New Roman" w:cs="Times New Roman"/>
        </w:rPr>
        <w:t xml:space="preserve"> žymėto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plazmoje maždaug 82</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radioaktyvumo buvo susiję su nepakitusiu preparatu. Vadinasi, sisteminė metabolitų ekspozicija yra maža.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greitai ir plačiai pasiskirsto. Nusistovėjus </w:t>
      </w:r>
      <w:proofErr w:type="spellStart"/>
      <w:r w:rsidRPr="000C5085">
        <w:rPr>
          <w:rFonts w:ascii="Times New Roman" w:eastAsia="Calibri" w:hAnsi="Times New Roman" w:cs="Times New Roman"/>
        </w:rPr>
        <w:t>pusiausvyrinei</w:t>
      </w:r>
      <w:proofErr w:type="spellEnd"/>
      <w:r w:rsidRPr="000C5085">
        <w:rPr>
          <w:rFonts w:ascii="Times New Roman" w:eastAsia="Calibri" w:hAnsi="Times New Roman" w:cs="Times New Roman"/>
        </w:rPr>
        <w:t xml:space="preserve"> apykaitai, tariamasis pasiskirstymo tūris yra apie 1,87 </w:t>
      </w:r>
      <w:r w:rsidRPr="000C5085">
        <w:rPr>
          <w:rFonts w:ascii="Times New Roman" w:eastAsia="Calibri" w:hAnsi="Times New Roman" w:cs="Times New Roman"/>
        </w:rPr>
        <w:sym w:font="Symbol" w:char="F0B1"/>
      </w:r>
      <w:r w:rsidRPr="000C5085">
        <w:rPr>
          <w:rFonts w:ascii="Times New Roman" w:eastAsia="Calibri" w:hAnsi="Times New Roman" w:cs="Times New Roman"/>
        </w:rPr>
        <w:t> 0,47 l/kg.</w:t>
      </w:r>
    </w:p>
    <w:p w14:paraId="1FAAC0FC" w14:textId="77777777" w:rsidR="00611539" w:rsidRPr="000C5085" w:rsidRDefault="00611539" w:rsidP="000C5085">
      <w:pPr>
        <w:widowControl w:val="0"/>
        <w:spacing w:after="0" w:line="240" w:lineRule="auto"/>
        <w:rPr>
          <w:rFonts w:ascii="Times New Roman" w:eastAsia="Calibri" w:hAnsi="Times New Roman" w:cs="Times New Roman"/>
        </w:rPr>
      </w:pPr>
    </w:p>
    <w:p w14:paraId="74BA530B" w14:textId="77777777" w:rsidR="00611539" w:rsidRPr="000C5085" w:rsidRDefault="00611539" w:rsidP="000C5085">
      <w:pPr>
        <w:widowControl w:val="0"/>
        <w:spacing w:after="0" w:line="240" w:lineRule="auto"/>
        <w:rPr>
          <w:rFonts w:ascii="Times New Roman" w:eastAsia="Calibri" w:hAnsi="Times New Roman" w:cs="Times New Roman"/>
          <w:u w:val="single"/>
        </w:rPr>
      </w:pPr>
      <w:proofErr w:type="spellStart"/>
      <w:r w:rsidRPr="000C5085">
        <w:rPr>
          <w:rFonts w:ascii="Times New Roman" w:eastAsia="Calibri" w:hAnsi="Times New Roman" w:cs="Times New Roman"/>
          <w:u w:val="single"/>
        </w:rPr>
        <w:t>Biotransformacija</w:t>
      </w:r>
      <w:proofErr w:type="spellEnd"/>
    </w:p>
    <w:p w14:paraId="2B10C27C"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daugiausia eliminuojamas vykstant metabolizmui į farmakologiškai neaktyvų metabolitą </w:t>
      </w:r>
      <w:proofErr w:type="spellStart"/>
      <w:r w:rsidRPr="000C5085">
        <w:rPr>
          <w:rFonts w:ascii="Times New Roman" w:eastAsia="Calibri" w:hAnsi="Times New Roman" w:cs="Times New Roman"/>
        </w:rPr>
        <w:t>karbinolį</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CL</w:t>
      </w:r>
      <w:r w:rsidRPr="000C5085">
        <w:rPr>
          <w:rFonts w:ascii="Times New Roman" w:eastAsia="Calibri" w:hAnsi="Times New Roman" w:cs="Times New Roman"/>
          <w:vertAlign w:val="subscript"/>
        </w:rPr>
        <w:t>m</w:t>
      </w:r>
      <w:proofErr w:type="spellEnd"/>
      <w:r w:rsidRPr="000C5085">
        <w:rPr>
          <w:rFonts w:ascii="Times New Roman" w:eastAsia="Calibri" w:hAnsi="Times New Roman" w:cs="Times New Roman"/>
          <w:vertAlign w:val="subscript"/>
        </w:rPr>
        <w:t xml:space="preserve"> </w:t>
      </w:r>
      <w:r w:rsidRPr="000C5085">
        <w:rPr>
          <w:rFonts w:ascii="Times New Roman" w:eastAsia="Calibri" w:hAnsi="Times New Roman" w:cs="Times New Roman"/>
        </w:rPr>
        <w:t xml:space="preserve">= 2,1 l/val.), tačiau metabolizmas, palyginti su kepenų kraujotaka (maždaug 90 l/val.), yra lėtas. Nustatyta, kad </w:t>
      </w:r>
      <w:proofErr w:type="spellStart"/>
      <w:r w:rsidRPr="000C5085">
        <w:rPr>
          <w:rFonts w:ascii="Times New Roman" w:eastAsia="Calibri" w:hAnsi="Times New Roman" w:cs="Times New Roman"/>
        </w:rPr>
        <w:t>letrozolą</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metabolizuoti</w:t>
      </w:r>
      <w:proofErr w:type="spellEnd"/>
      <w:r w:rsidRPr="000C5085">
        <w:rPr>
          <w:rFonts w:ascii="Times New Roman" w:eastAsia="Calibri" w:hAnsi="Times New Roman" w:cs="Times New Roman"/>
        </w:rPr>
        <w:t xml:space="preserve"> į neaktyvų metabolitą gali </w:t>
      </w:r>
      <w:proofErr w:type="spellStart"/>
      <w:r w:rsidRPr="000C5085">
        <w:rPr>
          <w:rFonts w:ascii="Times New Roman" w:eastAsia="Calibri" w:hAnsi="Times New Roman" w:cs="Times New Roman"/>
        </w:rPr>
        <w:t>citochromo</w:t>
      </w:r>
      <w:proofErr w:type="spellEnd"/>
      <w:r w:rsidRPr="000C5085">
        <w:rPr>
          <w:rFonts w:ascii="Times New Roman" w:eastAsia="Calibri" w:hAnsi="Times New Roman" w:cs="Times New Roman"/>
        </w:rPr>
        <w:t xml:space="preserve"> P 450 </w:t>
      </w:r>
      <w:proofErr w:type="spellStart"/>
      <w:r w:rsidRPr="000C5085">
        <w:rPr>
          <w:rFonts w:ascii="Times New Roman" w:eastAsia="Calibri" w:hAnsi="Times New Roman" w:cs="Times New Roman"/>
        </w:rPr>
        <w:t>izofermentai</w:t>
      </w:r>
      <w:proofErr w:type="spellEnd"/>
      <w:r w:rsidRPr="000C5085">
        <w:rPr>
          <w:rFonts w:ascii="Times New Roman" w:eastAsia="Calibri" w:hAnsi="Times New Roman" w:cs="Times New Roman"/>
        </w:rPr>
        <w:t xml:space="preserve"> CYP3A4 ir CYP2A6.</w:t>
      </w:r>
    </w:p>
    <w:p w14:paraId="3D01E1B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Nedidelis neidentifikuotų metabolitų kiekis ir tiesioginis preparato išskyrimas pro inkstus bei su </w:t>
      </w:r>
      <w:r w:rsidRPr="000C5085">
        <w:rPr>
          <w:rFonts w:ascii="Times New Roman" w:eastAsia="Calibri" w:hAnsi="Times New Roman" w:cs="Times New Roman"/>
        </w:rPr>
        <w:lastRenderedPageBreak/>
        <w:t xml:space="preserve">išmatomis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eliminacijai yra mažai reikšmingas. Iš sveikų savanorių </w:t>
      </w:r>
      <w:proofErr w:type="spellStart"/>
      <w:r w:rsidRPr="000C5085">
        <w:rPr>
          <w:rFonts w:ascii="Times New Roman" w:eastAsia="Calibri" w:hAnsi="Times New Roman" w:cs="Times New Roman"/>
        </w:rPr>
        <w:t>pomenopauzinių</w:t>
      </w:r>
      <w:proofErr w:type="spellEnd"/>
      <w:r w:rsidRPr="000C5085">
        <w:rPr>
          <w:rFonts w:ascii="Times New Roman" w:eastAsia="Calibri" w:hAnsi="Times New Roman" w:cs="Times New Roman"/>
        </w:rPr>
        <w:t xml:space="preserve"> moterų, išgėrusių 2,5 mg </w:t>
      </w:r>
      <w:smartTag w:uri="urn:schemas-microsoft-com:office:smarttags" w:element="metricconverter">
        <w:smartTagPr>
          <w:attr w:name="ProductID" w:val="14C"/>
        </w:smartTagPr>
        <w:r w:rsidRPr="000C5085">
          <w:rPr>
            <w:rFonts w:ascii="Times New Roman" w:eastAsia="Calibri" w:hAnsi="Times New Roman" w:cs="Times New Roman"/>
            <w:vertAlign w:val="superscript"/>
          </w:rPr>
          <w:t>14</w:t>
        </w:r>
        <w:r w:rsidRPr="000C5085">
          <w:rPr>
            <w:rFonts w:ascii="Times New Roman" w:eastAsia="Calibri" w:hAnsi="Times New Roman" w:cs="Times New Roman"/>
          </w:rPr>
          <w:t>C</w:t>
        </w:r>
      </w:smartTag>
      <w:r w:rsidRPr="000C5085">
        <w:rPr>
          <w:rFonts w:ascii="Times New Roman" w:eastAsia="Calibri" w:hAnsi="Times New Roman" w:cs="Times New Roman"/>
        </w:rPr>
        <w:t xml:space="preserve"> žymėto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dozę, organizmo per dvi savaites 88,2 </w:t>
      </w:r>
      <w:r w:rsidRPr="000C5085">
        <w:rPr>
          <w:rFonts w:ascii="Times New Roman" w:eastAsia="Calibri" w:hAnsi="Times New Roman" w:cs="Times New Roman"/>
        </w:rPr>
        <w:sym w:font="Symbol" w:char="F0B1"/>
      </w:r>
      <w:r w:rsidRPr="000C5085">
        <w:rPr>
          <w:rFonts w:ascii="Times New Roman" w:eastAsia="Calibri" w:hAnsi="Times New Roman" w:cs="Times New Roman"/>
        </w:rPr>
        <w:t> 7,6</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radioaktyvaus preparato išsiskyrė su šlapimu, o 3,8 </w:t>
      </w:r>
      <w:r w:rsidRPr="000C5085">
        <w:rPr>
          <w:rFonts w:ascii="Times New Roman" w:eastAsia="Calibri" w:hAnsi="Times New Roman" w:cs="Times New Roman"/>
        </w:rPr>
        <w:sym w:font="Symbol" w:char="F0B1"/>
      </w:r>
      <w:r w:rsidRPr="000C5085">
        <w:rPr>
          <w:rFonts w:ascii="Times New Roman" w:eastAsia="Calibri" w:hAnsi="Times New Roman" w:cs="Times New Roman"/>
        </w:rPr>
        <w:t> 0,9</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 su išmatomis. Ne mažiau kaip 75</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radioaktyvumo, išsiskyrusio su šlapimu per 216 val. (84,7 </w:t>
      </w:r>
      <w:r w:rsidRPr="000C5085">
        <w:rPr>
          <w:rFonts w:ascii="Times New Roman" w:eastAsia="Calibri" w:hAnsi="Times New Roman" w:cs="Times New Roman"/>
        </w:rPr>
        <w:sym w:font="Symbol" w:char="F0B1"/>
      </w:r>
      <w:r w:rsidRPr="000C5085">
        <w:rPr>
          <w:rFonts w:ascii="Times New Roman" w:eastAsia="Calibri" w:hAnsi="Times New Roman" w:cs="Times New Roman"/>
        </w:rPr>
        <w:t> 7,8</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dozės), buvo susiję su </w:t>
      </w:r>
      <w:proofErr w:type="spellStart"/>
      <w:r w:rsidRPr="000C5085">
        <w:rPr>
          <w:rFonts w:ascii="Times New Roman" w:eastAsia="Calibri" w:hAnsi="Times New Roman" w:cs="Times New Roman"/>
        </w:rPr>
        <w:t>karbinolio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gliukuronidu</w:t>
      </w:r>
      <w:proofErr w:type="spellEnd"/>
      <w:r w:rsidRPr="000C5085">
        <w:rPr>
          <w:rFonts w:ascii="Times New Roman" w:eastAsia="Calibri" w:hAnsi="Times New Roman" w:cs="Times New Roman"/>
        </w:rPr>
        <w:t>, maždaug 9</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 su dviem neidentifikuotais metabolitais, 6</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 su nepakitusiu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w:t>
      </w:r>
    </w:p>
    <w:p w14:paraId="0C3C2A8E" w14:textId="77777777" w:rsidR="00611539" w:rsidRPr="000C5085" w:rsidRDefault="00611539" w:rsidP="000C5085">
      <w:pPr>
        <w:widowControl w:val="0"/>
        <w:spacing w:after="0" w:line="240" w:lineRule="auto"/>
        <w:rPr>
          <w:rFonts w:ascii="Times New Roman" w:eastAsia="Calibri" w:hAnsi="Times New Roman" w:cs="Times New Roman"/>
        </w:rPr>
      </w:pPr>
    </w:p>
    <w:p w14:paraId="7B394899"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Eliminacija</w:t>
      </w:r>
    </w:p>
    <w:p w14:paraId="5FA30C91" w14:textId="34B75394"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galutinės pusinės eliminacijos laikas kraujo plazmoje yra maždaug 2</w:t>
      </w:r>
      <w:r w:rsidRPr="000C5085">
        <w:rPr>
          <w:rFonts w:ascii="Times New Roman" w:eastAsia="Calibri" w:hAnsi="Times New Roman" w:cs="Times New Roman"/>
        </w:rPr>
        <w:noBreakHyphen/>
        <w:t>4</w:t>
      </w:r>
      <w:r w:rsidR="00B66BB6">
        <w:rPr>
          <w:rFonts w:ascii="Times New Roman" w:eastAsia="Calibri" w:hAnsi="Times New Roman" w:cs="Times New Roman"/>
        </w:rPr>
        <w:t> </w:t>
      </w:r>
      <w:r w:rsidRPr="000C5085">
        <w:rPr>
          <w:rFonts w:ascii="Times New Roman" w:eastAsia="Calibri" w:hAnsi="Times New Roman" w:cs="Times New Roman"/>
        </w:rPr>
        <w:t xml:space="preserve">paros. Vartojant 2,5 mg paros dozę, </w:t>
      </w:r>
      <w:proofErr w:type="spellStart"/>
      <w:r w:rsidRPr="000C5085">
        <w:rPr>
          <w:rFonts w:ascii="Times New Roman" w:eastAsia="Calibri" w:hAnsi="Times New Roman" w:cs="Times New Roman"/>
        </w:rPr>
        <w:t>pusiausvyrinė</w:t>
      </w:r>
      <w:proofErr w:type="spellEnd"/>
      <w:r w:rsidRPr="000C5085">
        <w:rPr>
          <w:rFonts w:ascii="Times New Roman" w:eastAsia="Calibri" w:hAnsi="Times New Roman" w:cs="Times New Roman"/>
        </w:rPr>
        <w:t xml:space="preserve"> apykaita nusistovi per 2</w:t>
      </w:r>
      <w:r w:rsidRPr="000C5085">
        <w:rPr>
          <w:rFonts w:ascii="Times New Roman" w:eastAsia="Calibri" w:hAnsi="Times New Roman" w:cs="Times New Roman"/>
        </w:rPr>
        <w:noBreakHyphen/>
        <w:t>6 savaites, koncentracija plazmoje būna maždaug 7 kartus didesnė, nei koncentracija, kuri susidaro išgėrus vienkartinę 2,5 mg dozę, ir 1,5</w:t>
      </w:r>
      <w:r w:rsidRPr="000C5085">
        <w:rPr>
          <w:rFonts w:ascii="Times New Roman" w:eastAsia="Calibri" w:hAnsi="Times New Roman" w:cs="Times New Roman"/>
        </w:rPr>
        <w:noBreakHyphen/>
        <w:t>2</w:t>
      </w:r>
      <w:r w:rsidR="00B66BB6">
        <w:rPr>
          <w:rFonts w:ascii="Times New Roman" w:eastAsia="Calibri" w:hAnsi="Times New Roman" w:cs="Times New Roman"/>
        </w:rPr>
        <w:t> </w:t>
      </w:r>
      <w:r w:rsidRPr="000C5085">
        <w:rPr>
          <w:rFonts w:ascii="Times New Roman" w:eastAsia="Calibri" w:hAnsi="Times New Roman" w:cs="Times New Roman"/>
        </w:rPr>
        <w:t xml:space="preserve">kartus didesnė, nei apskaičiuota atsižvelgiant į koncentraciją po vienkartinės 2,5 mg dozės pavartojimo. Vadinasi, vartojant 2,5 mg paros dozę,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farmakokinetika</w:t>
      </w:r>
      <w:proofErr w:type="spellEnd"/>
      <w:r w:rsidRPr="000C5085">
        <w:rPr>
          <w:rFonts w:ascii="Times New Roman" w:eastAsia="Calibri" w:hAnsi="Times New Roman" w:cs="Times New Roman"/>
        </w:rPr>
        <w:t xml:space="preserve"> nėra visiškai tiesinė. Kadangi </w:t>
      </w:r>
      <w:proofErr w:type="spellStart"/>
      <w:r w:rsidRPr="000C5085">
        <w:rPr>
          <w:rFonts w:ascii="Times New Roman" w:eastAsia="Calibri" w:hAnsi="Times New Roman" w:cs="Times New Roman"/>
        </w:rPr>
        <w:t>pusiausvyrinės</w:t>
      </w:r>
      <w:proofErr w:type="spellEnd"/>
      <w:r w:rsidRPr="000C5085">
        <w:rPr>
          <w:rFonts w:ascii="Times New Roman" w:eastAsia="Calibri" w:hAnsi="Times New Roman" w:cs="Times New Roman"/>
        </w:rPr>
        <w:t xml:space="preserve"> koncentracijos dydis nekinta, galima daryti išvadą, kad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organizme nesikaupia.</w:t>
      </w:r>
    </w:p>
    <w:p w14:paraId="0D26019A" w14:textId="77777777" w:rsidR="00611539" w:rsidRPr="000C5085" w:rsidRDefault="00611539" w:rsidP="000C5085">
      <w:pPr>
        <w:widowControl w:val="0"/>
        <w:spacing w:after="0" w:line="240" w:lineRule="auto"/>
        <w:rPr>
          <w:rFonts w:ascii="Times New Roman" w:eastAsia="Calibri" w:hAnsi="Times New Roman" w:cs="Times New Roman"/>
        </w:rPr>
      </w:pPr>
    </w:p>
    <w:p w14:paraId="06182C24"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Tiesinis/netiesinis pobūdis</w:t>
      </w:r>
    </w:p>
    <w:p w14:paraId="68622795"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color w:val="222222"/>
        </w:rPr>
        <w:t>Letrozolo</w:t>
      </w:r>
      <w:proofErr w:type="spellEnd"/>
      <w:r w:rsidRPr="000C5085">
        <w:rPr>
          <w:rFonts w:ascii="Times New Roman" w:eastAsia="Calibri" w:hAnsi="Times New Roman" w:cs="Times New Roman"/>
          <w:color w:val="222222"/>
        </w:rPr>
        <w:t xml:space="preserve"> </w:t>
      </w:r>
      <w:proofErr w:type="spellStart"/>
      <w:r w:rsidRPr="000C5085">
        <w:rPr>
          <w:rFonts w:ascii="Times New Roman" w:eastAsia="Calibri" w:hAnsi="Times New Roman" w:cs="Times New Roman"/>
          <w:color w:val="222222"/>
        </w:rPr>
        <w:t>farmakokinetika</w:t>
      </w:r>
      <w:proofErr w:type="spellEnd"/>
      <w:r w:rsidRPr="000C5085">
        <w:rPr>
          <w:rFonts w:ascii="Times New Roman" w:eastAsia="Calibri" w:hAnsi="Times New Roman" w:cs="Times New Roman"/>
          <w:color w:val="222222"/>
        </w:rPr>
        <w:t xml:space="preserve"> buvo proporcinga dozei suvartojus vienkartinę geriamąją dozę iki 10 mg (vartotos dozės nuo 0,01 mg iki 30 mg) ir paros dozę iki 1,0 mg (vartotos dozės nuo 0,1 iki 5 mg). Suvartojus vienkartinę 30 mg dozę, AUC padidėjo šiek tiek daugiau nei proporcingai. Padidėjęs proporcingumas, palyginti su doze, gali būti </w:t>
      </w:r>
      <w:proofErr w:type="spellStart"/>
      <w:r w:rsidRPr="000C5085">
        <w:rPr>
          <w:rFonts w:ascii="Times New Roman" w:eastAsia="Calibri" w:hAnsi="Times New Roman" w:cs="Times New Roman"/>
          <w:color w:val="222222"/>
        </w:rPr>
        <w:t>metabolinių</w:t>
      </w:r>
      <w:proofErr w:type="spellEnd"/>
      <w:r w:rsidRPr="000C5085">
        <w:rPr>
          <w:rFonts w:ascii="Times New Roman" w:eastAsia="Calibri" w:hAnsi="Times New Roman" w:cs="Times New Roman"/>
          <w:color w:val="222222"/>
        </w:rPr>
        <w:t xml:space="preserve"> </w:t>
      </w:r>
      <w:proofErr w:type="spellStart"/>
      <w:r w:rsidRPr="000C5085">
        <w:rPr>
          <w:rFonts w:ascii="Times New Roman" w:eastAsia="Calibri" w:hAnsi="Times New Roman" w:cs="Times New Roman"/>
          <w:color w:val="222222"/>
        </w:rPr>
        <w:t>eliminacinių</w:t>
      </w:r>
      <w:proofErr w:type="spellEnd"/>
      <w:r w:rsidRPr="000C5085">
        <w:rPr>
          <w:rFonts w:ascii="Times New Roman" w:eastAsia="Calibri" w:hAnsi="Times New Roman" w:cs="Times New Roman"/>
          <w:color w:val="222222"/>
        </w:rPr>
        <w:t xml:space="preserve"> procesų prisotinimo rezultatas. Pastovi koncentracija pasiekta po 1 ar 2 mėnesių vartojant visas tirtas paros dozes (nuo 0,1 iki 5,0 mg).</w:t>
      </w:r>
    </w:p>
    <w:p w14:paraId="18957C69" w14:textId="77777777" w:rsidR="00611539" w:rsidRPr="000C5085" w:rsidRDefault="00611539" w:rsidP="000C5085">
      <w:pPr>
        <w:widowControl w:val="0"/>
        <w:spacing w:after="0" w:line="240" w:lineRule="auto"/>
        <w:rPr>
          <w:rFonts w:ascii="Times New Roman" w:eastAsia="Calibri" w:hAnsi="Times New Roman" w:cs="Times New Roman"/>
        </w:rPr>
      </w:pPr>
    </w:p>
    <w:p w14:paraId="39D29698" w14:textId="77777777" w:rsidR="00611539" w:rsidRPr="000C5085" w:rsidRDefault="00611539" w:rsidP="000C5085">
      <w:pPr>
        <w:widowControl w:val="0"/>
        <w:spacing w:after="0" w:line="240" w:lineRule="auto"/>
        <w:rPr>
          <w:rFonts w:ascii="Times New Roman" w:eastAsia="Calibri" w:hAnsi="Times New Roman" w:cs="Times New Roman"/>
          <w:u w:val="single"/>
        </w:rPr>
      </w:pPr>
      <w:r w:rsidRPr="000C5085">
        <w:rPr>
          <w:rFonts w:ascii="Times New Roman" w:eastAsia="Calibri" w:hAnsi="Times New Roman" w:cs="Times New Roman"/>
          <w:u w:val="single"/>
        </w:rPr>
        <w:t>Specifinės pacientų populiacijos</w:t>
      </w:r>
    </w:p>
    <w:p w14:paraId="5EE825E0"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Senyvos pacientės</w:t>
      </w:r>
    </w:p>
    <w:p w14:paraId="0B01E85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Amžius įtakos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farmakokinetikai</w:t>
      </w:r>
      <w:proofErr w:type="spellEnd"/>
      <w:r w:rsidRPr="000C5085">
        <w:rPr>
          <w:rFonts w:ascii="Times New Roman" w:eastAsia="Calibri" w:hAnsi="Times New Roman" w:cs="Times New Roman"/>
        </w:rPr>
        <w:t xml:space="preserve"> nedaro.</w:t>
      </w:r>
    </w:p>
    <w:p w14:paraId="633BA6B3" w14:textId="77777777" w:rsidR="00611539" w:rsidRPr="000C5085" w:rsidRDefault="00611539" w:rsidP="000C5085">
      <w:pPr>
        <w:widowControl w:val="0"/>
        <w:spacing w:after="0" w:line="240" w:lineRule="auto"/>
        <w:rPr>
          <w:rFonts w:ascii="Times New Roman" w:eastAsia="Calibri" w:hAnsi="Times New Roman" w:cs="Times New Roman"/>
        </w:rPr>
      </w:pPr>
    </w:p>
    <w:p w14:paraId="02771159"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Inkstų funkcijos sutrikimas</w:t>
      </w:r>
    </w:p>
    <w:p w14:paraId="2CE1418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Ištyrus 19 savanorių, kuriems buvo įvairaus sunkumo inkstų funkcijos sutrikimas (</w:t>
      </w:r>
      <w:proofErr w:type="spellStart"/>
      <w:r w:rsidRPr="000C5085">
        <w:rPr>
          <w:rFonts w:ascii="Times New Roman" w:eastAsia="Calibri" w:hAnsi="Times New Roman" w:cs="Times New Roman"/>
        </w:rPr>
        <w:t>kreatinino</w:t>
      </w:r>
      <w:proofErr w:type="spellEnd"/>
      <w:r w:rsidRPr="000C5085">
        <w:rPr>
          <w:rFonts w:ascii="Times New Roman" w:eastAsia="Calibri" w:hAnsi="Times New Roman" w:cs="Times New Roman"/>
        </w:rPr>
        <w:t xml:space="preserve"> klirensas 24 val. laikotarpiu 9</w:t>
      </w:r>
      <w:r w:rsidRPr="000C5085">
        <w:rPr>
          <w:rFonts w:ascii="Times New Roman" w:eastAsia="Calibri" w:hAnsi="Times New Roman" w:cs="Times New Roman"/>
        </w:rPr>
        <w:noBreakHyphen/>
        <w:t xml:space="preserve">116 ml/min.),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farmakokinetikos</w:t>
      </w:r>
      <w:proofErr w:type="spellEnd"/>
      <w:r w:rsidRPr="000C5085">
        <w:rPr>
          <w:rFonts w:ascii="Times New Roman" w:eastAsia="Calibri" w:hAnsi="Times New Roman" w:cs="Times New Roman"/>
        </w:rPr>
        <w:t xml:space="preserve"> pokyčių po vienkartinės 2,5 g dozės pavartojimo nustatyta.</w:t>
      </w:r>
      <w:r w:rsidRPr="000C5085">
        <w:rPr>
          <w:rFonts w:ascii="Times New Roman" w:eastAsia="Calibri" w:hAnsi="Times New Roman" w:cs="Times New Roman"/>
          <w:color w:val="222222"/>
          <w:kern w:val="28"/>
        </w:rPr>
        <w:t xml:space="preserve"> Papildant</w:t>
      </w:r>
      <w:r w:rsidRPr="000C5085">
        <w:rPr>
          <w:rFonts w:ascii="Times New Roman" w:eastAsia="Calibri" w:hAnsi="Times New Roman" w:cs="Times New Roman"/>
          <w:b/>
          <w:color w:val="222222"/>
          <w:kern w:val="28"/>
        </w:rPr>
        <w:t xml:space="preserve"> </w:t>
      </w:r>
      <w:r w:rsidRPr="000C5085">
        <w:rPr>
          <w:rFonts w:ascii="Times New Roman" w:eastAsia="Calibri" w:hAnsi="Times New Roman" w:cs="Times New Roman"/>
          <w:color w:val="222222"/>
        </w:rPr>
        <w:t xml:space="preserve">aukščiau minėtą tyrimą, įvertinantį inkstų funkcijos sutrikimo įtaką vartojant </w:t>
      </w:r>
      <w:proofErr w:type="spellStart"/>
      <w:r w:rsidRPr="000C5085">
        <w:rPr>
          <w:rFonts w:ascii="Times New Roman" w:eastAsia="Calibri" w:hAnsi="Times New Roman" w:cs="Times New Roman"/>
          <w:color w:val="222222"/>
        </w:rPr>
        <w:t>letrozolą</w:t>
      </w:r>
      <w:proofErr w:type="spellEnd"/>
      <w:r w:rsidRPr="000C5085">
        <w:rPr>
          <w:rFonts w:ascii="Times New Roman" w:eastAsia="Calibri" w:hAnsi="Times New Roman" w:cs="Times New Roman"/>
          <w:color w:val="222222"/>
        </w:rPr>
        <w:t xml:space="preserve">, buvo atlikta dviejų pagrindinių tyrimų (AR/BC2 ir AR/BC3) duomenų ko-kintamųjų analizė. Apskaičiuotas </w:t>
      </w:r>
      <w:proofErr w:type="spellStart"/>
      <w:r w:rsidRPr="000C5085">
        <w:rPr>
          <w:rFonts w:ascii="Times New Roman" w:eastAsia="Calibri" w:hAnsi="Times New Roman" w:cs="Times New Roman"/>
          <w:color w:val="222222"/>
        </w:rPr>
        <w:t>kreatinino</w:t>
      </w:r>
      <w:proofErr w:type="spellEnd"/>
      <w:r w:rsidRPr="000C5085">
        <w:rPr>
          <w:rFonts w:ascii="Times New Roman" w:eastAsia="Calibri" w:hAnsi="Times New Roman" w:cs="Times New Roman"/>
          <w:color w:val="222222"/>
        </w:rPr>
        <w:t xml:space="preserve"> klirensas [tyrime AR/BC2 svyravo nuo 19 iki 187 ml/min.; tyrime AR/BC3 svyravo nuo 10 iki 180 ml/min.] neparodė </w:t>
      </w:r>
      <w:proofErr w:type="spellStart"/>
      <w:r w:rsidRPr="000C5085">
        <w:rPr>
          <w:rFonts w:ascii="Times New Roman" w:eastAsia="Calibri" w:hAnsi="Times New Roman" w:cs="Times New Roman"/>
          <w:color w:val="222222"/>
        </w:rPr>
        <w:t>statistiškai</w:t>
      </w:r>
      <w:proofErr w:type="spellEnd"/>
      <w:r w:rsidRPr="000C5085">
        <w:rPr>
          <w:rFonts w:ascii="Times New Roman" w:eastAsia="Calibri" w:hAnsi="Times New Roman" w:cs="Times New Roman"/>
          <w:color w:val="222222"/>
        </w:rPr>
        <w:t xml:space="preserve"> reikšmingo ryšio tarp inkstų klirenso ir mažiausios </w:t>
      </w:r>
      <w:proofErr w:type="spellStart"/>
      <w:r w:rsidRPr="000C5085">
        <w:rPr>
          <w:rFonts w:ascii="Times New Roman" w:eastAsia="Calibri" w:hAnsi="Times New Roman" w:cs="Times New Roman"/>
          <w:color w:val="222222"/>
        </w:rPr>
        <w:t>letrozolo</w:t>
      </w:r>
      <w:proofErr w:type="spellEnd"/>
      <w:r w:rsidRPr="000C5085">
        <w:rPr>
          <w:rFonts w:ascii="Times New Roman" w:eastAsia="Calibri" w:hAnsi="Times New Roman" w:cs="Times New Roman"/>
          <w:color w:val="222222"/>
        </w:rPr>
        <w:t xml:space="preserve"> koncentracijos plazmoje nusistovėjusios </w:t>
      </w:r>
      <w:proofErr w:type="spellStart"/>
      <w:r w:rsidRPr="000C5085">
        <w:rPr>
          <w:rFonts w:ascii="Times New Roman" w:eastAsia="Calibri" w:hAnsi="Times New Roman" w:cs="Times New Roman"/>
          <w:color w:val="222222"/>
        </w:rPr>
        <w:t>pusiausvyrinei</w:t>
      </w:r>
      <w:proofErr w:type="spellEnd"/>
      <w:r w:rsidRPr="000C5085">
        <w:rPr>
          <w:rFonts w:ascii="Times New Roman" w:eastAsia="Calibri" w:hAnsi="Times New Roman" w:cs="Times New Roman"/>
          <w:color w:val="222222"/>
        </w:rPr>
        <w:t xml:space="preserve"> apykaitai (</w:t>
      </w:r>
      <w:proofErr w:type="spellStart"/>
      <w:r w:rsidRPr="000C5085">
        <w:rPr>
          <w:rFonts w:ascii="Times New Roman" w:eastAsia="Calibri" w:hAnsi="Times New Roman" w:cs="Times New Roman"/>
          <w:color w:val="222222"/>
        </w:rPr>
        <w:t>C</w:t>
      </w:r>
      <w:r w:rsidRPr="000C5085">
        <w:rPr>
          <w:rFonts w:ascii="Times New Roman" w:eastAsia="Calibri" w:hAnsi="Times New Roman" w:cs="Times New Roman"/>
          <w:color w:val="222222"/>
          <w:vertAlign w:val="subscript"/>
        </w:rPr>
        <w:t>min</w:t>
      </w:r>
      <w:proofErr w:type="spellEnd"/>
      <w:r w:rsidRPr="000C5085">
        <w:rPr>
          <w:rFonts w:ascii="Times New Roman" w:eastAsia="Calibri" w:hAnsi="Times New Roman" w:cs="Times New Roman"/>
          <w:color w:val="222222"/>
        </w:rPr>
        <w:t xml:space="preserve">). Be to, AR/BC2 ir AR/BC3 </w:t>
      </w:r>
      <w:proofErr w:type="spellStart"/>
      <w:r w:rsidRPr="000C5085">
        <w:rPr>
          <w:rFonts w:ascii="Times New Roman" w:eastAsia="Calibri" w:hAnsi="Times New Roman" w:cs="Times New Roman"/>
          <w:color w:val="222222"/>
        </w:rPr>
        <w:t>metastazavusio</w:t>
      </w:r>
      <w:proofErr w:type="spellEnd"/>
      <w:r w:rsidRPr="000C5085">
        <w:rPr>
          <w:rFonts w:ascii="Times New Roman" w:eastAsia="Calibri" w:hAnsi="Times New Roman" w:cs="Times New Roman"/>
          <w:color w:val="222222"/>
        </w:rPr>
        <w:t xml:space="preserve"> krūties vėžio antrojo pasirinkimo gydymo tyrimų duomenys neįrodė nepageidaujamo </w:t>
      </w:r>
      <w:proofErr w:type="spellStart"/>
      <w:r w:rsidRPr="000C5085">
        <w:rPr>
          <w:rFonts w:ascii="Times New Roman" w:eastAsia="Calibri" w:hAnsi="Times New Roman" w:cs="Times New Roman"/>
          <w:color w:val="222222"/>
        </w:rPr>
        <w:t>letrozolo</w:t>
      </w:r>
      <w:proofErr w:type="spellEnd"/>
      <w:r w:rsidRPr="000C5085">
        <w:rPr>
          <w:rFonts w:ascii="Times New Roman" w:eastAsia="Calibri" w:hAnsi="Times New Roman" w:cs="Times New Roman"/>
          <w:color w:val="222222"/>
        </w:rPr>
        <w:t xml:space="preserve"> poveikio </w:t>
      </w:r>
      <w:proofErr w:type="spellStart"/>
      <w:r w:rsidRPr="000C5085">
        <w:rPr>
          <w:rFonts w:ascii="Times New Roman" w:eastAsia="Calibri" w:hAnsi="Times New Roman" w:cs="Times New Roman"/>
          <w:color w:val="222222"/>
        </w:rPr>
        <w:t>kreatinino</w:t>
      </w:r>
      <w:proofErr w:type="spellEnd"/>
      <w:r w:rsidRPr="000C5085">
        <w:rPr>
          <w:rFonts w:ascii="Times New Roman" w:eastAsia="Calibri" w:hAnsi="Times New Roman" w:cs="Times New Roman"/>
          <w:color w:val="222222"/>
        </w:rPr>
        <w:t xml:space="preserve"> klirensui ar inkstų funkcijos sutrikimui.</w:t>
      </w:r>
    </w:p>
    <w:p w14:paraId="589B8261" w14:textId="77777777" w:rsidR="00611539" w:rsidRPr="000C5085" w:rsidRDefault="00611539" w:rsidP="000C5085">
      <w:pPr>
        <w:widowControl w:val="0"/>
        <w:spacing w:after="0" w:line="240" w:lineRule="auto"/>
        <w:rPr>
          <w:rFonts w:ascii="Times New Roman" w:eastAsia="Calibri" w:hAnsi="Times New Roman" w:cs="Times New Roman"/>
          <w:color w:val="222222"/>
        </w:rPr>
      </w:pPr>
    </w:p>
    <w:p w14:paraId="60E5A5C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color w:val="222222"/>
        </w:rPr>
        <w:t>Taigi, pacientėms, kurių inkstų funkcija yra sutrikusi (</w:t>
      </w:r>
      <w:proofErr w:type="spellStart"/>
      <w:r w:rsidRPr="000C5085">
        <w:rPr>
          <w:rFonts w:ascii="Times New Roman" w:eastAsia="Calibri" w:hAnsi="Times New Roman" w:cs="Times New Roman"/>
          <w:color w:val="222222"/>
        </w:rPr>
        <w:t>kreatinino</w:t>
      </w:r>
      <w:proofErr w:type="spellEnd"/>
      <w:r w:rsidRPr="000C5085">
        <w:rPr>
          <w:rFonts w:ascii="Times New Roman" w:eastAsia="Calibri" w:hAnsi="Times New Roman" w:cs="Times New Roman"/>
          <w:color w:val="222222"/>
        </w:rPr>
        <w:t xml:space="preserve"> klirensas ≥</w:t>
      </w:r>
      <w:r w:rsidR="00B66BB6">
        <w:rPr>
          <w:rFonts w:ascii="Times New Roman" w:eastAsia="Calibri" w:hAnsi="Times New Roman" w:cs="Times New Roman"/>
        </w:rPr>
        <w:t> </w:t>
      </w:r>
      <w:r w:rsidRPr="000C5085">
        <w:rPr>
          <w:rFonts w:ascii="Times New Roman" w:eastAsia="Calibri" w:hAnsi="Times New Roman" w:cs="Times New Roman"/>
          <w:color w:val="222222"/>
        </w:rPr>
        <w:t>10 ml/min.), dozės koreguoti nereikia. Informacijos apie pacientes, kurioms yra sunkus inkstų funkcijos sutrikimas (</w:t>
      </w:r>
      <w:proofErr w:type="spellStart"/>
      <w:r w:rsidRPr="000C5085">
        <w:rPr>
          <w:rFonts w:ascii="Times New Roman" w:eastAsia="Calibri" w:hAnsi="Times New Roman" w:cs="Times New Roman"/>
          <w:color w:val="222222"/>
        </w:rPr>
        <w:t>kreatinino</w:t>
      </w:r>
      <w:proofErr w:type="spellEnd"/>
      <w:r w:rsidRPr="000C5085">
        <w:rPr>
          <w:rFonts w:ascii="Times New Roman" w:eastAsia="Calibri" w:hAnsi="Times New Roman" w:cs="Times New Roman"/>
          <w:color w:val="222222"/>
        </w:rPr>
        <w:t xml:space="preserve"> klirensas &lt;</w:t>
      </w:r>
      <w:r w:rsidR="00B66BB6">
        <w:rPr>
          <w:rFonts w:ascii="Times New Roman" w:eastAsia="Calibri" w:hAnsi="Times New Roman" w:cs="Times New Roman"/>
        </w:rPr>
        <w:t> </w:t>
      </w:r>
      <w:r w:rsidRPr="000C5085">
        <w:rPr>
          <w:rFonts w:ascii="Times New Roman" w:eastAsia="Calibri" w:hAnsi="Times New Roman" w:cs="Times New Roman"/>
          <w:color w:val="222222"/>
        </w:rPr>
        <w:t>10 ml/min.), yra nedaug.</w:t>
      </w:r>
    </w:p>
    <w:p w14:paraId="65154AEF" w14:textId="77777777" w:rsidR="00611539" w:rsidRPr="000C5085" w:rsidRDefault="00611539" w:rsidP="000C5085">
      <w:pPr>
        <w:widowControl w:val="0"/>
        <w:spacing w:after="0" w:line="240" w:lineRule="auto"/>
        <w:rPr>
          <w:rFonts w:ascii="Times New Roman" w:eastAsia="Calibri" w:hAnsi="Times New Roman" w:cs="Times New Roman"/>
        </w:rPr>
      </w:pPr>
    </w:p>
    <w:p w14:paraId="7CE8A0E4"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Kepenų funkcijos sutrikimas</w:t>
      </w:r>
    </w:p>
    <w:p w14:paraId="0371448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Atliktas panašus tyrimas, kuriame dalyvavo savanoriai, kuriems buvo įvairaus sunkumo kepenų funkcijos sutrikimas. Nustatyta, kad žmonėms, kuriems buvo vidutinio sunkumo kepenų funkcijos sutrikimas (B klasė pagal</w:t>
      </w:r>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rPr>
        <w:t>Child-Pugh),</w:t>
      </w:r>
      <w:proofErr w:type="spellEnd"/>
      <w:r w:rsidRPr="000C5085">
        <w:rPr>
          <w:rFonts w:ascii="Times New Roman" w:eastAsia="Calibri" w:hAnsi="Times New Roman" w:cs="Times New Roman"/>
        </w:rPr>
        <w:t xml:space="preserve"> vidutinis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AUC buvo 37</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didesnis nei esant normaliai kepenų funkcijai, tačiau liko normos ribose (nustatytose asmenims, kurių kepenų funkcija nebuvo sutrikusi). Tiriant vienkartinės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dozės </w:t>
      </w:r>
      <w:proofErr w:type="spellStart"/>
      <w:r w:rsidRPr="000C5085">
        <w:rPr>
          <w:rFonts w:ascii="Times New Roman" w:eastAsia="Calibri" w:hAnsi="Times New Roman" w:cs="Times New Roman"/>
        </w:rPr>
        <w:t>farmakokinetiką</w:t>
      </w:r>
      <w:proofErr w:type="spellEnd"/>
      <w:r w:rsidRPr="000C5085">
        <w:rPr>
          <w:rFonts w:ascii="Times New Roman" w:eastAsia="Calibri" w:hAnsi="Times New Roman" w:cs="Times New Roman"/>
        </w:rPr>
        <w:t xml:space="preserve"> aštuonių savanorių vyrų, kurie sirgo kepenų ciroze ir kuriems buvo sunkus kepenų funkcijos surikimas (C klasė pagal</w:t>
      </w:r>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rPr>
        <w:t>Child-Pugh</w:t>
      </w:r>
      <w:proofErr w:type="spellEnd"/>
      <w:r w:rsidRPr="000C5085">
        <w:rPr>
          <w:rFonts w:ascii="Times New Roman" w:eastAsia="Calibri" w:hAnsi="Times New Roman" w:cs="Times New Roman"/>
        </w:rPr>
        <w:t xml:space="preserve"> skalę), organizme, preparato AUC ir pusinės eliminacijos laikas buvo atitinkamai 95</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ir 187</w:t>
      </w:r>
      <w:r w:rsidR="00B66BB6">
        <w:rPr>
          <w:rFonts w:ascii="Times New Roman" w:eastAsia="Calibri" w:hAnsi="Times New Roman" w:cs="Times New Roman"/>
        </w:rPr>
        <w:t> </w:t>
      </w:r>
      <w:r w:rsidRPr="000C5085">
        <w:rPr>
          <w:rFonts w:ascii="Times New Roman" w:eastAsia="Calibri" w:hAnsi="Times New Roman" w:cs="Times New Roman"/>
        </w:rPr>
        <w:sym w:font="Symbol" w:char="F025"/>
      </w:r>
      <w:r w:rsidRPr="000C5085">
        <w:rPr>
          <w:rFonts w:ascii="Times New Roman" w:eastAsia="Calibri" w:hAnsi="Times New Roman" w:cs="Times New Roman"/>
        </w:rPr>
        <w:t xml:space="preserve"> didesni negu sveikų savanorių (N=8). Vadinasi, pacientėms, kurių kepenų veikla sutrikusi,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reikia skirti atsargiai ir tik įvertinus galimos rizikos ir naudos santykį.</w:t>
      </w:r>
    </w:p>
    <w:p w14:paraId="2B5E2ED5" w14:textId="77777777" w:rsidR="00611539" w:rsidRPr="000C5085" w:rsidRDefault="00611539" w:rsidP="000C5085">
      <w:pPr>
        <w:widowControl w:val="0"/>
        <w:spacing w:after="0" w:line="240" w:lineRule="auto"/>
        <w:rPr>
          <w:rFonts w:ascii="Times New Roman" w:eastAsia="Calibri" w:hAnsi="Times New Roman" w:cs="Times New Roman"/>
        </w:rPr>
      </w:pPr>
    </w:p>
    <w:p w14:paraId="573761AB"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8" w:name="_Toc129243114"/>
      <w:bookmarkStart w:id="39" w:name="_Toc129243239"/>
      <w:r w:rsidRPr="000C5085">
        <w:rPr>
          <w:rFonts w:ascii="Times New Roman" w:eastAsia="Calibri" w:hAnsi="Times New Roman" w:cs="Times New Roman"/>
          <w:b/>
          <w:kern w:val="28"/>
        </w:rPr>
        <w:t>5.3</w:t>
      </w:r>
      <w:r w:rsidRPr="000C5085">
        <w:rPr>
          <w:rFonts w:ascii="Times New Roman" w:eastAsia="Calibri" w:hAnsi="Times New Roman" w:cs="Times New Roman"/>
          <w:b/>
          <w:kern w:val="28"/>
        </w:rPr>
        <w:tab/>
      </w:r>
      <w:proofErr w:type="spellStart"/>
      <w:r w:rsidRPr="000C5085">
        <w:rPr>
          <w:rFonts w:ascii="Times New Roman" w:eastAsia="Calibri" w:hAnsi="Times New Roman" w:cs="Times New Roman"/>
          <w:b/>
          <w:kern w:val="28"/>
        </w:rPr>
        <w:t>Ikiklinikinių</w:t>
      </w:r>
      <w:proofErr w:type="spellEnd"/>
      <w:r w:rsidRPr="000C5085">
        <w:rPr>
          <w:rFonts w:ascii="Times New Roman" w:eastAsia="Calibri" w:hAnsi="Times New Roman" w:cs="Times New Roman"/>
          <w:b/>
          <w:kern w:val="28"/>
        </w:rPr>
        <w:t xml:space="preserve"> saugumo tyrimų duomenys</w:t>
      </w:r>
      <w:bookmarkEnd w:id="38"/>
      <w:bookmarkEnd w:id="39"/>
    </w:p>
    <w:p w14:paraId="02AAB11F" w14:textId="77777777" w:rsidR="00611539" w:rsidRPr="000C5085" w:rsidRDefault="00611539" w:rsidP="000C5085">
      <w:pPr>
        <w:widowControl w:val="0"/>
        <w:spacing w:after="0" w:line="240" w:lineRule="auto"/>
        <w:rPr>
          <w:rFonts w:ascii="Times New Roman" w:eastAsia="Calibri" w:hAnsi="Times New Roman" w:cs="Times New Roman"/>
        </w:rPr>
      </w:pPr>
    </w:p>
    <w:p w14:paraId="6959972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Atlikus įvairių </w:t>
      </w:r>
      <w:proofErr w:type="spellStart"/>
      <w:r w:rsidRPr="000C5085">
        <w:rPr>
          <w:rFonts w:ascii="Times New Roman" w:eastAsia="Calibri" w:hAnsi="Times New Roman" w:cs="Times New Roman"/>
        </w:rPr>
        <w:t>ikiklinikinių</w:t>
      </w:r>
      <w:proofErr w:type="spellEnd"/>
      <w:r w:rsidRPr="000C5085">
        <w:rPr>
          <w:rFonts w:ascii="Times New Roman" w:eastAsia="Calibri" w:hAnsi="Times New Roman" w:cs="Times New Roman"/>
        </w:rPr>
        <w:t xml:space="preserve"> tyrimų su įprastinėmis gyvūnų rūšimis, duomenų apie sisteminį ar su </w:t>
      </w:r>
      <w:r w:rsidRPr="000C5085">
        <w:rPr>
          <w:rFonts w:ascii="Times New Roman" w:eastAsia="Calibri" w:hAnsi="Times New Roman" w:cs="Times New Roman"/>
        </w:rPr>
        <w:lastRenderedPageBreak/>
        <w:t>organais susijusį toksinį poveikį negauta.</w:t>
      </w:r>
    </w:p>
    <w:p w14:paraId="2D078E8E" w14:textId="77777777" w:rsidR="00611539" w:rsidRPr="000C5085" w:rsidRDefault="00611539" w:rsidP="000C5085">
      <w:pPr>
        <w:widowControl w:val="0"/>
        <w:spacing w:after="0" w:line="240" w:lineRule="auto"/>
        <w:rPr>
          <w:rFonts w:ascii="Times New Roman" w:eastAsia="Calibri" w:hAnsi="Times New Roman" w:cs="Times New Roman"/>
        </w:rPr>
      </w:pPr>
    </w:p>
    <w:p w14:paraId="15F4A59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Graužikams iki 2000 mg/kg kūno svorio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dozė sukėlė nesunkų ūminį toksinį poveikį. Šunims 100 mg/kg kūno svorio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dozė sukėlė vidutinio sunkumo toksinį poveikį.</w:t>
      </w:r>
    </w:p>
    <w:p w14:paraId="6581810C" w14:textId="77777777" w:rsidR="00611539" w:rsidRPr="000C5085" w:rsidRDefault="00611539" w:rsidP="000C5085">
      <w:pPr>
        <w:widowControl w:val="0"/>
        <w:spacing w:after="0" w:line="240" w:lineRule="auto"/>
        <w:rPr>
          <w:rFonts w:ascii="Times New Roman" w:eastAsia="Calibri" w:hAnsi="Times New Roman" w:cs="Times New Roman"/>
        </w:rPr>
      </w:pPr>
    </w:p>
    <w:p w14:paraId="3440987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Kartotinių dozių toksinio poveikio tyrimai, kai žiurkėms ir šunims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buvo skiriama 12 mėn., parodė, kad stebėtus svarbiausius pokyčius galima priskirti farmakologiniam preparato poveikiui. Nepageidaujamo poveikio nesukeliančios dozės riba abiem rūšims buvo 0,3 mg/kg kūno svorio.</w:t>
      </w:r>
    </w:p>
    <w:p w14:paraId="2D266879" w14:textId="77777777" w:rsidR="00611539" w:rsidRPr="000C5085" w:rsidRDefault="00611539" w:rsidP="000C5085">
      <w:pPr>
        <w:widowControl w:val="0"/>
        <w:spacing w:after="0" w:line="240" w:lineRule="auto"/>
        <w:rPr>
          <w:rFonts w:ascii="Times New Roman" w:eastAsia="Calibri" w:hAnsi="Times New Roman" w:cs="Times New Roman"/>
        </w:rPr>
      </w:pPr>
    </w:p>
    <w:p w14:paraId="3582AFD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Žiurkių patelėms geriamasis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sumažino poravimosi ir vaikingumo santykį bei dažnino vaisiaus netekimą iki implantacijos.</w:t>
      </w:r>
    </w:p>
    <w:p w14:paraId="71A19D2E" w14:textId="77777777" w:rsidR="00611539" w:rsidRPr="000C5085" w:rsidRDefault="00611539" w:rsidP="000C5085">
      <w:pPr>
        <w:widowControl w:val="0"/>
        <w:spacing w:after="0" w:line="240" w:lineRule="auto"/>
        <w:rPr>
          <w:rFonts w:ascii="Times New Roman" w:eastAsia="Calibri" w:hAnsi="Times New Roman" w:cs="Times New Roman"/>
        </w:rPr>
      </w:pPr>
    </w:p>
    <w:p w14:paraId="6017DD21"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Mutageninio</w:t>
      </w:r>
      <w:proofErr w:type="spellEnd"/>
      <w:r w:rsidRPr="000C5085">
        <w:rPr>
          <w:rFonts w:ascii="Times New Roman" w:eastAsia="Calibri" w:hAnsi="Times New Roman" w:cs="Times New Roman"/>
        </w:rPr>
        <w:t xml:space="preserve"> poveikio tyrimų (</w:t>
      </w:r>
      <w:proofErr w:type="spellStart"/>
      <w:r w:rsidRPr="000C5085">
        <w:rPr>
          <w:rFonts w:ascii="Times New Roman" w:eastAsia="Calibri" w:hAnsi="Times New Roman" w:cs="Times New Roman"/>
          <w:i/>
        </w:rPr>
        <w:t>in</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vitro</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i/>
        </w:rPr>
        <w:t>in</w:t>
      </w:r>
      <w:proofErr w:type="spellEnd"/>
      <w:r w:rsidRPr="000C5085">
        <w:rPr>
          <w:rFonts w:ascii="Times New Roman" w:eastAsia="Calibri" w:hAnsi="Times New Roman" w:cs="Times New Roman"/>
          <w:i/>
        </w:rPr>
        <w:t xml:space="preserve"> </w:t>
      </w:r>
      <w:proofErr w:type="spellStart"/>
      <w:r w:rsidRPr="000C5085">
        <w:rPr>
          <w:rFonts w:ascii="Times New Roman" w:eastAsia="Calibri" w:hAnsi="Times New Roman" w:cs="Times New Roman"/>
          <w:i/>
        </w:rPr>
        <w:t>vivo</w:t>
      </w:r>
      <w:proofErr w:type="spellEnd"/>
      <w:r w:rsidRPr="000C5085">
        <w:rPr>
          <w:rFonts w:ascii="Times New Roman" w:eastAsia="Calibri" w:hAnsi="Times New Roman" w:cs="Times New Roman"/>
        </w:rPr>
        <w:t xml:space="preserve">) duomenimis,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genotoksinio</w:t>
      </w:r>
      <w:proofErr w:type="spellEnd"/>
      <w:r w:rsidRPr="000C5085">
        <w:rPr>
          <w:rFonts w:ascii="Times New Roman" w:eastAsia="Calibri" w:hAnsi="Times New Roman" w:cs="Times New Roman"/>
        </w:rPr>
        <w:t xml:space="preserve"> poveikio nesukelia.</w:t>
      </w:r>
    </w:p>
    <w:p w14:paraId="0E8B18BA" w14:textId="77777777" w:rsidR="00611539" w:rsidRPr="000C5085" w:rsidRDefault="00611539" w:rsidP="000C5085">
      <w:pPr>
        <w:widowControl w:val="0"/>
        <w:spacing w:after="0" w:line="240" w:lineRule="auto"/>
        <w:rPr>
          <w:rFonts w:ascii="Times New Roman" w:eastAsia="Calibri" w:hAnsi="Times New Roman" w:cs="Times New Roman"/>
        </w:rPr>
      </w:pPr>
    </w:p>
    <w:p w14:paraId="094053F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104 savaičių trukmės kancerogeninio poveikio tyrimo metu žiurkių patinams su vaistiniu preparatu susijusių navikų neatsirado. Žiurkių patelėms bet kokia tirta dozė sumažino gerybinių ar piktybinių pieno liaukų navikų atsiradimo dažnį.</w:t>
      </w:r>
    </w:p>
    <w:p w14:paraId="03E1EDA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104 savaičių trukmės kancerogeninio poveikio tyrimo su pelėmis metu jokių su vaistiniu preparatu susijusių navikų patinams nebuvo pastebėta. Tiriant visas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dozes su pelių patelėms buvo pastebėtas nuo dozės priklausomas gerybinių kiaušidžių </w:t>
      </w:r>
      <w:proofErr w:type="spellStart"/>
      <w:r w:rsidRPr="000C5085">
        <w:rPr>
          <w:rFonts w:ascii="Times New Roman" w:eastAsia="Calibri" w:hAnsi="Times New Roman" w:cs="Times New Roman"/>
        </w:rPr>
        <w:t>granuliozinio</w:t>
      </w:r>
      <w:proofErr w:type="spellEnd"/>
      <w:r w:rsidRPr="000C5085">
        <w:rPr>
          <w:rFonts w:ascii="Times New Roman" w:eastAsia="Calibri" w:hAnsi="Times New Roman" w:cs="Times New Roman"/>
        </w:rPr>
        <w:t xml:space="preserve"> apvalkalo ląstelių navikų atsiradimo dažnio padidėjimas. Manoma, kad šių navikų išsivystymas yra susijęs su farmakologiniu estrogenų sintezės slopinimu ir gali pasireikšti dėl LH kiekio padidėjimo, kurį sukelia cirkuliuojančių estrogenų kiekio sumažėjimo.</w:t>
      </w:r>
    </w:p>
    <w:p w14:paraId="0D668E4A" w14:textId="77777777" w:rsidR="00611539" w:rsidRPr="000C5085" w:rsidRDefault="00611539" w:rsidP="000C5085">
      <w:pPr>
        <w:widowControl w:val="0"/>
        <w:spacing w:after="0" w:line="240" w:lineRule="auto"/>
        <w:rPr>
          <w:rFonts w:ascii="Times New Roman" w:eastAsia="Calibri" w:hAnsi="Times New Roman" w:cs="Times New Roman"/>
        </w:rPr>
      </w:pPr>
    </w:p>
    <w:p w14:paraId="326D5AF7" w14:textId="780E154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Kliniškai reikšmingos geriamojo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 xml:space="preserve"> dozės vaikingoms žiurkių ir triušių patelėms sukėlė </w:t>
      </w:r>
      <w:proofErr w:type="spellStart"/>
      <w:r w:rsidRPr="000C5085">
        <w:rPr>
          <w:rFonts w:ascii="Times New Roman" w:eastAsia="Calibri" w:hAnsi="Times New Roman" w:cs="Times New Roman"/>
        </w:rPr>
        <w:t>embriotoksinį</w:t>
      </w:r>
      <w:proofErr w:type="spellEnd"/>
      <w:r w:rsidRPr="000C5085">
        <w:rPr>
          <w:rFonts w:ascii="Times New Roman" w:eastAsia="Calibri" w:hAnsi="Times New Roman" w:cs="Times New Roman"/>
        </w:rPr>
        <w:t xml:space="preserve"> ir </w:t>
      </w:r>
      <w:proofErr w:type="spellStart"/>
      <w:r w:rsidRPr="000C5085">
        <w:rPr>
          <w:rFonts w:ascii="Times New Roman" w:eastAsia="Calibri" w:hAnsi="Times New Roman" w:cs="Times New Roman"/>
        </w:rPr>
        <w:t>fetotoksinį</w:t>
      </w:r>
      <w:proofErr w:type="spellEnd"/>
      <w:r w:rsidRPr="000C5085">
        <w:rPr>
          <w:rFonts w:ascii="Times New Roman" w:eastAsia="Calibri" w:hAnsi="Times New Roman" w:cs="Times New Roman"/>
        </w:rPr>
        <w:t xml:space="preserve"> poveikį. Gyviems atsivestiems žiurkių jaunikliams dažniau atsirado sklaidos defektų, įskaitant kupolo formos galvą ir kaklinių bei centrinių slankstelių suaugimą. Triušiams sklaidos defektų nepadažnėjo. Nežinoma, ar tai buvo netiesioginis farmakologinio poveikio (estrogenų </w:t>
      </w:r>
      <w:proofErr w:type="spellStart"/>
      <w:r w:rsidRPr="000C5085">
        <w:rPr>
          <w:rFonts w:ascii="Times New Roman" w:eastAsia="Calibri" w:hAnsi="Times New Roman" w:cs="Times New Roman"/>
        </w:rPr>
        <w:t>biosintezės</w:t>
      </w:r>
      <w:proofErr w:type="spellEnd"/>
      <w:r w:rsidRPr="000C5085">
        <w:rPr>
          <w:rFonts w:ascii="Times New Roman" w:eastAsia="Calibri" w:hAnsi="Times New Roman" w:cs="Times New Roman"/>
        </w:rPr>
        <w:t xml:space="preserve"> slopinimo) rezultatas, ar tiesioginis vaistinio preparato poveikis (žr. 4.3 ir 4.6</w:t>
      </w:r>
      <w:r w:rsidR="00B66BB6">
        <w:rPr>
          <w:rFonts w:ascii="Times New Roman" w:eastAsia="Calibri" w:hAnsi="Times New Roman" w:cs="Times New Roman"/>
        </w:rPr>
        <w:t> </w:t>
      </w:r>
      <w:r w:rsidRPr="000C5085">
        <w:rPr>
          <w:rFonts w:ascii="Times New Roman" w:eastAsia="Calibri" w:hAnsi="Times New Roman" w:cs="Times New Roman"/>
        </w:rPr>
        <w:t>skyrius).</w:t>
      </w:r>
    </w:p>
    <w:p w14:paraId="28478468" w14:textId="77777777" w:rsidR="00611539" w:rsidRPr="000C5085" w:rsidRDefault="00611539" w:rsidP="000C5085">
      <w:pPr>
        <w:widowControl w:val="0"/>
        <w:spacing w:after="0" w:line="240" w:lineRule="auto"/>
        <w:rPr>
          <w:rFonts w:ascii="Times New Roman" w:eastAsia="Calibri" w:hAnsi="Times New Roman" w:cs="Times New Roman"/>
        </w:rPr>
      </w:pPr>
    </w:p>
    <w:p w14:paraId="5AAF58FB"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Ikilinikinių</w:t>
      </w:r>
      <w:proofErr w:type="spellEnd"/>
      <w:r w:rsidRPr="000C5085">
        <w:rPr>
          <w:rFonts w:ascii="Times New Roman" w:eastAsia="Calibri" w:hAnsi="Times New Roman" w:cs="Times New Roman"/>
        </w:rPr>
        <w:t xml:space="preserve"> tyrimų metu nustatytas poveikis atitiko žinomą farmakologinį poveikį, ir tai buvo vieninteliai žmonėms aktualūs su saugumu susiję duomenys, gauti tyrimų su gyvūnais metu.</w:t>
      </w:r>
    </w:p>
    <w:p w14:paraId="13F56ECD" w14:textId="77777777" w:rsidR="00611539" w:rsidRPr="000C5085" w:rsidRDefault="00611539" w:rsidP="000C5085">
      <w:pPr>
        <w:widowControl w:val="0"/>
        <w:spacing w:after="0" w:line="240" w:lineRule="auto"/>
        <w:rPr>
          <w:rFonts w:ascii="Times New Roman" w:eastAsia="Calibri" w:hAnsi="Times New Roman" w:cs="Times New Roman"/>
        </w:rPr>
      </w:pPr>
    </w:p>
    <w:p w14:paraId="49A86B3D" w14:textId="77777777" w:rsidR="00611539" w:rsidRPr="000C5085" w:rsidRDefault="00611539" w:rsidP="000C5085">
      <w:pPr>
        <w:widowControl w:val="0"/>
        <w:spacing w:after="0" w:line="240" w:lineRule="auto"/>
        <w:rPr>
          <w:rFonts w:ascii="Times New Roman" w:eastAsia="Calibri" w:hAnsi="Times New Roman" w:cs="Times New Roman"/>
        </w:rPr>
      </w:pPr>
    </w:p>
    <w:p w14:paraId="5D26E8E9"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40" w:name="_Toc129243115"/>
      <w:bookmarkStart w:id="41" w:name="_Toc129243240"/>
      <w:r w:rsidRPr="000C5085">
        <w:rPr>
          <w:rFonts w:ascii="Times New Roman" w:eastAsia="Calibri" w:hAnsi="Times New Roman" w:cs="Times New Roman"/>
          <w:b/>
        </w:rPr>
        <w:t>6.</w:t>
      </w:r>
      <w:r w:rsidRPr="000C5085">
        <w:rPr>
          <w:rFonts w:ascii="Times New Roman" w:eastAsia="Calibri" w:hAnsi="Times New Roman" w:cs="Times New Roman"/>
          <w:b/>
        </w:rPr>
        <w:tab/>
        <w:t>FARMACINĖ INFORMACIJA</w:t>
      </w:r>
      <w:bookmarkEnd w:id="40"/>
      <w:bookmarkEnd w:id="41"/>
    </w:p>
    <w:p w14:paraId="38C2261C" w14:textId="77777777" w:rsidR="00611539" w:rsidRPr="000C5085" w:rsidRDefault="00611539" w:rsidP="000C5085">
      <w:pPr>
        <w:widowControl w:val="0"/>
        <w:spacing w:after="0" w:line="240" w:lineRule="auto"/>
        <w:rPr>
          <w:rFonts w:ascii="Times New Roman" w:eastAsia="Calibri" w:hAnsi="Times New Roman" w:cs="Times New Roman"/>
        </w:rPr>
      </w:pPr>
    </w:p>
    <w:p w14:paraId="0B3CD67E"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2" w:name="_Toc129243116"/>
      <w:bookmarkStart w:id="43" w:name="_Toc129243241"/>
      <w:r w:rsidRPr="000C5085">
        <w:rPr>
          <w:rFonts w:ascii="Times New Roman" w:eastAsia="Calibri" w:hAnsi="Times New Roman" w:cs="Times New Roman"/>
          <w:b/>
          <w:kern w:val="28"/>
        </w:rPr>
        <w:t>6.1</w:t>
      </w:r>
      <w:r w:rsidRPr="000C5085">
        <w:rPr>
          <w:rFonts w:ascii="Times New Roman" w:eastAsia="Calibri" w:hAnsi="Times New Roman" w:cs="Times New Roman"/>
          <w:b/>
          <w:kern w:val="28"/>
        </w:rPr>
        <w:tab/>
        <w:t>Pagalbinių medžiagų sąrašas</w:t>
      </w:r>
      <w:bookmarkEnd w:id="42"/>
      <w:bookmarkEnd w:id="43"/>
    </w:p>
    <w:p w14:paraId="37FD5CD7" w14:textId="77777777" w:rsidR="00611539" w:rsidRPr="000C5085" w:rsidRDefault="00611539" w:rsidP="000C5085">
      <w:pPr>
        <w:widowControl w:val="0"/>
        <w:spacing w:after="0" w:line="240" w:lineRule="auto"/>
        <w:rPr>
          <w:rFonts w:ascii="Times New Roman" w:eastAsia="Calibri" w:hAnsi="Times New Roman" w:cs="Times New Roman"/>
        </w:rPr>
      </w:pPr>
    </w:p>
    <w:p w14:paraId="0DDF7F5F"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Tabletės šerdis</w:t>
      </w:r>
    </w:p>
    <w:p w14:paraId="52261C2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Laktozė </w:t>
      </w:r>
      <w:proofErr w:type="spellStart"/>
      <w:r w:rsidRPr="000C5085">
        <w:rPr>
          <w:rFonts w:ascii="Times New Roman" w:eastAsia="Calibri" w:hAnsi="Times New Roman" w:cs="Times New Roman"/>
        </w:rPr>
        <w:t>monohidratas</w:t>
      </w:r>
      <w:proofErr w:type="spellEnd"/>
    </w:p>
    <w:p w14:paraId="1B11F5C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Kukurūzų krakmolas</w:t>
      </w:r>
    </w:p>
    <w:p w14:paraId="1B0FB52F"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Hipromeliozė</w:t>
      </w:r>
      <w:proofErr w:type="spellEnd"/>
      <w:r w:rsidRPr="000C5085">
        <w:rPr>
          <w:rFonts w:ascii="Times New Roman" w:eastAsia="Calibri" w:hAnsi="Times New Roman" w:cs="Times New Roman"/>
        </w:rPr>
        <w:t xml:space="preserve"> 2910</w:t>
      </w:r>
    </w:p>
    <w:p w14:paraId="44A67B47"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Mikrokristalinė</w:t>
      </w:r>
      <w:proofErr w:type="spellEnd"/>
      <w:r w:rsidRPr="000C5085">
        <w:rPr>
          <w:rFonts w:ascii="Times New Roman" w:eastAsia="Calibri" w:hAnsi="Times New Roman" w:cs="Times New Roman"/>
        </w:rPr>
        <w:t xml:space="preserve"> celiuliozė</w:t>
      </w:r>
    </w:p>
    <w:p w14:paraId="41D43D4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Karboksimetilkrakmolo</w:t>
      </w:r>
      <w:proofErr w:type="spellEnd"/>
      <w:r w:rsidRPr="000C5085">
        <w:rPr>
          <w:rFonts w:ascii="Times New Roman" w:eastAsia="Calibri" w:hAnsi="Times New Roman" w:cs="Times New Roman"/>
        </w:rPr>
        <w:t xml:space="preserve"> A natrio druska</w:t>
      </w:r>
    </w:p>
    <w:p w14:paraId="063F37D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Koloidinis bevandenis silicio dioksidas</w:t>
      </w:r>
    </w:p>
    <w:p w14:paraId="424D05C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Magnio </w:t>
      </w:r>
      <w:proofErr w:type="spellStart"/>
      <w:r w:rsidRPr="000C5085">
        <w:rPr>
          <w:rFonts w:ascii="Times New Roman" w:eastAsia="Calibri" w:hAnsi="Times New Roman" w:cs="Times New Roman"/>
        </w:rPr>
        <w:t>stearatas</w:t>
      </w:r>
      <w:proofErr w:type="spellEnd"/>
    </w:p>
    <w:p w14:paraId="1FE437C8" w14:textId="77777777" w:rsidR="00611539" w:rsidRPr="000C5085" w:rsidRDefault="00611539" w:rsidP="000C5085">
      <w:pPr>
        <w:widowControl w:val="0"/>
        <w:spacing w:after="0" w:line="240" w:lineRule="auto"/>
        <w:rPr>
          <w:rFonts w:ascii="Times New Roman" w:eastAsia="Calibri" w:hAnsi="Times New Roman" w:cs="Times New Roman"/>
        </w:rPr>
      </w:pPr>
    </w:p>
    <w:p w14:paraId="113CB0E0" w14:textId="77777777" w:rsidR="00611539" w:rsidRPr="000C5085" w:rsidRDefault="00611539" w:rsidP="000C5085">
      <w:pPr>
        <w:widowControl w:val="0"/>
        <w:spacing w:after="0" w:line="240" w:lineRule="auto"/>
        <w:rPr>
          <w:rFonts w:ascii="Times New Roman" w:eastAsia="Calibri" w:hAnsi="Times New Roman" w:cs="Times New Roman"/>
          <w:i/>
        </w:rPr>
      </w:pPr>
      <w:r w:rsidRPr="000C5085">
        <w:rPr>
          <w:rFonts w:ascii="Times New Roman" w:eastAsia="Calibri" w:hAnsi="Times New Roman" w:cs="Times New Roman"/>
          <w:i/>
        </w:rPr>
        <w:t>Tabletės plėvelė</w:t>
      </w:r>
    </w:p>
    <w:p w14:paraId="605A4436"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Hipromeliozė</w:t>
      </w:r>
      <w:proofErr w:type="spellEnd"/>
      <w:r w:rsidRPr="000C5085">
        <w:rPr>
          <w:rFonts w:ascii="Times New Roman" w:eastAsia="Calibri" w:hAnsi="Times New Roman" w:cs="Times New Roman"/>
        </w:rPr>
        <w:t xml:space="preserve"> 6 </w:t>
      </w:r>
      <w:proofErr w:type="spellStart"/>
      <w:r w:rsidRPr="000C5085">
        <w:rPr>
          <w:rFonts w:ascii="Times New Roman" w:eastAsia="Calibri" w:hAnsi="Times New Roman" w:cs="Times New Roman"/>
        </w:rPr>
        <w:t>cp</w:t>
      </w:r>
      <w:proofErr w:type="spellEnd"/>
    </w:p>
    <w:p w14:paraId="01F7A65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Titano dioksidas (E171)</w:t>
      </w:r>
    </w:p>
    <w:p w14:paraId="14B5C9A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Geltonasis geležies oksidas (E172)</w:t>
      </w:r>
    </w:p>
    <w:p w14:paraId="1D04CD6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Makrogolis</w:t>
      </w:r>
      <w:proofErr w:type="spellEnd"/>
      <w:r w:rsidRPr="000C5085">
        <w:rPr>
          <w:rFonts w:ascii="Times New Roman" w:eastAsia="Calibri" w:hAnsi="Times New Roman" w:cs="Times New Roman"/>
        </w:rPr>
        <w:t xml:space="preserve"> 400</w:t>
      </w:r>
    </w:p>
    <w:p w14:paraId="5C49B85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Talkas</w:t>
      </w:r>
    </w:p>
    <w:p w14:paraId="133106F2" w14:textId="77777777" w:rsidR="00611539" w:rsidRPr="000C5085" w:rsidRDefault="00611539" w:rsidP="000C5085">
      <w:pPr>
        <w:widowControl w:val="0"/>
        <w:spacing w:after="0" w:line="240" w:lineRule="auto"/>
        <w:rPr>
          <w:rFonts w:ascii="Times New Roman" w:eastAsia="Calibri" w:hAnsi="Times New Roman" w:cs="Times New Roman"/>
        </w:rPr>
      </w:pPr>
    </w:p>
    <w:p w14:paraId="5AE42DA1"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4" w:name="_Toc129243117"/>
      <w:bookmarkStart w:id="45" w:name="_Toc129243242"/>
      <w:r w:rsidRPr="000C5085">
        <w:rPr>
          <w:rFonts w:ascii="Times New Roman" w:eastAsia="Calibri" w:hAnsi="Times New Roman" w:cs="Times New Roman"/>
          <w:b/>
          <w:kern w:val="28"/>
        </w:rPr>
        <w:lastRenderedPageBreak/>
        <w:t>6.2</w:t>
      </w:r>
      <w:r w:rsidRPr="000C5085">
        <w:rPr>
          <w:rFonts w:ascii="Times New Roman" w:eastAsia="Calibri" w:hAnsi="Times New Roman" w:cs="Times New Roman"/>
          <w:b/>
          <w:kern w:val="28"/>
        </w:rPr>
        <w:tab/>
        <w:t>Nesuderinamumas</w:t>
      </w:r>
      <w:bookmarkEnd w:id="44"/>
      <w:bookmarkEnd w:id="45"/>
    </w:p>
    <w:p w14:paraId="7EB770C5" w14:textId="77777777" w:rsidR="00611539" w:rsidRPr="000C5085" w:rsidRDefault="00611539" w:rsidP="000C5085">
      <w:pPr>
        <w:widowControl w:val="0"/>
        <w:spacing w:after="0" w:line="240" w:lineRule="auto"/>
        <w:rPr>
          <w:rFonts w:ascii="Times New Roman" w:eastAsia="Calibri" w:hAnsi="Times New Roman" w:cs="Times New Roman"/>
        </w:rPr>
      </w:pPr>
    </w:p>
    <w:p w14:paraId="5E6E3C5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Duomenys nebūtini.</w:t>
      </w:r>
    </w:p>
    <w:p w14:paraId="460E8CEF" w14:textId="77777777" w:rsidR="00611539" w:rsidRPr="000C5085" w:rsidRDefault="00611539" w:rsidP="000C5085">
      <w:pPr>
        <w:widowControl w:val="0"/>
        <w:spacing w:after="0" w:line="240" w:lineRule="auto"/>
        <w:rPr>
          <w:rFonts w:ascii="Times New Roman" w:eastAsia="Calibri" w:hAnsi="Times New Roman" w:cs="Times New Roman"/>
        </w:rPr>
      </w:pPr>
    </w:p>
    <w:p w14:paraId="37417BCD"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6" w:name="_Toc129243118"/>
      <w:bookmarkStart w:id="47" w:name="_Toc129243243"/>
      <w:r w:rsidRPr="000C5085">
        <w:rPr>
          <w:rFonts w:ascii="Times New Roman" w:eastAsia="Calibri" w:hAnsi="Times New Roman" w:cs="Times New Roman"/>
          <w:b/>
          <w:kern w:val="28"/>
        </w:rPr>
        <w:t>6.3</w:t>
      </w:r>
      <w:r w:rsidRPr="000C5085">
        <w:rPr>
          <w:rFonts w:ascii="Times New Roman" w:eastAsia="Calibri" w:hAnsi="Times New Roman" w:cs="Times New Roman"/>
          <w:b/>
          <w:kern w:val="28"/>
        </w:rPr>
        <w:tab/>
        <w:t>Tinkamumo laikas</w:t>
      </w:r>
      <w:bookmarkEnd w:id="46"/>
      <w:bookmarkEnd w:id="47"/>
    </w:p>
    <w:p w14:paraId="66372C2E" w14:textId="77777777" w:rsidR="00611539" w:rsidRPr="000C5085" w:rsidRDefault="00611539" w:rsidP="000C5085">
      <w:pPr>
        <w:widowControl w:val="0"/>
        <w:spacing w:after="0" w:line="240" w:lineRule="auto"/>
        <w:rPr>
          <w:rFonts w:ascii="Times New Roman" w:eastAsia="Calibri" w:hAnsi="Times New Roman" w:cs="Times New Roman"/>
        </w:rPr>
      </w:pPr>
    </w:p>
    <w:p w14:paraId="6DA6D03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3 metai</w:t>
      </w:r>
    </w:p>
    <w:p w14:paraId="338E3F85" w14:textId="77777777" w:rsidR="00611539" w:rsidRPr="000C5085" w:rsidRDefault="00611539" w:rsidP="000C5085">
      <w:pPr>
        <w:widowControl w:val="0"/>
        <w:spacing w:after="0" w:line="240" w:lineRule="auto"/>
        <w:rPr>
          <w:rFonts w:ascii="Times New Roman" w:eastAsia="Calibri" w:hAnsi="Times New Roman" w:cs="Times New Roman"/>
        </w:rPr>
      </w:pPr>
    </w:p>
    <w:p w14:paraId="7327A90E"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8" w:name="_Toc129243119"/>
      <w:bookmarkStart w:id="49" w:name="_Toc129243244"/>
      <w:r w:rsidRPr="000C5085">
        <w:rPr>
          <w:rFonts w:ascii="Times New Roman" w:eastAsia="Calibri" w:hAnsi="Times New Roman" w:cs="Times New Roman"/>
          <w:b/>
          <w:kern w:val="28"/>
        </w:rPr>
        <w:t>6.4</w:t>
      </w:r>
      <w:r w:rsidRPr="000C5085">
        <w:rPr>
          <w:rFonts w:ascii="Times New Roman" w:eastAsia="Calibri" w:hAnsi="Times New Roman" w:cs="Times New Roman"/>
          <w:b/>
          <w:kern w:val="28"/>
        </w:rPr>
        <w:tab/>
        <w:t>Specialios laikymo sąlygos</w:t>
      </w:r>
      <w:bookmarkEnd w:id="48"/>
      <w:bookmarkEnd w:id="49"/>
    </w:p>
    <w:p w14:paraId="538D72D3" w14:textId="77777777" w:rsidR="00611539" w:rsidRPr="000C5085" w:rsidRDefault="00611539" w:rsidP="000C5085">
      <w:pPr>
        <w:widowControl w:val="0"/>
        <w:spacing w:after="0" w:line="240" w:lineRule="auto"/>
        <w:rPr>
          <w:rFonts w:ascii="Times New Roman" w:eastAsia="Calibri" w:hAnsi="Times New Roman" w:cs="Times New Roman"/>
        </w:rPr>
      </w:pPr>
    </w:p>
    <w:p w14:paraId="747AE27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Šiam vaistiniam preparatui specialių laikymo sąlygų nereikia.</w:t>
      </w:r>
    </w:p>
    <w:p w14:paraId="294FCD72" w14:textId="77777777" w:rsidR="00611539" w:rsidRPr="000C5085" w:rsidRDefault="00611539" w:rsidP="000C5085">
      <w:pPr>
        <w:widowControl w:val="0"/>
        <w:spacing w:after="0" w:line="240" w:lineRule="auto"/>
        <w:rPr>
          <w:rFonts w:ascii="Times New Roman" w:eastAsia="Calibri" w:hAnsi="Times New Roman" w:cs="Times New Roman"/>
        </w:rPr>
      </w:pPr>
    </w:p>
    <w:p w14:paraId="758967F3"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50" w:name="_Toc129243120"/>
      <w:bookmarkStart w:id="51" w:name="_Toc129243245"/>
      <w:r w:rsidRPr="000C5085">
        <w:rPr>
          <w:rFonts w:ascii="Times New Roman" w:eastAsia="Calibri" w:hAnsi="Times New Roman" w:cs="Times New Roman"/>
          <w:b/>
          <w:kern w:val="28"/>
        </w:rPr>
        <w:t>6.5</w:t>
      </w:r>
      <w:r w:rsidRPr="000C5085">
        <w:rPr>
          <w:rFonts w:ascii="Times New Roman" w:eastAsia="Calibri" w:hAnsi="Times New Roman" w:cs="Times New Roman"/>
          <w:b/>
          <w:kern w:val="28"/>
        </w:rPr>
        <w:tab/>
      </w:r>
      <w:proofErr w:type="spellStart"/>
      <w:r w:rsidRPr="000C5085">
        <w:rPr>
          <w:rFonts w:ascii="Times New Roman" w:eastAsia="Calibri" w:hAnsi="Times New Roman" w:cs="Times New Roman"/>
          <w:b/>
          <w:kern w:val="28"/>
        </w:rPr>
        <w:t>Talpyklės</w:t>
      </w:r>
      <w:proofErr w:type="spellEnd"/>
      <w:r w:rsidRPr="000C5085">
        <w:rPr>
          <w:rFonts w:ascii="Times New Roman" w:eastAsia="Calibri" w:hAnsi="Times New Roman" w:cs="Times New Roman"/>
          <w:b/>
          <w:kern w:val="28"/>
        </w:rPr>
        <w:t xml:space="preserve"> pobūdis ir jos turinys</w:t>
      </w:r>
      <w:bookmarkEnd w:id="50"/>
      <w:bookmarkEnd w:id="51"/>
    </w:p>
    <w:p w14:paraId="3365D7CE" w14:textId="77777777" w:rsidR="00611539" w:rsidRPr="000C5085" w:rsidRDefault="00611539" w:rsidP="000C5085">
      <w:pPr>
        <w:widowControl w:val="0"/>
        <w:spacing w:after="0" w:line="240" w:lineRule="auto"/>
        <w:rPr>
          <w:rFonts w:ascii="Times New Roman" w:eastAsia="Calibri" w:hAnsi="Times New Roman" w:cs="Times New Roman"/>
        </w:rPr>
      </w:pPr>
    </w:p>
    <w:p w14:paraId="6514BD7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Pakuotės dydis: 10, 14, 28, 30, 50, 60, 84, 90, 98 arba 100 plėvele dengtų tablečių lizdinėmis plokštelėmis (PVC/</w:t>
      </w:r>
      <w:proofErr w:type="spellStart"/>
      <w:r w:rsidRPr="000C5085">
        <w:rPr>
          <w:rFonts w:ascii="Times New Roman" w:eastAsia="Calibri" w:hAnsi="Times New Roman" w:cs="Times New Roman"/>
        </w:rPr>
        <w:t>PVdC</w:t>
      </w:r>
      <w:proofErr w:type="spellEnd"/>
      <w:r w:rsidRPr="000C5085">
        <w:rPr>
          <w:rFonts w:ascii="Times New Roman" w:eastAsia="Calibri" w:hAnsi="Times New Roman" w:cs="Times New Roman"/>
        </w:rPr>
        <w:t>//</w:t>
      </w:r>
      <w:proofErr w:type="spellStart"/>
      <w:r w:rsidRPr="000C5085">
        <w:rPr>
          <w:rFonts w:ascii="Times New Roman" w:eastAsia="Calibri" w:hAnsi="Times New Roman" w:cs="Times New Roman"/>
        </w:rPr>
        <w:t>Al</w:t>
      </w:r>
      <w:proofErr w:type="spellEnd"/>
      <w:r w:rsidRPr="000C5085">
        <w:rPr>
          <w:rFonts w:ascii="Times New Roman" w:eastAsia="Calibri" w:hAnsi="Times New Roman" w:cs="Times New Roman"/>
        </w:rPr>
        <w:t>).</w:t>
      </w:r>
    </w:p>
    <w:p w14:paraId="67B68BCC" w14:textId="77777777" w:rsidR="00611539" w:rsidRPr="000C5085" w:rsidRDefault="00611539" w:rsidP="000C5085">
      <w:pPr>
        <w:widowControl w:val="0"/>
        <w:spacing w:after="0" w:line="240" w:lineRule="auto"/>
        <w:rPr>
          <w:rFonts w:ascii="Times New Roman" w:eastAsia="Calibri" w:hAnsi="Times New Roman" w:cs="Times New Roman"/>
        </w:rPr>
      </w:pPr>
    </w:p>
    <w:p w14:paraId="611E0911"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Gali būti tiekiamos ne visų dydžių pakuotės.</w:t>
      </w:r>
    </w:p>
    <w:p w14:paraId="584EC9F6" w14:textId="77777777" w:rsidR="00611539" w:rsidRPr="000C5085" w:rsidRDefault="00611539" w:rsidP="000C5085">
      <w:pPr>
        <w:widowControl w:val="0"/>
        <w:spacing w:after="0" w:line="240" w:lineRule="auto"/>
        <w:rPr>
          <w:rFonts w:ascii="Times New Roman" w:eastAsia="Calibri" w:hAnsi="Times New Roman" w:cs="Times New Roman"/>
        </w:rPr>
      </w:pPr>
    </w:p>
    <w:p w14:paraId="61A6B4B6" w14:textId="77777777" w:rsidR="00611539" w:rsidRPr="000C5085" w:rsidRDefault="00611539" w:rsidP="000C5085">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52" w:name="_Toc129243121"/>
      <w:bookmarkStart w:id="53" w:name="_Toc129243246"/>
      <w:r w:rsidRPr="000C5085">
        <w:rPr>
          <w:rFonts w:ascii="Times New Roman" w:eastAsia="Calibri" w:hAnsi="Times New Roman" w:cs="Times New Roman"/>
          <w:b/>
          <w:kern w:val="28"/>
        </w:rPr>
        <w:t>6.6</w:t>
      </w:r>
      <w:r w:rsidRPr="000C5085">
        <w:rPr>
          <w:rFonts w:ascii="Times New Roman" w:eastAsia="Calibri" w:hAnsi="Times New Roman" w:cs="Times New Roman"/>
          <w:b/>
          <w:kern w:val="28"/>
        </w:rPr>
        <w:tab/>
        <w:t>Specialūs reikalavimai atliekoms tvarkyti ir vaistiniam preparatui ruošti</w:t>
      </w:r>
      <w:bookmarkEnd w:id="52"/>
      <w:bookmarkEnd w:id="53"/>
    </w:p>
    <w:p w14:paraId="536F9BDC" w14:textId="77777777" w:rsidR="00611539" w:rsidRPr="000C5085" w:rsidRDefault="00611539" w:rsidP="000C5085">
      <w:pPr>
        <w:widowControl w:val="0"/>
        <w:spacing w:after="0" w:line="240" w:lineRule="auto"/>
        <w:rPr>
          <w:rFonts w:ascii="Times New Roman" w:eastAsia="Calibri" w:hAnsi="Times New Roman" w:cs="Times New Roman"/>
        </w:rPr>
      </w:pPr>
    </w:p>
    <w:p w14:paraId="7BBB166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Nesuvartotą vaistinį preparatą ar atliekas reikia tvarkyti laikantis vietinių reikalavimų.</w:t>
      </w:r>
    </w:p>
    <w:p w14:paraId="5357FC5C" w14:textId="77777777" w:rsidR="00611539" w:rsidRPr="000C5085" w:rsidRDefault="00611539" w:rsidP="000C5085">
      <w:pPr>
        <w:widowControl w:val="0"/>
        <w:spacing w:after="0" w:line="240" w:lineRule="auto"/>
        <w:rPr>
          <w:rFonts w:ascii="Times New Roman" w:eastAsia="Calibri" w:hAnsi="Times New Roman" w:cs="Times New Roman"/>
        </w:rPr>
      </w:pPr>
    </w:p>
    <w:p w14:paraId="71792811" w14:textId="77777777" w:rsidR="00611539" w:rsidRPr="000C5085" w:rsidRDefault="00611539" w:rsidP="000C5085">
      <w:pPr>
        <w:widowControl w:val="0"/>
        <w:spacing w:after="0" w:line="240" w:lineRule="auto"/>
        <w:rPr>
          <w:rFonts w:ascii="Times New Roman" w:eastAsia="Calibri" w:hAnsi="Times New Roman" w:cs="Times New Roman"/>
        </w:rPr>
      </w:pPr>
    </w:p>
    <w:p w14:paraId="5002FB6D"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54" w:name="_Toc129243122"/>
      <w:bookmarkStart w:id="55" w:name="_Toc129243247"/>
      <w:r w:rsidRPr="000C5085">
        <w:rPr>
          <w:rFonts w:ascii="Times New Roman" w:eastAsia="Calibri" w:hAnsi="Times New Roman" w:cs="Times New Roman"/>
          <w:b/>
        </w:rPr>
        <w:t>7.</w:t>
      </w:r>
      <w:r w:rsidRPr="000C5085">
        <w:rPr>
          <w:rFonts w:ascii="Times New Roman" w:eastAsia="Calibri" w:hAnsi="Times New Roman" w:cs="Times New Roman"/>
          <w:b/>
        </w:rPr>
        <w:tab/>
        <w:t>REGISTRUOTOJAS</w:t>
      </w:r>
    </w:p>
    <w:bookmarkEnd w:id="54"/>
    <w:bookmarkEnd w:id="55"/>
    <w:p w14:paraId="1D746A21" w14:textId="77777777" w:rsidR="00611539" w:rsidRPr="000C5085" w:rsidRDefault="00611539" w:rsidP="000C5085">
      <w:pPr>
        <w:widowControl w:val="0"/>
        <w:spacing w:after="0" w:line="240" w:lineRule="auto"/>
        <w:rPr>
          <w:rFonts w:ascii="Times New Roman" w:eastAsia="Calibri" w:hAnsi="Times New Roman" w:cs="Times New Roman"/>
        </w:rPr>
      </w:pPr>
    </w:p>
    <w:p w14:paraId="16182C3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KRKA, </w:t>
      </w:r>
      <w:proofErr w:type="spellStart"/>
      <w:r w:rsidRPr="000C5085">
        <w:rPr>
          <w:rFonts w:ascii="Times New Roman" w:eastAsia="Calibri" w:hAnsi="Times New Roman" w:cs="Times New Roman"/>
        </w:rPr>
        <w:t>d.d</w:t>
      </w:r>
      <w:proofErr w:type="spellEnd"/>
      <w:r w:rsidRPr="000C5085">
        <w:rPr>
          <w:rFonts w:ascii="Times New Roman" w:eastAsia="Calibri" w:hAnsi="Times New Roman" w:cs="Times New Roman"/>
        </w:rPr>
        <w:t>., Novo mesto</w:t>
      </w:r>
    </w:p>
    <w:p w14:paraId="3863E9C1"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Šmarješka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cesta</w:t>
      </w:r>
      <w:proofErr w:type="spellEnd"/>
      <w:r w:rsidRPr="000C5085">
        <w:rPr>
          <w:rFonts w:ascii="Times New Roman" w:eastAsia="Calibri" w:hAnsi="Times New Roman" w:cs="Times New Roman"/>
        </w:rPr>
        <w:t xml:space="preserve"> 6</w:t>
      </w:r>
    </w:p>
    <w:p w14:paraId="6C0B736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8501 Novo mesto</w:t>
      </w:r>
    </w:p>
    <w:p w14:paraId="0E57B5B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p w14:paraId="55E2682C" w14:textId="77777777" w:rsidR="00611539" w:rsidRPr="000C5085" w:rsidRDefault="00611539" w:rsidP="000C5085">
      <w:pPr>
        <w:widowControl w:val="0"/>
        <w:spacing w:after="0" w:line="240" w:lineRule="auto"/>
        <w:rPr>
          <w:rFonts w:ascii="Times New Roman" w:eastAsia="Calibri" w:hAnsi="Times New Roman" w:cs="Times New Roman"/>
        </w:rPr>
      </w:pPr>
    </w:p>
    <w:p w14:paraId="69C33926" w14:textId="77777777" w:rsidR="00611539" w:rsidRPr="000C5085" w:rsidRDefault="00611539" w:rsidP="000C5085">
      <w:pPr>
        <w:widowControl w:val="0"/>
        <w:spacing w:after="0" w:line="240" w:lineRule="auto"/>
        <w:rPr>
          <w:rFonts w:ascii="Times New Roman" w:eastAsia="Calibri" w:hAnsi="Times New Roman" w:cs="Times New Roman"/>
        </w:rPr>
      </w:pPr>
    </w:p>
    <w:p w14:paraId="0174467E"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56" w:name="_Toc129243123"/>
      <w:bookmarkStart w:id="57" w:name="_Toc129243248"/>
      <w:r w:rsidRPr="000C5085">
        <w:rPr>
          <w:rFonts w:ascii="Times New Roman" w:eastAsia="Calibri" w:hAnsi="Times New Roman" w:cs="Times New Roman"/>
          <w:b/>
        </w:rPr>
        <w:t>8.</w:t>
      </w:r>
      <w:r w:rsidRPr="000C5085">
        <w:rPr>
          <w:rFonts w:ascii="Times New Roman" w:eastAsia="Calibri" w:hAnsi="Times New Roman" w:cs="Times New Roman"/>
          <w:b/>
        </w:rPr>
        <w:tab/>
        <w:t>REGISTRACIJOS PAŽYMĖJIMO NUMERIS</w:t>
      </w:r>
      <w:bookmarkEnd w:id="56"/>
      <w:bookmarkEnd w:id="57"/>
      <w:r w:rsidRPr="000C5085">
        <w:rPr>
          <w:rFonts w:ascii="Times New Roman" w:eastAsia="Calibri" w:hAnsi="Times New Roman" w:cs="Times New Roman"/>
          <w:b/>
        </w:rPr>
        <w:t xml:space="preserve"> (-IAI)</w:t>
      </w:r>
    </w:p>
    <w:p w14:paraId="64C10186" w14:textId="77777777" w:rsidR="00611539" w:rsidRPr="000C5085" w:rsidRDefault="00611539" w:rsidP="000C5085">
      <w:pPr>
        <w:widowControl w:val="0"/>
        <w:spacing w:after="0" w:line="240" w:lineRule="auto"/>
        <w:rPr>
          <w:rFonts w:ascii="Times New Roman" w:eastAsia="Calibri" w:hAnsi="Times New Roman" w:cs="Times New Roman"/>
        </w:rPr>
      </w:pPr>
    </w:p>
    <w:p w14:paraId="4A91DC0A"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LT/1/12/3146/001 – N10</w:t>
      </w:r>
    </w:p>
    <w:p w14:paraId="58B34A31"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LT/1/12/3146/002 – N14</w:t>
      </w:r>
    </w:p>
    <w:p w14:paraId="71321C7B"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LT/1/12/3146/003 – N28</w:t>
      </w:r>
    </w:p>
    <w:p w14:paraId="2A7B7CFE"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LT/1/12/3146/004 – N30</w:t>
      </w:r>
    </w:p>
    <w:p w14:paraId="5E76DBBC"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LT/1/12/3146/005 – N50</w:t>
      </w:r>
    </w:p>
    <w:p w14:paraId="10D8B5BC"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LT/1/12/3146/006 – N60</w:t>
      </w:r>
    </w:p>
    <w:p w14:paraId="64C09921"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LT/1/12/3146/007 – N84</w:t>
      </w:r>
    </w:p>
    <w:p w14:paraId="4BBF6ACB"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LT/1/12/3146/008 – N90</w:t>
      </w:r>
    </w:p>
    <w:p w14:paraId="0970C57E" w14:textId="77777777" w:rsidR="00187AC7" w:rsidRPr="00187AC7"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LT/1/12/3146/009 – N98</w:t>
      </w:r>
    </w:p>
    <w:p w14:paraId="2D32BAB2" w14:textId="46551AC9" w:rsidR="00611539" w:rsidRDefault="00187AC7" w:rsidP="00187AC7">
      <w:pPr>
        <w:widowControl w:val="0"/>
        <w:spacing w:after="0" w:line="240" w:lineRule="auto"/>
        <w:rPr>
          <w:rFonts w:ascii="Times New Roman" w:eastAsia="Calibri" w:hAnsi="Times New Roman" w:cs="Times New Roman"/>
        </w:rPr>
      </w:pPr>
      <w:r w:rsidRPr="00187AC7">
        <w:rPr>
          <w:rFonts w:ascii="Times New Roman" w:eastAsia="Calibri" w:hAnsi="Times New Roman" w:cs="Times New Roman"/>
        </w:rPr>
        <w:t>LT/1/12/3146/010 – N100</w:t>
      </w:r>
    </w:p>
    <w:p w14:paraId="49F16AB5" w14:textId="77777777" w:rsidR="00187AC7" w:rsidRPr="000C5085" w:rsidRDefault="00187AC7" w:rsidP="00187AC7">
      <w:pPr>
        <w:widowControl w:val="0"/>
        <w:spacing w:after="0" w:line="240" w:lineRule="auto"/>
        <w:rPr>
          <w:rFonts w:ascii="Times New Roman" w:eastAsia="Calibri" w:hAnsi="Times New Roman" w:cs="Times New Roman"/>
        </w:rPr>
      </w:pPr>
    </w:p>
    <w:p w14:paraId="0E311A3B" w14:textId="77777777" w:rsidR="00611539" w:rsidRPr="000C5085" w:rsidRDefault="00611539" w:rsidP="000C5085">
      <w:pPr>
        <w:widowControl w:val="0"/>
        <w:spacing w:after="0" w:line="240" w:lineRule="auto"/>
        <w:rPr>
          <w:rFonts w:ascii="Times New Roman" w:eastAsia="Calibri" w:hAnsi="Times New Roman" w:cs="Times New Roman"/>
        </w:rPr>
      </w:pPr>
    </w:p>
    <w:p w14:paraId="0CC7FB90"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58" w:name="_Toc129243124"/>
      <w:bookmarkStart w:id="59" w:name="_Toc129243249"/>
      <w:r w:rsidRPr="000C5085">
        <w:rPr>
          <w:rFonts w:ascii="Times New Roman" w:eastAsia="Calibri" w:hAnsi="Times New Roman" w:cs="Times New Roman"/>
          <w:b/>
        </w:rPr>
        <w:t>9.</w:t>
      </w:r>
      <w:r w:rsidRPr="000C5085">
        <w:rPr>
          <w:rFonts w:ascii="Times New Roman" w:eastAsia="Calibri" w:hAnsi="Times New Roman" w:cs="Times New Roman"/>
          <w:b/>
        </w:rPr>
        <w:tab/>
        <w:t>REGISTRAVIMO / PERREGISTRAVIMO DATA</w:t>
      </w:r>
      <w:bookmarkEnd w:id="58"/>
      <w:bookmarkEnd w:id="59"/>
    </w:p>
    <w:p w14:paraId="6F0A8AA4" w14:textId="77777777" w:rsidR="00611539" w:rsidRPr="000C5085" w:rsidRDefault="00611539" w:rsidP="000C5085">
      <w:pPr>
        <w:widowControl w:val="0"/>
        <w:spacing w:after="0" w:line="240" w:lineRule="auto"/>
        <w:rPr>
          <w:rFonts w:ascii="Times New Roman" w:eastAsia="Calibri" w:hAnsi="Times New Roman" w:cs="Times New Roman"/>
        </w:rPr>
      </w:pPr>
    </w:p>
    <w:p w14:paraId="0275B2CA" w14:textId="77777777" w:rsidR="00611539"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Registravimo data 2012 m gruodžio mėn. 5 d.</w:t>
      </w:r>
    </w:p>
    <w:p w14:paraId="78589093" w14:textId="0910ECDE" w:rsidR="00EA69B9" w:rsidRPr="000C5085" w:rsidRDefault="00EA69B9" w:rsidP="000C5085">
      <w:pPr>
        <w:widowControl w:val="0"/>
        <w:spacing w:after="0" w:line="240" w:lineRule="auto"/>
        <w:rPr>
          <w:rFonts w:ascii="Times New Roman" w:eastAsia="Calibri" w:hAnsi="Times New Roman" w:cs="Times New Roman"/>
        </w:rPr>
      </w:pPr>
      <w:r>
        <w:rPr>
          <w:rFonts w:ascii="Times New Roman" w:eastAsia="Calibri" w:hAnsi="Times New Roman" w:cs="Times New Roman"/>
        </w:rPr>
        <w:t>Paskutinio perregistravimo data</w:t>
      </w:r>
      <w:r w:rsidR="00187AC7">
        <w:rPr>
          <w:rFonts w:ascii="Times New Roman" w:eastAsia="Calibri" w:hAnsi="Times New Roman" w:cs="Times New Roman"/>
        </w:rPr>
        <w:t xml:space="preserve"> 2022 m. balandžio 11 d.</w:t>
      </w:r>
    </w:p>
    <w:p w14:paraId="78AF4326" w14:textId="77777777" w:rsidR="00611539" w:rsidRPr="000C5085" w:rsidRDefault="00611539" w:rsidP="000C5085">
      <w:pPr>
        <w:widowControl w:val="0"/>
        <w:spacing w:after="0" w:line="240" w:lineRule="auto"/>
        <w:rPr>
          <w:rFonts w:ascii="Times New Roman" w:eastAsia="Calibri" w:hAnsi="Times New Roman" w:cs="Times New Roman"/>
        </w:rPr>
      </w:pPr>
    </w:p>
    <w:p w14:paraId="76B0015C" w14:textId="77777777" w:rsidR="00611539" w:rsidRPr="000C5085" w:rsidRDefault="00611539" w:rsidP="000C5085">
      <w:pPr>
        <w:widowControl w:val="0"/>
        <w:spacing w:after="0" w:line="240" w:lineRule="auto"/>
        <w:rPr>
          <w:rFonts w:ascii="Times New Roman" w:eastAsia="Calibri" w:hAnsi="Times New Roman" w:cs="Times New Roman"/>
        </w:rPr>
      </w:pPr>
    </w:p>
    <w:p w14:paraId="593130AA"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60" w:name="_Toc129243125"/>
      <w:bookmarkStart w:id="61" w:name="_Toc129243250"/>
      <w:r w:rsidRPr="000C5085">
        <w:rPr>
          <w:rFonts w:ascii="Times New Roman" w:eastAsia="Calibri" w:hAnsi="Times New Roman" w:cs="Times New Roman"/>
          <w:b/>
        </w:rPr>
        <w:t>10.</w:t>
      </w:r>
      <w:r w:rsidRPr="000C5085">
        <w:rPr>
          <w:rFonts w:ascii="Times New Roman" w:eastAsia="Calibri" w:hAnsi="Times New Roman" w:cs="Times New Roman"/>
          <w:b/>
        </w:rPr>
        <w:tab/>
        <w:t>TEKSTO PERŽIŪROS DATA</w:t>
      </w:r>
      <w:bookmarkEnd w:id="60"/>
      <w:bookmarkEnd w:id="61"/>
    </w:p>
    <w:p w14:paraId="4F24C88B" w14:textId="77777777" w:rsidR="00611539" w:rsidRPr="000C5085" w:rsidRDefault="00611539" w:rsidP="000C5085">
      <w:pPr>
        <w:widowControl w:val="0"/>
        <w:spacing w:after="0" w:line="240" w:lineRule="auto"/>
        <w:rPr>
          <w:rFonts w:ascii="Times New Roman" w:eastAsia="Calibri" w:hAnsi="Times New Roman" w:cs="Times New Roman"/>
        </w:rPr>
      </w:pPr>
    </w:p>
    <w:p w14:paraId="512E4DB8" w14:textId="415320EE" w:rsidR="00611539" w:rsidRPr="000C5085" w:rsidRDefault="00187AC7" w:rsidP="000C5085">
      <w:pPr>
        <w:widowControl w:val="0"/>
        <w:spacing w:after="0" w:line="240" w:lineRule="auto"/>
        <w:rPr>
          <w:rFonts w:ascii="Times New Roman" w:eastAsia="Calibri" w:hAnsi="Times New Roman" w:cs="Times New Roman"/>
        </w:rPr>
      </w:pPr>
      <w:r>
        <w:rPr>
          <w:rFonts w:ascii="Times New Roman" w:eastAsia="Calibri" w:hAnsi="Times New Roman" w:cs="Times New Roman"/>
        </w:rPr>
        <w:t>2022 m. balandžio 11 d.</w:t>
      </w:r>
    </w:p>
    <w:p w14:paraId="786861C9" w14:textId="77777777" w:rsidR="00611539" w:rsidRPr="000C5085" w:rsidRDefault="00611539" w:rsidP="000C5085">
      <w:pPr>
        <w:widowControl w:val="0"/>
        <w:spacing w:after="0" w:line="240" w:lineRule="auto"/>
        <w:rPr>
          <w:rFonts w:ascii="Times New Roman" w:eastAsia="Calibri" w:hAnsi="Times New Roman" w:cs="Times New Roman"/>
        </w:rPr>
      </w:pPr>
    </w:p>
    <w:p w14:paraId="5522141C" w14:textId="379EF65F" w:rsidR="00611539" w:rsidRPr="000C5085" w:rsidRDefault="00611539" w:rsidP="00187AC7">
      <w:pPr>
        <w:widowControl w:val="0"/>
        <w:spacing w:after="0" w:line="240" w:lineRule="auto"/>
        <w:rPr>
          <w:rFonts w:ascii="Times New Roman" w:eastAsia="Calibri" w:hAnsi="Times New Roman" w:cs="Times New Roman"/>
          <w:color w:val="0000FF"/>
        </w:rPr>
      </w:pPr>
      <w:r w:rsidRPr="000C5085">
        <w:rPr>
          <w:rFonts w:ascii="Times New Roman" w:eastAsia="Calibri" w:hAnsi="Times New Roman" w:cs="Times New Roman"/>
        </w:rPr>
        <w:lastRenderedPageBreak/>
        <w:t>Išsami informacija apie šį vaistinį preparatą pateikiama Valstybinės vaistų kontrolės tarnybos prie Lietuvos Respublikos sveikatos apsaugos ministerijos tinklalapyje</w:t>
      </w:r>
      <w:r w:rsidR="00187AC7">
        <w:rPr>
          <w:rFonts w:ascii="Times New Roman" w:eastAsia="Calibri" w:hAnsi="Times New Roman" w:cs="Times New Roman"/>
        </w:rPr>
        <w:t xml:space="preserve"> </w:t>
      </w:r>
      <w:hyperlink r:id="rId10" w:history="1">
        <w:r w:rsidRPr="000C5085">
          <w:rPr>
            <w:rFonts w:ascii="Times New Roman" w:eastAsia="Calibri" w:hAnsi="Times New Roman" w:cs="Times New Roman"/>
            <w:color w:val="0000FF"/>
            <w:u w:val="single"/>
          </w:rPr>
          <w:t>http://www.vvkt.lt</w:t>
        </w:r>
      </w:hyperlink>
    </w:p>
    <w:p w14:paraId="176A6538" w14:textId="77777777" w:rsidR="00611539" w:rsidRPr="000C5085" w:rsidRDefault="00611539" w:rsidP="000C5085">
      <w:pPr>
        <w:widowControl w:val="0"/>
        <w:spacing w:after="0" w:line="240" w:lineRule="auto"/>
        <w:rPr>
          <w:rFonts w:ascii="Times New Roman" w:eastAsia="Calibri" w:hAnsi="Times New Roman" w:cs="Times New Roman"/>
        </w:rPr>
      </w:pPr>
    </w:p>
    <w:p w14:paraId="67B9D02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br w:type="page"/>
      </w:r>
    </w:p>
    <w:p w14:paraId="5E73A549" w14:textId="77777777" w:rsidR="00611539" w:rsidRPr="000C5085" w:rsidRDefault="00611539" w:rsidP="000C5085">
      <w:pPr>
        <w:widowControl w:val="0"/>
        <w:spacing w:after="0" w:line="240" w:lineRule="auto"/>
        <w:rPr>
          <w:rFonts w:ascii="Times New Roman" w:eastAsia="Calibri" w:hAnsi="Times New Roman" w:cs="Times New Roman"/>
        </w:rPr>
      </w:pPr>
    </w:p>
    <w:p w14:paraId="1598CD0B" w14:textId="77777777" w:rsidR="00611539" w:rsidRPr="000C5085" w:rsidRDefault="00611539" w:rsidP="000C5085">
      <w:pPr>
        <w:widowControl w:val="0"/>
        <w:spacing w:after="0" w:line="240" w:lineRule="auto"/>
        <w:rPr>
          <w:rFonts w:ascii="Times New Roman" w:eastAsia="Calibri" w:hAnsi="Times New Roman" w:cs="Times New Roman"/>
        </w:rPr>
      </w:pPr>
    </w:p>
    <w:p w14:paraId="21FEEB93" w14:textId="77777777" w:rsidR="00611539" w:rsidRPr="000C5085" w:rsidRDefault="00611539" w:rsidP="000C5085">
      <w:pPr>
        <w:widowControl w:val="0"/>
        <w:spacing w:after="0" w:line="240" w:lineRule="auto"/>
        <w:rPr>
          <w:rFonts w:ascii="Times New Roman" w:eastAsia="Calibri" w:hAnsi="Times New Roman" w:cs="Times New Roman"/>
        </w:rPr>
      </w:pPr>
    </w:p>
    <w:p w14:paraId="4BA0324E" w14:textId="77777777" w:rsidR="00611539" w:rsidRPr="000C5085" w:rsidRDefault="00611539" w:rsidP="000C5085">
      <w:pPr>
        <w:widowControl w:val="0"/>
        <w:spacing w:after="0" w:line="240" w:lineRule="auto"/>
        <w:rPr>
          <w:rFonts w:ascii="Times New Roman" w:eastAsia="Calibri" w:hAnsi="Times New Roman" w:cs="Times New Roman"/>
        </w:rPr>
      </w:pPr>
    </w:p>
    <w:p w14:paraId="5BB6B440" w14:textId="77777777" w:rsidR="00611539" w:rsidRPr="000C5085" w:rsidRDefault="00611539" w:rsidP="000C5085">
      <w:pPr>
        <w:widowControl w:val="0"/>
        <w:spacing w:after="0" w:line="240" w:lineRule="auto"/>
        <w:rPr>
          <w:rFonts w:ascii="Times New Roman" w:eastAsia="Calibri" w:hAnsi="Times New Roman" w:cs="Times New Roman"/>
        </w:rPr>
      </w:pPr>
    </w:p>
    <w:p w14:paraId="0B2DD3E5" w14:textId="77777777" w:rsidR="00611539" w:rsidRPr="000C5085" w:rsidRDefault="00611539" w:rsidP="000C5085">
      <w:pPr>
        <w:widowControl w:val="0"/>
        <w:spacing w:after="0" w:line="240" w:lineRule="auto"/>
        <w:rPr>
          <w:rFonts w:ascii="Times New Roman" w:eastAsia="Calibri" w:hAnsi="Times New Roman" w:cs="Times New Roman"/>
        </w:rPr>
      </w:pPr>
    </w:p>
    <w:p w14:paraId="7826A718" w14:textId="77777777" w:rsidR="00611539" w:rsidRPr="000C5085" w:rsidRDefault="00611539" w:rsidP="000C5085">
      <w:pPr>
        <w:widowControl w:val="0"/>
        <w:spacing w:after="0" w:line="240" w:lineRule="auto"/>
        <w:rPr>
          <w:rFonts w:ascii="Times New Roman" w:eastAsia="Calibri" w:hAnsi="Times New Roman" w:cs="Times New Roman"/>
        </w:rPr>
      </w:pPr>
    </w:p>
    <w:p w14:paraId="7DE538AE" w14:textId="77777777" w:rsidR="00611539" w:rsidRPr="000C5085" w:rsidRDefault="00611539" w:rsidP="000C5085">
      <w:pPr>
        <w:widowControl w:val="0"/>
        <w:spacing w:after="0" w:line="240" w:lineRule="auto"/>
        <w:rPr>
          <w:rFonts w:ascii="Times New Roman" w:eastAsia="Calibri" w:hAnsi="Times New Roman" w:cs="Times New Roman"/>
        </w:rPr>
      </w:pPr>
    </w:p>
    <w:p w14:paraId="5DBC59E1" w14:textId="77777777" w:rsidR="00611539" w:rsidRPr="000C5085" w:rsidRDefault="00611539" w:rsidP="000C5085">
      <w:pPr>
        <w:widowControl w:val="0"/>
        <w:spacing w:after="0" w:line="240" w:lineRule="auto"/>
        <w:rPr>
          <w:rFonts w:ascii="Times New Roman" w:eastAsia="Calibri" w:hAnsi="Times New Roman" w:cs="Times New Roman"/>
        </w:rPr>
      </w:pPr>
    </w:p>
    <w:p w14:paraId="1DD0F185" w14:textId="77777777" w:rsidR="00611539" w:rsidRPr="000C5085" w:rsidRDefault="00611539" w:rsidP="000C5085">
      <w:pPr>
        <w:widowControl w:val="0"/>
        <w:spacing w:after="0" w:line="240" w:lineRule="auto"/>
        <w:rPr>
          <w:rFonts w:ascii="Times New Roman" w:eastAsia="Calibri" w:hAnsi="Times New Roman" w:cs="Times New Roman"/>
        </w:rPr>
      </w:pPr>
    </w:p>
    <w:p w14:paraId="73CE3A8E" w14:textId="77777777" w:rsidR="00611539" w:rsidRPr="000C5085" w:rsidRDefault="00611539" w:rsidP="000C5085">
      <w:pPr>
        <w:widowControl w:val="0"/>
        <w:spacing w:after="0" w:line="240" w:lineRule="auto"/>
        <w:rPr>
          <w:rFonts w:ascii="Times New Roman" w:eastAsia="Calibri" w:hAnsi="Times New Roman" w:cs="Times New Roman"/>
        </w:rPr>
      </w:pPr>
    </w:p>
    <w:p w14:paraId="49A93F1D" w14:textId="77777777" w:rsidR="00611539" w:rsidRPr="000C5085" w:rsidRDefault="00611539" w:rsidP="000C5085">
      <w:pPr>
        <w:widowControl w:val="0"/>
        <w:spacing w:after="0" w:line="240" w:lineRule="auto"/>
        <w:rPr>
          <w:rFonts w:ascii="Times New Roman" w:eastAsia="Calibri" w:hAnsi="Times New Roman" w:cs="Times New Roman"/>
        </w:rPr>
      </w:pPr>
    </w:p>
    <w:p w14:paraId="7CE71A2B" w14:textId="77777777" w:rsidR="00611539" w:rsidRPr="000C5085" w:rsidRDefault="00611539" w:rsidP="000C5085">
      <w:pPr>
        <w:widowControl w:val="0"/>
        <w:spacing w:after="0" w:line="240" w:lineRule="auto"/>
        <w:rPr>
          <w:rFonts w:ascii="Times New Roman" w:eastAsia="Calibri" w:hAnsi="Times New Roman" w:cs="Times New Roman"/>
        </w:rPr>
      </w:pPr>
    </w:p>
    <w:p w14:paraId="48E3CD45" w14:textId="77777777" w:rsidR="00611539" w:rsidRPr="000C5085" w:rsidRDefault="00611539" w:rsidP="000C5085">
      <w:pPr>
        <w:widowControl w:val="0"/>
        <w:spacing w:after="0" w:line="240" w:lineRule="auto"/>
        <w:rPr>
          <w:rFonts w:ascii="Times New Roman" w:eastAsia="Calibri" w:hAnsi="Times New Roman" w:cs="Times New Roman"/>
        </w:rPr>
      </w:pPr>
    </w:p>
    <w:p w14:paraId="6646AE66" w14:textId="77777777" w:rsidR="00611539" w:rsidRPr="000C5085" w:rsidRDefault="00611539" w:rsidP="000C5085">
      <w:pPr>
        <w:widowControl w:val="0"/>
        <w:spacing w:after="0" w:line="240" w:lineRule="auto"/>
        <w:rPr>
          <w:rFonts w:ascii="Times New Roman" w:eastAsia="Calibri" w:hAnsi="Times New Roman" w:cs="Times New Roman"/>
        </w:rPr>
      </w:pPr>
    </w:p>
    <w:p w14:paraId="409D7332" w14:textId="77777777" w:rsidR="00611539" w:rsidRPr="000C5085" w:rsidRDefault="00611539" w:rsidP="000C5085">
      <w:pPr>
        <w:widowControl w:val="0"/>
        <w:spacing w:after="0" w:line="240" w:lineRule="auto"/>
        <w:rPr>
          <w:rFonts w:ascii="Times New Roman" w:eastAsia="Calibri" w:hAnsi="Times New Roman" w:cs="Times New Roman"/>
        </w:rPr>
      </w:pPr>
    </w:p>
    <w:p w14:paraId="73590D78" w14:textId="77777777" w:rsidR="00611539" w:rsidRPr="000C5085" w:rsidRDefault="00611539" w:rsidP="000C5085">
      <w:pPr>
        <w:widowControl w:val="0"/>
        <w:spacing w:after="0" w:line="240" w:lineRule="auto"/>
        <w:rPr>
          <w:rFonts w:ascii="Times New Roman" w:eastAsia="Calibri" w:hAnsi="Times New Roman" w:cs="Times New Roman"/>
        </w:rPr>
      </w:pPr>
    </w:p>
    <w:p w14:paraId="3A66994C" w14:textId="77777777" w:rsidR="00611539" w:rsidRPr="000C5085" w:rsidRDefault="00611539" w:rsidP="000C5085">
      <w:pPr>
        <w:widowControl w:val="0"/>
        <w:spacing w:after="0" w:line="240" w:lineRule="auto"/>
        <w:rPr>
          <w:rFonts w:ascii="Times New Roman" w:eastAsia="Calibri" w:hAnsi="Times New Roman" w:cs="Times New Roman"/>
        </w:rPr>
      </w:pPr>
    </w:p>
    <w:p w14:paraId="0D13D73F" w14:textId="77777777" w:rsidR="00611539" w:rsidRPr="000C5085" w:rsidRDefault="00611539" w:rsidP="000C5085">
      <w:pPr>
        <w:widowControl w:val="0"/>
        <w:spacing w:after="0" w:line="240" w:lineRule="auto"/>
        <w:rPr>
          <w:rFonts w:ascii="Times New Roman" w:eastAsia="Calibri" w:hAnsi="Times New Roman" w:cs="Times New Roman"/>
        </w:rPr>
      </w:pPr>
    </w:p>
    <w:p w14:paraId="4D354F2C" w14:textId="77777777" w:rsidR="00611539" w:rsidRPr="000C5085" w:rsidRDefault="00611539" w:rsidP="000C5085">
      <w:pPr>
        <w:widowControl w:val="0"/>
        <w:spacing w:after="0" w:line="240" w:lineRule="auto"/>
        <w:rPr>
          <w:rFonts w:ascii="Times New Roman" w:eastAsia="Calibri" w:hAnsi="Times New Roman" w:cs="Times New Roman"/>
        </w:rPr>
      </w:pPr>
    </w:p>
    <w:p w14:paraId="112B292C" w14:textId="77777777" w:rsidR="00611539" w:rsidRPr="000C5085" w:rsidRDefault="00611539" w:rsidP="000C5085">
      <w:pPr>
        <w:widowControl w:val="0"/>
        <w:spacing w:after="0" w:line="240" w:lineRule="auto"/>
        <w:rPr>
          <w:rFonts w:ascii="Times New Roman" w:eastAsia="Calibri" w:hAnsi="Times New Roman" w:cs="Times New Roman"/>
        </w:rPr>
      </w:pPr>
    </w:p>
    <w:p w14:paraId="3FD73CD3" w14:textId="77777777" w:rsidR="00611539" w:rsidRPr="000C5085" w:rsidRDefault="00611539" w:rsidP="000C5085">
      <w:pPr>
        <w:widowControl w:val="0"/>
        <w:spacing w:after="0" w:line="240" w:lineRule="auto"/>
        <w:jc w:val="center"/>
        <w:outlineLvl w:val="1"/>
        <w:rPr>
          <w:rFonts w:ascii="Times New Roman" w:eastAsia="Calibri" w:hAnsi="Times New Roman" w:cs="Times New Roman"/>
          <w:b/>
        </w:rPr>
      </w:pPr>
    </w:p>
    <w:p w14:paraId="3F453B33" w14:textId="77777777" w:rsidR="00611539" w:rsidRPr="000C5085" w:rsidRDefault="00611539" w:rsidP="000C5085">
      <w:pPr>
        <w:widowControl w:val="0"/>
        <w:spacing w:after="0" w:line="240" w:lineRule="auto"/>
        <w:jc w:val="center"/>
        <w:outlineLvl w:val="1"/>
        <w:rPr>
          <w:rFonts w:ascii="Times New Roman" w:eastAsia="Calibri" w:hAnsi="Times New Roman" w:cs="Times New Roman"/>
          <w:b/>
        </w:rPr>
      </w:pPr>
      <w:r w:rsidRPr="000C5085">
        <w:rPr>
          <w:rFonts w:ascii="Times New Roman" w:eastAsia="Calibri" w:hAnsi="Times New Roman" w:cs="Times New Roman"/>
          <w:b/>
        </w:rPr>
        <w:t>II PRIEDAS</w:t>
      </w:r>
    </w:p>
    <w:p w14:paraId="5DFCF77B" w14:textId="77777777" w:rsidR="00611539" w:rsidRPr="000C5085" w:rsidRDefault="00611539" w:rsidP="000C5085">
      <w:pPr>
        <w:widowControl w:val="0"/>
        <w:spacing w:after="0" w:line="240" w:lineRule="auto"/>
        <w:rPr>
          <w:rFonts w:ascii="Times New Roman" w:eastAsia="Calibri" w:hAnsi="Times New Roman" w:cs="Times New Roman"/>
          <w:b/>
          <w:i/>
        </w:rPr>
      </w:pPr>
    </w:p>
    <w:p w14:paraId="4CAF0F5C" w14:textId="77777777" w:rsidR="00611539" w:rsidRPr="000C5085" w:rsidRDefault="00611539" w:rsidP="000C5085">
      <w:pPr>
        <w:widowControl w:val="0"/>
        <w:spacing w:after="0" w:line="240" w:lineRule="auto"/>
        <w:jc w:val="center"/>
        <w:rPr>
          <w:rFonts w:ascii="Times New Roman" w:eastAsia="Calibri" w:hAnsi="Times New Roman" w:cs="Times New Roman"/>
          <w:i/>
        </w:rPr>
      </w:pPr>
      <w:r w:rsidRPr="000C5085">
        <w:rPr>
          <w:rFonts w:ascii="Times New Roman" w:eastAsia="Calibri" w:hAnsi="Times New Roman" w:cs="Times New Roman"/>
          <w:b/>
        </w:rPr>
        <w:t>REGISTRACIJOS SĄLYGOS</w:t>
      </w:r>
    </w:p>
    <w:p w14:paraId="72ED28EA" w14:textId="77777777" w:rsidR="00611539" w:rsidRPr="000C5085" w:rsidRDefault="00611539" w:rsidP="000C5085">
      <w:pPr>
        <w:widowControl w:val="0"/>
        <w:spacing w:after="0" w:line="240" w:lineRule="auto"/>
        <w:rPr>
          <w:rFonts w:ascii="Times New Roman" w:eastAsia="Calibri" w:hAnsi="Times New Roman" w:cs="Times New Roman"/>
        </w:rPr>
      </w:pPr>
    </w:p>
    <w:p w14:paraId="0F4799D0" w14:textId="77777777" w:rsidR="00611539" w:rsidRPr="000C5085" w:rsidRDefault="00611539" w:rsidP="000C5085">
      <w:pPr>
        <w:widowControl w:val="0"/>
        <w:spacing w:after="0" w:line="240" w:lineRule="auto"/>
        <w:ind w:left="1701" w:right="1416" w:hanging="708"/>
        <w:rPr>
          <w:rFonts w:ascii="Times New Roman" w:eastAsia="Calibri" w:hAnsi="Times New Roman" w:cs="Times New Roman"/>
          <w:b/>
        </w:rPr>
      </w:pPr>
      <w:r w:rsidRPr="000C5085">
        <w:rPr>
          <w:rFonts w:ascii="Times New Roman" w:eastAsia="Calibri" w:hAnsi="Times New Roman" w:cs="Times New Roman"/>
          <w:b/>
        </w:rPr>
        <w:t>A.</w:t>
      </w:r>
      <w:r w:rsidRPr="000C5085">
        <w:rPr>
          <w:rFonts w:ascii="Times New Roman" w:eastAsia="Calibri" w:hAnsi="Times New Roman" w:cs="Times New Roman"/>
          <w:b/>
        </w:rPr>
        <w:tab/>
        <w:t>GAMINTOJAS (-AI), ATSAKINGAS (-I) UŽ SERIJŲ IŠLEIDIMĄ</w:t>
      </w:r>
    </w:p>
    <w:p w14:paraId="48E47D54" w14:textId="77777777" w:rsidR="00611539" w:rsidRPr="000C5085" w:rsidRDefault="00611539" w:rsidP="000C5085">
      <w:pPr>
        <w:widowControl w:val="0"/>
        <w:spacing w:after="0" w:line="240" w:lineRule="auto"/>
        <w:rPr>
          <w:rFonts w:ascii="Times New Roman" w:eastAsia="Calibri" w:hAnsi="Times New Roman" w:cs="Times New Roman"/>
        </w:rPr>
      </w:pPr>
    </w:p>
    <w:p w14:paraId="00A8E546" w14:textId="77777777" w:rsidR="00611539" w:rsidRPr="000C5085" w:rsidRDefault="00611539" w:rsidP="000C5085">
      <w:pPr>
        <w:widowControl w:val="0"/>
        <w:spacing w:after="0" w:line="240" w:lineRule="auto"/>
        <w:ind w:left="1701" w:right="1416" w:hanging="708"/>
        <w:rPr>
          <w:rFonts w:ascii="Times New Roman" w:eastAsia="Calibri" w:hAnsi="Times New Roman" w:cs="Times New Roman"/>
        </w:rPr>
      </w:pPr>
      <w:r w:rsidRPr="000C5085">
        <w:rPr>
          <w:rFonts w:ascii="Times New Roman" w:eastAsia="Calibri" w:hAnsi="Times New Roman" w:cs="Times New Roman"/>
          <w:b/>
        </w:rPr>
        <w:t>B.</w:t>
      </w:r>
      <w:r w:rsidRPr="000C5085">
        <w:rPr>
          <w:rFonts w:ascii="Times New Roman" w:eastAsia="Calibri" w:hAnsi="Times New Roman" w:cs="Times New Roman"/>
          <w:b/>
        </w:rPr>
        <w:tab/>
        <w:t>TIEKIMO IR VARTOJIMO SĄLYGOS AR APRIBOJIMAI</w:t>
      </w:r>
    </w:p>
    <w:p w14:paraId="6A70552A" w14:textId="77777777" w:rsidR="00611539" w:rsidRPr="000C5085" w:rsidRDefault="00611539" w:rsidP="000C5085">
      <w:pPr>
        <w:widowControl w:val="0"/>
        <w:spacing w:after="0" w:line="240" w:lineRule="auto"/>
        <w:rPr>
          <w:rFonts w:ascii="Times New Roman" w:eastAsia="Calibri" w:hAnsi="Times New Roman" w:cs="Times New Roman"/>
        </w:rPr>
      </w:pPr>
    </w:p>
    <w:p w14:paraId="728028F0" w14:textId="77777777" w:rsidR="00611539" w:rsidRPr="000C5085" w:rsidRDefault="00611539" w:rsidP="000C5085">
      <w:pPr>
        <w:widowControl w:val="0"/>
        <w:spacing w:after="0" w:line="240" w:lineRule="auto"/>
        <w:rPr>
          <w:rFonts w:ascii="Times New Roman" w:eastAsia="Calibri" w:hAnsi="Times New Roman" w:cs="Times New Roman"/>
        </w:rPr>
      </w:pPr>
    </w:p>
    <w:p w14:paraId="39AF6E15"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rPr>
        <w:br w:type="page"/>
      </w:r>
      <w:r w:rsidRPr="000C5085">
        <w:rPr>
          <w:rFonts w:ascii="Times New Roman" w:eastAsia="Calibri" w:hAnsi="Times New Roman" w:cs="Times New Roman"/>
          <w:b/>
        </w:rPr>
        <w:lastRenderedPageBreak/>
        <w:t>A.</w:t>
      </w:r>
      <w:r w:rsidRPr="000C5085">
        <w:rPr>
          <w:rFonts w:ascii="Times New Roman" w:eastAsia="Calibri" w:hAnsi="Times New Roman" w:cs="Times New Roman"/>
          <w:b/>
        </w:rPr>
        <w:tab/>
        <w:t>GAMINTOJAS (-AI), ATSAKINGAS (-I) UŽ SERIJŲ IŠLEIDIMĄ</w:t>
      </w:r>
    </w:p>
    <w:p w14:paraId="1A1EEEE0" w14:textId="77777777" w:rsidR="00611539" w:rsidRPr="000C5085" w:rsidRDefault="00611539" w:rsidP="000C5085">
      <w:pPr>
        <w:widowControl w:val="0"/>
        <w:spacing w:after="0" w:line="240" w:lineRule="auto"/>
        <w:rPr>
          <w:rFonts w:ascii="Times New Roman" w:eastAsia="Calibri" w:hAnsi="Times New Roman" w:cs="Times New Roman"/>
        </w:rPr>
      </w:pPr>
    </w:p>
    <w:p w14:paraId="2FBED9A6"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u w:val="single"/>
        </w:rPr>
        <w:t>Gamintojo (-ų), atsakingo (-ų) už serijų išleidimą, pavadinimas (-ai) ir adresas (-ai)</w:t>
      </w:r>
    </w:p>
    <w:p w14:paraId="47B079B7" w14:textId="77777777" w:rsidR="00611539" w:rsidRPr="000C5085" w:rsidRDefault="00611539" w:rsidP="000C5085">
      <w:pPr>
        <w:widowControl w:val="0"/>
        <w:spacing w:after="0" w:line="240" w:lineRule="auto"/>
        <w:rPr>
          <w:rFonts w:ascii="Times New Roman" w:eastAsia="Calibri" w:hAnsi="Times New Roman" w:cs="Times New Roman"/>
        </w:rPr>
      </w:pPr>
    </w:p>
    <w:p w14:paraId="583A351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KRKA, </w:t>
      </w:r>
      <w:proofErr w:type="spellStart"/>
      <w:r w:rsidRPr="000C5085">
        <w:rPr>
          <w:rFonts w:ascii="Times New Roman" w:eastAsia="Calibri" w:hAnsi="Times New Roman" w:cs="Times New Roman"/>
        </w:rPr>
        <w:t>d.d</w:t>
      </w:r>
      <w:proofErr w:type="spellEnd"/>
      <w:r w:rsidRPr="000C5085">
        <w:rPr>
          <w:rFonts w:ascii="Times New Roman" w:eastAsia="Calibri" w:hAnsi="Times New Roman" w:cs="Times New Roman"/>
        </w:rPr>
        <w:t>., Novo mesto</w:t>
      </w:r>
    </w:p>
    <w:p w14:paraId="4C13F532"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Šmarješka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cesta</w:t>
      </w:r>
      <w:proofErr w:type="spellEnd"/>
      <w:r w:rsidRPr="000C5085">
        <w:rPr>
          <w:rFonts w:ascii="Times New Roman" w:eastAsia="Calibri" w:hAnsi="Times New Roman" w:cs="Times New Roman"/>
        </w:rPr>
        <w:t xml:space="preserve"> 6</w:t>
      </w:r>
    </w:p>
    <w:p w14:paraId="34B2555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8501 Novo mesto</w:t>
      </w:r>
    </w:p>
    <w:p w14:paraId="3880735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p w14:paraId="32D6E705" w14:textId="77777777" w:rsidR="00611539" w:rsidRPr="000C5085" w:rsidRDefault="00611539" w:rsidP="000C5085">
      <w:pPr>
        <w:widowControl w:val="0"/>
        <w:spacing w:after="0" w:line="240" w:lineRule="auto"/>
        <w:rPr>
          <w:rFonts w:ascii="Times New Roman" w:eastAsia="Calibri" w:hAnsi="Times New Roman" w:cs="Times New Roman"/>
          <w:i/>
        </w:rPr>
      </w:pPr>
    </w:p>
    <w:p w14:paraId="796966A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arba</w:t>
      </w:r>
    </w:p>
    <w:p w14:paraId="5B95266F"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lang w:val="en-GB"/>
        </w:rPr>
      </w:pPr>
    </w:p>
    <w:p w14:paraId="03F048AB"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lang w:val="en-GB"/>
        </w:rPr>
      </w:pPr>
      <w:r w:rsidRPr="000C5085">
        <w:rPr>
          <w:rFonts w:ascii="Times New Roman" w:eastAsia="Calibri" w:hAnsi="Times New Roman" w:cs="Times New Roman"/>
          <w:lang w:val="en-GB"/>
        </w:rPr>
        <w:t>TAD Pharma GmbH</w:t>
      </w:r>
    </w:p>
    <w:p w14:paraId="34208184"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lang w:val="en-GB"/>
        </w:rPr>
      </w:pPr>
      <w:r w:rsidRPr="000C5085">
        <w:rPr>
          <w:rFonts w:ascii="Times New Roman" w:eastAsia="Calibri" w:hAnsi="Times New Roman" w:cs="Times New Roman"/>
          <w:lang w:val="en-GB"/>
        </w:rPr>
        <w:t>Heinz-</w:t>
      </w:r>
      <w:proofErr w:type="spellStart"/>
      <w:r w:rsidRPr="000C5085">
        <w:rPr>
          <w:rFonts w:ascii="Times New Roman" w:eastAsia="Calibri" w:hAnsi="Times New Roman" w:cs="Times New Roman"/>
          <w:lang w:val="en-GB"/>
        </w:rPr>
        <w:t>Lohmann</w:t>
      </w:r>
      <w:proofErr w:type="spellEnd"/>
      <w:r w:rsidRPr="000C5085">
        <w:rPr>
          <w:rFonts w:ascii="Times New Roman" w:eastAsia="Calibri" w:hAnsi="Times New Roman" w:cs="Times New Roman"/>
          <w:lang w:val="en-GB"/>
        </w:rPr>
        <w:t>-</w:t>
      </w:r>
      <w:proofErr w:type="spellStart"/>
      <w:r w:rsidRPr="000C5085">
        <w:rPr>
          <w:rFonts w:ascii="Times New Roman" w:eastAsia="Calibri" w:hAnsi="Times New Roman" w:cs="Times New Roman"/>
          <w:lang w:val="en-GB"/>
        </w:rPr>
        <w:t>Straße</w:t>
      </w:r>
      <w:proofErr w:type="spellEnd"/>
      <w:r w:rsidRPr="000C5085">
        <w:rPr>
          <w:rFonts w:ascii="Times New Roman" w:eastAsia="Calibri" w:hAnsi="Times New Roman" w:cs="Times New Roman"/>
          <w:lang w:val="en-GB"/>
        </w:rPr>
        <w:t xml:space="preserve"> 5</w:t>
      </w:r>
    </w:p>
    <w:p w14:paraId="5E158409"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lang w:val="en-GB"/>
        </w:rPr>
      </w:pPr>
      <w:r w:rsidRPr="000C5085">
        <w:rPr>
          <w:rFonts w:ascii="Times New Roman" w:eastAsia="Calibri" w:hAnsi="Times New Roman" w:cs="Times New Roman"/>
          <w:lang w:val="en-GB"/>
        </w:rPr>
        <w:t>D-27472 Cuxhaven</w:t>
      </w:r>
    </w:p>
    <w:p w14:paraId="7A773A5D"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lang w:val="en-GB"/>
        </w:rPr>
      </w:pPr>
      <w:proofErr w:type="spellStart"/>
      <w:r w:rsidRPr="000C5085">
        <w:rPr>
          <w:rFonts w:ascii="Times New Roman" w:eastAsia="Calibri" w:hAnsi="Times New Roman" w:cs="Times New Roman"/>
          <w:lang w:val="en-GB"/>
        </w:rPr>
        <w:t>Vokietija</w:t>
      </w:r>
      <w:proofErr w:type="spellEnd"/>
    </w:p>
    <w:p w14:paraId="4B06ED9B" w14:textId="77777777" w:rsidR="00611539" w:rsidRPr="000C5085" w:rsidRDefault="00611539" w:rsidP="000C5085">
      <w:pPr>
        <w:widowControl w:val="0"/>
        <w:spacing w:after="0" w:line="240" w:lineRule="auto"/>
        <w:rPr>
          <w:rFonts w:ascii="Times New Roman" w:eastAsia="Calibri" w:hAnsi="Times New Roman" w:cs="Times New Roman"/>
        </w:rPr>
      </w:pPr>
    </w:p>
    <w:p w14:paraId="63D63BD5" w14:textId="77777777" w:rsidR="00611539" w:rsidRPr="000C5085" w:rsidRDefault="00611539" w:rsidP="000C5085">
      <w:pPr>
        <w:widowControl w:val="0"/>
        <w:spacing w:after="0" w:line="240" w:lineRule="auto"/>
        <w:jc w:val="both"/>
        <w:rPr>
          <w:rFonts w:ascii="Times New Roman" w:eastAsia="Calibri" w:hAnsi="Times New Roman" w:cs="Times New Roman"/>
        </w:rPr>
      </w:pPr>
      <w:r w:rsidRPr="000C5085">
        <w:rPr>
          <w:rFonts w:ascii="Times New Roman" w:eastAsia="Calibri" w:hAnsi="Times New Roman" w:cs="Times New Roman"/>
        </w:rPr>
        <w:t>Su pakuote pateikiamame lapelyje nurodomas gamintojo, atsakingo už konkrečios serijos išleidimą, pavadinimas ir adresas.</w:t>
      </w:r>
    </w:p>
    <w:p w14:paraId="2CC24321" w14:textId="77777777" w:rsidR="00611539" w:rsidRPr="000C5085" w:rsidRDefault="00611539" w:rsidP="000C5085">
      <w:pPr>
        <w:widowControl w:val="0"/>
        <w:spacing w:after="0" w:line="240" w:lineRule="auto"/>
        <w:rPr>
          <w:rFonts w:ascii="Times New Roman" w:eastAsia="Calibri" w:hAnsi="Times New Roman" w:cs="Times New Roman"/>
        </w:rPr>
      </w:pPr>
    </w:p>
    <w:p w14:paraId="33962048" w14:textId="77777777" w:rsidR="00611539" w:rsidRPr="000C5085" w:rsidRDefault="00611539" w:rsidP="000C5085">
      <w:pPr>
        <w:widowControl w:val="0"/>
        <w:spacing w:after="0" w:line="240" w:lineRule="auto"/>
        <w:rPr>
          <w:rFonts w:ascii="Times New Roman" w:eastAsia="Calibri" w:hAnsi="Times New Roman" w:cs="Times New Roman"/>
        </w:rPr>
      </w:pPr>
    </w:p>
    <w:p w14:paraId="21613516" w14:textId="77777777" w:rsidR="00611539" w:rsidRPr="000C5085" w:rsidRDefault="00611539" w:rsidP="000C5085">
      <w:pPr>
        <w:widowControl w:val="0"/>
        <w:spacing w:after="0" w:line="240" w:lineRule="auto"/>
        <w:ind w:left="567" w:hanging="567"/>
        <w:rPr>
          <w:rFonts w:ascii="Times New Roman" w:eastAsia="Calibri" w:hAnsi="Times New Roman" w:cs="Times New Roman"/>
          <w:b/>
        </w:rPr>
      </w:pPr>
      <w:r w:rsidRPr="000C5085">
        <w:rPr>
          <w:rFonts w:ascii="Times New Roman" w:eastAsia="Calibri" w:hAnsi="Times New Roman" w:cs="Times New Roman"/>
          <w:b/>
        </w:rPr>
        <w:t>B.</w:t>
      </w:r>
      <w:r w:rsidRPr="000C5085">
        <w:rPr>
          <w:rFonts w:ascii="Times New Roman" w:eastAsia="Calibri" w:hAnsi="Times New Roman" w:cs="Times New Roman"/>
          <w:b/>
        </w:rPr>
        <w:tab/>
        <w:t>TIEKIMO IR VARTOJIMO SĄLYGOS AR APRIBOJIMAI</w:t>
      </w:r>
    </w:p>
    <w:p w14:paraId="293E590C" w14:textId="77777777" w:rsidR="00611539" w:rsidRPr="000C5085" w:rsidRDefault="00611539" w:rsidP="000C5085">
      <w:pPr>
        <w:widowControl w:val="0"/>
        <w:spacing w:after="0" w:line="240" w:lineRule="auto"/>
        <w:rPr>
          <w:rFonts w:ascii="Times New Roman" w:eastAsia="Calibri" w:hAnsi="Times New Roman" w:cs="Times New Roman"/>
        </w:rPr>
      </w:pPr>
    </w:p>
    <w:p w14:paraId="57EAE2D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Receptinis vaistinis preparatas.</w:t>
      </w:r>
    </w:p>
    <w:p w14:paraId="690D6F3A" w14:textId="77777777" w:rsidR="00611539" w:rsidRPr="000C5085" w:rsidRDefault="00611539" w:rsidP="000C5085">
      <w:pPr>
        <w:widowControl w:val="0"/>
        <w:spacing w:after="0" w:line="240" w:lineRule="auto"/>
        <w:rPr>
          <w:rFonts w:ascii="Times New Roman" w:eastAsia="Calibri" w:hAnsi="Times New Roman" w:cs="Times New Roman"/>
        </w:rPr>
      </w:pPr>
    </w:p>
    <w:p w14:paraId="43710074" w14:textId="77777777" w:rsidR="00611539" w:rsidRPr="000C5085" w:rsidRDefault="00611539" w:rsidP="000C5085">
      <w:pPr>
        <w:widowControl w:val="0"/>
        <w:spacing w:after="0" w:line="240" w:lineRule="auto"/>
        <w:rPr>
          <w:rFonts w:ascii="Times New Roman" w:eastAsia="Calibri" w:hAnsi="Times New Roman" w:cs="Times New Roman"/>
        </w:rPr>
      </w:pPr>
    </w:p>
    <w:p w14:paraId="612B29B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br w:type="page"/>
      </w:r>
    </w:p>
    <w:p w14:paraId="4FEB7D69" w14:textId="77777777" w:rsidR="00611539" w:rsidRPr="000C5085" w:rsidRDefault="00611539" w:rsidP="000C5085">
      <w:pPr>
        <w:widowControl w:val="0"/>
        <w:spacing w:after="0" w:line="240" w:lineRule="auto"/>
        <w:rPr>
          <w:rFonts w:ascii="Times New Roman" w:eastAsia="Calibri" w:hAnsi="Times New Roman" w:cs="Times New Roman"/>
        </w:rPr>
      </w:pPr>
    </w:p>
    <w:p w14:paraId="183706A1" w14:textId="77777777" w:rsidR="00611539" w:rsidRPr="000C5085" w:rsidRDefault="00611539" w:rsidP="000C5085">
      <w:pPr>
        <w:widowControl w:val="0"/>
        <w:spacing w:after="0" w:line="240" w:lineRule="auto"/>
        <w:rPr>
          <w:rFonts w:ascii="Times New Roman" w:eastAsia="Calibri" w:hAnsi="Times New Roman" w:cs="Times New Roman"/>
        </w:rPr>
      </w:pPr>
    </w:p>
    <w:p w14:paraId="12060E08" w14:textId="77777777" w:rsidR="00611539" w:rsidRPr="000C5085" w:rsidRDefault="00611539" w:rsidP="000C5085">
      <w:pPr>
        <w:widowControl w:val="0"/>
        <w:spacing w:after="0" w:line="240" w:lineRule="auto"/>
        <w:rPr>
          <w:rFonts w:ascii="Times New Roman" w:eastAsia="Calibri" w:hAnsi="Times New Roman" w:cs="Times New Roman"/>
        </w:rPr>
      </w:pPr>
    </w:p>
    <w:p w14:paraId="0D54FD96" w14:textId="77777777" w:rsidR="00611539" w:rsidRPr="000C5085" w:rsidRDefault="00611539" w:rsidP="000C5085">
      <w:pPr>
        <w:widowControl w:val="0"/>
        <w:spacing w:after="0" w:line="240" w:lineRule="auto"/>
        <w:rPr>
          <w:rFonts w:ascii="Times New Roman" w:eastAsia="Calibri" w:hAnsi="Times New Roman" w:cs="Times New Roman"/>
        </w:rPr>
      </w:pPr>
    </w:p>
    <w:p w14:paraId="10910B35" w14:textId="77777777" w:rsidR="00611539" w:rsidRPr="000C5085" w:rsidRDefault="00611539" w:rsidP="000C5085">
      <w:pPr>
        <w:widowControl w:val="0"/>
        <w:spacing w:after="0" w:line="240" w:lineRule="auto"/>
        <w:rPr>
          <w:rFonts w:ascii="Times New Roman" w:eastAsia="Calibri" w:hAnsi="Times New Roman" w:cs="Times New Roman"/>
        </w:rPr>
      </w:pPr>
    </w:p>
    <w:p w14:paraId="2767AE12" w14:textId="77777777" w:rsidR="00611539" w:rsidRPr="000C5085" w:rsidRDefault="00611539" w:rsidP="000C5085">
      <w:pPr>
        <w:widowControl w:val="0"/>
        <w:spacing w:after="0" w:line="240" w:lineRule="auto"/>
        <w:rPr>
          <w:rFonts w:ascii="Times New Roman" w:eastAsia="Calibri" w:hAnsi="Times New Roman" w:cs="Times New Roman"/>
        </w:rPr>
      </w:pPr>
    </w:p>
    <w:p w14:paraId="4F8DBCC2" w14:textId="77777777" w:rsidR="00611539" w:rsidRPr="000C5085" w:rsidRDefault="00611539" w:rsidP="000C5085">
      <w:pPr>
        <w:widowControl w:val="0"/>
        <w:spacing w:after="0" w:line="240" w:lineRule="auto"/>
        <w:rPr>
          <w:rFonts w:ascii="Times New Roman" w:eastAsia="Calibri" w:hAnsi="Times New Roman" w:cs="Times New Roman"/>
        </w:rPr>
      </w:pPr>
    </w:p>
    <w:p w14:paraId="0B8F3E9D" w14:textId="77777777" w:rsidR="00611539" w:rsidRPr="000C5085" w:rsidRDefault="00611539" w:rsidP="000C5085">
      <w:pPr>
        <w:widowControl w:val="0"/>
        <w:spacing w:after="0" w:line="240" w:lineRule="auto"/>
        <w:rPr>
          <w:rFonts w:ascii="Times New Roman" w:eastAsia="Calibri" w:hAnsi="Times New Roman" w:cs="Times New Roman"/>
        </w:rPr>
      </w:pPr>
    </w:p>
    <w:p w14:paraId="1161C23D" w14:textId="77777777" w:rsidR="00611539" w:rsidRPr="000C5085" w:rsidRDefault="00611539" w:rsidP="000C5085">
      <w:pPr>
        <w:widowControl w:val="0"/>
        <w:spacing w:after="0" w:line="240" w:lineRule="auto"/>
        <w:rPr>
          <w:rFonts w:ascii="Times New Roman" w:eastAsia="Calibri" w:hAnsi="Times New Roman" w:cs="Times New Roman"/>
        </w:rPr>
      </w:pPr>
    </w:p>
    <w:p w14:paraId="6E655049" w14:textId="77777777" w:rsidR="00611539" w:rsidRPr="000C5085" w:rsidRDefault="00611539" w:rsidP="000C5085">
      <w:pPr>
        <w:widowControl w:val="0"/>
        <w:spacing w:after="0" w:line="240" w:lineRule="auto"/>
        <w:rPr>
          <w:rFonts w:ascii="Times New Roman" w:eastAsia="Calibri" w:hAnsi="Times New Roman" w:cs="Times New Roman"/>
        </w:rPr>
      </w:pPr>
    </w:p>
    <w:p w14:paraId="3FC5EE37" w14:textId="77777777" w:rsidR="00611539" w:rsidRPr="000C5085" w:rsidRDefault="00611539" w:rsidP="000C5085">
      <w:pPr>
        <w:widowControl w:val="0"/>
        <w:spacing w:after="0" w:line="240" w:lineRule="auto"/>
        <w:rPr>
          <w:rFonts w:ascii="Times New Roman" w:eastAsia="Calibri" w:hAnsi="Times New Roman" w:cs="Times New Roman"/>
        </w:rPr>
      </w:pPr>
    </w:p>
    <w:p w14:paraId="27508AD3" w14:textId="77777777" w:rsidR="00611539" w:rsidRPr="000C5085" w:rsidRDefault="00611539" w:rsidP="000C5085">
      <w:pPr>
        <w:widowControl w:val="0"/>
        <w:spacing w:after="0" w:line="240" w:lineRule="auto"/>
        <w:rPr>
          <w:rFonts w:ascii="Times New Roman" w:eastAsia="Calibri" w:hAnsi="Times New Roman" w:cs="Times New Roman"/>
        </w:rPr>
      </w:pPr>
    </w:p>
    <w:p w14:paraId="57EA8822" w14:textId="77777777" w:rsidR="00611539" w:rsidRPr="000C5085" w:rsidRDefault="00611539" w:rsidP="000C5085">
      <w:pPr>
        <w:widowControl w:val="0"/>
        <w:spacing w:after="0" w:line="240" w:lineRule="auto"/>
        <w:rPr>
          <w:rFonts w:ascii="Times New Roman" w:eastAsia="Calibri" w:hAnsi="Times New Roman" w:cs="Times New Roman"/>
        </w:rPr>
      </w:pPr>
    </w:p>
    <w:p w14:paraId="5B756521" w14:textId="77777777" w:rsidR="00611539" w:rsidRPr="000C5085" w:rsidRDefault="00611539" w:rsidP="000C5085">
      <w:pPr>
        <w:widowControl w:val="0"/>
        <w:spacing w:after="0" w:line="240" w:lineRule="auto"/>
        <w:rPr>
          <w:rFonts w:ascii="Times New Roman" w:eastAsia="Calibri" w:hAnsi="Times New Roman" w:cs="Times New Roman"/>
        </w:rPr>
      </w:pPr>
    </w:p>
    <w:p w14:paraId="41B58897" w14:textId="77777777" w:rsidR="00611539" w:rsidRPr="000C5085" w:rsidRDefault="00611539" w:rsidP="000C5085">
      <w:pPr>
        <w:widowControl w:val="0"/>
        <w:spacing w:after="0" w:line="240" w:lineRule="auto"/>
        <w:rPr>
          <w:rFonts w:ascii="Times New Roman" w:eastAsia="Calibri" w:hAnsi="Times New Roman" w:cs="Times New Roman"/>
        </w:rPr>
      </w:pPr>
    </w:p>
    <w:p w14:paraId="6C45EE62" w14:textId="77777777" w:rsidR="00611539" w:rsidRPr="000C5085" w:rsidRDefault="00611539" w:rsidP="000C5085">
      <w:pPr>
        <w:widowControl w:val="0"/>
        <w:spacing w:after="0" w:line="240" w:lineRule="auto"/>
        <w:rPr>
          <w:rFonts w:ascii="Times New Roman" w:eastAsia="Calibri" w:hAnsi="Times New Roman" w:cs="Times New Roman"/>
        </w:rPr>
      </w:pPr>
    </w:p>
    <w:p w14:paraId="51D70429" w14:textId="77777777" w:rsidR="00611539" w:rsidRPr="000C5085" w:rsidRDefault="00611539" w:rsidP="000C5085">
      <w:pPr>
        <w:widowControl w:val="0"/>
        <w:spacing w:after="0" w:line="240" w:lineRule="auto"/>
        <w:rPr>
          <w:rFonts w:ascii="Times New Roman" w:eastAsia="Calibri" w:hAnsi="Times New Roman" w:cs="Times New Roman"/>
        </w:rPr>
      </w:pPr>
    </w:p>
    <w:p w14:paraId="40C77BBA" w14:textId="77777777" w:rsidR="00611539" w:rsidRPr="000C5085" w:rsidRDefault="00611539" w:rsidP="000C5085">
      <w:pPr>
        <w:widowControl w:val="0"/>
        <w:spacing w:after="0" w:line="240" w:lineRule="auto"/>
        <w:rPr>
          <w:rFonts w:ascii="Times New Roman" w:eastAsia="Calibri" w:hAnsi="Times New Roman" w:cs="Times New Roman"/>
        </w:rPr>
      </w:pPr>
    </w:p>
    <w:p w14:paraId="3FE25873" w14:textId="77777777" w:rsidR="00611539" w:rsidRPr="000C5085" w:rsidRDefault="00611539" w:rsidP="000C5085">
      <w:pPr>
        <w:widowControl w:val="0"/>
        <w:spacing w:after="0" w:line="240" w:lineRule="auto"/>
        <w:rPr>
          <w:rFonts w:ascii="Times New Roman" w:eastAsia="Calibri" w:hAnsi="Times New Roman" w:cs="Times New Roman"/>
        </w:rPr>
      </w:pPr>
    </w:p>
    <w:p w14:paraId="6968115C" w14:textId="77777777" w:rsidR="00611539" w:rsidRPr="000C5085" w:rsidRDefault="00611539" w:rsidP="000C5085">
      <w:pPr>
        <w:widowControl w:val="0"/>
        <w:spacing w:after="0" w:line="240" w:lineRule="auto"/>
        <w:rPr>
          <w:rFonts w:ascii="Times New Roman" w:eastAsia="Calibri" w:hAnsi="Times New Roman" w:cs="Times New Roman"/>
        </w:rPr>
      </w:pPr>
    </w:p>
    <w:p w14:paraId="586EF19A" w14:textId="77777777" w:rsidR="00611539" w:rsidRPr="000C5085" w:rsidRDefault="00611539" w:rsidP="000C5085">
      <w:pPr>
        <w:widowControl w:val="0"/>
        <w:spacing w:after="0" w:line="240" w:lineRule="auto"/>
        <w:rPr>
          <w:rFonts w:ascii="Times New Roman" w:eastAsia="Calibri" w:hAnsi="Times New Roman" w:cs="Times New Roman"/>
        </w:rPr>
      </w:pPr>
    </w:p>
    <w:p w14:paraId="33379276" w14:textId="77777777" w:rsidR="00611539" w:rsidRPr="000C5085" w:rsidRDefault="00611539" w:rsidP="000C5085">
      <w:pPr>
        <w:widowControl w:val="0"/>
        <w:spacing w:after="0" w:line="240" w:lineRule="auto"/>
        <w:rPr>
          <w:rFonts w:ascii="Times New Roman" w:eastAsia="Calibri" w:hAnsi="Times New Roman" w:cs="Times New Roman"/>
        </w:rPr>
      </w:pPr>
    </w:p>
    <w:p w14:paraId="75FA99D2" w14:textId="77777777" w:rsidR="00611539" w:rsidRPr="000C5085" w:rsidRDefault="00611539" w:rsidP="000C5085">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62" w:name="_Toc129243134"/>
      <w:bookmarkStart w:id="63" w:name="_Toc129243259"/>
      <w:r w:rsidRPr="000C5085">
        <w:rPr>
          <w:rFonts w:ascii="Times New Roman" w:eastAsia="Calibri" w:hAnsi="Times New Roman" w:cs="Times New Roman"/>
          <w:b/>
          <w:caps/>
        </w:rPr>
        <w:t>III PRIEDAS</w:t>
      </w:r>
      <w:bookmarkEnd w:id="62"/>
      <w:bookmarkEnd w:id="63"/>
    </w:p>
    <w:p w14:paraId="29EC0F24" w14:textId="77777777" w:rsidR="00611539" w:rsidRPr="000C5085" w:rsidRDefault="00611539" w:rsidP="000C5085">
      <w:pPr>
        <w:widowControl w:val="0"/>
        <w:spacing w:after="0" w:line="240" w:lineRule="auto"/>
        <w:rPr>
          <w:rFonts w:ascii="Times New Roman" w:eastAsia="Calibri" w:hAnsi="Times New Roman" w:cs="Times New Roman"/>
        </w:rPr>
      </w:pPr>
    </w:p>
    <w:p w14:paraId="600DA9AC" w14:textId="77777777" w:rsidR="00611539" w:rsidRPr="000C5085" w:rsidRDefault="00611539" w:rsidP="000C5085">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64" w:name="_Toc129243135"/>
      <w:bookmarkStart w:id="65" w:name="_Toc129243260"/>
      <w:r w:rsidRPr="000C5085">
        <w:rPr>
          <w:rFonts w:ascii="Times New Roman" w:eastAsia="Calibri" w:hAnsi="Times New Roman" w:cs="Times New Roman"/>
          <w:b/>
          <w:caps/>
        </w:rPr>
        <w:t>ŽENKLINIMAS IR PAKUOTĖS LAPELIS</w:t>
      </w:r>
      <w:bookmarkEnd w:id="64"/>
      <w:bookmarkEnd w:id="65"/>
    </w:p>
    <w:p w14:paraId="0733244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br w:type="page"/>
      </w:r>
    </w:p>
    <w:p w14:paraId="50033D69" w14:textId="77777777" w:rsidR="00611539" w:rsidRPr="000C5085" w:rsidRDefault="00611539" w:rsidP="000C5085">
      <w:pPr>
        <w:widowControl w:val="0"/>
        <w:spacing w:after="0" w:line="240" w:lineRule="auto"/>
        <w:rPr>
          <w:rFonts w:ascii="Times New Roman" w:eastAsia="Calibri" w:hAnsi="Times New Roman" w:cs="Times New Roman"/>
        </w:rPr>
      </w:pPr>
    </w:p>
    <w:p w14:paraId="2757D6E3" w14:textId="77777777" w:rsidR="00611539" w:rsidRPr="000C5085" w:rsidRDefault="00611539" w:rsidP="000C5085">
      <w:pPr>
        <w:widowControl w:val="0"/>
        <w:spacing w:after="0" w:line="240" w:lineRule="auto"/>
        <w:rPr>
          <w:rFonts w:ascii="Times New Roman" w:eastAsia="Calibri" w:hAnsi="Times New Roman" w:cs="Times New Roman"/>
        </w:rPr>
      </w:pPr>
    </w:p>
    <w:p w14:paraId="6FDB91F6" w14:textId="77777777" w:rsidR="00611539" w:rsidRPr="000C5085" w:rsidRDefault="00611539" w:rsidP="000C5085">
      <w:pPr>
        <w:widowControl w:val="0"/>
        <w:spacing w:after="0" w:line="240" w:lineRule="auto"/>
        <w:rPr>
          <w:rFonts w:ascii="Times New Roman" w:eastAsia="Calibri" w:hAnsi="Times New Roman" w:cs="Times New Roman"/>
        </w:rPr>
      </w:pPr>
    </w:p>
    <w:p w14:paraId="557B7FDB" w14:textId="77777777" w:rsidR="00611539" w:rsidRPr="000C5085" w:rsidRDefault="00611539" w:rsidP="000C5085">
      <w:pPr>
        <w:widowControl w:val="0"/>
        <w:spacing w:after="0" w:line="240" w:lineRule="auto"/>
        <w:rPr>
          <w:rFonts w:ascii="Times New Roman" w:eastAsia="Calibri" w:hAnsi="Times New Roman" w:cs="Times New Roman"/>
        </w:rPr>
      </w:pPr>
    </w:p>
    <w:p w14:paraId="7DE4C733" w14:textId="77777777" w:rsidR="00611539" w:rsidRPr="000C5085" w:rsidRDefault="00611539" w:rsidP="000C5085">
      <w:pPr>
        <w:widowControl w:val="0"/>
        <w:spacing w:after="0" w:line="240" w:lineRule="auto"/>
        <w:rPr>
          <w:rFonts w:ascii="Times New Roman" w:eastAsia="Calibri" w:hAnsi="Times New Roman" w:cs="Times New Roman"/>
        </w:rPr>
      </w:pPr>
    </w:p>
    <w:p w14:paraId="4CBAFD24" w14:textId="77777777" w:rsidR="00611539" w:rsidRPr="000C5085" w:rsidRDefault="00611539" w:rsidP="000C5085">
      <w:pPr>
        <w:widowControl w:val="0"/>
        <w:spacing w:after="0" w:line="240" w:lineRule="auto"/>
        <w:rPr>
          <w:rFonts w:ascii="Times New Roman" w:eastAsia="Calibri" w:hAnsi="Times New Roman" w:cs="Times New Roman"/>
        </w:rPr>
      </w:pPr>
    </w:p>
    <w:p w14:paraId="3C8E339B" w14:textId="77777777" w:rsidR="00611539" w:rsidRPr="000C5085" w:rsidRDefault="00611539" w:rsidP="000C5085">
      <w:pPr>
        <w:widowControl w:val="0"/>
        <w:spacing w:after="0" w:line="240" w:lineRule="auto"/>
        <w:rPr>
          <w:rFonts w:ascii="Times New Roman" w:eastAsia="Calibri" w:hAnsi="Times New Roman" w:cs="Times New Roman"/>
        </w:rPr>
      </w:pPr>
    </w:p>
    <w:p w14:paraId="365E9FDE" w14:textId="77777777" w:rsidR="00611539" w:rsidRPr="000C5085" w:rsidRDefault="00611539" w:rsidP="000C5085">
      <w:pPr>
        <w:widowControl w:val="0"/>
        <w:spacing w:after="0" w:line="240" w:lineRule="auto"/>
        <w:rPr>
          <w:rFonts w:ascii="Times New Roman" w:eastAsia="Calibri" w:hAnsi="Times New Roman" w:cs="Times New Roman"/>
        </w:rPr>
      </w:pPr>
    </w:p>
    <w:p w14:paraId="6727EA54" w14:textId="77777777" w:rsidR="00611539" w:rsidRPr="000C5085" w:rsidRDefault="00611539" w:rsidP="000C5085">
      <w:pPr>
        <w:widowControl w:val="0"/>
        <w:spacing w:after="0" w:line="240" w:lineRule="auto"/>
        <w:rPr>
          <w:rFonts w:ascii="Times New Roman" w:eastAsia="Calibri" w:hAnsi="Times New Roman" w:cs="Times New Roman"/>
        </w:rPr>
      </w:pPr>
    </w:p>
    <w:p w14:paraId="01557AD3" w14:textId="77777777" w:rsidR="00611539" w:rsidRPr="000C5085" w:rsidRDefault="00611539" w:rsidP="000C5085">
      <w:pPr>
        <w:widowControl w:val="0"/>
        <w:spacing w:after="0" w:line="240" w:lineRule="auto"/>
        <w:rPr>
          <w:rFonts w:ascii="Times New Roman" w:eastAsia="Calibri" w:hAnsi="Times New Roman" w:cs="Times New Roman"/>
        </w:rPr>
      </w:pPr>
    </w:p>
    <w:p w14:paraId="4755B01E" w14:textId="77777777" w:rsidR="00611539" w:rsidRPr="000C5085" w:rsidRDefault="00611539" w:rsidP="000C5085">
      <w:pPr>
        <w:widowControl w:val="0"/>
        <w:spacing w:after="0" w:line="240" w:lineRule="auto"/>
        <w:rPr>
          <w:rFonts w:ascii="Times New Roman" w:eastAsia="Calibri" w:hAnsi="Times New Roman" w:cs="Times New Roman"/>
        </w:rPr>
      </w:pPr>
    </w:p>
    <w:p w14:paraId="3D5242F8" w14:textId="77777777" w:rsidR="00611539" w:rsidRPr="000C5085" w:rsidRDefault="00611539" w:rsidP="000C5085">
      <w:pPr>
        <w:widowControl w:val="0"/>
        <w:spacing w:after="0" w:line="240" w:lineRule="auto"/>
        <w:rPr>
          <w:rFonts w:ascii="Times New Roman" w:eastAsia="Calibri" w:hAnsi="Times New Roman" w:cs="Times New Roman"/>
        </w:rPr>
      </w:pPr>
    </w:p>
    <w:p w14:paraId="17E001C2" w14:textId="77777777" w:rsidR="00611539" w:rsidRPr="000C5085" w:rsidRDefault="00611539" w:rsidP="000C5085">
      <w:pPr>
        <w:widowControl w:val="0"/>
        <w:spacing w:after="0" w:line="240" w:lineRule="auto"/>
        <w:rPr>
          <w:rFonts w:ascii="Times New Roman" w:eastAsia="Calibri" w:hAnsi="Times New Roman" w:cs="Times New Roman"/>
        </w:rPr>
      </w:pPr>
    </w:p>
    <w:p w14:paraId="07B024E7" w14:textId="77777777" w:rsidR="00611539" w:rsidRPr="000C5085" w:rsidRDefault="00611539" w:rsidP="000C5085">
      <w:pPr>
        <w:widowControl w:val="0"/>
        <w:spacing w:after="0" w:line="240" w:lineRule="auto"/>
        <w:rPr>
          <w:rFonts w:ascii="Times New Roman" w:eastAsia="Calibri" w:hAnsi="Times New Roman" w:cs="Times New Roman"/>
        </w:rPr>
      </w:pPr>
    </w:p>
    <w:p w14:paraId="0B8478F4" w14:textId="77777777" w:rsidR="00611539" w:rsidRPr="000C5085" w:rsidRDefault="00611539" w:rsidP="000C5085">
      <w:pPr>
        <w:widowControl w:val="0"/>
        <w:spacing w:after="0" w:line="240" w:lineRule="auto"/>
        <w:rPr>
          <w:rFonts w:ascii="Times New Roman" w:eastAsia="Calibri" w:hAnsi="Times New Roman" w:cs="Times New Roman"/>
        </w:rPr>
      </w:pPr>
    </w:p>
    <w:p w14:paraId="7420E39B" w14:textId="77777777" w:rsidR="00611539" w:rsidRPr="000C5085" w:rsidRDefault="00611539" w:rsidP="000C5085">
      <w:pPr>
        <w:widowControl w:val="0"/>
        <w:spacing w:after="0" w:line="240" w:lineRule="auto"/>
        <w:rPr>
          <w:rFonts w:ascii="Times New Roman" w:eastAsia="Calibri" w:hAnsi="Times New Roman" w:cs="Times New Roman"/>
        </w:rPr>
      </w:pPr>
    </w:p>
    <w:p w14:paraId="2CC8AFA4" w14:textId="77777777" w:rsidR="00611539" w:rsidRPr="000C5085" w:rsidRDefault="00611539" w:rsidP="000C5085">
      <w:pPr>
        <w:widowControl w:val="0"/>
        <w:spacing w:after="0" w:line="240" w:lineRule="auto"/>
        <w:rPr>
          <w:rFonts w:ascii="Times New Roman" w:eastAsia="Calibri" w:hAnsi="Times New Roman" w:cs="Times New Roman"/>
        </w:rPr>
      </w:pPr>
    </w:p>
    <w:p w14:paraId="2A06E3A5" w14:textId="77777777" w:rsidR="00611539" w:rsidRPr="000C5085" w:rsidRDefault="00611539" w:rsidP="000C5085">
      <w:pPr>
        <w:widowControl w:val="0"/>
        <w:spacing w:after="0" w:line="240" w:lineRule="auto"/>
        <w:rPr>
          <w:rFonts w:ascii="Times New Roman" w:eastAsia="Calibri" w:hAnsi="Times New Roman" w:cs="Times New Roman"/>
        </w:rPr>
      </w:pPr>
    </w:p>
    <w:p w14:paraId="65580C34" w14:textId="77777777" w:rsidR="00611539" w:rsidRPr="000C5085" w:rsidRDefault="00611539" w:rsidP="000C5085">
      <w:pPr>
        <w:widowControl w:val="0"/>
        <w:spacing w:after="0" w:line="240" w:lineRule="auto"/>
        <w:rPr>
          <w:rFonts w:ascii="Times New Roman" w:eastAsia="Calibri" w:hAnsi="Times New Roman" w:cs="Times New Roman"/>
        </w:rPr>
      </w:pPr>
    </w:p>
    <w:p w14:paraId="7DD909DE" w14:textId="77777777" w:rsidR="00611539" w:rsidRPr="000C5085" w:rsidRDefault="00611539" w:rsidP="000C5085">
      <w:pPr>
        <w:widowControl w:val="0"/>
        <w:spacing w:after="0" w:line="240" w:lineRule="auto"/>
        <w:rPr>
          <w:rFonts w:ascii="Times New Roman" w:eastAsia="Calibri" w:hAnsi="Times New Roman" w:cs="Times New Roman"/>
        </w:rPr>
      </w:pPr>
    </w:p>
    <w:p w14:paraId="0A5C87D5" w14:textId="77777777" w:rsidR="00611539" w:rsidRPr="000C5085" w:rsidRDefault="00611539" w:rsidP="000C5085">
      <w:pPr>
        <w:widowControl w:val="0"/>
        <w:spacing w:after="0" w:line="240" w:lineRule="auto"/>
        <w:rPr>
          <w:rFonts w:ascii="Times New Roman" w:eastAsia="Calibri" w:hAnsi="Times New Roman" w:cs="Times New Roman"/>
        </w:rPr>
      </w:pPr>
    </w:p>
    <w:p w14:paraId="1AD3A55D" w14:textId="77777777" w:rsidR="00611539" w:rsidRPr="000C5085" w:rsidRDefault="00611539" w:rsidP="000C5085">
      <w:pPr>
        <w:widowControl w:val="0"/>
        <w:spacing w:after="0" w:line="240" w:lineRule="auto"/>
        <w:rPr>
          <w:rFonts w:ascii="Times New Roman" w:eastAsia="Calibri" w:hAnsi="Times New Roman" w:cs="Times New Roman"/>
        </w:rPr>
      </w:pPr>
    </w:p>
    <w:p w14:paraId="447B8FFD" w14:textId="77777777" w:rsidR="00611539" w:rsidRPr="000C5085" w:rsidRDefault="00611539" w:rsidP="000C5085">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66" w:name="_Toc129243136"/>
      <w:bookmarkStart w:id="67" w:name="_Toc129243261"/>
      <w:r w:rsidRPr="000C5085">
        <w:rPr>
          <w:rFonts w:ascii="Times New Roman" w:eastAsia="Calibri" w:hAnsi="Times New Roman" w:cs="Times New Roman"/>
          <w:b/>
          <w:caps/>
        </w:rPr>
        <w:t>A. ŽENKLINIMAS</w:t>
      </w:r>
      <w:bookmarkEnd w:id="66"/>
      <w:bookmarkEnd w:id="67"/>
    </w:p>
    <w:p w14:paraId="534FC76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br w:type="page"/>
      </w:r>
    </w:p>
    <w:p w14:paraId="36A0D8B6" w14:textId="77777777" w:rsidR="00611539" w:rsidRPr="000C5085" w:rsidRDefault="00611539" w:rsidP="000C5085">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rPr>
      </w:pPr>
      <w:r w:rsidRPr="000C5085">
        <w:rPr>
          <w:rFonts w:ascii="Times New Roman" w:eastAsia="Calibri" w:hAnsi="Times New Roman" w:cs="Times New Roman"/>
          <w:b/>
        </w:rPr>
        <w:lastRenderedPageBreak/>
        <w:t>INFORMACIJA ANT IŠORINĖS PAKUOTĖS</w:t>
      </w:r>
    </w:p>
    <w:p w14:paraId="53A69D5A" w14:textId="77777777" w:rsidR="00611539" w:rsidRPr="000C5085" w:rsidRDefault="00611539" w:rsidP="000C5085">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rPr>
      </w:pPr>
    </w:p>
    <w:p w14:paraId="39EF5A5D" w14:textId="77777777" w:rsidR="00611539" w:rsidRPr="000C5085" w:rsidRDefault="00611539" w:rsidP="000C5085">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rPr>
      </w:pPr>
      <w:r w:rsidRPr="000C5085">
        <w:rPr>
          <w:rFonts w:ascii="Times New Roman" w:eastAsia="Calibri" w:hAnsi="Times New Roman" w:cs="Times New Roman"/>
          <w:b/>
        </w:rPr>
        <w:t>KARTONO DĖŽUTĖ</w:t>
      </w:r>
    </w:p>
    <w:p w14:paraId="2E6A855E" w14:textId="77777777" w:rsidR="00611539" w:rsidRPr="000C5085" w:rsidRDefault="00611539" w:rsidP="000C5085">
      <w:pPr>
        <w:widowControl w:val="0"/>
        <w:spacing w:after="0" w:line="240" w:lineRule="auto"/>
        <w:rPr>
          <w:rFonts w:ascii="Times New Roman" w:eastAsia="Calibri" w:hAnsi="Times New Roman" w:cs="Times New Roman"/>
        </w:rPr>
      </w:pPr>
    </w:p>
    <w:p w14:paraId="478B29FC" w14:textId="77777777" w:rsidR="00611539" w:rsidRPr="000C5085" w:rsidRDefault="00611539" w:rsidP="000C5085">
      <w:pPr>
        <w:widowControl w:val="0"/>
        <w:spacing w:after="0" w:line="240" w:lineRule="auto"/>
        <w:rPr>
          <w:rFonts w:ascii="Times New Roman" w:eastAsia="Calibri" w:hAnsi="Times New Roman" w:cs="Times New Roman"/>
        </w:rPr>
      </w:pPr>
    </w:p>
    <w:p w14:paraId="40D68349"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w:t>
      </w:r>
      <w:r w:rsidRPr="000C5085">
        <w:rPr>
          <w:rFonts w:ascii="Times New Roman" w:eastAsia="Calibri" w:hAnsi="Times New Roman" w:cs="Times New Roman"/>
          <w:b/>
        </w:rPr>
        <w:tab/>
        <w:t>VAISTINIO PREPARATO PAVADINIMAS</w:t>
      </w:r>
    </w:p>
    <w:p w14:paraId="00776017" w14:textId="77777777" w:rsidR="00611539" w:rsidRPr="000C5085" w:rsidRDefault="00611539" w:rsidP="000C5085">
      <w:pPr>
        <w:widowControl w:val="0"/>
        <w:spacing w:after="0" w:line="240" w:lineRule="auto"/>
        <w:rPr>
          <w:rFonts w:ascii="Times New Roman" w:eastAsia="Calibri" w:hAnsi="Times New Roman" w:cs="Times New Roman"/>
        </w:rPr>
      </w:pPr>
    </w:p>
    <w:p w14:paraId="7EADFA4A"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2,5 mg plėvele dengtos tabletės</w:t>
      </w:r>
    </w:p>
    <w:p w14:paraId="7367E1F7" w14:textId="77777777" w:rsidR="00611539" w:rsidRPr="000C5085" w:rsidRDefault="00EA69B9" w:rsidP="000C5085">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w:t>
      </w:r>
      <w:r w:rsidR="00611539" w:rsidRPr="000C5085">
        <w:rPr>
          <w:rFonts w:ascii="Times New Roman" w:eastAsia="Calibri" w:hAnsi="Times New Roman" w:cs="Times New Roman"/>
        </w:rPr>
        <w:t>etrozolas</w:t>
      </w:r>
      <w:proofErr w:type="spellEnd"/>
    </w:p>
    <w:p w14:paraId="7354BA7C" w14:textId="77777777" w:rsidR="00611539" w:rsidRPr="000C5085" w:rsidRDefault="00611539" w:rsidP="000C5085">
      <w:pPr>
        <w:widowControl w:val="0"/>
        <w:spacing w:after="0" w:line="240" w:lineRule="auto"/>
        <w:rPr>
          <w:rFonts w:ascii="Times New Roman" w:eastAsia="Calibri" w:hAnsi="Times New Roman" w:cs="Times New Roman"/>
        </w:rPr>
      </w:pPr>
    </w:p>
    <w:p w14:paraId="14832DB2" w14:textId="77777777" w:rsidR="00611539" w:rsidRPr="000C5085" w:rsidRDefault="00611539" w:rsidP="000C5085">
      <w:pPr>
        <w:widowControl w:val="0"/>
        <w:spacing w:after="0" w:line="240" w:lineRule="auto"/>
        <w:rPr>
          <w:rFonts w:ascii="Times New Roman" w:eastAsia="Calibri" w:hAnsi="Times New Roman" w:cs="Times New Roman"/>
        </w:rPr>
      </w:pPr>
    </w:p>
    <w:p w14:paraId="077CC8E1"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2.</w:t>
      </w:r>
      <w:r w:rsidRPr="000C5085">
        <w:rPr>
          <w:rFonts w:ascii="Times New Roman" w:eastAsia="Calibri" w:hAnsi="Times New Roman" w:cs="Times New Roman"/>
          <w:b/>
        </w:rPr>
        <w:tab/>
        <w:t>VEIKLIOJI (-IOS) MEDŽIAGA (-OS) IR JOS (-Ų) KIEKIS (-IAI)</w:t>
      </w:r>
    </w:p>
    <w:p w14:paraId="59331097" w14:textId="77777777" w:rsidR="00611539" w:rsidRPr="000C5085" w:rsidRDefault="00611539" w:rsidP="000C5085">
      <w:pPr>
        <w:widowControl w:val="0"/>
        <w:spacing w:after="0" w:line="240" w:lineRule="auto"/>
        <w:rPr>
          <w:rFonts w:ascii="Times New Roman" w:eastAsia="Calibri" w:hAnsi="Times New Roman" w:cs="Times New Roman"/>
        </w:rPr>
      </w:pPr>
    </w:p>
    <w:p w14:paraId="17105B2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Kiekvienoje plėvele dengtoje tabletėje yra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p w14:paraId="6986C3E2" w14:textId="77777777" w:rsidR="00611539" w:rsidRPr="000C5085" w:rsidRDefault="00611539" w:rsidP="000C5085">
      <w:pPr>
        <w:widowControl w:val="0"/>
        <w:spacing w:after="0" w:line="240" w:lineRule="auto"/>
        <w:rPr>
          <w:rFonts w:ascii="Times New Roman" w:eastAsia="Calibri" w:hAnsi="Times New Roman" w:cs="Times New Roman"/>
        </w:rPr>
      </w:pPr>
    </w:p>
    <w:p w14:paraId="72159C93" w14:textId="77777777" w:rsidR="00611539" w:rsidRPr="000C5085" w:rsidRDefault="00611539" w:rsidP="000C5085">
      <w:pPr>
        <w:widowControl w:val="0"/>
        <w:spacing w:after="0" w:line="240" w:lineRule="auto"/>
        <w:rPr>
          <w:rFonts w:ascii="Times New Roman" w:eastAsia="Calibri" w:hAnsi="Times New Roman" w:cs="Times New Roman"/>
        </w:rPr>
      </w:pPr>
    </w:p>
    <w:p w14:paraId="4224ADAF"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highlight w:val="lightGray"/>
        </w:rPr>
      </w:pPr>
      <w:r w:rsidRPr="000C5085">
        <w:rPr>
          <w:rFonts w:ascii="Times New Roman" w:eastAsia="Calibri" w:hAnsi="Times New Roman" w:cs="Times New Roman"/>
          <w:b/>
        </w:rPr>
        <w:t>3.</w:t>
      </w:r>
      <w:r w:rsidRPr="000C5085">
        <w:rPr>
          <w:rFonts w:ascii="Times New Roman" w:eastAsia="Calibri" w:hAnsi="Times New Roman" w:cs="Times New Roman"/>
          <w:b/>
        </w:rPr>
        <w:tab/>
        <w:t>PAGALBINIŲ MEDŽIAGŲ SĄRAŠAS</w:t>
      </w:r>
    </w:p>
    <w:p w14:paraId="1427FD33" w14:textId="77777777" w:rsidR="00611539" w:rsidRPr="000C5085" w:rsidRDefault="00611539" w:rsidP="000C5085">
      <w:pPr>
        <w:widowControl w:val="0"/>
        <w:spacing w:after="0" w:line="240" w:lineRule="auto"/>
        <w:rPr>
          <w:rFonts w:ascii="Times New Roman" w:eastAsia="Calibri" w:hAnsi="Times New Roman" w:cs="Times New Roman"/>
        </w:rPr>
      </w:pPr>
    </w:p>
    <w:p w14:paraId="5D29533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Sudėtyje yra laktozės </w:t>
      </w:r>
      <w:proofErr w:type="spellStart"/>
      <w:r w:rsidRPr="000C5085">
        <w:rPr>
          <w:rFonts w:ascii="Times New Roman" w:eastAsia="Calibri" w:hAnsi="Times New Roman" w:cs="Times New Roman"/>
        </w:rPr>
        <w:t>monohidrato</w:t>
      </w:r>
      <w:proofErr w:type="spellEnd"/>
      <w:r w:rsidRPr="000C5085">
        <w:rPr>
          <w:rFonts w:ascii="Times New Roman" w:eastAsia="Calibri" w:hAnsi="Times New Roman" w:cs="Times New Roman"/>
        </w:rPr>
        <w:t>. Daugiau informacijos pateikta pakuotės lapelyje.</w:t>
      </w:r>
    </w:p>
    <w:p w14:paraId="156A159D" w14:textId="77777777" w:rsidR="00611539" w:rsidRPr="000C5085" w:rsidRDefault="00611539" w:rsidP="000C5085">
      <w:pPr>
        <w:widowControl w:val="0"/>
        <w:spacing w:after="0" w:line="240" w:lineRule="auto"/>
        <w:rPr>
          <w:rFonts w:ascii="Times New Roman" w:eastAsia="Calibri" w:hAnsi="Times New Roman" w:cs="Times New Roman"/>
        </w:rPr>
      </w:pPr>
    </w:p>
    <w:p w14:paraId="21CBD718" w14:textId="77777777" w:rsidR="00611539" w:rsidRPr="000C5085" w:rsidRDefault="00611539" w:rsidP="000C5085">
      <w:pPr>
        <w:widowControl w:val="0"/>
        <w:spacing w:after="0" w:line="240" w:lineRule="auto"/>
        <w:rPr>
          <w:rFonts w:ascii="Times New Roman" w:eastAsia="Calibri" w:hAnsi="Times New Roman" w:cs="Times New Roman"/>
        </w:rPr>
      </w:pPr>
    </w:p>
    <w:p w14:paraId="240769E5"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4.</w:t>
      </w:r>
      <w:r w:rsidRPr="000C5085">
        <w:rPr>
          <w:rFonts w:ascii="Times New Roman" w:eastAsia="Calibri" w:hAnsi="Times New Roman" w:cs="Times New Roman"/>
          <w:b/>
        </w:rPr>
        <w:tab/>
        <w:t>FARMACINĖ FORMA IR KIEKIS PAKUOTĖJE</w:t>
      </w:r>
    </w:p>
    <w:p w14:paraId="4B76362E" w14:textId="77777777" w:rsidR="00611539" w:rsidRPr="000C5085" w:rsidRDefault="00611539" w:rsidP="000C5085">
      <w:pPr>
        <w:widowControl w:val="0"/>
        <w:spacing w:after="0" w:line="240" w:lineRule="auto"/>
        <w:rPr>
          <w:rFonts w:ascii="Times New Roman" w:eastAsia="Calibri" w:hAnsi="Times New Roman" w:cs="Times New Roman"/>
        </w:rPr>
      </w:pPr>
    </w:p>
    <w:p w14:paraId="1109613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highlight w:val="lightGray"/>
        </w:rPr>
        <w:t>plėvele dengta tabletė</w:t>
      </w:r>
    </w:p>
    <w:p w14:paraId="2FE296E1" w14:textId="77777777" w:rsidR="00611539" w:rsidRPr="000C5085" w:rsidRDefault="00611539" w:rsidP="000C5085">
      <w:pPr>
        <w:widowControl w:val="0"/>
        <w:spacing w:after="0" w:line="240" w:lineRule="auto"/>
        <w:rPr>
          <w:rFonts w:ascii="Times New Roman" w:eastAsia="Calibri" w:hAnsi="Times New Roman" w:cs="Times New Roman"/>
        </w:rPr>
      </w:pPr>
    </w:p>
    <w:p w14:paraId="22C2F5C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10 plėvele dengtų tablečių</w:t>
      </w:r>
    </w:p>
    <w:p w14:paraId="2C5C9EED"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14 plėvele dengtų tablečių</w:t>
      </w:r>
    </w:p>
    <w:p w14:paraId="7849C1B0"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28 plėvele dengtos tabletės</w:t>
      </w:r>
    </w:p>
    <w:p w14:paraId="409863BD"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30 plėvele dengtų tablečių</w:t>
      </w:r>
    </w:p>
    <w:p w14:paraId="31372B98"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50 plėvele dengtų tablečių</w:t>
      </w:r>
    </w:p>
    <w:p w14:paraId="2C902935"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60 plėvele dengtų tablečių</w:t>
      </w:r>
    </w:p>
    <w:p w14:paraId="31899891"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84 plėvele dengtos tabletės</w:t>
      </w:r>
    </w:p>
    <w:p w14:paraId="06AEC301"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90 plėvele dengtų tablečių</w:t>
      </w:r>
    </w:p>
    <w:p w14:paraId="797BA60C"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98 plėvele dengtos tabletės</w:t>
      </w:r>
    </w:p>
    <w:p w14:paraId="179E0C67" w14:textId="77777777" w:rsidR="00611539" w:rsidRPr="000C5085" w:rsidRDefault="00611539" w:rsidP="000C5085">
      <w:pPr>
        <w:widowControl w:val="0"/>
        <w:spacing w:after="0" w:line="240" w:lineRule="auto"/>
        <w:rPr>
          <w:rFonts w:ascii="Times New Roman" w:eastAsia="Calibri" w:hAnsi="Times New Roman" w:cs="Times New Roman"/>
          <w:highlight w:val="lightGray"/>
        </w:rPr>
      </w:pPr>
      <w:r w:rsidRPr="000C5085">
        <w:rPr>
          <w:rFonts w:ascii="Times New Roman" w:eastAsia="Calibri" w:hAnsi="Times New Roman" w:cs="Times New Roman"/>
          <w:highlight w:val="lightGray"/>
        </w:rPr>
        <w:t>100 plėvele dengtų tablečių</w:t>
      </w:r>
    </w:p>
    <w:p w14:paraId="254E9094" w14:textId="77777777" w:rsidR="00611539" w:rsidRPr="000C5085" w:rsidRDefault="00611539" w:rsidP="000C5085">
      <w:pPr>
        <w:widowControl w:val="0"/>
        <w:spacing w:after="0" w:line="240" w:lineRule="auto"/>
        <w:rPr>
          <w:rFonts w:ascii="Times New Roman" w:eastAsia="Calibri" w:hAnsi="Times New Roman" w:cs="Times New Roman"/>
        </w:rPr>
      </w:pPr>
    </w:p>
    <w:p w14:paraId="520D4A57" w14:textId="77777777" w:rsidR="00611539" w:rsidRPr="000C5085" w:rsidRDefault="00611539" w:rsidP="000C5085">
      <w:pPr>
        <w:widowControl w:val="0"/>
        <w:spacing w:after="0" w:line="240" w:lineRule="auto"/>
        <w:rPr>
          <w:rFonts w:ascii="Times New Roman" w:eastAsia="Calibri" w:hAnsi="Times New Roman" w:cs="Times New Roman"/>
        </w:rPr>
      </w:pPr>
    </w:p>
    <w:p w14:paraId="62E9DDDF"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highlight w:val="lightGray"/>
        </w:rPr>
      </w:pPr>
      <w:r w:rsidRPr="000C5085">
        <w:rPr>
          <w:rFonts w:ascii="Times New Roman" w:eastAsia="Calibri" w:hAnsi="Times New Roman" w:cs="Times New Roman"/>
          <w:b/>
        </w:rPr>
        <w:t>5.</w:t>
      </w:r>
      <w:r w:rsidRPr="000C5085">
        <w:rPr>
          <w:rFonts w:ascii="Times New Roman" w:eastAsia="Calibri" w:hAnsi="Times New Roman" w:cs="Times New Roman"/>
          <w:b/>
        </w:rPr>
        <w:tab/>
        <w:t>VARTOJIMO METODAS IR BŪDAS (-AI)</w:t>
      </w:r>
    </w:p>
    <w:p w14:paraId="40F18DED" w14:textId="77777777" w:rsidR="00611539" w:rsidRPr="000C5085" w:rsidRDefault="00611539" w:rsidP="000C5085">
      <w:pPr>
        <w:widowControl w:val="0"/>
        <w:spacing w:after="0" w:line="240" w:lineRule="auto"/>
        <w:rPr>
          <w:rFonts w:ascii="Times New Roman" w:eastAsia="Calibri" w:hAnsi="Times New Roman" w:cs="Times New Roman"/>
        </w:rPr>
      </w:pPr>
    </w:p>
    <w:p w14:paraId="0DDE95B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Prieš vartojimą perskaitykite pakuotės lapelį.</w:t>
      </w:r>
    </w:p>
    <w:p w14:paraId="2F2348E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Vartoti per burną.</w:t>
      </w:r>
    </w:p>
    <w:p w14:paraId="77B1A10F" w14:textId="77777777" w:rsidR="00611539" w:rsidRPr="000C5085" w:rsidRDefault="00611539" w:rsidP="000C5085">
      <w:pPr>
        <w:widowControl w:val="0"/>
        <w:spacing w:after="0" w:line="240" w:lineRule="auto"/>
        <w:rPr>
          <w:rFonts w:ascii="Times New Roman" w:eastAsia="Calibri" w:hAnsi="Times New Roman" w:cs="Times New Roman"/>
        </w:rPr>
      </w:pPr>
    </w:p>
    <w:p w14:paraId="747CAB0A" w14:textId="77777777" w:rsidR="00611539" w:rsidRPr="000C5085" w:rsidRDefault="00611539" w:rsidP="000C5085">
      <w:pPr>
        <w:widowControl w:val="0"/>
        <w:spacing w:after="0" w:line="240" w:lineRule="auto"/>
        <w:rPr>
          <w:rFonts w:ascii="Times New Roman" w:eastAsia="Calibri" w:hAnsi="Times New Roman" w:cs="Times New Roman"/>
        </w:rPr>
      </w:pPr>
    </w:p>
    <w:p w14:paraId="6DBAA2BB"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6.</w:t>
      </w:r>
      <w:r w:rsidRPr="000C5085">
        <w:rPr>
          <w:rFonts w:ascii="Times New Roman" w:eastAsia="Calibri" w:hAnsi="Times New Roman" w:cs="Times New Roman"/>
          <w:b/>
        </w:rPr>
        <w:tab/>
        <w:t>SPECIALUS ĮSPĖJIMAS, KAD VAISTINĮ PREPARATĄ BŪTINA LAIKYTI VAIKAMS NEPASTEBIMOJE IR NEPASIEKIAMOJE VIETOJE</w:t>
      </w:r>
    </w:p>
    <w:p w14:paraId="2C01C2C4" w14:textId="77777777" w:rsidR="00611539" w:rsidRPr="000C5085" w:rsidRDefault="00611539" w:rsidP="000C5085">
      <w:pPr>
        <w:widowControl w:val="0"/>
        <w:spacing w:after="0" w:line="240" w:lineRule="auto"/>
        <w:rPr>
          <w:rFonts w:ascii="Times New Roman" w:eastAsia="Calibri" w:hAnsi="Times New Roman" w:cs="Times New Roman"/>
        </w:rPr>
      </w:pPr>
    </w:p>
    <w:p w14:paraId="5A99A32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Laikyti vaikams nepastebimoje ir nepasiekiamoje vietoje.</w:t>
      </w:r>
    </w:p>
    <w:p w14:paraId="53151A16" w14:textId="77777777" w:rsidR="00611539" w:rsidRPr="000C5085" w:rsidRDefault="00611539" w:rsidP="000C5085">
      <w:pPr>
        <w:widowControl w:val="0"/>
        <w:spacing w:after="0" w:line="240" w:lineRule="auto"/>
        <w:rPr>
          <w:rFonts w:ascii="Times New Roman" w:eastAsia="Calibri" w:hAnsi="Times New Roman" w:cs="Times New Roman"/>
        </w:rPr>
      </w:pPr>
    </w:p>
    <w:p w14:paraId="6B968EB0" w14:textId="77777777" w:rsidR="00611539" w:rsidRPr="000C5085" w:rsidRDefault="00611539" w:rsidP="000C5085">
      <w:pPr>
        <w:widowControl w:val="0"/>
        <w:spacing w:after="0" w:line="240" w:lineRule="auto"/>
        <w:rPr>
          <w:rFonts w:ascii="Times New Roman" w:eastAsia="Calibri" w:hAnsi="Times New Roman" w:cs="Times New Roman"/>
        </w:rPr>
      </w:pPr>
    </w:p>
    <w:p w14:paraId="09ECE7D5"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highlight w:val="lightGray"/>
        </w:rPr>
      </w:pPr>
      <w:r w:rsidRPr="000C5085">
        <w:rPr>
          <w:rFonts w:ascii="Times New Roman" w:eastAsia="Calibri" w:hAnsi="Times New Roman" w:cs="Times New Roman"/>
          <w:b/>
        </w:rPr>
        <w:t>7.</w:t>
      </w:r>
      <w:r w:rsidRPr="000C5085">
        <w:rPr>
          <w:rFonts w:ascii="Times New Roman" w:eastAsia="Calibri" w:hAnsi="Times New Roman" w:cs="Times New Roman"/>
          <w:b/>
        </w:rPr>
        <w:tab/>
        <w:t>KITAS (-I) SPECIALUS (-ŪS) ĮSPĖJIMAS (-AI) (JEI REIKIA)</w:t>
      </w:r>
    </w:p>
    <w:p w14:paraId="60868D73" w14:textId="77777777" w:rsidR="00611539" w:rsidRPr="000C5085" w:rsidRDefault="00611539" w:rsidP="000C5085">
      <w:pPr>
        <w:widowControl w:val="0"/>
        <w:spacing w:after="0" w:line="240" w:lineRule="auto"/>
        <w:rPr>
          <w:rFonts w:ascii="Times New Roman" w:eastAsia="Calibri" w:hAnsi="Times New Roman" w:cs="Times New Roman"/>
        </w:rPr>
      </w:pPr>
    </w:p>
    <w:p w14:paraId="24ED6206" w14:textId="77777777" w:rsidR="00611539" w:rsidRPr="000C5085" w:rsidRDefault="00611539" w:rsidP="000C5085">
      <w:pPr>
        <w:widowControl w:val="0"/>
        <w:spacing w:after="0" w:line="240" w:lineRule="auto"/>
        <w:rPr>
          <w:rFonts w:ascii="Times New Roman" w:eastAsia="Calibri" w:hAnsi="Times New Roman" w:cs="Times New Roman"/>
        </w:rPr>
      </w:pPr>
    </w:p>
    <w:p w14:paraId="41D65393"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highlight w:val="lightGray"/>
        </w:rPr>
      </w:pPr>
      <w:r w:rsidRPr="000C5085">
        <w:rPr>
          <w:rFonts w:ascii="Times New Roman" w:eastAsia="Calibri" w:hAnsi="Times New Roman" w:cs="Times New Roman"/>
          <w:b/>
        </w:rPr>
        <w:t>8.</w:t>
      </w:r>
      <w:r w:rsidRPr="000C5085">
        <w:rPr>
          <w:rFonts w:ascii="Times New Roman" w:eastAsia="Calibri" w:hAnsi="Times New Roman" w:cs="Times New Roman"/>
          <w:b/>
        </w:rPr>
        <w:tab/>
        <w:t>TINKAMUMO LAIKAS</w:t>
      </w:r>
    </w:p>
    <w:p w14:paraId="56510E9C" w14:textId="77777777" w:rsidR="00611539" w:rsidRPr="000C5085" w:rsidRDefault="00611539" w:rsidP="008100DF">
      <w:pPr>
        <w:widowControl w:val="0"/>
        <w:tabs>
          <w:tab w:val="left" w:pos="567"/>
        </w:tabs>
        <w:spacing w:after="0" w:line="240" w:lineRule="auto"/>
        <w:rPr>
          <w:rFonts w:ascii="Times New Roman" w:eastAsia="Calibri" w:hAnsi="Times New Roman" w:cs="Times New Roman"/>
        </w:rPr>
      </w:pPr>
    </w:p>
    <w:p w14:paraId="7EAA5933" w14:textId="77777777" w:rsidR="00A60FDE" w:rsidRPr="000C5085" w:rsidRDefault="00A60FDE"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lastRenderedPageBreak/>
        <w:t>EXP (mm/MMMM)</w:t>
      </w:r>
    </w:p>
    <w:p w14:paraId="682CF442" w14:textId="77777777" w:rsidR="00611539" w:rsidRPr="000C5085" w:rsidRDefault="00611539" w:rsidP="000C5085">
      <w:pPr>
        <w:widowControl w:val="0"/>
        <w:spacing w:after="0" w:line="240" w:lineRule="auto"/>
        <w:rPr>
          <w:rFonts w:ascii="Times New Roman" w:eastAsia="Calibri" w:hAnsi="Times New Roman" w:cs="Times New Roman"/>
        </w:rPr>
      </w:pPr>
      <w:r w:rsidRPr="008100DF">
        <w:rPr>
          <w:rFonts w:ascii="Times New Roman" w:eastAsia="Calibri" w:hAnsi="Times New Roman" w:cs="Times New Roman"/>
          <w:highlight w:val="lightGray"/>
        </w:rPr>
        <w:t>Tinka iki (mm/MMMM)</w:t>
      </w:r>
    </w:p>
    <w:p w14:paraId="1FA37633" w14:textId="77777777" w:rsidR="00611539" w:rsidRPr="000C5085" w:rsidRDefault="00611539" w:rsidP="000C5085">
      <w:pPr>
        <w:widowControl w:val="0"/>
        <w:spacing w:after="0" w:line="240" w:lineRule="auto"/>
        <w:rPr>
          <w:rFonts w:ascii="Times New Roman" w:eastAsia="Calibri" w:hAnsi="Times New Roman" w:cs="Times New Roman"/>
        </w:rPr>
      </w:pPr>
    </w:p>
    <w:p w14:paraId="5CFA3D6B" w14:textId="77777777" w:rsidR="00611539" w:rsidRPr="000C5085" w:rsidRDefault="00611539" w:rsidP="000C5085">
      <w:pPr>
        <w:widowControl w:val="0"/>
        <w:spacing w:after="0" w:line="240" w:lineRule="auto"/>
        <w:rPr>
          <w:rFonts w:ascii="Times New Roman" w:eastAsia="Calibri" w:hAnsi="Times New Roman" w:cs="Times New Roman"/>
        </w:rPr>
      </w:pPr>
    </w:p>
    <w:p w14:paraId="0713293C"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9.</w:t>
      </w:r>
      <w:r w:rsidRPr="000C5085">
        <w:rPr>
          <w:rFonts w:ascii="Times New Roman" w:eastAsia="Calibri" w:hAnsi="Times New Roman" w:cs="Times New Roman"/>
          <w:b/>
        </w:rPr>
        <w:tab/>
        <w:t>SPECIALIOS LAIKYMO SĄLYGOS</w:t>
      </w:r>
    </w:p>
    <w:p w14:paraId="0521A3D7" w14:textId="77777777" w:rsidR="00611539" w:rsidRPr="000C5085" w:rsidRDefault="00611539" w:rsidP="000C5085">
      <w:pPr>
        <w:widowControl w:val="0"/>
        <w:spacing w:after="0" w:line="240" w:lineRule="auto"/>
        <w:rPr>
          <w:rFonts w:ascii="Times New Roman" w:eastAsia="Calibri" w:hAnsi="Times New Roman" w:cs="Times New Roman"/>
        </w:rPr>
      </w:pPr>
    </w:p>
    <w:p w14:paraId="769715B1" w14:textId="77777777" w:rsidR="00611539" w:rsidRPr="000C5085" w:rsidRDefault="00611539" w:rsidP="000C5085">
      <w:pPr>
        <w:widowControl w:val="0"/>
        <w:spacing w:after="0" w:line="240" w:lineRule="auto"/>
        <w:rPr>
          <w:rFonts w:ascii="Times New Roman" w:eastAsia="Calibri" w:hAnsi="Times New Roman" w:cs="Times New Roman"/>
        </w:rPr>
      </w:pPr>
    </w:p>
    <w:p w14:paraId="1D28160C"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10.</w:t>
      </w:r>
      <w:r w:rsidRPr="000C5085">
        <w:rPr>
          <w:rFonts w:ascii="Times New Roman" w:eastAsia="Calibri" w:hAnsi="Times New Roman" w:cs="Times New Roman"/>
          <w:b/>
        </w:rPr>
        <w:tab/>
        <w:t>SPECIALIOS ATSARGUMO PRIEMONĖS DĖL NESUVARTOTO VAISTINIO PREPARATO AR JO ATLIEKŲ TVARKYMO (JEI REIKIA)</w:t>
      </w:r>
    </w:p>
    <w:p w14:paraId="25E28FD2" w14:textId="77777777" w:rsidR="00611539" w:rsidRPr="000C5085" w:rsidRDefault="00611539" w:rsidP="000C5085">
      <w:pPr>
        <w:widowControl w:val="0"/>
        <w:spacing w:after="0" w:line="240" w:lineRule="auto"/>
        <w:rPr>
          <w:rFonts w:ascii="Times New Roman" w:eastAsia="Calibri" w:hAnsi="Times New Roman" w:cs="Times New Roman"/>
        </w:rPr>
      </w:pPr>
    </w:p>
    <w:p w14:paraId="7FB42D5F" w14:textId="77777777" w:rsidR="00611539" w:rsidRPr="000C5085" w:rsidRDefault="00611539" w:rsidP="000C5085">
      <w:pPr>
        <w:widowControl w:val="0"/>
        <w:spacing w:after="0" w:line="240" w:lineRule="auto"/>
        <w:rPr>
          <w:rFonts w:ascii="Times New Roman" w:eastAsia="Calibri" w:hAnsi="Times New Roman" w:cs="Times New Roman"/>
        </w:rPr>
      </w:pPr>
    </w:p>
    <w:p w14:paraId="3E3D9DA8"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11.</w:t>
      </w:r>
      <w:r w:rsidRPr="000C5085">
        <w:rPr>
          <w:rFonts w:ascii="Times New Roman" w:eastAsia="Calibri" w:hAnsi="Times New Roman" w:cs="Times New Roman"/>
          <w:b/>
        </w:rPr>
        <w:tab/>
        <w:t>REGISTRUOTOJO PAVADINIMAS IR ADRESAS</w:t>
      </w:r>
    </w:p>
    <w:p w14:paraId="5CD61184" w14:textId="77777777" w:rsidR="00611539" w:rsidRPr="000C5085" w:rsidRDefault="00611539" w:rsidP="000C5085">
      <w:pPr>
        <w:widowControl w:val="0"/>
        <w:spacing w:after="0" w:line="240" w:lineRule="auto"/>
        <w:rPr>
          <w:rFonts w:ascii="Times New Roman" w:eastAsia="Calibri" w:hAnsi="Times New Roman" w:cs="Times New Roman"/>
        </w:rPr>
      </w:pPr>
    </w:p>
    <w:p w14:paraId="1B6AECD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KRKA, </w:t>
      </w:r>
      <w:proofErr w:type="spellStart"/>
      <w:r w:rsidRPr="000C5085">
        <w:rPr>
          <w:rFonts w:ascii="Times New Roman" w:eastAsia="Calibri" w:hAnsi="Times New Roman" w:cs="Times New Roman"/>
        </w:rPr>
        <w:t>d.d</w:t>
      </w:r>
      <w:proofErr w:type="spellEnd"/>
      <w:r w:rsidRPr="000C5085">
        <w:rPr>
          <w:rFonts w:ascii="Times New Roman" w:eastAsia="Calibri" w:hAnsi="Times New Roman" w:cs="Times New Roman"/>
        </w:rPr>
        <w:t>., Novo mesto</w:t>
      </w:r>
    </w:p>
    <w:p w14:paraId="700CBF8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Šmarješka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cesta</w:t>
      </w:r>
      <w:proofErr w:type="spellEnd"/>
      <w:r w:rsidRPr="000C5085">
        <w:rPr>
          <w:rFonts w:ascii="Times New Roman" w:eastAsia="Calibri" w:hAnsi="Times New Roman" w:cs="Times New Roman"/>
        </w:rPr>
        <w:t xml:space="preserve"> 6</w:t>
      </w:r>
    </w:p>
    <w:p w14:paraId="341DA76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8501 Novo mesto</w:t>
      </w:r>
    </w:p>
    <w:p w14:paraId="70AC7F0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p w14:paraId="2491EA24" w14:textId="77777777" w:rsidR="00611539" w:rsidRPr="000C5085" w:rsidRDefault="00611539" w:rsidP="000C5085">
      <w:pPr>
        <w:widowControl w:val="0"/>
        <w:spacing w:after="0" w:line="240" w:lineRule="auto"/>
        <w:rPr>
          <w:rFonts w:ascii="Times New Roman" w:eastAsia="Calibri" w:hAnsi="Times New Roman" w:cs="Times New Roman"/>
        </w:rPr>
      </w:pPr>
    </w:p>
    <w:p w14:paraId="0CD01C5B" w14:textId="77777777" w:rsidR="00611539" w:rsidRPr="000C5085" w:rsidRDefault="00611539" w:rsidP="000C5085">
      <w:pPr>
        <w:widowControl w:val="0"/>
        <w:spacing w:after="0" w:line="240" w:lineRule="auto"/>
        <w:rPr>
          <w:rFonts w:ascii="Times New Roman" w:eastAsia="Calibri" w:hAnsi="Times New Roman" w:cs="Times New Roman"/>
        </w:rPr>
      </w:pPr>
    </w:p>
    <w:p w14:paraId="26DC8828"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12.</w:t>
      </w:r>
      <w:r w:rsidRPr="000C5085">
        <w:rPr>
          <w:rFonts w:ascii="Times New Roman" w:eastAsia="Calibri" w:hAnsi="Times New Roman" w:cs="Times New Roman"/>
          <w:b/>
        </w:rPr>
        <w:tab/>
        <w:t>REGISTRACIJOS PAŽYMĖJIMO NUMERIS (-IAI)</w:t>
      </w:r>
    </w:p>
    <w:p w14:paraId="756029BD" w14:textId="77777777" w:rsidR="00611539" w:rsidRPr="000C5085" w:rsidRDefault="00611539" w:rsidP="000C5085">
      <w:pPr>
        <w:widowControl w:val="0"/>
        <w:spacing w:after="0" w:line="240" w:lineRule="auto"/>
        <w:rPr>
          <w:rFonts w:ascii="Times New Roman" w:eastAsia="Calibri" w:hAnsi="Times New Roman" w:cs="Times New Roman"/>
        </w:rPr>
      </w:pPr>
    </w:p>
    <w:p w14:paraId="71297D2B"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cs="Times New Roman"/>
          <w:color w:val="000000"/>
        </w:rPr>
        <w:t xml:space="preserve">LT/1/12/3146/001 </w:t>
      </w:r>
      <w:r w:rsidRPr="00187AC7">
        <w:rPr>
          <w:rFonts w:ascii="Times New Roman" w:hAnsi="Times New Roman"/>
          <w:highlight w:val="lightGray"/>
        </w:rPr>
        <w:t xml:space="preserve">– N10 </w:t>
      </w:r>
    </w:p>
    <w:p w14:paraId="5FB3C7B7"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LT/1/12/3146/002 – N14 </w:t>
      </w:r>
    </w:p>
    <w:p w14:paraId="0F01A34E"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LT/1/12/3146/003 – N28 </w:t>
      </w:r>
    </w:p>
    <w:p w14:paraId="4CE2A96C"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LT/1/12/3146/004 – N30 </w:t>
      </w:r>
    </w:p>
    <w:p w14:paraId="2E8A7604"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LT/1/12/3146/005 – N50 </w:t>
      </w:r>
    </w:p>
    <w:p w14:paraId="10DE52DE"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LT/1/12/3146/006 – N60 </w:t>
      </w:r>
    </w:p>
    <w:p w14:paraId="3C1DD934"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LT/1/12/3146/007 – N84 </w:t>
      </w:r>
    </w:p>
    <w:p w14:paraId="60226F76"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LT/1/12/3146/008 – N90 </w:t>
      </w:r>
    </w:p>
    <w:p w14:paraId="241AFE53" w14:textId="77777777" w:rsidR="00187AC7"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LT/1/12/3146/009 – N98 </w:t>
      </w:r>
    </w:p>
    <w:p w14:paraId="46A05C78" w14:textId="7B3DC878" w:rsidR="00611539" w:rsidRPr="00187AC7" w:rsidRDefault="00187AC7" w:rsidP="00187AC7">
      <w:pPr>
        <w:widowControl w:val="0"/>
        <w:spacing w:after="0" w:line="240" w:lineRule="auto"/>
        <w:rPr>
          <w:rFonts w:ascii="Times New Roman" w:hAnsi="Times New Roman"/>
          <w:highlight w:val="lightGray"/>
        </w:rPr>
      </w:pPr>
      <w:r w:rsidRPr="00187AC7">
        <w:rPr>
          <w:rFonts w:ascii="Times New Roman" w:hAnsi="Times New Roman"/>
          <w:highlight w:val="lightGray"/>
        </w:rPr>
        <w:t xml:space="preserve">LT/1/12/3146/010 – N100 </w:t>
      </w:r>
    </w:p>
    <w:p w14:paraId="0C40ABD1" w14:textId="77777777" w:rsidR="00187AC7" w:rsidRDefault="00187AC7" w:rsidP="00187AC7">
      <w:pPr>
        <w:widowControl w:val="0"/>
        <w:spacing w:after="0" w:line="240" w:lineRule="auto"/>
        <w:rPr>
          <w:rFonts w:ascii="Times New Roman" w:eastAsia="Calibri" w:hAnsi="Times New Roman" w:cs="Times New Roman"/>
        </w:rPr>
      </w:pPr>
    </w:p>
    <w:p w14:paraId="4FB7B466" w14:textId="77777777" w:rsidR="00187AC7" w:rsidRPr="000C5085" w:rsidRDefault="00187AC7" w:rsidP="00187AC7">
      <w:pPr>
        <w:widowControl w:val="0"/>
        <w:spacing w:after="0" w:line="240" w:lineRule="auto"/>
        <w:rPr>
          <w:rFonts w:ascii="Times New Roman" w:eastAsia="Calibri" w:hAnsi="Times New Roman" w:cs="Times New Roman"/>
        </w:rPr>
      </w:pPr>
    </w:p>
    <w:p w14:paraId="11083A3E"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13.</w:t>
      </w:r>
      <w:r w:rsidRPr="000C5085">
        <w:rPr>
          <w:rFonts w:ascii="Times New Roman" w:eastAsia="Calibri" w:hAnsi="Times New Roman" w:cs="Times New Roman"/>
          <w:b/>
        </w:rPr>
        <w:tab/>
        <w:t>SERIJOS NUMERIS</w:t>
      </w:r>
    </w:p>
    <w:p w14:paraId="03AF1D6A" w14:textId="77777777" w:rsidR="00611539" w:rsidRPr="000C5085" w:rsidRDefault="00611539" w:rsidP="000C5085">
      <w:pPr>
        <w:widowControl w:val="0"/>
        <w:spacing w:after="0" w:line="240" w:lineRule="auto"/>
        <w:rPr>
          <w:rFonts w:ascii="Times New Roman" w:eastAsia="Calibri" w:hAnsi="Times New Roman" w:cs="Times New Roman"/>
        </w:rPr>
      </w:pPr>
    </w:p>
    <w:p w14:paraId="70082A85" w14:textId="77777777" w:rsidR="00A60FDE" w:rsidRPr="000C5085" w:rsidRDefault="00A60FDE"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Lot</w:t>
      </w:r>
    </w:p>
    <w:p w14:paraId="0454274E" w14:textId="77777777" w:rsidR="00611539" w:rsidRPr="000C5085" w:rsidRDefault="00611539" w:rsidP="000C5085">
      <w:pPr>
        <w:widowControl w:val="0"/>
        <w:spacing w:after="0" w:line="240" w:lineRule="auto"/>
        <w:rPr>
          <w:rFonts w:ascii="Times New Roman" w:eastAsia="Calibri" w:hAnsi="Times New Roman" w:cs="Times New Roman"/>
        </w:rPr>
      </w:pPr>
      <w:r w:rsidRPr="008100DF">
        <w:rPr>
          <w:rFonts w:ascii="Times New Roman" w:eastAsia="Calibri" w:hAnsi="Times New Roman" w:cs="Times New Roman"/>
          <w:highlight w:val="lightGray"/>
        </w:rPr>
        <w:t>Serija</w:t>
      </w:r>
    </w:p>
    <w:p w14:paraId="2B749FE6" w14:textId="77777777" w:rsidR="00611539" w:rsidRPr="000C5085" w:rsidRDefault="00611539" w:rsidP="000C5085">
      <w:pPr>
        <w:widowControl w:val="0"/>
        <w:spacing w:after="0" w:line="240" w:lineRule="auto"/>
        <w:rPr>
          <w:rFonts w:ascii="Times New Roman" w:eastAsia="Calibri" w:hAnsi="Times New Roman" w:cs="Times New Roman"/>
        </w:rPr>
      </w:pPr>
    </w:p>
    <w:p w14:paraId="3426F5C0" w14:textId="77777777" w:rsidR="00611539" w:rsidRPr="000C5085" w:rsidRDefault="00611539" w:rsidP="000C5085">
      <w:pPr>
        <w:widowControl w:val="0"/>
        <w:spacing w:after="0" w:line="240" w:lineRule="auto"/>
        <w:rPr>
          <w:rFonts w:ascii="Times New Roman" w:eastAsia="Calibri" w:hAnsi="Times New Roman" w:cs="Times New Roman"/>
        </w:rPr>
      </w:pPr>
    </w:p>
    <w:p w14:paraId="55AE8D42"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14.</w:t>
      </w:r>
      <w:r w:rsidRPr="000C5085">
        <w:rPr>
          <w:rFonts w:ascii="Times New Roman" w:eastAsia="Calibri" w:hAnsi="Times New Roman" w:cs="Times New Roman"/>
          <w:b/>
        </w:rPr>
        <w:tab/>
        <w:t>PARDAVIMO (IŠDAVIMO) TVARKA</w:t>
      </w:r>
    </w:p>
    <w:p w14:paraId="246DF3E5" w14:textId="77777777" w:rsidR="00611539" w:rsidRPr="000C5085" w:rsidRDefault="00611539" w:rsidP="000C5085">
      <w:pPr>
        <w:widowControl w:val="0"/>
        <w:spacing w:after="0" w:line="240" w:lineRule="auto"/>
        <w:rPr>
          <w:rFonts w:ascii="Times New Roman" w:eastAsia="Calibri" w:hAnsi="Times New Roman" w:cs="Times New Roman"/>
        </w:rPr>
      </w:pPr>
    </w:p>
    <w:p w14:paraId="293266A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Receptinis vaist</w:t>
      </w:r>
      <w:r w:rsidR="00A60FDE" w:rsidRPr="000C5085">
        <w:rPr>
          <w:rFonts w:ascii="Times New Roman" w:eastAsia="Calibri" w:hAnsi="Times New Roman" w:cs="Times New Roman"/>
        </w:rPr>
        <w:t>as</w:t>
      </w:r>
    </w:p>
    <w:p w14:paraId="0D98823D" w14:textId="77777777" w:rsidR="00611539" w:rsidRPr="000C5085" w:rsidRDefault="00611539" w:rsidP="000C5085">
      <w:pPr>
        <w:widowControl w:val="0"/>
        <w:spacing w:after="0" w:line="240" w:lineRule="auto"/>
        <w:rPr>
          <w:rFonts w:ascii="Times New Roman" w:eastAsia="Calibri" w:hAnsi="Times New Roman" w:cs="Times New Roman"/>
        </w:rPr>
      </w:pPr>
    </w:p>
    <w:p w14:paraId="2EC91DC7" w14:textId="77777777" w:rsidR="00611539" w:rsidRPr="000C5085" w:rsidRDefault="00611539" w:rsidP="000C5085">
      <w:pPr>
        <w:widowControl w:val="0"/>
        <w:spacing w:after="0" w:line="240" w:lineRule="auto"/>
        <w:rPr>
          <w:rFonts w:ascii="Times New Roman" w:eastAsia="Calibri" w:hAnsi="Times New Roman" w:cs="Times New Roman"/>
        </w:rPr>
      </w:pPr>
    </w:p>
    <w:p w14:paraId="748816EF"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15.</w:t>
      </w:r>
      <w:r w:rsidRPr="000C5085">
        <w:rPr>
          <w:rFonts w:ascii="Times New Roman" w:eastAsia="Calibri" w:hAnsi="Times New Roman" w:cs="Times New Roman"/>
          <w:b/>
        </w:rPr>
        <w:tab/>
        <w:t>VARTOJIMO INSTRUKCIJA</w:t>
      </w:r>
    </w:p>
    <w:p w14:paraId="23E4BF25" w14:textId="77777777" w:rsidR="00611539" w:rsidRPr="000C5085" w:rsidRDefault="00611539" w:rsidP="000C5085">
      <w:pPr>
        <w:widowControl w:val="0"/>
        <w:spacing w:after="0" w:line="240" w:lineRule="auto"/>
        <w:rPr>
          <w:rFonts w:ascii="Times New Roman" w:eastAsia="Calibri" w:hAnsi="Times New Roman" w:cs="Times New Roman"/>
        </w:rPr>
      </w:pPr>
    </w:p>
    <w:p w14:paraId="1985ACB6" w14:textId="77777777" w:rsidR="00611539" w:rsidRPr="000C5085" w:rsidRDefault="00611539" w:rsidP="000C5085">
      <w:pPr>
        <w:widowControl w:val="0"/>
        <w:spacing w:after="0" w:line="240" w:lineRule="auto"/>
        <w:rPr>
          <w:rFonts w:ascii="Times New Roman" w:eastAsia="Calibri" w:hAnsi="Times New Roman" w:cs="Times New Roman"/>
        </w:rPr>
      </w:pPr>
    </w:p>
    <w:p w14:paraId="383F736C"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16.</w:t>
      </w:r>
      <w:r w:rsidRPr="000C5085">
        <w:rPr>
          <w:rFonts w:ascii="Times New Roman" w:eastAsia="Calibri" w:hAnsi="Times New Roman" w:cs="Times New Roman"/>
          <w:b/>
        </w:rPr>
        <w:tab/>
        <w:t>INFORMACIJA BRAILIO RAŠTU</w:t>
      </w:r>
    </w:p>
    <w:p w14:paraId="753BBDA3" w14:textId="77777777" w:rsidR="00611539" w:rsidRPr="000C5085" w:rsidRDefault="00611539" w:rsidP="000C5085">
      <w:pPr>
        <w:widowControl w:val="0"/>
        <w:spacing w:after="0" w:line="240" w:lineRule="auto"/>
        <w:rPr>
          <w:rFonts w:ascii="Times New Roman" w:eastAsia="Calibri" w:hAnsi="Times New Roman" w:cs="Times New Roman"/>
        </w:rPr>
      </w:pPr>
    </w:p>
    <w:p w14:paraId="0FE71A6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2,5 mg</w:t>
      </w:r>
    </w:p>
    <w:p w14:paraId="2FEC31B1" w14:textId="77777777" w:rsidR="00611539" w:rsidRPr="000C5085" w:rsidRDefault="00611539" w:rsidP="000C5085">
      <w:pPr>
        <w:widowControl w:val="0"/>
        <w:spacing w:after="0" w:line="240" w:lineRule="auto"/>
        <w:rPr>
          <w:rFonts w:ascii="Times New Roman" w:eastAsia="Calibri" w:hAnsi="Times New Roman" w:cs="Times New Roman"/>
        </w:rPr>
      </w:pPr>
    </w:p>
    <w:p w14:paraId="133B1218" w14:textId="77777777" w:rsidR="00611539" w:rsidRPr="000C5085" w:rsidRDefault="00611539" w:rsidP="000C5085">
      <w:pPr>
        <w:widowControl w:val="0"/>
        <w:spacing w:after="0" w:line="240" w:lineRule="auto"/>
        <w:rPr>
          <w:rFonts w:ascii="Times New Roman" w:eastAsia="Calibri" w:hAnsi="Times New Roman" w:cs="Times New Roman"/>
        </w:rPr>
      </w:pPr>
    </w:p>
    <w:p w14:paraId="5C31DE6F" w14:textId="77777777" w:rsidR="00611539" w:rsidRPr="000C5085" w:rsidRDefault="00611539" w:rsidP="000C5085">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0C5085">
        <w:rPr>
          <w:rFonts w:ascii="Times New Roman" w:eastAsia="Times New Roman" w:hAnsi="Times New Roman" w:cs="Times New Roman"/>
          <w:b/>
          <w:noProof/>
          <w:lang w:val="en-GB" w:eastAsia="sl-SI"/>
        </w:rPr>
        <w:t>17.</w:t>
      </w:r>
      <w:r w:rsidRPr="000C5085">
        <w:rPr>
          <w:rFonts w:ascii="Times New Roman" w:eastAsia="Times New Roman" w:hAnsi="Times New Roman" w:cs="Times New Roman"/>
          <w:b/>
          <w:noProof/>
          <w:lang w:val="en-GB" w:eastAsia="sl-SI"/>
        </w:rPr>
        <w:tab/>
        <w:t>UNIKALUS IDENTIFIKATORIUS – 2D BRŪKŠNINIS KODAS</w:t>
      </w:r>
    </w:p>
    <w:p w14:paraId="002F3F9D" w14:textId="77777777" w:rsidR="00611539" w:rsidRPr="000C5085" w:rsidRDefault="00611539" w:rsidP="000C5085">
      <w:pPr>
        <w:widowControl w:val="0"/>
        <w:spacing w:after="0" w:line="240" w:lineRule="auto"/>
        <w:rPr>
          <w:rFonts w:ascii="Times New Roman" w:eastAsia="Calibri" w:hAnsi="Times New Roman" w:cs="Times New Roman"/>
          <w:highlight w:val="lightGray"/>
          <w:lang w:val="sl-SI" w:eastAsia="sl-SI"/>
        </w:rPr>
      </w:pPr>
    </w:p>
    <w:p w14:paraId="2FA8241B" w14:textId="77777777" w:rsidR="00611539" w:rsidRPr="000C5085" w:rsidRDefault="00611539" w:rsidP="000C5085">
      <w:pPr>
        <w:widowControl w:val="0"/>
        <w:spacing w:after="0" w:line="240" w:lineRule="auto"/>
        <w:rPr>
          <w:rFonts w:ascii="Times New Roman" w:eastAsia="Calibri" w:hAnsi="Times New Roman" w:cs="Times New Roman"/>
          <w:highlight w:val="lightGray"/>
          <w:lang w:val="sl-SI" w:eastAsia="sl-SI"/>
        </w:rPr>
      </w:pPr>
      <w:r w:rsidRPr="000C5085">
        <w:rPr>
          <w:rFonts w:ascii="Times New Roman" w:eastAsia="Calibri" w:hAnsi="Times New Roman" w:cs="Times New Roman"/>
          <w:highlight w:val="lightGray"/>
          <w:lang w:val="sl-SI" w:eastAsia="sl-SI"/>
        </w:rPr>
        <w:lastRenderedPageBreak/>
        <w:t>2D brūkšninis kodas su nurodytu unikaliu identifikatoriumi.</w:t>
      </w:r>
    </w:p>
    <w:p w14:paraId="607DF0E1" w14:textId="77777777" w:rsidR="00611539" w:rsidRPr="000C5085" w:rsidRDefault="00611539" w:rsidP="000C5085">
      <w:pPr>
        <w:widowControl w:val="0"/>
        <w:spacing w:after="0" w:line="240" w:lineRule="auto"/>
        <w:rPr>
          <w:rFonts w:ascii="Times New Roman" w:eastAsia="Calibri" w:hAnsi="Times New Roman" w:cs="Times New Roman"/>
          <w:lang w:val="sl-SI" w:eastAsia="sl-SI"/>
        </w:rPr>
      </w:pPr>
    </w:p>
    <w:p w14:paraId="5A8EE47E" w14:textId="77777777" w:rsidR="00611539" w:rsidRPr="000C5085" w:rsidRDefault="00611539" w:rsidP="000C5085">
      <w:pPr>
        <w:widowControl w:val="0"/>
        <w:spacing w:after="0" w:line="240" w:lineRule="auto"/>
        <w:rPr>
          <w:rFonts w:ascii="Times New Roman" w:eastAsia="Calibri" w:hAnsi="Times New Roman" w:cs="Times New Roman"/>
          <w:highlight w:val="lightGray"/>
          <w:lang w:val="sl-SI" w:eastAsia="sl-SI"/>
        </w:rPr>
      </w:pPr>
      <w:r w:rsidRPr="000C5085">
        <w:rPr>
          <w:rFonts w:ascii="Times New Roman" w:eastAsia="Calibri" w:hAnsi="Times New Roman" w:cs="Times New Roman"/>
          <w:highlight w:val="lightGray"/>
          <w:lang w:val="sl-SI" w:eastAsia="sl-SI"/>
        </w:rPr>
        <w:t>Saugumo savybės bus įdiegtos iki 2019 m vasario 9 d.</w:t>
      </w:r>
    </w:p>
    <w:p w14:paraId="36E0A02C" w14:textId="77777777" w:rsidR="00611539" w:rsidRPr="000C5085" w:rsidRDefault="00611539" w:rsidP="000C5085">
      <w:pPr>
        <w:widowControl w:val="0"/>
        <w:tabs>
          <w:tab w:val="left" w:pos="567"/>
        </w:tabs>
        <w:spacing w:after="0" w:line="240" w:lineRule="auto"/>
        <w:rPr>
          <w:rFonts w:ascii="Times New Roman" w:eastAsia="Times New Roman" w:hAnsi="Times New Roman" w:cs="Times New Roman"/>
          <w:snapToGrid w:val="0"/>
          <w:lang w:val="sl-SI" w:eastAsia="zh-CN"/>
        </w:rPr>
      </w:pPr>
    </w:p>
    <w:p w14:paraId="626D8F20" w14:textId="77777777" w:rsidR="00611539" w:rsidRPr="000C5085" w:rsidRDefault="00611539" w:rsidP="000C5085">
      <w:pPr>
        <w:widowControl w:val="0"/>
        <w:tabs>
          <w:tab w:val="left" w:pos="567"/>
        </w:tabs>
        <w:spacing w:after="0" w:line="240" w:lineRule="auto"/>
        <w:rPr>
          <w:rFonts w:ascii="Times New Roman" w:eastAsia="Times New Roman" w:hAnsi="Times New Roman" w:cs="Times New Roman"/>
          <w:snapToGrid w:val="0"/>
          <w:lang w:val="sl-SI" w:eastAsia="zh-CN"/>
        </w:rPr>
      </w:pPr>
    </w:p>
    <w:p w14:paraId="2018A1FB" w14:textId="77777777" w:rsidR="00611539" w:rsidRPr="000C5085" w:rsidRDefault="00611539" w:rsidP="000C5085">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sidRPr="000C5085">
        <w:rPr>
          <w:rFonts w:ascii="Times New Roman" w:eastAsia="Times New Roman" w:hAnsi="Times New Roman" w:cs="Times New Roman"/>
          <w:b/>
          <w:noProof/>
          <w:lang w:val="en-GB" w:eastAsia="sl-SI"/>
        </w:rPr>
        <w:t>18.</w:t>
      </w:r>
      <w:r w:rsidRPr="000C5085">
        <w:rPr>
          <w:rFonts w:ascii="Times New Roman" w:eastAsia="Times New Roman" w:hAnsi="Times New Roman" w:cs="Times New Roman"/>
          <w:b/>
          <w:noProof/>
          <w:lang w:val="en-GB" w:eastAsia="sl-SI"/>
        </w:rPr>
        <w:tab/>
        <w:t xml:space="preserve">UNIKALUS IDENTIFIKATORIUS – </w:t>
      </w:r>
      <w:r w:rsidRPr="000C5085">
        <w:rPr>
          <w:rFonts w:ascii="Times New Roman" w:eastAsia="Times New Roman" w:hAnsi="Times New Roman" w:cs="Times New Roman"/>
          <w:b/>
          <w:noProof/>
          <w:lang w:val="en-US" w:eastAsia="sl-SI"/>
        </w:rPr>
        <w:t>ŽMONĖMS SUPRANTAMI DUOMENYS</w:t>
      </w:r>
    </w:p>
    <w:p w14:paraId="6C0AEE7A" w14:textId="77777777" w:rsidR="00611539" w:rsidRPr="000C5085" w:rsidRDefault="00611539" w:rsidP="000C5085">
      <w:pPr>
        <w:widowControl w:val="0"/>
        <w:spacing w:after="0" w:line="240" w:lineRule="auto"/>
        <w:rPr>
          <w:rFonts w:ascii="Times New Roman" w:eastAsia="Calibri" w:hAnsi="Times New Roman" w:cs="Times New Roman"/>
          <w:lang w:val="sl-SI" w:eastAsia="sl-SI"/>
        </w:rPr>
      </w:pPr>
    </w:p>
    <w:p w14:paraId="7A6BA56B" w14:textId="5E0C981F" w:rsidR="00611539" w:rsidRPr="000C5085" w:rsidRDefault="00611539" w:rsidP="000C5085">
      <w:pPr>
        <w:widowControl w:val="0"/>
        <w:spacing w:after="0" w:line="240" w:lineRule="auto"/>
        <w:rPr>
          <w:rFonts w:ascii="Times New Roman" w:eastAsia="Calibri" w:hAnsi="Times New Roman" w:cs="Times New Roman"/>
          <w:lang w:val="sl-SI" w:eastAsia="sl-SI"/>
        </w:rPr>
      </w:pPr>
      <w:r w:rsidRPr="000C5085">
        <w:rPr>
          <w:rFonts w:ascii="Times New Roman" w:eastAsia="Calibri" w:hAnsi="Times New Roman" w:cs="Times New Roman"/>
          <w:lang w:val="sl-SI" w:eastAsia="sl-SI"/>
        </w:rPr>
        <w:t>PC:</w:t>
      </w:r>
    </w:p>
    <w:p w14:paraId="0EB5F7AE" w14:textId="77777777" w:rsidR="00611539" w:rsidRPr="000C5085" w:rsidRDefault="00611539" w:rsidP="000C5085">
      <w:pPr>
        <w:widowControl w:val="0"/>
        <w:spacing w:after="0" w:line="240" w:lineRule="auto"/>
        <w:rPr>
          <w:rFonts w:ascii="Times New Roman" w:eastAsia="Calibri" w:hAnsi="Times New Roman" w:cs="Times New Roman"/>
          <w:lang w:val="sl-SI" w:eastAsia="sl-SI"/>
        </w:rPr>
      </w:pPr>
      <w:r w:rsidRPr="000C5085">
        <w:rPr>
          <w:rFonts w:ascii="Times New Roman" w:eastAsia="Calibri" w:hAnsi="Times New Roman" w:cs="Times New Roman"/>
          <w:lang w:val="sl-SI" w:eastAsia="sl-SI"/>
        </w:rPr>
        <w:t>SN:</w:t>
      </w:r>
    </w:p>
    <w:p w14:paraId="75EB80C9" w14:textId="2434D12E" w:rsidR="00611539" w:rsidRPr="000C5085" w:rsidRDefault="00611539" w:rsidP="000C5085">
      <w:pPr>
        <w:widowControl w:val="0"/>
        <w:spacing w:after="0" w:line="240" w:lineRule="auto"/>
        <w:rPr>
          <w:rFonts w:ascii="Times New Roman" w:eastAsia="Calibri" w:hAnsi="Times New Roman" w:cs="Times New Roman"/>
          <w:lang w:val="sl-SI" w:eastAsia="sl-SI"/>
        </w:rPr>
      </w:pPr>
      <w:r w:rsidRPr="000C5085">
        <w:rPr>
          <w:rFonts w:ascii="Times New Roman" w:eastAsia="Calibri" w:hAnsi="Times New Roman" w:cs="Times New Roman"/>
          <w:lang w:val="sl-SI" w:eastAsia="sl-SI"/>
        </w:rPr>
        <w:t>NN:</w:t>
      </w:r>
    </w:p>
    <w:p w14:paraId="66B89029" w14:textId="77777777" w:rsidR="00611539" w:rsidRPr="000C5085" w:rsidRDefault="00611539" w:rsidP="000C5085">
      <w:pPr>
        <w:widowControl w:val="0"/>
        <w:spacing w:after="0" w:line="240" w:lineRule="auto"/>
        <w:rPr>
          <w:rFonts w:ascii="Times New Roman" w:eastAsia="Calibri" w:hAnsi="Times New Roman" w:cs="Times New Roman"/>
          <w:highlight w:val="lightGray"/>
          <w:lang w:val="sl-SI" w:eastAsia="sl-SI"/>
        </w:rPr>
      </w:pPr>
    </w:p>
    <w:p w14:paraId="517F5986" w14:textId="77777777" w:rsidR="00611539" w:rsidRPr="000C5085" w:rsidRDefault="00611539" w:rsidP="000C5085">
      <w:pPr>
        <w:widowControl w:val="0"/>
        <w:spacing w:after="0" w:line="240" w:lineRule="auto"/>
        <w:rPr>
          <w:rFonts w:ascii="Times New Roman" w:eastAsia="Calibri" w:hAnsi="Times New Roman" w:cs="Times New Roman"/>
          <w:lang w:val="sl-SI" w:eastAsia="sl-SI"/>
        </w:rPr>
      </w:pPr>
      <w:r w:rsidRPr="000C5085">
        <w:rPr>
          <w:rFonts w:ascii="Times New Roman" w:eastAsia="Calibri" w:hAnsi="Times New Roman" w:cs="Times New Roman"/>
          <w:highlight w:val="lightGray"/>
          <w:lang w:val="sl-SI" w:eastAsia="sl-SI"/>
        </w:rPr>
        <w:t>Saugumo savybės bus įdiegtos iki 2019 m vasario 9 d.</w:t>
      </w:r>
    </w:p>
    <w:p w14:paraId="1D9A415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br w:type="page"/>
      </w:r>
    </w:p>
    <w:p w14:paraId="41C9BABD" w14:textId="77777777" w:rsidR="00611539" w:rsidRPr="000C5085" w:rsidRDefault="00611539" w:rsidP="000C5085">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rPr>
      </w:pPr>
      <w:r w:rsidRPr="000C5085">
        <w:rPr>
          <w:rFonts w:ascii="Times New Roman" w:eastAsia="Calibri" w:hAnsi="Times New Roman" w:cs="Times New Roman"/>
          <w:b/>
        </w:rPr>
        <w:lastRenderedPageBreak/>
        <w:t xml:space="preserve">MINIMALI </w:t>
      </w:r>
      <w:r w:rsidRPr="000C5085">
        <w:rPr>
          <w:rFonts w:ascii="Times New Roman" w:eastAsia="Calibri" w:hAnsi="Times New Roman" w:cs="Times New Roman"/>
          <w:b/>
          <w:caps/>
        </w:rPr>
        <w:t xml:space="preserve">informacija ant </w:t>
      </w:r>
      <w:r w:rsidRPr="000C5085">
        <w:rPr>
          <w:rFonts w:ascii="Times New Roman" w:eastAsia="Calibri" w:hAnsi="Times New Roman" w:cs="Times New Roman"/>
          <w:b/>
        </w:rPr>
        <w:t>LIZDINIŲ PLOKŠTELIŲ ARBA DVISLUOKSNIŲ JUOSTELIŲ</w:t>
      </w:r>
    </w:p>
    <w:p w14:paraId="730DC278" w14:textId="77777777" w:rsidR="00611539" w:rsidRPr="000C5085" w:rsidRDefault="00611539" w:rsidP="000C5085">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rPr>
      </w:pPr>
    </w:p>
    <w:p w14:paraId="71EA5F51" w14:textId="77777777" w:rsidR="00611539" w:rsidRPr="000C5085" w:rsidRDefault="00611539" w:rsidP="000C5085">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b/>
        </w:rPr>
      </w:pPr>
      <w:r w:rsidRPr="000C5085">
        <w:rPr>
          <w:rFonts w:ascii="Times New Roman" w:eastAsia="Calibri" w:hAnsi="Times New Roman" w:cs="Times New Roman"/>
          <w:b/>
        </w:rPr>
        <w:t>LIZDINĖ PLOKŠTELĖ</w:t>
      </w:r>
    </w:p>
    <w:p w14:paraId="47578BA7" w14:textId="77777777" w:rsidR="00611539" w:rsidRPr="000C5085" w:rsidRDefault="00611539" w:rsidP="000C5085">
      <w:pPr>
        <w:widowControl w:val="0"/>
        <w:spacing w:after="0" w:line="240" w:lineRule="auto"/>
        <w:rPr>
          <w:rFonts w:ascii="Times New Roman" w:eastAsia="Calibri" w:hAnsi="Times New Roman" w:cs="Times New Roman"/>
        </w:rPr>
      </w:pPr>
    </w:p>
    <w:p w14:paraId="04956ECC" w14:textId="77777777" w:rsidR="00611539" w:rsidRPr="000C5085" w:rsidRDefault="00611539" w:rsidP="000C5085">
      <w:pPr>
        <w:widowControl w:val="0"/>
        <w:spacing w:after="0" w:line="240" w:lineRule="auto"/>
        <w:rPr>
          <w:rFonts w:ascii="Times New Roman" w:eastAsia="Calibri" w:hAnsi="Times New Roman" w:cs="Times New Roman"/>
        </w:rPr>
      </w:pPr>
    </w:p>
    <w:p w14:paraId="73C83583"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1.</w:t>
      </w:r>
      <w:r w:rsidRPr="000C5085">
        <w:rPr>
          <w:rFonts w:ascii="Times New Roman" w:eastAsia="Calibri" w:hAnsi="Times New Roman" w:cs="Times New Roman"/>
          <w:b/>
        </w:rPr>
        <w:tab/>
        <w:t>VAISTINIO PREPARATO PAVADINIMAS</w:t>
      </w:r>
    </w:p>
    <w:p w14:paraId="62B9E5A3" w14:textId="77777777" w:rsidR="00611539" w:rsidRPr="000C5085" w:rsidRDefault="00611539" w:rsidP="000C5085">
      <w:pPr>
        <w:widowControl w:val="0"/>
        <w:spacing w:after="0" w:line="240" w:lineRule="auto"/>
        <w:rPr>
          <w:rFonts w:ascii="Times New Roman" w:eastAsia="Calibri" w:hAnsi="Times New Roman" w:cs="Times New Roman"/>
        </w:rPr>
      </w:pPr>
    </w:p>
    <w:p w14:paraId="10AB9295"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2,5 mg plėvele dengtos tabletės</w:t>
      </w:r>
    </w:p>
    <w:p w14:paraId="212314FB" w14:textId="77777777" w:rsidR="00611539" w:rsidRPr="000C5085" w:rsidRDefault="00EA69B9" w:rsidP="000C5085">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w:t>
      </w:r>
      <w:r w:rsidR="00611539" w:rsidRPr="000C5085">
        <w:rPr>
          <w:rFonts w:ascii="Times New Roman" w:eastAsia="Calibri" w:hAnsi="Times New Roman" w:cs="Times New Roman"/>
        </w:rPr>
        <w:t>etrozolas</w:t>
      </w:r>
      <w:proofErr w:type="spellEnd"/>
    </w:p>
    <w:p w14:paraId="59E89329" w14:textId="77777777" w:rsidR="00611539" w:rsidRPr="000C5085" w:rsidRDefault="00611539" w:rsidP="000C5085">
      <w:pPr>
        <w:widowControl w:val="0"/>
        <w:spacing w:after="0" w:line="240" w:lineRule="auto"/>
        <w:rPr>
          <w:rFonts w:ascii="Times New Roman" w:eastAsia="Calibri" w:hAnsi="Times New Roman" w:cs="Times New Roman"/>
        </w:rPr>
      </w:pPr>
    </w:p>
    <w:p w14:paraId="4A626BA7" w14:textId="77777777" w:rsidR="00611539" w:rsidRPr="000C5085" w:rsidRDefault="00611539" w:rsidP="000C5085">
      <w:pPr>
        <w:widowControl w:val="0"/>
        <w:spacing w:after="0" w:line="240" w:lineRule="auto"/>
        <w:rPr>
          <w:rFonts w:ascii="Times New Roman" w:eastAsia="Calibri" w:hAnsi="Times New Roman" w:cs="Times New Roman"/>
        </w:rPr>
      </w:pPr>
    </w:p>
    <w:p w14:paraId="3CC8C4C1"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2.</w:t>
      </w:r>
      <w:r w:rsidRPr="000C5085">
        <w:rPr>
          <w:rFonts w:ascii="Times New Roman" w:eastAsia="Calibri" w:hAnsi="Times New Roman" w:cs="Times New Roman"/>
          <w:b/>
        </w:rPr>
        <w:tab/>
        <w:t>REGISTRUOTOJO PAVADINIMAS</w:t>
      </w:r>
    </w:p>
    <w:p w14:paraId="7D30E6D8" w14:textId="77777777" w:rsidR="00611539" w:rsidRPr="000C5085" w:rsidRDefault="00611539" w:rsidP="000C5085">
      <w:pPr>
        <w:widowControl w:val="0"/>
        <w:spacing w:after="0" w:line="240" w:lineRule="auto"/>
        <w:rPr>
          <w:rFonts w:ascii="Times New Roman" w:eastAsia="Calibri" w:hAnsi="Times New Roman" w:cs="Times New Roman"/>
        </w:rPr>
      </w:pPr>
    </w:p>
    <w:p w14:paraId="5814D84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KRKA</w:t>
      </w:r>
    </w:p>
    <w:p w14:paraId="32BA7769" w14:textId="77777777" w:rsidR="00611539" w:rsidRPr="000C5085" w:rsidRDefault="00611539" w:rsidP="000C5085">
      <w:pPr>
        <w:widowControl w:val="0"/>
        <w:spacing w:after="0" w:line="240" w:lineRule="auto"/>
        <w:rPr>
          <w:rFonts w:ascii="Times New Roman" w:eastAsia="Calibri" w:hAnsi="Times New Roman" w:cs="Times New Roman"/>
        </w:rPr>
      </w:pPr>
    </w:p>
    <w:p w14:paraId="3683B988" w14:textId="77777777" w:rsidR="00611539" w:rsidRPr="000C5085" w:rsidRDefault="00611539" w:rsidP="000C5085">
      <w:pPr>
        <w:widowControl w:val="0"/>
        <w:spacing w:after="0" w:line="240" w:lineRule="auto"/>
        <w:rPr>
          <w:rFonts w:ascii="Times New Roman" w:eastAsia="Calibri" w:hAnsi="Times New Roman" w:cs="Times New Roman"/>
        </w:rPr>
      </w:pPr>
    </w:p>
    <w:p w14:paraId="76716DB2"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3.</w:t>
      </w:r>
      <w:r w:rsidRPr="000C5085">
        <w:rPr>
          <w:rFonts w:ascii="Times New Roman" w:eastAsia="Calibri" w:hAnsi="Times New Roman" w:cs="Times New Roman"/>
          <w:b/>
        </w:rPr>
        <w:tab/>
        <w:t>TINKAMUMO LAIKAS</w:t>
      </w:r>
    </w:p>
    <w:p w14:paraId="788A36F4" w14:textId="77777777" w:rsidR="00611539" w:rsidRPr="000C5085" w:rsidRDefault="00611539" w:rsidP="000C5085">
      <w:pPr>
        <w:widowControl w:val="0"/>
        <w:spacing w:after="0" w:line="240" w:lineRule="auto"/>
        <w:rPr>
          <w:rFonts w:ascii="Times New Roman" w:eastAsia="Calibri" w:hAnsi="Times New Roman" w:cs="Times New Roman"/>
        </w:rPr>
      </w:pPr>
    </w:p>
    <w:p w14:paraId="696B210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EXP (mm/MMMM)</w:t>
      </w:r>
    </w:p>
    <w:p w14:paraId="4DDFFE03" w14:textId="77777777" w:rsidR="00611539" w:rsidRPr="000C5085" w:rsidRDefault="00611539" w:rsidP="000C5085">
      <w:pPr>
        <w:widowControl w:val="0"/>
        <w:spacing w:after="0" w:line="240" w:lineRule="auto"/>
        <w:rPr>
          <w:rFonts w:ascii="Times New Roman" w:eastAsia="Calibri" w:hAnsi="Times New Roman" w:cs="Times New Roman"/>
        </w:rPr>
      </w:pPr>
    </w:p>
    <w:p w14:paraId="25209075" w14:textId="77777777" w:rsidR="00611539" w:rsidRPr="000C5085" w:rsidRDefault="00611539" w:rsidP="000C5085">
      <w:pPr>
        <w:widowControl w:val="0"/>
        <w:spacing w:after="0" w:line="240" w:lineRule="auto"/>
        <w:rPr>
          <w:rFonts w:ascii="Times New Roman" w:eastAsia="Calibri" w:hAnsi="Times New Roman" w:cs="Times New Roman"/>
        </w:rPr>
      </w:pPr>
    </w:p>
    <w:p w14:paraId="6D52AA66"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4.</w:t>
      </w:r>
      <w:r w:rsidRPr="000C5085">
        <w:rPr>
          <w:rFonts w:ascii="Times New Roman" w:eastAsia="Calibri" w:hAnsi="Times New Roman" w:cs="Times New Roman"/>
          <w:b/>
        </w:rPr>
        <w:tab/>
        <w:t>SERIJOS NUMERIS</w:t>
      </w:r>
    </w:p>
    <w:p w14:paraId="175FF95A" w14:textId="77777777" w:rsidR="00611539" w:rsidRPr="000C5085" w:rsidRDefault="00611539" w:rsidP="000C5085">
      <w:pPr>
        <w:widowControl w:val="0"/>
        <w:spacing w:after="0" w:line="240" w:lineRule="auto"/>
        <w:rPr>
          <w:rFonts w:ascii="Times New Roman" w:eastAsia="Calibri" w:hAnsi="Times New Roman" w:cs="Times New Roman"/>
        </w:rPr>
      </w:pPr>
    </w:p>
    <w:p w14:paraId="57EDB38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Lot</w:t>
      </w:r>
    </w:p>
    <w:p w14:paraId="550E41D3" w14:textId="77777777" w:rsidR="00611539" w:rsidRPr="000C5085" w:rsidRDefault="00611539" w:rsidP="000C5085">
      <w:pPr>
        <w:widowControl w:val="0"/>
        <w:spacing w:after="0" w:line="240" w:lineRule="auto"/>
        <w:rPr>
          <w:rFonts w:ascii="Times New Roman" w:eastAsia="Calibri" w:hAnsi="Times New Roman" w:cs="Times New Roman"/>
        </w:rPr>
      </w:pPr>
    </w:p>
    <w:p w14:paraId="1F00236E" w14:textId="77777777" w:rsidR="00611539" w:rsidRPr="000C5085" w:rsidRDefault="00611539" w:rsidP="000C5085">
      <w:pPr>
        <w:widowControl w:val="0"/>
        <w:spacing w:after="0" w:line="240" w:lineRule="auto"/>
        <w:rPr>
          <w:rFonts w:ascii="Times New Roman" w:eastAsia="Calibri" w:hAnsi="Times New Roman" w:cs="Times New Roman"/>
        </w:rPr>
      </w:pPr>
    </w:p>
    <w:p w14:paraId="635BFC64" w14:textId="77777777" w:rsidR="00611539" w:rsidRPr="000C5085" w:rsidRDefault="00611539" w:rsidP="008100D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5.</w:t>
      </w:r>
      <w:r w:rsidRPr="000C5085">
        <w:rPr>
          <w:rFonts w:ascii="Times New Roman" w:eastAsia="Calibri" w:hAnsi="Times New Roman" w:cs="Times New Roman"/>
          <w:b/>
        </w:rPr>
        <w:tab/>
        <w:t>KITA</w:t>
      </w:r>
    </w:p>
    <w:p w14:paraId="5AEE6277" w14:textId="77777777" w:rsidR="00611539" w:rsidRPr="000C5085" w:rsidRDefault="00611539" w:rsidP="000C5085">
      <w:pPr>
        <w:widowControl w:val="0"/>
        <w:spacing w:after="0" w:line="240" w:lineRule="auto"/>
        <w:rPr>
          <w:rFonts w:ascii="Times New Roman" w:eastAsia="Calibri" w:hAnsi="Times New Roman" w:cs="Times New Roman"/>
        </w:rPr>
      </w:pPr>
    </w:p>
    <w:p w14:paraId="06445CC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br w:type="page"/>
      </w:r>
    </w:p>
    <w:p w14:paraId="07A80734" w14:textId="77777777" w:rsidR="00611539" w:rsidRPr="000C5085" w:rsidRDefault="00611539" w:rsidP="000C5085">
      <w:pPr>
        <w:widowControl w:val="0"/>
        <w:spacing w:after="0" w:line="240" w:lineRule="auto"/>
        <w:rPr>
          <w:rFonts w:ascii="Times New Roman" w:eastAsia="Calibri" w:hAnsi="Times New Roman" w:cs="Times New Roman"/>
        </w:rPr>
      </w:pPr>
    </w:p>
    <w:p w14:paraId="5428FF40" w14:textId="77777777" w:rsidR="00611539" w:rsidRPr="000C5085" w:rsidRDefault="00611539" w:rsidP="000C5085">
      <w:pPr>
        <w:widowControl w:val="0"/>
        <w:spacing w:after="0" w:line="240" w:lineRule="auto"/>
        <w:rPr>
          <w:rFonts w:ascii="Times New Roman" w:eastAsia="Calibri" w:hAnsi="Times New Roman" w:cs="Times New Roman"/>
        </w:rPr>
      </w:pPr>
    </w:p>
    <w:p w14:paraId="43D51E48" w14:textId="77777777" w:rsidR="00611539" w:rsidRPr="000C5085" w:rsidRDefault="00611539" w:rsidP="000C5085">
      <w:pPr>
        <w:widowControl w:val="0"/>
        <w:spacing w:after="0" w:line="240" w:lineRule="auto"/>
        <w:rPr>
          <w:rFonts w:ascii="Times New Roman" w:eastAsia="Calibri" w:hAnsi="Times New Roman" w:cs="Times New Roman"/>
        </w:rPr>
      </w:pPr>
    </w:p>
    <w:p w14:paraId="61F77670" w14:textId="77777777" w:rsidR="00611539" w:rsidRPr="000C5085" w:rsidRDefault="00611539" w:rsidP="000C5085">
      <w:pPr>
        <w:widowControl w:val="0"/>
        <w:spacing w:after="0" w:line="240" w:lineRule="auto"/>
        <w:rPr>
          <w:rFonts w:ascii="Times New Roman" w:eastAsia="Calibri" w:hAnsi="Times New Roman" w:cs="Times New Roman"/>
        </w:rPr>
      </w:pPr>
    </w:p>
    <w:p w14:paraId="6D878F0F" w14:textId="77777777" w:rsidR="00611539" w:rsidRPr="000C5085" w:rsidRDefault="00611539" w:rsidP="000C5085">
      <w:pPr>
        <w:widowControl w:val="0"/>
        <w:spacing w:after="0" w:line="240" w:lineRule="auto"/>
        <w:rPr>
          <w:rFonts w:ascii="Times New Roman" w:eastAsia="Calibri" w:hAnsi="Times New Roman" w:cs="Times New Roman"/>
        </w:rPr>
      </w:pPr>
    </w:p>
    <w:p w14:paraId="048833A1" w14:textId="77777777" w:rsidR="00611539" w:rsidRPr="000C5085" w:rsidRDefault="00611539" w:rsidP="000C5085">
      <w:pPr>
        <w:widowControl w:val="0"/>
        <w:spacing w:after="0" w:line="240" w:lineRule="auto"/>
        <w:rPr>
          <w:rFonts w:ascii="Times New Roman" w:eastAsia="Calibri" w:hAnsi="Times New Roman" w:cs="Times New Roman"/>
        </w:rPr>
      </w:pPr>
    </w:p>
    <w:p w14:paraId="783160A8" w14:textId="77777777" w:rsidR="00611539" w:rsidRPr="000C5085" w:rsidRDefault="00611539" w:rsidP="000C5085">
      <w:pPr>
        <w:widowControl w:val="0"/>
        <w:spacing w:after="0" w:line="240" w:lineRule="auto"/>
        <w:rPr>
          <w:rFonts w:ascii="Times New Roman" w:eastAsia="Calibri" w:hAnsi="Times New Roman" w:cs="Times New Roman"/>
        </w:rPr>
      </w:pPr>
    </w:p>
    <w:p w14:paraId="1955FD94" w14:textId="77777777" w:rsidR="00611539" w:rsidRPr="000C5085" w:rsidRDefault="00611539" w:rsidP="000C5085">
      <w:pPr>
        <w:widowControl w:val="0"/>
        <w:spacing w:after="0" w:line="240" w:lineRule="auto"/>
        <w:rPr>
          <w:rFonts w:ascii="Times New Roman" w:eastAsia="Calibri" w:hAnsi="Times New Roman" w:cs="Times New Roman"/>
        </w:rPr>
      </w:pPr>
    </w:p>
    <w:p w14:paraId="12EDC3A7" w14:textId="77777777" w:rsidR="00611539" w:rsidRPr="000C5085" w:rsidRDefault="00611539" w:rsidP="000C5085">
      <w:pPr>
        <w:widowControl w:val="0"/>
        <w:spacing w:after="0" w:line="240" w:lineRule="auto"/>
        <w:rPr>
          <w:rFonts w:ascii="Times New Roman" w:eastAsia="Calibri" w:hAnsi="Times New Roman" w:cs="Times New Roman"/>
        </w:rPr>
      </w:pPr>
    </w:p>
    <w:p w14:paraId="46778993" w14:textId="77777777" w:rsidR="00611539" w:rsidRPr="000C5085" w:rsidRDefault="00611539" w:rsidP="000C5085">
      <w:pPr>
        <w:widowControl w:val="0"/>
        <w:spacing w:after="0" w:line="240" w:lineRule="auto"/>
        <w:rPr>
          <w:rFonts w:ascii="Times New Roman" w:eastAsia="Calibri" w:hAnsi="Times New Roman" w:cs="Times New Roman"/>
        </w:rPr>
      </w:pPr>
    </w:p>
    <w:p w14:paraId="72E5B72C" w14:textId="77777777" w:rsidR="00611539" w:rsidRPr="000C5085" w:rsidRDefault="00611539" w:rsidP="000C5085">
      <w:pPr>
        <w:widowControl w:val="0"/>
        <w:spacing w:after="0" w:line="240" w:lineRule="auto"/>
        <w:rPr>
          <w:rFonts w:ascii="Times New Roman" w:eastAsia="Calibri" w:hAnsi="Times New Roman" w:cs="Times New Roman"/>
        </w:rPr>
      </w:pPr>
    </w:p>
    <w:p w14:paraId="71B10CF7" w14:textId="77777777" w:rsidR="00611539" w:rsidRPr="000C5085" w:rsidRDefault="00611539" w:rsidP="000C5085">
      <w:pPr>
        <w:widowControl w:val="0"/>
        <w:spacing w:after="0" w:line="240" w:lineRule="auto"/>
        <w:rPr>
          <w:rFonts w:ascii="Times New Roman" w:eastAsia="Calibri" w:hAnsi="Times New Roman" w:cs="Times New Roman"/>
        </w:rPr>
      </w:pPr>
    </w:p>
    <w:p w14:paraId="304B54D8" w14:textId="77777777" w:rsidR="00611539" w:rsidRPr="000C5085" w:rsidRDefault="00611539" w:rsidP="000C5085">
      <w:pPr>
        <w:widowControl w:val="0"/>
        <w:spacing w:after="0" w:line="240" w:lineRule="auto"/>
        <w:rPr>
          <w:rFonts w:ascii="Times New Roman" w:eastAsia="Calibri" w:hAnsi="Times New Roman" w:cs="Times New Roman"/>
        </w:rPr>
      </w:pPr>
    </w:p>
    <w:p w14:paraId="5502B8B6" w14:textId="77777777" w:rsidR="00611539" w:rsidRPr="000C5085" w:rsidRDefault="00611539" w:rsidP="000C5085">
      <w:pPr>
        <w:widowControl w:val="0"/>
        <w:spacing w:after="0" w:line="240" w:lineRule="auto"/>
        <w:rPr>
          <w:rFonts w:ascii="Times New Roman" w:eastAsia="Calibri" w:hAnsi="Times New Roman" w:cs="Times New Roman"/>
        </w:rPr>
      </w:pPr>
    </w:p>
    <w:p w14:paraId="6474FA94" w14:textId="77777777" w:rsidR="00611539" w:rsidRPr="000C5085" w:rsidRDefault="00611539" w:rsidP="000C5085">
      <w:pPr>
        <w:widowControl w:val="0"/>
        <w:spacing w:after="0" w:line="240" w:lineRule="auto"/>
        <w:rPr>
          <w:rFonts w:ascii="Times New Roman" w:eastAsia="Calibri" w:hAnsi="Times New Roman" w:cs="Times New Roman"/>
        </w:rPr>
      </w:pPr>
    </w:p>
    <w:p w14:paraId="76BDDF25" w14:textId="77777777" w:rsidR="00611539" w:rsidRPr="000C5085" w:rsidRDefault="00611539" w:rsidP="000C5085">
      <w:pPr>
        <w:widowControl w:val="0"/>
        <w:spacing w:after="0" w:line="240" w:lineRule="auto"/>
        <w:rPr>
          <w:rFonts w:ascii="Times New Roman" w:eastAsia="Calibri" w:hAnsi="Times New Roman" w:cs="Times New Roman"/>
        </w:rPr>
      </w:pPr>
    </w:p>
    <w:p w14:paraId="6D269768" w14:textId="77777777" w:rsidR="00611539" w:rsidRPr="000C5085" w:rsidRDefault="00611539" w:rsidP="000C5085">
      <w:pPr>
        <w:widowControl w:val="0"/>
        <w:spacing w:after="0" w:line="240" w:lineRule="auto"/>
        <w:rPr>
          <w:rFonts w:ascii="Times New Roman" w:eastAsia="Calibri" w:hAnsi="Times New Roman" w:cs="Times New Roman"/>
        </w:rPr>
      </w:pPr>
    </w:p>
    <w:p w14:paraId="7C8B727B" w14:textId="77777777" w:rsidR="00611539" w:rsidRPr="000C5085" w:rsidRDefault="00611539" w:rsidP="000C5085">
      <w:pPr>
        <w:widowControl w:val="0"/>
        <w:spacing w:after="0" w:line="240" w:lineRule="auto"/>
        <w:rPr>
          <w:rFonts w:ascii="Times New Roman" w:eastAsia="Calibri" w:hAnsi="Times New Roman" w:cs="Times New Roman"/>
        </w:rPr>
      </w:pPr>
    </w:p>
    <w:p w14:paraId="0CB3C2B6" w14:textId="77777777" w:rsidR="00611539" w:rsidRPr="000C5085" w:rsidRDefault="00611539" w:rsidP="000C5085">
      <w:pPr>
        <w:widowControl w:val="0"/>
        <w:spacing w:after="0" w:line="240" w:lineRule="auto"/>
        <w:rPr>
          <w:rFonts w:ascii="Times New Roman" w:eastAsia="Calibri" w:hAnsi="Times New Roman" w:cs="Times New Roman"/>
        </w:rPr>
      </w:pPr>
    </w:p>
    <w:p w14:paraId="6741747D" w14:textId="77777777" w:rsidR="00611539" w:rsidRPr="000C5085" w:rsidRDefault="00611539" w:rsidP="000C5085">
      <w:pPr>
        <w:widowControl w:val="0"/>
        <w:spacing w:after="0" w:line="240" w:lineRule="auto"/>
        <w:rPr>
          <w:rFonts w:ascii="Times New Roman" w:eastAsia="Calibri" w:hAnsi="Times New Roman" w:cs="Times New Roman"/>
        </w:rPr>
      </w:pPr>
    </w:p>
    <w:p w14:paraId="551EDE56" w14:textId="77777777" w:rsidR="00611539" w:rsidRPr="000C5085" w:rsidRDefault="00611539" w:rsidP="000C5085">
      <w:pPr>
        <w:widowControl w:val="0"/>
        <w:spacing w:after="0" w:line="240" w:lineRule="auto"/>
        <w:rPr>
          <w:rFonts w:ascii="Times New Roman" w:eastAsia="Calibri" w:hAnsi="Times New Roman" w:cs="Times New Roman"/>
        </w:rPr>
      </w:pPr>
    </w:p>
    <w:p w14:paraId="1C447DE8" w14:textId="77777777" w:rsidR="00611539" w:rsidRPr="000C5085" w:rsidRDefault="00611539" w:rsidP="000C5085">
      <w:pPr>
        <w:widowControl w:val="0"/>
        <w:spacing w:after="0" w:line="240" w:lineRule="auto"/>
        <w:rPr>
          <w:rFonts w:ascii="Times New Roman" w:eastAsia="Calibri" w:hAnsi="Times New Roman" w:cs="Times New Roman"/>
        </w:rPr>
      </w:pPr>
    </w:p>
    <w:p w14:paraId="0A9F0001" w14:textId="77777777" w:rsidR="00611539" w:rsidRPr="000C5085" w:rsidRDefault="00611539" w:rsidP="000C5085">
      <w:pPr>
        <w:widowControl w:val="0"/>
        <w:tabs>
          <w:tab w:val="left" w:pos="567"/>
        </w:tabs>
        <w:spacing w:after="0" w:line="240" w:lineRule="auto"/>
        <w:ind w:left="567" w:hanging="567"/>
        <w:jc w:val="center"/>
        <w:outlineLvl w:val="0"/>
        <w:rPr>
          <w:rFonts w:ascii="Times New Roman" w:eastAsia="Calibri" w:hAnsi="Times New Roman" w:cs="Times New Roman"/>
          <w:b/>
          <w:caps/>
        </w:rPr>
      </w:pPr>
      <w:bookmarkStart w:id="68" w:name="_Toc129243137"/>
      <w:bookmarkStart w:id="69" w:name="_Toc129243262"/>
      <w:r w:rsidRPr="000C5085">
        <w:rPr>
          <w:rFonts w:ascii="Times New Roman" w:eastAsia="Calibri" w:hAnsi="Times New Roman" w:cs="Times New Roman"/>
          <w:b/>
          <w:caps/>
        </w:rPr>
        <w:t>B. PAKUOTĖS LAPELIS</w:t>
      </w:r>
      <w:bookmarkEnd w:id="68"/>
      <w:bookmarkEnd w:id="69"/>
    </w:p>
    <w:p w14:paraId="10CFEE39" w14:textId="77777777" w:rsidR="00611539" w:rsidRPr="000C5085" w:rsidRDefault="00611539" w:rsidP="000C5085">
      <w:pPr>
        <w:widowControl w:val="0"/>
        <w:spacing w:after="0" w:line="240" w:lineRule="auto"/>
        <w:jc w:val="center"/>
        <w:outlineLvl w:val="1"/>
        <w:rPr>
          <w:rFonts w:ascii="Times New Roman" w:eastAsia="Calibri" w:hAnsi="Times New Roman" w:cs="Times New Roman"/>
          <w:b/>
        </w:rPr>
      </w:pPr>
      <w:r w:rsidRPr="000C5085">
        <w:rPr>
          <w:rFonts w:ascii="Times New Roman" w:eastAsia="Calibri" w:hAnsi="Times New Roman" w:cs="Times New Roman"/>
          <w:b/>
          <w:i/>
        </w:rPr>
        <w:br w:type="page"/>
      </w:r>
      <w:r w:rsidRPr="000C5085">
        <w:rPr>
          <w:rFonts w:ascii="Times New Roman" w:eastAsia="Calibri" w:hAnsi="Times New Roman" w:cs="Times New Roman"/>
          <w:b/>
        </w:rPr>
        <w:lastRenderedPageBreak/>
        <w:t>Pakuotės lapelis: informacija pacientui</w:t>
      </w:r>
    </w:p>
    <w:p w14:paraId="13F2BB9B" w14:textId="77777777" w:rsidR="00611539" w:rsidRPr="000C5085" w:rsidRDefault="00611539" w:rsidP="000C5085">
      <w:pPr>
        <w:widowControl w:val="0"/>
        <w:numPr>
          <w:ilvl w:val="12"/>
          <w:numId w:val="0"/>
        </w:numPr>
        <w:shd w:val="clear" w:color="auto" w:fill="FFFFFF"/>
        <w:spacing w:after="0" w:line="240" w:lineRule="auto"/>
        <w:jc w:val="center"/>
        <w:rPr>
          <w:rFonts w:ascii="Times New Roman" w:eastAsia="Calibri" w:hAnsi="Times New Roman" w:cs="Times New Roman"/>
        </w:rPr>
      </w:pPr>
    </w:p>
    <w:p w14:paraId="6213D3F1" w14:textId="77777777" w:rsidR="00611539" w:rsidRPr="000C5085" w:rsidRDefault="00611539" w:rsidP="000C5085">
      <w:pPr>
        <w:widowControl w:val="0"/>
        <w:spacing w:after="0" w:line="240" w:lineRule="auto"/>
        <w:jc w:val="center"/>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2,5 mg plėvele dengtos tabletės</w:t>
      </w:r>
    </w:p>
    <w:p w14:paraId="2DB6ABF4" w14:textId="77777777" w:rsidR="00611539" w:rsidRPr="000C5085" w:rsidRDefault="00EA69B9" w:rsidP="000C5085">
      <w:pPr>
        <w:widowControl w:val="0"/>
        <w:numPr>
          <w:ilvl w:val="12"/>
          <w:numId w:val="0"/>
        </w:numPr>
        <w:tabs>
          <w:tab w:val="center" w:pos="4819"/>
          <w:tab w:val="left" w:pos="6795"/>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w:t>
      </w:r>
      <w:r w:rsidR="00611539" w:rsidRPr="000C5085">
        <w:rPr>
          <w:rFonts w:ascii="Times New Roman" w:eastAsia="Calibri" w:hAnsi="Times New Roman" w:cs="Times New Roman"/>
        </w:rPr>
        <w:t>etrozolas</w:t>
      </w:r>
      <w:proofErr w:type="spellEnd"/>
    </w:p>
    <w:p w14:paraId="53EF7C97" w14:textId="77777777" w:rsidR="00611539" w:rsidRPr="000C5085" w:rsidRDefault="00611539" w:rsidP="000C5085">
      <w:pPr>
        <w:widowControl w:val="0"/>
        <w:spacing w:after="0" w:line="240" w:lineRule="auto"/>
        <w:rPr>
          <w:rFonts w:ascii="Times New Roman" w:eastAsia="Calibri" w:hAnsi="Times New Roman" w:cs="Times New Roman"/>
        </w:rPr>
      </w:pPr>
    </w:p>
    <w:p w14:paraId="258B9B9A" w14:textId="77777777" w:rsidR="00611539" w:rsidRPr="000C5085" w:rsidRDefault="00611539" w:rsidP="000C5085">
      <w:pPr>
        <w:widowControl w:val="0"/>
        <w:spacing w:after="0" w:line="240" w:lineRule="auto"/>
        <w:rPr>
          <w:rFonts w:ascii="Times New Roman" w:eastAsia="Calibri" w:hAnsi="Times New Roman" w:cs="Times New Roman"/>
        </w:rPr>
      </w:pPr>
    </w:p>
    <w:p w14:paraId="77DD284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b/>
        </w:rPr>
        <w:t>Atidžiai perskaitykite visą šį lapelį, prieš pradėdami vartoti vaistą, nes jame pateikiama Jums svarbi informacija.</w:t>
      </w:r>
    </w:p>
    <w:p w14:paraId="7A5E2020" w14:textId="77777777" w:rsidR="00611539" w:rsidRPr="000C5085" w:rsidRDefault="00611539" w:rsidP="008100DF">
      <w:pPr>
        <w:widowControl w:val="0"/>
        <w:numPr>
          <w:ilvl w:val="0"/>
          <w:numId w:val="32"/>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Neišmeskite šio lapelio, nes vėl gali prireikti jį perskaityti.</w:t>
      </w:r>
    </w:p>
    <w:p w14:paraId="080355A7" w14:textId="77777777" w:rsidR="00611539" w:rsidRPr="000C5085" w:rsidRDefault="00611539" w:rsidP="008100DF">
      <w:pPr>
        <w:widowControl w:val="0"/>
        <w:numPr>
          <w:ilvl w:val="0"/>
          <w:numId w:val="32"/>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Jeigu kiltų daugiau klausimų, kreipkitės į gydytoją arba vaistininką.</w:t>
      </w:r>
    </w:p>
    <w:p w14:paraId="02F99C0C" w14:textId="77777777" w:rsidR="00611539" w:rsidRPr="000C5085" w:rsidRDefault="00611539" w:rsidP="008100DF">
      <w:pPr>
        <w:widowControl w:val="0"/>
        <w:numPr>
          <w:ilvl w:val="0"/>
          <w:numId w:val="32"/>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3CE42A90" w14:textId="77777777" w:rsidR="00611539" w:rsidRPr="000C5085" w:rsidRDefault="00611539" w:rsidP="008100DF">
      <w:pPr>
        <w:widowControl w:val="0"/>
        <w:numPr>
          <w:ilvl w:val="0"/>
          <w:numId w:val="32"/>
        </w:numPr>
        <w:tabs>
          <w:tab w:val="left" w:pos="567"/>
        </w:tabs>
        <w:spacing w:after="0" w:line="240" w:lineRule="auto"/>
        <w:ind w:left="567" w:hanging="567"/>
        <w:rPr>
          <w:rFonts w:ascii="Times New Roman" w:eastAsia="Calibri" w:hAnsi="Times New Roman" w:cs="Times New Roman"/>
        </w:rPr>
      </w:pPr>
      <w:r w:rsidRPr="000C5085">
        <w:rPr>
          <w:rFonts w:ascii="Times New Roman" w:eastAsia="Calibri" w:hAnsi="Times New Roman" w:cs="Times New Roman"/>
        </w:rPr>
        <w:t>Jeigu pasireiškė šalutinis poveikis (net jeigu jis šiame lapelyje nenurodytas), kreipkitės į gydytoją arba vaistininką. Žr. 4 skyrių.</w:t>
      </w:r>
    </w:p>
    <w:p w14:paraId="1841A49E" w14:textId="77777777" w:rsidR="00611539" w:rsidRPr="000C5085" w:rsidRDefault="00611539" w:rsidP="000C5085">
      <w:pPr>
        <w:widowControl w:val="0"/>
        <w:spacing w:after="0" w:line="240" w:lineRule="auto"/>
        <w:ind w:right="-2"/>
        <w:rPr>
          <w:rFonts w:ascii="Times New Roman" w:eastAsia="Calibri" w:hAnsi="Times New Roman" w:cs="Times New Roman"/>
        </w:rPr>
      </w:pPr>
    </w:p>
    <w:p w14:paraId="295504C3" w14:textId="77777777" w:rsidR="00611539" w:rsidRPr="000C5085" w:rsidRDefault="00611539" w:rsidP="000C5085">
      <w:pPr>
        <w:widowControl w:val="0"/>
        <w:spacing w:after="0" w:line="240" w:lineRule="auto"/>
        <w:outlineLvl w:val="3"/>
        <w:rPr>
          <w:rFonts w:ascii="Times New Roman" w:eastAsia="Calibri" w:hAnsi="Times New Roman" w:cs="Times New Roman"/>
          <w:b/>
        </w:rPr>
      </w:pPr>
      <w:r w:rsidRPr="000C5085">
        <w:rPr>
          <w:rFonts w:ascii="Times New Roman" w:eastAsia="Calibri" w:hAnsi="Times New Roman" w:cs="Times New Roman"/>
          <w:b/>
        </w:rPr>
        <w:t>Apie ką rašoma šiame lapelyje?</w:t>
      </w:r>
    </w:p>
    <w:p w14:paraId="3DA46BA1"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p>
    <w:p w14:paraId="67C1E191"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1.</w:t>
      </w:r>
      <w:r w:rsidRPr="000C5085">
        <w:rPr>
          <w:rFonts w:ascii="Times New Roman" w:eastAsia="Calibri" w:hAnsi="Times New Roman" w:cs="Times New Roman"/>
        </w:rPr>
        <w:tab/>
        <w:t xml:space="preserve">Kas yra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ir kam jos vartojama</w:t>
      </w:r>
    </w:p>
    <w:p w14:paraId="13F76EF7"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2.</w:t>
      </w:r>
      <w:r w:rsidRPr="000C5085">
        <w:rPr>
          <w:rFonts w:ascii="Times New Roman" w:eastAsia="Calibri" w:hAnsi="Times New Roman" w:cs="Times New Roman"/>
        </w:rPr>
        <w:tab/>
        <w:t xml:space="preserve">Kas žinotina prieš vartojant </w:t>
      </w:r>
      <w:proofErr w:type="spellStart"/>
      <w:r w:rsidRPr="000C5085">
        <w:rPr>
          <w:rFonts w:ascii="Times New Roman" w:eastAsia="Calibri" w:hAnsi="Times New Roman" w:cs="Times New Roman"/>
        </w:rPr>
        <w:t>Likarda</w:t>
      </w:r>
      <w:proofErr w:type="spellEnd"/>
    </w:p>
    <w:p w14:paraId="1668B3CE"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3.</w:t>
      </w:r>
      <w:r w:rsidRPr="000C5085">
        <w:rPr>
          <w:rFonts w:ascii="Times New Roman" w:eastAsia="Calibri" w:hAnsi="Times New Roman" w:cs="Times New Roman"/>
        </w:rPr>
        <w:tab/>
        <w:t xml:space="preserve">Kaip vartoti </w:t>
      </w:r>
      <w:proofErr w:type="spellStart"/>
      <w:r w:rsidRPr="000C5085">
        <w:rPr>
          <w:rFonts w:ascii="Times New Roman" w:eastAsia="Calibri" w:hAnsi="Times New Roman" w:cs="Times New Roman"/>
        </w:rPr>
        <w:t>Likarda</w:t>
      </w:r>
      <w:proofErr w:type="spellEnd"/>
    </w:p>
    <w:p w14:paraId="49C6908B"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4.</w:t>
      </w:r>
      <w:r w:rsidRPr="000C5085">
        <w:rPr>
          <w:rFonts w:ascii="Times New Roman" w:eastAsia="Calibri" w:hAnsi="Times New Roman" w:cs="Times New Roman"/>
        </w:rPr>
        <w:tab/>
        <w:t>Galimas šalutinis poveikis</w:t>
      </w:r>
    </w:p>
    <w:p w14:paraId="61A412DD"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5.</w:t>
      </w:r>
      <w:r w:rsidRPr="000C5085">
        <w:rPr>
          <w:rFonts w:ascii="Times New Roman" w:eastAsia="Calibri" w:hAnsi="Times New Roman" w:cs="Times New Roman"/>
        </w:rPr>
        <w:tab/>
        <w:t xml:space="preserve">Kaip laikyti </w:t>
      </w:r>
      <w:proofErr w:type="spellStart"/>
      <w:r w:rsidRPr="000C5085">
        <w:rPr>
          <w:rFonts w:ascii="Times New Roman" w:eastAsia="Calibri" w:hAnsi="Times New Roman" w:cs="Times New Roman"/>
        </w:rPr>
        <w:t>Likarda</w:t>
      </w:r>
      <w:proofErr w:type="spellEnd"/>
    </w:p>
    <w:p w14:paraId="6E74977A"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r w:rsidRPr="000C5085">
        <w:rPr>
          <w:rFonts w:ascii="Times New Roman" w:eastAsia="Calibri" w:hAnsi="Times New Roman" w:cs="Times New Roman"/>
        </w:rPr>
        <w:t>6.</w:t>
      </w:r>
      <w:r w:rsidRPr="000C5085">
        <w:rPr>
          <w:rFonts w:ascii="Times New Roman" w:eastAsia="Calibri" w:hAnsi="Times New Roman" w:cs="Times New Roman"/>
        </w:rPr>
        <w:tab/>
        <w:t>Pakuotės turinys ir kita informacija</w:t>
      </w:r>
    </w:p>
    <w:p w14:paraId="09E41271"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p>
    <w:p w14:paraId="0DA43AEB" w14:textId="77777777" w:rsidR="00611539" w:rsidRPr="000C5085" w:rsidRDefault="00611539" w:rsidP="000C5085">
      <w:pPr>
        <w:widowControl w:val="0"/>
        <w:numPr>
          <w:ilvl w:val="12"/>
          <w:numId w:val="0"/>
        </w:numPr>
        <w:spacing w:after="0" w:line="240" w:lineRule="auto"/>
        <w:ind w:left="567" w:right="-2" w:hanging="567"/>
        <w:rPr>
          <w:rFonts w:ascii="Times New Roman" w:eastAsia="Calibri" w:hAnsi="Times New Roman" w:cs="Times New Roman"/>
        </w:rPr>
      </w:pPr>
    </w:p>
    <w:p w14:paraId="7074EFE2"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r w:rsidRPr="000C5085">
        <w:rPr>
          <w:rFonts w:ascii="Times New Roman" w:eastAsia="Calibri" w:hAnsi="Times New Roman" w:cs="Times New Roman"/>
          <w:b/>
        </w:rPr>
        <w:t>1.</w:t>
      </w:r>
      <w:r w:rsidRPr="000C5085">
        <w:rPr>
          <w:rFonts w:ascii="Times New Roman" w:eastAsia="Calibri" w:hAnsi="Times New Roman" w:cs="Times New Roman"/>
          <w:b/>
        </w:rPr>
        <w:tab/>
        <w:t xml:space="preserve">Kas yra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ir kam jos vartojama</w:t>
      </w:r>
    </w:p>
    <w:p w14:paraId="512398E0"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p>
    <w:p w14:paraId="5DACB93E"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Kas yra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ir kaip ji veikia</w:t>
      </w:r>
    </w:p>
    <w:p w14:paraId="464B60A1"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sudėtyje yra veikliosios medžiagos, vadinamos </w:t>
      </w:r>
      <w:proofErr w:type="spellStart"/>
      <w:r w:rsidRPr="000C5085">
        <w:rPr>
          <w:rFonts w:ascii="Times New Roman" w:eastAsia="Calibri" w:hAnsi="Times New Roman" w:cs="Times New Roman"/>
        </w:rPr>
        <w:t>letrozolu</w:t>
      </w:r>
      <w:proofErr w:type="spellEnd"/>
      <w:r w:rsidRPr="000C5085">
        <w:rPr>
          <w:rFonts w:ascii="Times New Roman" w:eastAsia="Calibri" w:hAnsi="Times New Roman" w:cs="Times New Roman"/>
        </w:rPr>
        <w:t xml:space="preserve">. Jis priklauso vaistų, vadinamų </w:t>
      </w:r>
      <w:proofErr w:type="spellStart"/>
      <w:r w:rsidRPr="000C5085">
        <w:rPr>
          <w:rFonts w:ascii="Times New Roman" w:eastAsia="Calibri" w:hAnsi="Times New Roman" w:cs="Times New Roman"/>
        </w:rPr>
        <w:t>aromatazės</w:t>
      </w:r>
      <w:proofErr w:type="spellEnd"/>
      <w:r w:rsidRPr="000C5085">
        <w:rPr>
          <w:rFonts w:ascii="Times New Roman" w:eastAsia="Calibri" w:hAnsi="Times New Roman" w:cs="Times New Roman"/>
        </w:rPr>
        <w:t xml:space="preserve"> inhibitoriais, grupei.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slopina estrogenų gamybą. Šio vaisto vartojama hormoniniam (endokrininiam) krūties vėžio gydymui. Krūties vėžio augimą dažnai skatina moteriškieji lytiniai hormonai estrogenai.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mažina estrogenų kiekį, nes blokuoja fermentą (</w:t>
      </w:r>
      <w:proofErr w:type="spellStart"/>
      <w:r w:rsidRPr="000C5085">
        <w:rPr>
          <w:rFonts w:ascii="Times New Roman" w:eastAsia="Calibri" w:hAnsi="Times New Roman" w:cs="Times New Roman"/>
        </w:rPr>
        <w:t>aromatazę</w:t>
      </w:r>
      <w:proofErr w:type="spellEnd"/>
      <w:r w:rsidRPr="000C5085">
        <w:rPr>
          <w:rFonts w:ascii="Times New Roman" w:eastAsia="Calibri" w:hAnsi="Times New Roman" w:cs="Times New Roman"/>
        </w:rPr>
        <w:t>), dalyvaujantį susidarant estrogenams, todėl gali būti blokuojamas krūties vėžio augimas, jei jam būtini estrogenai. Dėl tokio poveikio naviko ląstelių augimas ir (arba) plitimas į kitas organizmo dalis sulėtėja arba jos nustoja augti ir (arba) plisti į kitas organizmo dalis.</w:t>
      </w:r>
    </w:p>
    <w:p w14:paraId="54C6E9E9" w14:textId="77777777" w:rsidR="00611539" w:rsidRPr="000C5085" w:rsidRDefault="00611539" w:rsidP="000C5085">
      <w:pPr>
        <w:widowControl w:val="0"/>
        <w:spacing w:after="0" w:line="240" w:lineRule="auto"/>
        <w:rPr>
          <w:rFonts w:ascii="Times New Roman" w:eastAsia="Calibri" w:hAnsi="Times New Roman" w:cs="Times New Roman"/>
        </w:rPr>
      </w:pPr>
    </w:p>
    <w:p w14:paraId="6E087F49"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Kam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vartojama</w:t>
      </w:r>
    </w:p>
    <w:p w14:paraId="57080615"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vartojama krūties vėžiui gydyti moterims po menopauzės (t. y. moterims, kurioms nebebūna menstruacijų).</w:t>
      </w:r>
    </w:p>
    <w:p w14:paraId="69DE497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0FB635E7"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Šio vaisto vartojama siekiant neleisti vėžiui atsirasti kartotinai.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galima vartoti kaip pirmiausia pasirenkamo vaisto prieš krūties vėžio operaciją, jei nedelsiama operacija negalima, bei kaip pirmiausia pasirenkamo vaisto po krūties vėžio operacijos ar praėjus penkeriems gydymo </w:t>
      </w:r>
      <w:proofErr w:type="spellStart"/>
      <w:r w:rsidRPr="000C5085">
        <w:rPr>
          <w:rFonts w:ascii="Times New Roman" w:eastAsia="Calibri" w:hAnsi="Times New Roman" w:cs="Times New Roman"/>
        </w:rPr>
        <w:t>tamoksifenu</w:t>
      </w:r>
      <w:proofErr w:type="spellEnd"/>
      <w:r w:rsidRPr="000C5085">
        <w:rPr>
          <w:rFonts w:ascii="Times New Roman" w:eastAsia="Calibri" w:hAnsi="Times New Roman" w:cs="Times New Roman"/>
        </w:rPr>
        <w:t xml:space="preserve"> metams. Be to,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galima vartoti siekiant neleisti krūties vėžiui plisti į kitas organizmo vietas, jei pacientė serga progresavusiu krūties vėžiu.</w:t>
      </w:r>
    </w:p>
    <w:p w14:paraId="5C3E8B33"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p>
    <w:p w14:paraId="666F0AC7"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kiltų bet kokių klausimų apie tai, kaip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veikia ar kodėl Jums šio vaisto skirta, klauskite gydytojo.</w:t>
      </w:r>
    </w:p>
    <w:p w14:paraId="4CFD59AC" w14:textId="77777777" w:rsidR="00611539" w:rsidRPr="000C5085" w:rsidRDefault="00611539" w:rsidP="000C5085">
      <w:pPr>
        <w:widowControl w:val="0"/>
        <w:spacing w:after="0" w:line="240" w:lineRule="auto"/>
        <w:rPr>
          <w:rFonts w:ascii="Times New Roman" w:eastAsia="Calibri" w:hAnsi="Times New Roman" w:cs="Times New Roman"/>
        </w:rPr>
      </w:pPr>
    </w:p>
    <w:p w14:paraId="2E65EC1C" w14:textId="77777777" w:rsidR="00611539" w:rsidRPr="000C5085" w:rsidRDefault="00611539" w:rsidP="000C5085">
      <w:pPr>
        <w:widowControl w:val="0"/>
        <w:spacing w:after="0" w:line="240" w:lineRule="auto"/>
        <w:rPr>
          <w:rFonts w:ascii="Times New Roman" w:eastAsia="Calibri" w:hAnsi="Times New Roman" w:cs="Times New Roman"/>
        </w:rPr>
      </w:pPr>
    </w:p>
    <w:p w14:paraId="171FB2BC"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70" w:name="_Toc129243140"/>
      <w:bookmarkStart w:id="71" w:name="_Toc129243265"/>
      <w:r w:rsidRPr="000C5085">
        <w:rPr>
          <w:rFonts w:ascii="Times New Roman" w:eastAsia="Calibri" w:hAnsi="Times New Roman" w:cs="Times New Roman"/>
          <w:b/>
        </w:rPr>
        <w:t>2.</w:t>
      </w:r>
      <w:r w:rsidRPr="000C5085">
        <w:rPr>
          <w:rFonts w:ascii="Times New Roman" w:eastAsia="Calibri" w:hAnsi="Times New Roman" w:cs="Times New Roman"/>
          <w:b/>
        </w:rPr>
        <w:tab/>
      </w:r>
      <w:bookmarkEnd w:id="70"/>
      <w:bookmarkEnd w:id="71"/>
      <w:r w:rsidRPr="000C5085">
        <w:rPr>
          <w:rFonts w:ascii="Times New Roman" w:eastAsia="Calibri" w:hAnsi="Times New Roman" w:cs="Times New Roman"/>
          <w:b/>
        </w:rPr>
        <w:t xml:space="preserve">Kas žinotina prieš vartojant </w:t>
      </w:r>
      <w:proofErr w:type="spellStart"/>
      <w:r w:rsidRPr="000C5085">
        <w:rPr>
          <w:rFonts w:ascii="Times New Roman" w:eastAsia="Calibri" w:hAnsi="Times New Roman" w:cs="Times New Roman"/>
          <w:b/>
        </w:rPr>
        <w:t>Likarda</w:t>
      </w:r>
      <w:proofErr w:type="spellEnd"/>
    </w:p>
    <w:p w14:paraId="3618917E" w14:textId="77777777" w:rsidR="00611539" w:rsidRPr="000C5085" w:rsidRDefault="00611539" w:rsidP="000C5085">
      <w:pPr>
        <w:widowControl w:val="0"/>
        <w:spacing w:after="0" w:line="240" w:lineRule="auto"/>
        <w:rPr>
          <w:rFonts w:ascii="Times New Roman" w:eastAsia="Calibri" w:hAnsi="Times New Roman" w:cs="Times New Roman"/>
        </w:rPr>
      </w:pPr>
    </w:p>
    <w:p w14:paraId="6792554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Atidžiai vykdykite gydytojo nurodymus. Jie gali skirtis nuo šiame lapelyje pateikiamų bendrųjų reikalavimų.</w:t>
      </w:r>
    </w:p>
    <w:p w14:paraId="73DE8212" w14:textId="77777777" w:rsidR="00611539" w:rsidRPr="000C5085" w:rsidRDefault="00611539" w:rsidP="000C5085">
      <w:pPr>
        <w:widowControl w:val="0"/>
        <w:spacing w:after="0" w:line="240" w:lineRule="auto"/>
        <w:rPr>
          <w:rFonts w:ascii="Times New Roman" w:eastAsia="Calibri" w:hAnsi="Times New Roman" w:cs="Times New Roman"/>
        </w:rPr>
      </w:pPr>
    </w:p>
    <w:p w14:paraId="3A30E15A" w14:textId="586C25AB"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vartoti </w:t>
      </w:r>
      <w:r w:rsidR="00EA69B9">
        <w:rPr>
          <w:rFonts w:ascii="Times New Roman" w:eastAsia="Calibri" w:hAnsi="Times New Roman" w:cs="Times New Roman"/>
          <w:b/>
        </w:rPr>
        <w:t>draudžiama</w:t>
      </w:r>
      <w:r w:rsidRPr="000C5085">
        <w:rPr>
          <w:rFonts w:ascii="Times New Roman" w:eastAsia="Calibri" w:hAnsi="Times New Roman" w:cs="Times New Roman"/>
          <w:b/>
        </w:rPr>
        <w:t>:</w:t>
      </w:r>
    </w:p>
    <w:p w14:paraId="00421A6F" w14:textId="47EE0556"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lastRenderedPageBreak/>
        <w:t xml:space="preserve">jeigu yra alergija </w:t>
      </w:r>
      <w:proofErr w:type="spellStart"/>
      <w:r w:rsidRPr="008100DF">
        <w:rPr>
          <w:rFonts w:ascii="Times New Roman" w:eastAsia="Calibri" w:hAnsi="Times New Roman" w:cs="Times New Roman"/>
        </w:rPr>
        <w:t>letrozolui</w:t>
      </w:r>
      <w:proofErr w:type="spellEnd"/>
      <w:r w:rsidRPr="008100DF">
        <w:rPr>
          <w:rFonts w:ascii="Times New Roman" w:eastAsia="Calibri" w:hAnsi="Times New Roman" w:cs="Times New Roman"/>
        </w:rPr>
        <w:t xml:space="preserve"> arba bet kuriai pagalbinei šio vaisto medžiagai (jos išvardytos 6</w:t>
      </w:r>
      <w:r w:rsidR="00B66BB6">
        <w:rPr>
          <w:rFonts w:ascii="Times New Roman" w:eastAsia="Calibri" w:hAnsi="Times New Roman" w:cs="Times New Roman"/>
        </w:rPr>
        <w:t> </w:t>
      </w:r>
      <w:r w:rsidRPr="008100DF">
        <w:rPr>
          <w:rFonts w:ascii="Times New Roman" w:eastAsia="Calibri" w:hAnsi="Times New Roman" w:cs="Times New Roman"/>
        </w:rPr>
        <w:t>skyriuje);</w:t>
      </w:r>
    </w:p>
    <w:p w14:paraId="02FCB48C" w14:textId="77777777"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vis dar būna menstruacijų, t.y. jeigu Jūs dar nesate po menopauzės;</w:t>
      </w:r>
    </w:p>
    <w:p w14:paraId="33A71662" w14:textId="77777777"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esate nėščia;</w:t>
      </w:r>
    </w:p>
    <w:p w14:paraId="2C12864E" w14:textId="77777777" w:rsidR="00611539" w:rsidRPr="008100DF" w:rsidRDefault="00611539" w:rsidP="008100DF">
      <w:pPr>
        <w:pStyle w:val="Sraopastraipa"/>
        <w:widowControl w:val="0"/>
        <w:numPr>
          <w:ilvl w:val="0"/>
          <w:numId w:val="34"/>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maitinate krūtimi.</w:t>
      </w:r>
    </w:p>
    <w:p w14:paraId="5DB73AAF" w14:textId="77777777" w:rsidR="00611539" w:rsidRPr="000C5085" w:rsidRDefault="00611539" w:rsidP="000C5085">
      <w:pPr>
        <w:widowControl w:val="0"/>
        <w:spacing w:after="0" w:line="240" w:lineRule="auto"/>
        <w:rPr>
          <w:rFonts w:ascii="Times New Roman" w:eastAsia="Calibri" w:hAnsi="Times New Roman" w:cs="Times New Roman"/>
        </w:rPr>
      </w:pPr>
    </w:p>
    <w:p w14:paraId="595333B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bet kuri iš šių būklių Jums tinka, </w:t>
      </w:r>
      <w:r w:rsidRPr="000C5085">
        <w:rPr>
          <w:rFonts w:ascii="Times New Roman" w:eastAsia="Calibri" w:hAnsi="Times New Roman" w:cs="Times New Roman"/>
          <w:b/>
        </w:rPr>
        <w:t>nevartokite šio vaisto ir pasitarkite su gydytoju</w:t>
      </w:r>
      <w:r w:rsidRPr="000C5085">
        <w:rPr>
          <w:rFonts w:ascii="Times New Roman" w:eastAsia="Calibri" w:hAnsi="Times New Roman" w:cs="Times New Roman"/>
        </w:rPr>
        <w:t>.</w:t>
      </w:r>
    </w:p>
    <w:p w14:paraId="67F2BC81" w14:textId="77777777" w:rsidR="00611539" w:rsidRPr="000C5085" w:rsidRDefault="00611539" w:rsidP="000C5085">
      <w:pPr>
        <w:widowControl w:val="0"/>
        <w:spacing w:after="0" w:line="240" w:lineRule="auto"/>
        <w:rPr>
          <w:rFonts w:ascii="Times New Roman" w:eastAsia="Calibri" w:hAnsi="Times New Roman" w:cs="Times New Roman"/>
        </w:rPr>
      </w:pPr>
    </w:p>
    <w:p w14:paraId="66368B56"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Įspėjimai ir atsargumo priemonės</w:t>
      </w:r>
    </w:p>
    <w:p w14:paraId="558C405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Pasitarkite su gydytoju arba vaistininku, prieš pradėdami vartoti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w:t>
      </w:r>
    </w:p>
    <w:p w14:paraId="008D9BEF" w14:textId="77777777" w:rsidR="00611539" w:rsidRPr="008100DF" w:rsidRDefault="00611539" w:rsidP="008100DF">
      <w:pPr>
        <w:pStyle w:val="Sraopastraipa"/>
        <w:widowControl w:val="0"/>
        <w:numPr>
          <w:ilvl w:val="0"/>
          <w:numId w:val="35"/>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sergate sunkia inkstų liga;</w:t>
      </w:r>
    </w:p>
    <w:p w14:paraId="53A3CE21" w14:textId="77777777" w:rsidR="00611539" w:rsidRPr="008100DF" w:rsidRDefault="00611539" w:rsidP="008100DF">
      <w:pPr>
        <w:pStyle w:val="Sraopastraipa"/>
        <w:widowControl w:val="0"/>
        <w:numPr>
          <w:ilvl w:val="0"/>
          <w:numId w:val="35"/>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jeigu sergate sunkia kepenų liga;</w:t>
      </w:r>
    </w:p>
    <w:p w14:paraId="4E27AB92" w14:textId="77777777" w:rsidR="00611539" w:rsidRPr="008100DF" w:rsidRDefault="00611539" w:rsidP="008100DF">
      <w:pPr>
        <w:pStyle w:val="Sraopastraipa"/>
        <w:widowControl w:val="0"/>
        <w:numPr>
          <w:ilvl w:val="0"/>
          <w:numId w:val="35"/>
        </w:numPr>
        <w:spacing w:after="0" w:line="240" w:lineRule="auto"/>
        <w:ind w:left="567" w:hanging="567"/>
        <w:rPr>
          <w:rFonts w:ascii="Times New Roman" w:eastAsia="Calibri" w:hAnsi="Times New Roman" w:cs="Times New Roman"/>
        </w:rPr>
      </w:pPr>
      <w:r w:rsidRPr="008100DF">
        <w:rPr>
          <w:rFonts w:ascii="Times New Roman" w:eastAsia="Calibri" w:hAnsi="Times New Roman" w:cs="Times New Roman"/>
        </w:rPr>
        <w:t xml:space="preserve">jeigu sirgote osteoporoze ar buvo lūžę kaulai (taip pat žiūrėkite 3 skyriaus poskyrį „Stebėjimas gydymo </w:t>
      </w:r>
      <w:proofErr w:type="spellStart"/>
      <w:r w:rsidRPr="008100DF">
        <w:rPr>
          <w:rFonts w:ascii="Times New Roman" w:eastAsia="Calibri" w:hAnsi="Times New Roman" w:cs="Times New Roman"/>
        </w:rPr>
        <w:t>Likarda</w:t>
      </w:r>
      <w:proofErr w:type="spellEnd"/>
      <w:r w:rsidRPr="008100DF">
        <w:rPr>
          <w:rFonts w:ascii="Times New Roman" w:eastAsia="Calibri" w:hAnsi="Times New Roman" w:cs="Times New Roman"/>
        </w:rPr>
        <w:t xml:space="preserve"> metu“).</w:t>
      </w:r>
    </w:p>
    <w:p w14:paraId="62EDCE5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bet kuri iš šių būklių Jums tinka, </w:t>
      </w:r>
      <w:r w:rsidRPr="000C5085">
        <w:rPr>
          <w:rFonts w:ascii="Times New Roman" w:eastAsia="Calibri" w:hAnsi="Times New Roman" w:cs="Times New Roman"/>
          <w:b/>
        </w:rPr>
        <w:t>pasakykite gydytojui</w:t>
      </w:r>
      <w:r w:rsidRPr="000C5085">
        <w:rPr>
          <w:rFonts w:ascii="Times New Roman" w:eastAsia="Calibri" w:hAnsi="Times New Roman" w:cs="Times New Roman"/>
        </w:rPr>
        <w:t xml:space="preserve">. Gydytojas tai turės galvoje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w:t>
      </w:r>
    </w:p>
    <w:p w14:paraId="5811B253" w14:textId="77777777" w:rsidR="00163270" w:rsidRPr="000C5085" w:rsidRDefault="00163270" w:rsidP="000C5085">
      <w:pPr>
        <w:widowControl w:val="0"/>
        <w:spacing w:after="0" w:line="240" w:lineRule="auto"/>
        <w:rPr>
          <w:rFonts w:ascii="Times New Roman" w:eastAsia="Calibri" w:hAnsi="Times New Roman" w:cs="Times New Roman"/>
        </w:rPr>
      </w:pPr>
    </w:p>
    <w:p w14:paraId="39F3085F" w14:textId="114F8385" w:rsidR="00611539" w:rsidRPr="000C5085" w:rsidRDefault="00163270"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gali sukelti sausgyslių uždegimą ar sausgyslių pažeidimus (žr. 4</w:t>
      </w:r>
      <w:r w:rsidR="00B66BB6">
        <w:rPr>
          <w:rFonts w:ascii="Times New Roman" w:eastAsia="Calibri" w:hAnsi="Times New Roman" w:cs="Times New Roman"/>
        </w:rPr>
        <w:t> </w:t>
      </w:r>
      <w:r w:rsidRPr="000C5085">
        <w:rPr>
          <w:rFonts w:ascii="Times New Roman" w:eastAsia="Calibri" w:hAnsi="Times New Roman" w:cs="Times New Roman"/>
        </w:rPr>
        <w:t>skyrių). Esant bet kokiems sausgyslių skausmo ar patinimo požymiams, pailsinkite skausmingą vietą ir susisiekite su gydytoju.</w:t>
      </w:r>
    </w:p>
    <w:p w14:paraId="3B9505C5" w14:textId="77777777" w:rsidR="00163270" w:rsidRPr="000C5085" w:rsidRDefault="00163270" w:rsidP="000C5085">
      <w:pPr>
        <w:widowControl w:val="0"/>
        <w:spacing w:after="0" w:line="240" w:lineRule="auto"/>
        <w:rPr>
          <w:rFonts w:ascii="Times New Roman" w:eastAsia="Calibri" w:hAnsi="Times New Roman" w:cs="Times New Roman"/>
        </w:rPr>
      </w:pPr>
    </w:p>
    <w:p w14:paraId="5F0B2790"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Vaikams ir paaugliams (jaunesniems kaip 18 metų)</w:t>
      </w:r>
    </w:p>
    <w:p w14:paraId="49F9A6B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Vaikams ir paaugliams šio vaisto vartoti negalima.</w:t>
      </w:r>
    </w:p>
    <w:p w14:paraId="097D876F" w14:textId="77777777" w:rsidR="00611539" w:rsidRPr="000C5085" w:rsidRDefault="00611539" w:rsidP="000C5085">
      <w:pPr>
        <w:widowControl w:val="0"/>
        <w:spacing w:after="0" w:line="240" w:lineRule="auto"/>
        <w:rPr>
          <w:rFonts w:ascii="Times New Roman" w:eastAsia="Calibri" w:hAnsi="Times New Roman" w:cs="Times New Roman"/>
          <w:b/>
        </w:rPr>
      </w:pPr>
    </w:p>
    <w:p w14:paraId="2FC175B5"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Senyvoms moterims (65 metų ir vyresnėms)</w:t>
      </w:r>
    </w:p>
    <w:p w14:paraId="2BCD6610"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65 metų ir vyresnėms pacientėms šio vaisto galima vartoti tokiomis pat dozėmis, kaip ir kitoms suaugusioms ligonėms.</w:t>
      </w:r>
    </w:p>
    <w:p w14:paraId="01D14E54" w14:textId="77777777" w:rsidR="00611539" w:rsidRPr="000C5085" w:rsidRDefault="00611539" w:rsidP="000C5085">
      <w:pPr>
        <w:widowControl w:val="0"/>
        <w:spacing w:after="0" w:line="240" w:lineRule="auto"/>
        <w:rPr>
          <w:rFonts w:ascii="Times New Roman" w:eastAsia="Calibri" w:hAnsi="Times New Roman" w:cs="Times New Roman"/>
          <w:b/>
        </w:rPr>
      </w:pPr>
    </w:p>
    <w:p w14:paraId="55B6B02D"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Kiti vaistai ir </w:t>
      </w:r>
      <w:proofErr w:type="spellStart"/>
      <w:r w:rsidRPr="000C5085">
        <w:rPr>
          <w:rFonts w:ascii="Times New Roman" w:eastAsia="Calibri" w:hAnsi="Times New Roman" w:cs="Times New Roman"/>
          <w:b/>
        </w:rPr>
        <w:t>Likarda</w:t>
      </w:r>
      <w:proofErr w:type="spellEnd"/>
    </w:p>
    <w:p w14:paraId="5C91890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vartojate ar neseniai vartojote kitų vaistų arba dėl to nesate tikra, apie tai pasakykite gydytojui arba vaistininkui.</w:t>
      </w:r>
    </w:p>
    <w:p w14:paraId="564220B0" w14:textId="77777777" w:rsidR="00611539" w:rsidRPr="000C5085" w:rsidRDefault="00611539" w:rsidP="000C5085">
      <w:pPr>
        <w:widowControl w:val="0"/>
        <w:spacing w:after="0" w:line="240" w:lineRule="auto"/>
        <w:rPr>
          <w:rFonts w:ascii="Times New Roman" w:eastAsia="Calibri" w:hAnsi="Times New Roman" w:cs="Times New Roman"/>
        </w:rPr>
      </w:pPr>
    </w:p>
    <w:p w14:paraId="41ECEFA8"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Nėštumas, žindymo laikotarpis ir vaisingumas</w:t>
      </w:r>
    </w:p>
    <w:p w14:paraId="39B2D334"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vartoti galite tik tuo atveju, jei jau esate po menopauzės. Vis dėlto gydytoja su Jumis turės aptarti veiksmingų kontracepcijos priemonių naudojimą, kadangi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 išlieka pastojimo galimybė.</w:t>
      </w:r>
    </w:p>
    <w:p w14:paraId="1C5D3D3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 esate nėščia arba maitinate krūtimi,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vartoti negalite, kadangi gali pasireikšti kenksmingas poveikis kūdikiui.</w:t>
      </w:r>
    </w:p>
    <w:p w14:paraId="40016FB2" w14:textId="77777777" w:rsidR="00611539" w:rsidRPr="000C5085" w:rsidRDefault="00611539" w:rsidP="000C5085">
      <w:pPr>
        <w:widowControl w:val="0"/>
        <w:spacing w:after="0" w:line="240" w:lineRule="auto"/>
        <w:rPr>
          <w:rFonts w:ascii="Times New Roman" w:eastAsia="Calibri" w:hAnsi="Times New Roman" w:cs="Times New Roman"/>
        </w:rPr>
      </w:pPr>
    </w:p>
    <w:p w14:paraId="1226D2EA"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Vairavimas ir mechanizmų valdymas</w:t>
      </w:r>
    </w:p>
    <w:p w14:paraId="767606E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svaigsta galva, jaučiate nuovargį ar apsnūdimą ar Jūsų bendroji savijauta nėra gera, nevairuokite ir nevaldykite mechanizmų, kol vėl nepasijusite įprastai.</w:t>
      </w:r>
    </w:p>
    <w:p w14:paraId="28F429C8" w14:textId="77777777" w:rsidR="00611539" w:rsidRPr="000C5085" w:rsidRDefault="00611539" w:rsidP="000C5085">
      <w:pPr>
        <w:widowControl w:val="0"/>
        <w:spacing w:after="0" w:line="240" w:lineRule="auto"/>
        <w:rPr>
          <w:rFonts w:ascii="Times New Roman" w:eastAsia="Calibri" w:hAnsi="Times New Roman" w:cs="Times New Roman"/>
        </w:rPr>
      </w:pPr>
    </w:p>
    <w:p w14:paraId="39F3B15A"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sudėtyje yra laktozės </w:t>
      </w:r>
      <w:proofErr w:type="spellStart"/>
      <w:r w:rsidRPr="000C5085">
        <w:rPr>
          <w:rFonts w:ascii="Times New Roman" w:eastAsia="Calibri" w:hAnsi="Times New Roman" w:cs="Times New Roman"/>
          <w:b/>
        </w:rPr>
        <w:t>monohidrato</w:t>
      </w:r>
      <w:proofErr w:type="spellEnd"/>
      <w:r w:rsidR="008D19CB" w:rsidRPr="000C5085">
        <w:rPr>
          <w:rFonts w:ascii="Times New Roman" w:eastAsia="Calibri" w:hAnsi="Times New Roman" w:cs="Times New Roman"/>
          <w:b/>
        </w:rPr>
        <w:t xml:space="preserve"> ir natrio</w:t>
      </w:r>
    </w:p>
    <w:p w14:paraId="54E79F6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gydytojas Jums yra sakęs, kad netoleruojate kokių nors angliavandenių, kreipkitės į jį prieš pradėdama vartoti šį vaistą.</w:t>
      </w:r>
    </w:p>
    <w:p w14:paraId="54DB778E" w14:textId="77777777" w:rsidR="00611539" w:rsidRPr="000C5085" w:rsidRDefault="00D51561"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Šio vaisto tabletėje yra mažiau nei 1 </w:t>
      </w:r>
      <w:proofErr w:type="spellStart"/>
      <w:r w:rsidRPr="000C5085">
        <w:rPr>
          <w:rFonts w:ascii="Times New Roman" w:eastAsia="Calibri" w:hAnsi="Times New Roman" w:cs="Times New Roman"/>
        </w:rPr>
        <w:t>mmol</w:t>
      </w:r>
      <w:proofErr w:type="spellEnd"/>
      <w:r w:rsidRPr="000C5085">
        <w:rPr>
          <w:rFonts w:ascii="Times New Roman" w:eastAsia="Calibri" w:hAnsi="Times New Roman" w:cs="Times New Roman"/>
        </w:rPr>
        <w:t xml:space="preserve"> natrio (23 mg), t.y. jis beveik neturi reikšmės.</w:t>
      </w:r>
    </w:p>
    <w:p w14:paraId="02865875" w14:textId="77777777" w:rsidR="00611539" w:rsidRDefault="00611539" w:rsidP="000C5085">
      <w:pPr>
        <w:widowControl w:val="0"/>
        <w:spacing w:after="0" w:line="240" w:lineRule="auto"/>
        <w:rPr>
          <w:rFonts w:ascii="Times New Roman" w:eastAsia="Calibri" w:hAnsi="Times New Roman" w:cs="Times New Roman"/>
        </w:rPr>
      </w:pPr>
    </w:p>
    <w:p w14:paraId="76FC3A1F" w14:textId="77777777" w:rsidR="000C5085" w:rsidRPr="000C5085" w:rsidRDefault="000C5085" w:rsidP="000C5085">
      <w:pPr>
        <w:widowControl w:val="0"/>
        <w:spacing w:after="0" w:line="240" w:lineRule="auto"/>
        <w:rPr>
          <w:rFonts w:ascii="Times New Roman" w:eastAsia="Calibri" w:hAnsi="Times New Roman" w:cs="Times New Roman"/>
        </w:rPr>
      </w:pPr>
    </w:p>
    <w:p w14:paraId="454EAB41"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72" w:name="_Toc129243141"/>
      <w:bookmarkStart w:id="73" w:name="_Toc129243266"/>
      <w:r w:rsidRPr="000C5085">
        <w:rPr>
          <w:rFonts w:ascii="Times New Roman" w:eastAsia="Calibri" w:hAnsi="Times New Roman" w:cs="Times New Roman"/>
          <w:b/>
        </w:rPr>
        <w:t>3.</w:t>
      </w:r>
      <w:r w:rsidRPr="000C5085">
        <w:rPr>
          <w:rFonts w:ascii="Times New Roman" w:eastAsia="Calibri" w:hAnsi="Times New Roman" w:cs="Times New Roman"/>
          <w:b/>
        </w:rPr>
        <w:tab/>
      </w:r>
      <w:bookmarkEnd w:id="72"/>
      <w:bookmarkEnd w:id="73"/>
      <w:r w:rsidRPr="000C5085">
        <w:rPr>
          <w:rFonts w:ascii="Times New Roman" w:eastAsia="Calibri" w:hAnsi="Times New Roman" w:cs="Times New Roman"/>
          <w:b/>
        </w:rPr>
        <w:t xml:space="preserve">Kaip vartoti </w:t>
      </w:r>
      <w:proofErr w:type="spellStart"/>
      <w:r w:rsidRPr="000C5085">
        <w:rPr>
          <w:rFonts w:ascii="Times New Roman" w:eastAsia="Calibri" w:hAnsi="Times New Roman" w:cs="Times New Roman"/>
          <w:b/>
        </w:rPr>
        <w:t>Likarda</w:t>
      </w:r>
      <w:proofErr w:type="spellEnd"/>
    </w:p>
    <w:p w14:paraId="760CAE0F" w14:textId="77777777" w:rsidR="00611539" w:rsidRPr="000C5085" w:rsidRDefault="00611539" w:rsidP="000C5085">
      <w:pPr>
        <w:widowControl w:val="0"/>
        <w:spacing w:after="0" w:line="240" w:lineRule="auto"/>
        <w:rPr>
          <w:rFonts w:ascii="Times New Roman" w:eastAsia="Calibri" w:hAnsi="Times New Roman" w:cs="Times New Roman"/>
        </w:rPr>
      </w:pPr>
    </w:p>
    <w:p w14:paraId="5F7E604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Visada vartokite šį vaistą tiksliai kaip nurodė gydytojas arba vaistininkas. Jeigu abejojate, kreipkitės į gydytoją arba vaistininką.</w:t>
      </w:r>
    </w:p>
    <w:p w14:paraId="0E411E5A" w14:textId="77777777" w:rsidR="00611539" w:rsidRPr="000C5085" w:rsidRDefault="00611539" w:rsidP="000C5085">
      <w:pPr>
        <w:widowControl w:val="0"/>
        <w:spacing w:after="0" w:line="240" w:lineRule="auto"/>
        <w:rPr>
          <w:rFonts w:ascii="Times New Roman" w:eastAsia="Calibri" w:hAnsi="Times New Roman" w:cs="Times New Roman"/>
        </w:rPr>
      </w:pPr>
    </w:p>
    <w:p w14:paraId="733614E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Rekomenduojama kartą per parą vartojama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dozė yra viena tabletė.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vartojimas kasdien tuo pačiu metu padės Jums nepamiršti, kada reikia gerti tabletę.</w:t>
      </w:r>
    </w:p>
    <w:p w14:paraId="7CCC89DA" w14:textId="77777777" w:rsidR="00611539" w:rsidRPr="000C5085" w:rsidRDefault="00611539" w:rsidP="000C5085">
      <w:pPr>
        <w:widowControl w:val="0"/>
        <w:spacing w:after="0" w:line="240" w:lineRule="auto"/>
        <w:rPr>
          <w:rFonts w:ascii="Times New Roman" w:eastAsia="Calibri" w:hAnsi="Times New Roman" w:cs="Times New Roman"/>
        </w:rPr>
      </w:pPr>
    </w:p>
    <w:p w14:paraId="4DD1695B"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lastRenderedPageBreak/>
        <w:t xml:space="preserve">Kaip ilgai vartoti </w:t>
      </w:r>
      <w:proofErr w:type="spellStart"/>
      <w:r w:rsidRPr="000C5085">
        <w:rPr>
          <w:rFonts w:ascii="Times New Roman" w:eastAsia="Calibri" w:hAnsi="Times New Roman" w:cs="Times New Roman"/>
          <w:b/>
        </w:rPr>
        <w:t>Likarda</w:t>
      </w:r>
      <w:proofErr w:type="spellEnd"/>
    </w:p>
    <w:p w14:paraId="75C396F5"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kasdien vartokite tiek laiko, kiek nurodė gydytojas. Gydymas gali trukti kelis mėnesius ir net metus. Jei kiltų klausimų apie tai, kiek ilgai vartoti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pasikalbėkite su savo gydytoju.</w:t>
      </w:r>
    </w:p>
    <w:p w14:paraId="6B83191B"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highlight w:val="yellow"/>
        </w:rPr>
      </w:pPr>
    </w:p>
    <w:p w14:paraId="1F67146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Stebėjimas gydymo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metu</w:t>
      </w:r>
    </w:p>
    <w:p w14:paraId="50875790"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rPr>
      </w:pPr>
      <w:r w:rsidRPr="000C5085">
        <w:rPr>
          <w:rFonts w:ascii="Times New Roman" w:eastAsia="Calibri" w:hAnsi="Times New Roman" w:cs="Times New Roman"/>
        </w:rPr>
        <w:t>Šio vaisto būtina vartoti atidžiai prižiūrint medikams. Gydytojas reguliariai stebės Jūsų būklę, kad galėtų įvertinti, ar gydymas sukelia tinkamą poveikį.</w:t>
      </w:r>
    </w:p>
    <w:p w14:paraId="73371177"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rPr>
      </w:pPr>
    </w:p>
    <w:p w14:paraId="22A6007D" w14:textId="77777777" w:rsidR="00611539" w:rsidRPr="000C5085" w:rsidRDefault="00611539" w:rsidP="000C5085">
      <w:pPr>
        <w:widowControl w:val="0"/>
        <w:numPr>
          <w:ilvl w:val="12"/>
          <w:numId w:val="0"/>
        </w:numPr>
        <w:tabs>
          <w:tab w:val="left" w:pos="567"/>
        </w:tabs>
        <w:spacing w:after="0" w:line="240" w:lineRule="auto"/>
        <w:ind w:right="-2"/>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gali sukelti kaulų plonėjimą ar retėjimą (osteoporozę), kadangi organizme mažėja estrogenų kiekis. Gydytojas gali nuspręsti ištirti Jūsų kaulų tankį (remiantis šiuo tyrimu vertinama osteoporozė) prieš gydymą, jo metu bei po gydymo.</w:t>
      </w:r>
    </w:p>
    <w:p w14:paraId="556D716F" w14:textId="77777777" w:rsidR="00611539" w:rsidRPr="000C5085" w:rsidRDefault="00611539" w:rsidP="000C5085">
      <w:pPr>
        <w:widowControl w:val="0"/>
        <w:spacing w:after="0" w:line="240" w:lineRule="auto"/>
        <w:rPr>
          <w:rFonts w:ascii="Times New Roman" w:eastAsia="Calibri" w:hAnsi="Times New Roman" w:cs="Times New Roman"/>
          <w:b/>
        </w:rPr>
      </w:pPr>
    </w:p>
    <w:p w14:paraId="62A587BD" w14:textId="32753F89"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Ką daryti pavartojus per didelę </w:t>
      </w: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dozę</w:t>
      </w:r>
    </w:p>
    <w:p w14:paraId="0355446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Jeigu išgėrėte per daug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tablečių arba Jūsų tablečių netyčia išgėrė kas nors kitas netyčia, nedelsdama kreipkitės į gydytoją ar ligoninę. Paimkite su savimi tablečių pakuotę. Gali prireikti medicininio gydymo.</w:t>
      </w:r>
    </w:p>
    <w:p w14:paraId="792D64ED" w14:textId="77777777" w:rsidR="00611539" w:rsidRPr="000C5085" w:rsidRDefault="00611539" w:rsidP="000C5085">
      <w:pPr>
        <w:widowControl w:val="0"/>
        <w:spacing w:after="0" w:line="240" w:lineRule="auto"/>
        <w:rPr>
          <w:rFonts w:ascii="Times New Roman" w:eastAsia="Calibri" w:hAnsi="Times New Roman" w:cs="Times New Roman"/>
        </w:rPr>
      </w:pPr>
    </w:p>
    <w:p w14:paraId="5D85C592"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Pamiršus pavartoti </w:t>
      </w:r>
      <w:proofErr w:type="spellStart"/>
      <w:r w:rsidRPr="000C5085">
        <w:rPr>
          <w:rFonts w:ascii="Times New Roman" w:eastAsia="Calibri" w:hAnsi="Times New Roman" w:cs="Times New Roman"/>
          <w:b/>
        </w:rPr>
        <w:t>Likarda</w:t>
      </w:r>
      <w:proofErr w:type="spellEnd"/>
    </w:p>
    <w:p w14:paraId="6FF94AF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beveik metas gerti kitą dozę (pvz., iki jos vartojimo liko 2 ar 3 valandos), neišgertąją dozę praleiskite ir kitą dozę gerkite įprastu laiku.</w:t>
      </w:r>
    </w:p>
    <w:p w14:paraId="49BE49F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Kitu atveju dozę išgerkite iš karto, kai tik prisiminsite, ir kitą dozę gerkite įprastu laiku.</w:t>
      </w:r>
    </w:p>
    <w:p w14:paraId="242846F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Negalima vartoti dvigubos dozės norint kompensuoti praleistą dozę.</w:t>
      </w:r>
    </w:p>
    <w:p w14:paraId="38387C4E" w14:textId="77777777" w:rsidR="00611539" w:rsidRPr="000C5085" w:rsidRDefault="00611539" w:rsidP="000C5085">
      <w:pPr>
        <w:widowControl w:val="0"/>
        <w:spacing w:after="0" w:line="240" w:lineRule="auto"/>
        <w:rPr>
          <w:rFonts w:ascii="Times New Roman" w:eastAsia="Calibri" w:hAnsi="Times New Roman" w:cs="Times New Roman"/>
        </w:rPr>
      </w:pPr>
    </w:p>
    <w:p w14:paraId="6A0583BE"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 xml:space="preserve">Nustojus vartoti </w:t>
      </w:r>
      <w:proofErr w:type="spellStart"/>
      <w:r w:rsidRPr="000C5085">
        <w:rPr>
          <w:rFonts w:ascii="Times New Roman" w:eastAsia="Calibri" w:hAnsi="Times New Roman" w:cs="Times New Roman"/>
          <w:b/>
        </w:rPr>
        <w:t>Likarda</w:t>
      </w:r>
      <w:proofErr w:type="spellEnd"/>
    </w:p>
    <w:p w14:paraId="709BEDD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Nenutraukite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vartojimo, kol to nenurodė gydytojas. Taip pat žr. aukščiau esantį poskyrį „Kaip ilgai vartoti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w:t>
      </w:r>
    </w:p>
    <w:p w14:paraId="28FFEE1B" w14:textId="77777777" w:rsidR="00611539" w:rsidRPr="000C5085" w:rsidRDefault="00611539" w:rsidP="000C5085">
      <w:pPr>
        <w:widowControl w:val="0"/>
        <w:spacing w:after="0" w:line="240" w:lineRule="auto"/>
        <w:rPr>
          <w:rFonts w:ascii="Times New Roman" w:eastAsia="Calibri" w:hAnsi="Times New Roman" w:cs="Times New Roman"/>
        </w:rPr>
      </w:pPr>
    </w:p>
    <w:p w14:paraId="7D5E40A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Jeigu kiltų daugiau klausimų dėl šio vaisto vartojimo, kreipkitės į gydytoją arba vaistininką.</w:t>
      </w:r>
    </w:p>
    <w:p w14:paraId="23E3EF89" w14:textId="77777777" w:rsidR="00611539" w:rsidRPr="000C5085" w:rsidRDefault="00611539" w:rsidP="000C5085">
      <w:pPr>
        <w:widowControl w:val="0"/>
        <w:spacing w:after="0" w:line="240" w:lineRule="auto"/>
        <w:rPr>
          <w:rFonts w:ascii="Times New Roman" w:eastAsia="Calibri" w:hAnsi="Times New Roman" w:cs="Times New Roman"/>
        </w:rPr>
      </w:pPr>
    </w:p>
    <w:p w14:paraId="7A6927B8" w14:textId="77777777" w:rsidR="00611539" w:rsidRPr="000C5085" w:rsidRDefault="00611539" w:rsidP="000C5085">
      <w:pPr>
        <w:widowControl w:val="0"/>
        <w:spacing w:after="0" w:line="240" w:lineRule="auto"/>
        <w:rPr>
          <w:rFonts w:ascii="Times New Roman" w:eastAsia="Calibri" w:hAnsi="Times New Roman" w:cs="Times New Roman"/>
        </w:rPr>
      </w:pPr>
    </w:p>
    <w:p w14:paraId="2F25AC97"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74" w:name="_Toc129243142"/>
      <w:bookmarkStart w:id="75" w:name="_Toc129243267"/>
      <w:r w:rsidRPr="000C5085">
        <w:rPr>
          <w:rFonts w:ascii="Times New Roman" w:eastAsia="Calibri" w:hAnsi="Times New Roman" w:cs="Times New Roman"/>
          <w:b/>
        </w:rPr>
        <w:t>4.</w:t>
      </w:r>
      <w:r w:rsidRPr="000C5085">
        <w:rPr>
          <w:rFonts w:ascii="Times New Roman" w:eastAsia="Calibri" w:hAnsi="Times New Roman" w:cs="Times New Roman"/>
          <w:b/>
        </w:rPr>
        <w:tab/>
      </w:r>
      <w:bookmarkEnd w:id="74"/>
      <w:bookmarkEnd w:id="75"/>
      <w:r w:rsidRPr="000C5085">
        <w:rPr>
          <w:rFonts w:ascii="Times New Roman" w:eastAsia="Calibri" w:hAnsi="Times New Roman" w:cs="Times New Roman"/>
          <w:b/>
        </w:rPr>
        <w:t>Galimas šalutinis poveikis</w:t>
      </w:r>
    </w:p>
    <w:p w14:paraId="535AE250" w14:textId="77777777" w:rsidR="00611539" w:rsidRPr="000C5085" w:rsidRDefault="00611539" w:rsidP="000C5085">
      <w:pPr>
        <w:widowControl w:val="0"/>
        <w:spacing w:after="0" w:line="240" w:lineRule="auto"/>
        <w:rPr>
          <w:rFonts w:ascii="Times New Roman" w:eastAsia="Calibri" w:hAnsi="Times New Roman" w:cs="Times New Roman"/>
        </w:rPr>
      </w:pPr>
    </w:p>
    <w:p w14:paraId="60A8FF8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Šis vaistas, kaip ir visi kiti, gali sukelti šalutinį poveikį, nors jis pasireiškia ne visiems žmonėms.</w:t>
      </w:r>
    </w:p>
    <w:p w14:paraId="4E5F265F" w14:textId="77777777" w:rsidR="00611539" w:rsidRPr="000C5085" w:rsidRDefault="00611539" w:rsidP="000C5085">
      <w:pPr>
        <w:widowControl w:val="0"/>
        <w:spacing w:after="0" w:line="240" w:lineRule="auto"/>
        <w:rPr>
          <w:rFonts w:ascii="Times New Roman" w:eastAsia="Calibri" w:hAnsi="Times New Roman" w:cs="Times New Roman"/>
        </w:rPr>
      </w:pPr>
    </w:p>
    <w:p w14:paraId="334FE5E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Dažniausiai šalutinis poveikis būna nesunkus ar vidutinio sunkumo ir paprastai išnyksta per kelias gydymo dienas ar savaites.</w:t>
      </w:r>
    </w:p>
    <w:p w14:paraId="1B347FA7" w14:textId="77777777" w:rsidR="00611539" w:rsidRPr="000C5085" w:rsidRDefault="00611539" w:rsidP="000C5085">
      <w:pPr>
        <w:widowControl w:val="0"/>
        <w:spacing w:after="0" w:line="240" w:lineRule="auto"/>
        <w:rPr>
          <w:rFonts w:ascii="Times New Roman" w:eastAsia="Calibri" w:hAnsi="Times New Roman" w:cs="Times New Roman"/>
        </w:rPr>
      </w:pPr>
    </w:p>
    <w:p w14:paraId="4811F93E"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Tam tikrą paminėtą šalutinį poveikį, pvz., karščio pylimą, plaukų slinkimą ar kraujavimą iš makšties, gali sukelti estrogenų stoka organizme.</w:t>
      </w:r>
    </w:p>
    <w:p w14:paraId="7493959D" w14:textId="77777777" w:rsidR="00611539" w:rsidRPr="000C5085" w:rsidRDefault="00611539" w:rsidP="000C5085">
      <w:pPr>
        <w:widowControl w:val="0"/>
        <w:spacing w:after="0" w:line="240" w:lineRule="auto"/>
        <w:rPr>
          <w:rFonts w:ascii="Times New Roman" w:eastAsia="Calibri" w:hAnsi="Times New Roman" w:cs="Times New Roman"/>
        </w:rPr>
      </w:pPr>
    </w:p>
    <w:p w14:paraId="5CDF9CEC"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rPr>
        <w:t>Neišsigąskite toliau išvardyto šalutinio poveikio. Jo Jums gali neatsirasti visai.</w:t>
      </w:r>
    </w:p>
    <w:p w14:paraId="0993F15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u w:val="single"/>
        </w:rPr>
      </w:pPr>
    </w:p>
    <w:p w14:paraId="0B9F384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u w:val="single"/>
        </w:rPr>
      </w:pPr>
      <w:r w:rsidRPr="000C5085">
        <w:rPr>
          <w:rFonts w:ascii="Times New Roman" w:eastAsia="Calibri" w:hAnsi="Times New Roman" w:cs="Times New Roman"/>
          <w:b/>
          <w:u w:val="single"/>
        </w:rPr>
        <w:t>Tam tikras šalutinis poveikis gali būti sunkus</w:t>
      </w:r>
    </w:p>
    <w:p w14:paraId="763EDE2C" w14:textId="1A023D6C"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b/>
        </w:rPr>
        <w:t>Ret</w:t>
      </w:r>
      <w:r w:rsidR="006B6068">
        <w:rPr>
          <w:rFonts w:ascii="Times New Roman" w:eastAsia="Calibri" w:hAnsi="Times New Roman" w:cs="Times New Roman"/>
          <w:b/>
        </w:rPr>
        <w:t>i</w:t>
      </w:r>
      <w:r w:rsidRPr="000C5085">
        <w:rPr>
          <w:rFonts w:ascii="Times New Roman" w:eastAsia="Calibri" w:hAnsi="Times New Roman" w:cs="Times New Roman"/>
          <w:b/>
        </w:rPr>
        <w:t xml:space="preserve"> ar nedažn</w:t>
      </w:r>
      <w:r w:rsidR="006B6068">
        <w:rPr>
          <w:rFonts w:ascii="Times New Roman" w:eastAsia="Calibri" w:hAnsi="Times New Roman" w:cs="Times New Roman"/>
          <w:b/>
        </w:rPr>
        <w:t>i</w:t>
      </w:r>
      <w:r w:rsidRPr="000C5085">
        <w:rPr>
          <w:rFonts w:ascii="Times New Roman" w:eastAsia="Calibri" w:hAnsi="Times New Roman" w:cs="Times New Roman"/>
          <w:b/>
        </w:rPr>
        <w:t xml:space="preserve"> šalutini</w:t>
      </w:r>
      <w:r w:rsidR="006B6068">
        <w:rPr>
          <w:rFonts w:ascii="Times New Roman" w:eastAsia="Calibri" w:hAnsi="Times New Roman" w:cs="Times New Roman"/>
          <w:b/>
        </w:rPr>
        <w:t>o</w:t>
      </w:r>
      <w:r w:rsidRPr="000C5085">
        <w:rPr>
          <w:rFonts w:ascii="Times New Roman" w:eastAsia="Calibri" w:hAnsi="Times New Roman" w:cs="Times New Roman"/>
          <w:b/>
        </w:rPr>
        <w:t xml:space="preserve"> poveiki</w:t>
      </w:r>
      <w:r w:rsidR="006B6068">
        <w:rPr>
          <w:rFonts w:ascii="Times New Roman" w:eastAsia="Calibri" w:hAnsi="Times New Roman" w:cs="Times New Roman"/>
          <w:b/>
        </w:rPr>
        <w:t>o reiškiniai</w:t>
      </w:r>
      <w:r w:rsidRPr="000C5085">
        <w:rPr>
          <w:rFonts w:ascii="Times New Roman" w:eastAsia="Calibri" w:hAnsi="Times New Roman" w:cs="Times New Roman"/>
        </w:rPr>
        <w:t xml:space="preserve"> </w:t>
      </w:r>
      <w:r w:rsidR="006B6068" w:rsidRPr="003F160C">
        <w:rPr>
          <w:rFonts w:ascii="Times New Roman" w:eastAsia="Calibri" w:hAnsi="Times New Roman" w:cs="Times New Roman"/>
          <w:b/>
        </w:rPr>
        <w:t>(gali pasireikšti rečiau kaip 1</w:t>
      </w:r>
      <w:r w:rsidR="006B6068">
        <w:rPr>
          <w:rFonts w:ascii="Times New Roman" w:eastAsia="Calibri" w:hAnsi="Times New Roman" w:cs="Times New Roman"/>
          <w:b/>
        </w:rPr>
        <w:t>-</w:t>
      </w:r>
      <w:r w:rsidR="006B6068" w:rsidRPr="00947DEE">
        <w:rPr>
          <w:rFonts w:ascii="Times New Roman" w:hAnsi="Times New Roman"/>
          <w:b/>
        </w:rPr>
        <w:t>100 iš 10 000 pacienčių)</w:t>
      </w:r>
    </w:p>
    <w:p w14:paraId="64DE2AC7"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rPr>
          <w:rFonts w:ascii="Times New Roman" w:eastAsia="Calibri" w:hAnsi="Times New Roman" w:cs="Times New Roman"/>
        </w:rPr>
      </w:pPr>
      <w:r w:rsidRPr="000C5085">
        <w:rPr>
          <w:rFonts w:ascii="Times New Roman" w:eastAsia="Calibri" w:hAnsi="Times New Roman" w:cs="Times New Roman"/>
        </w:rPr>
        <w:t>Bet kurios kūno dalies (ypač rankų ar kojų) silpnumas, paralyžius ar pojūčių išnykimas, koordinacijos sutrikimas, pykinimas ir kalbos arba kvėpavimo pasunkėjimas (smegenų pažeidimo, pvz., insulto požymiai).</w:t>
      </w:r>
    </w:p>
    <w:p w14:paraId="3A1C0A9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Staigus spaudžiamojo pobūdžio krūtinės skausmas (širdies sutrikimo požymis).</w:t>
      </w:r>
    </w:p>
    <w:p w14:paraId="60CFAEE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Kvėpavimo pasunkėjimas, krūtinės skausmas, alpulys, dažnas širdies plakimas, odos pamėlimas ar staigus rankų, kojų ar pėdų skausmas (galimo kraujo krešulio atsiradimo požymiai).</w:t>
      </w:r>
    </w:p>
    <w:p w14:paraId="1A74CE0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Srities aplink veną patinimas ir paraudimas (ta vieta tampa ypač jautri ir prilietus gali būti skausminga).</w:t>
      </w:r>
    </w:p>
    <w:p w14:paraId="0E107F5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Infekcijos sukeltas sunkus karščiavimas, </w:t>
      </w:r>
      <w:proofErr w:type="spellStart"/>
      <w:r w:rsidRPr="000C5085">
        <w:rPr>
          <w:rFonts w:ascii="Times New Roman" w:eastAsia="Calibri" w:hAnsi="Times New Roman" w:cs="Times New Roman"/>
        </w:rPr>
        <w:t>šaltkrėtis</w:t>
      </w:r>
      <w:proofErr w:type="spellEnd"/>
      <w:r w:rsidRPr="000C5085">
        <w:rPr>
          <w:rFonts w:ascii="Times New Roman" w:eastAsia="Calibri" w:hAnsi="Times New Roman" w:cs="Times New Roman"/>
        </w:rPr>
        <w:t xml:space="preserve"> ar burnos išopėjimas (baltųjų kraujo ląstelių stoka).</w:t>
      </w:r>
    </w:p>
    <w:p w14:paraId="29F116AD"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Sunkus išliekantis matomo vaizdo </w:t>
      </w:r>
      <w:proofErr w:type="spellStart"/>
      <w:r w:rsidRPr="000C5085">
        <w:rPr>
          <w:rFonts w:ascii="Times New Roman" w:eastAsia="Calibri" w:hAnsi="Times New Roman" w:cs="Times New Roman"/>
        </w:rPr>
        <w:t>neryškumas</w:t>
      </w:r>
      <w:proofErr w:type="spellEnd"/>
      <w:r w:rsidRPr="000C5085">
        <w:rPr>
          <w:rFonts w:ascii="Times New Roman" w:eastAsia="Calibri" w:hAnsi="Times New Roman" w:cs="Times New Roman"/>
        </w:rPr>
        <w:t>.</w:t>
      </w:r>
    </w:p>
    <w:p w14:paraId="20FFB2EE"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b/>
        </w:rPr>
      </w:pPr>
      <w:r w:rsidRPr="000C5085">
        <w:rPr>
          <w:rFonts w:ascii="Times New Roman" w:eastAsia="Calibri" w:hAnsi="Times New Roman" w:cs="Times New Roman"/>
          <w:b/>
        </w:rPr>
        <w:lastRenderedPageBreak/>
        <w:t>Jei pasireikš bet kuris paminėtas poveikis, nedelsdama kreipkitės į gydytoją.</w:t>
      </w:r>
    </w:p>
    <w:p w14:paraId="0C802443"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2AFBE2FA"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Be to, turite nedelsdama pasakyti gydytojui, jei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 atsiranda bet kuris toliau paminėtas simptomas.</w:t>
      </w:r>
    </w:p>
    <w:p w14:paraId="1C3F52FC"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Patinimas (daugiausia veido ir gerklės) (alerginės reakcijos požymiai).</w:t>
      </w:r>
    </w:p>
    <w:p w14:paraId="445F4FEF"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Odos ir akių </w:t>
      </w:r>
      <w:proofErr w:type="spellStart"/>
      <w:r w:rsidRPr="000C5085">
        <w:rPr>
          <w:rFonts w:ascii="Times New Roman" w:eastAsia="Calibri" w:hAnsi="Times New Roman" w:cs="Times New Roman"/>
        </w:rPr>
        <w:t>pageltimas</w:t>
      </w:r>
      <w:proofErr w:type="spellEnd"/>
      <w:r w:rsidRPr="000C5085">
        <w:rPr>
          <w:rFonts w:ascii="Times New Roman" w:eastAsia="Calibri" w:hAnsi="Times New Roman" w:cs="Times New Roman"/>
        </w:rPr>
        <w:t>, pykinimas, apetito netekimas, šlapimo patamsėjimas (kepenų pažeidimo požymiai).</w:t>
      </w:r>
    </w:p>
    <w:p w14:paraId="178A5B1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Išbėrimas, odos paraudimas, pūslių atsiradimas ant lūpų, akių ar burnoje, odos lupimasis, karščiavimas (odos pažeidimo požymiai).</w:t>
      </w:r>
    </w:p>
    <w:p w14:paraId="31D658D4"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071A8912"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
    <w:p w14:paraId="20093907" w14:textId="76174622" w:rsidR="00611539" w:rsidRPr="000C5085" w:rsidRDefault="00EA69B9" w:rsidP="000C5085">
      <w:pPr>
        <w:widowControl w:val="0"/>
        <w:numPr>
          <w:ilvl w:val="12"/>
          <w:numId w:val="0"/>
        </w:numPr>
        <w:spacing w:after="0" w:line="240" w:lineRule="auto"/>
        <w:rPr>
          <w:rFonts w:ascii="Times New Roman" w:eastAsia="Calibri" w:hAnsi="Times New Roman" w:cs="Times New Roman"/>
        </w:rPr>
      </w:pPr>
      <w:r w:rsidRPr="00EA69B9">
        <w:rPr>
          <w:rFonts w:ascii="Times New Roman" w:eastAsia="Calibri" w:hAnsi="Times New Roman" w:cs="Times New Roman"/>
          <w:b/>
        </w:rPr>
        <w:t>Labai dažni šalutinio poveikio reiškiniai (</w:t>
      </w:r>
      <w:r w:rsidRPr="00947DEE">
        <w:rPr>
          <w:rFonts w:ascii="Times New Roman" w:hAnsi="Times New Roman"/>
          <w:b/>
        </w:rPr>
        <w:t xml:space="preserve">gali </w:t>
      </w:r>
      <w:r w:rsidRPr="00EA69B9">
        <w:rPr>
          <w:rFonts w:ascii="Times New Roman" w:eastAsia="Calibri" w:hAnsi="Times New Roman" w:cs="Times New Roman"/>
          <w:b/>
        </w:rPr>
        <w:t>pasireikšti ne rečiau</w:t>
      </w:r>
      <w:r w:rsidRPr="00947DEE">
        <w:rPr>
          <w:rFonts w:ascii="Times New Roman" w:hAnsi="Times New Roman"/>
          <w:b/>
        </w:rPr>
        <w:t xml:space="preserve"> kaip </w:t>
      </w:r>
      <w:r w:rsidRPr="00EA69B9">
        <w:rPr>
          <w:rFonts w:ascii="Times New Roman" w:eastAsia="Calibri" w:hAnsi="Times New Roman" w:cs="Times New Roman"/>
          <w:b/>
        </w:rPr>
        <w:t xml:space="preserve">1 iš </w:t>
      </w:r>
      <w:r w:rsidRPr="00947DEE">
        <w:rPr>
          <w:rFonts w:ascii="Times New Roman" w:hAnsi="Times New Roman"/>
          <w:b/>
        </w:rPr>
        <w:t>10</w:t>
      </w:r>
      <w:r w:rsidRPr="00EA69B9">
        <w:rPr>
          <w:rFonts w:ascii="Times New Roman" w:eastAsia="Calibri" w:hAnsi="Times New Roman" w:cs="Times New Roman"/>
          <w:b/>
        </w:rPr>
        <w:t xml:space="preserve"> </w:t>
      </w:r>
      <w:r w:rsidR="006B6068" w:rsidRPr="00947DEE">
        <w:rPr>
          <w:rFonts w:ascii="Times New Roman" w:hAnsi="Times New Roman"/>
          <w:b/>
        </w:rPr>
        <w:t>pacienčių</w:t>
      </w:r>
      <w:r w:rsidRPr="00EA69B9">
        <w:rPr>
          <w:rFonts w:ascii="Times New Roman" w:eastAsia="Calibri" w:hAnsi="Times New Roman" w:cs="Times New Roman"/>
          <w:b/>
        </w:rPr>
        <w:t>):</w:t>
      </w:r>
    </w:p>
    <w:p w14:paraId="1CDD91F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Karščio pylimas.</w:t>
      </w:r>
    </w:p>
    <w:p w14:paraId="7B34A09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Cholesterolio kiekio padidėjimas (</w:t>
      </w:r>
      <w:proofErr w:type="spellStart"/>
      <w:r w:rsidRPr="000C5085">
        <w:rPr>
          <w:rFonts w:ascii="Times New Roman" w:eastAsia="Calibri" w:hAnsi="Times New Roman" w:cs="Times New Roman"/>
        </w:rPr>
        <w:t>hipercholesterolemija</w:t>
      </w:r>
      <w:proofErr w:type="spellEnd"/>
      <w:r w:rsidRPr="000C5085">
        <w:rPr>
          <w:rFonts w:ascii="Times New Roman" w:eastAsia="Calibri" w:hAnsi="Times New Roman" w:cs="Times New Roman"/>
        </w:rPr>
        <w:t>).</w:t>
      </w:r>
    </w:p>
    <w:p w14:paraId="2D00C89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Nuovargis.</w:t>
      </w:r>
    </w:p>
    <w:p w14:paraId="121C5B0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Smarkus prakaitavimas.</w:t>
      </w:r>
    </w:p>
    <w:p w14:paraId="64DD7715"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Kaulų ir sąnarių skausmas (</w:t>
      </w:r>
      <w:proofErr w:type="spellStart"/>
      <w:r w:rsidRPr="000C5085">
        <w:rPr>
          <w:rFonts w:ascii="Times New Roman" w:eastAsia="Calibri" w:hAnsi="Times New Roman" w:cs="Times New Roman"/>
        </w:rPr>
        <w:t>artralgija</w:t>
      </w:r>
      <w:proofErr w:type="spellEnd"/>
      <w:r w:rsidRPr="000C5085">
        <w:rPr>
          <w:rFonts w:ascii="Times New Roman" w:eastAsia="Calibri" w:hAnsi="Times New Roman" w:cs="Times New Roman"/>
        </w:rPr>
        <w:t>).</w:t>
      </w:r>
    </w:p>
    <w:p w14:paraId="1F2E426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bet kuris minėtas poveikis tampa sunkus, pasakykite savo gydytojui.</w:t>
      </w:r>
    </w:p>
    <w:p w14:paraId="4CB6918E"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p>
    <w:p w14:paraId="12FAE582" w14:textId="39CC3587" w:rsidR="00611539" w:rsidRPr="000C5085" w:rsidRDefault="00EA69B9" w:rsidP="000C5085">
      <w:pPr>
        <w:widowControl w:val="0"/>
        <w:numPr>
          <w:ilvl w:val="12"/>
          <w:numId w:val="0"/>
        </w:numPr>
        <w:spacing w:after="0" w:line="240" w:lineRule="auto"/>
        <w:rPr>
          <w:rFonts w:ascii="Times New Roman" w:eastAsia="Calibri" w:hAnsi="Times New Roman" w:cs="Times New Roman"/>
        </w:rPr>
      </w:pPr>
      <w:r w:rsidRPr="00EA69B9">
        <w:rPr>
          <w:rFonts w:ascii="Times New Roman" w:eastAsia="Calibri" w:hAnsi="Times New Roman" w:cs="Times New Roman"/>
          <w:b/>
        </w:rPr>
        <w:t>Dažni šalutinio poveikio reiškiniai (</w:t>
      </w:r>
      <w:r w:rsidRPr="00947DEE">
        <w:rPr>
          <w:rFonts w:ascii="Times New Roman" w:hAnsi="Times New Roman"/>
          <w:b/>
        </w:rPr>
        <w:t xml:space="preserve">gali </w:t>
      </w:r>
      <w:r w:rsidRPr="00EA69B9">
        <w:rPr>
          <w:rFonts w:ascii="Times New Roman" w:eastAsia="Calibri" w:hAnsi="Times New Roman" w:cs="Times New Roman"/>
          <w:b/>
        </w:rPr>
        <w:t>pasireikšti rečiau kaip</w:t>
      </w:r>
      <w:r w:rsidRPr="00947DEE">
        <w:rPr>
          <w:rFonts w:ascii="Times New Roman" w:hAnsi="Times New Roman"/>
          <w:b/>
        </w:rPr>
        <w:t xml:space="preserve"> 1</w:t>
      </w:r>
      <w:r w:rsidRPr="00EA69B9">
        <w:rPr>
          <w:rFonts w:ascii="Times New Roman" w:eastAsia="Calibri" w:hAnsi="Times New Roman" w:cs="Times New Roman"/>
          <w:b/>
        </w:rPr>
        <w:t xml:space="preserve"> iš </w:t>
      </w:r>
      <w:r w:rsidRPr="00947DEE">
        <w:rPr>
          <w:rFonts w:ascii="Times New Roman" w:hAnsi="Times New Roman"/>
          <w:b/>
        </w:rPr>
        <w:t xml:space="preserve">10 </w:t>
      </w:r>
      <w:r w:rsidR="006B6068" w:rsidRPr="00947DEE">
        <w:rPr>
          <w:rFonts w:ascii="Times New Roman" w:hAnsi="Times New Roman"/>
          <w:b/>
        </w:rPr>
        <w:t>pacienčių</w:t>
      </w:r>
      <w:r w:rsidRPr="00EA69B9">
        <w:rPr>
          <w:rFonts w:ascii="Times New Roman" w:eastAsia="Calibri" w:hAnsi="Times New Roman" w:cs="Times New Roman"/>
          <w:b/>
        </w:rPr>
        <w:t>)</w:t>
      </w:r>
      <w:r>
        <w:rPr>
          <w:rFonts w:ascii="Times New Roman" w:eastAsia="Calibri" w:hAnsi="Times New Roman" w:cs="Times New Roman"/>
          <w:b/>
        </w:rPr>
        <w:t>:</w:t>
      </w:r>
    </w:p>
    <w:p w14:paraId="3E435570" w14:textId="77777777" w:rsidR="00611539" w:rsidRPr="000C5085" w:rsidRDefault="00611539" w:rsidP="008100DF">
      <w:pPr>
        <w:widowControl w:val="0"/>
        <w:numPr>
          <w:ilvl w:val="0"/>
          <w:numId w:val="33"/>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Juntamas širdies plakimas, dažnas širdies plakimas.</w:t>
      </w:r>
    </w:p>
    <w:p w14:paraId="38317FC8"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Sąnarių sustingimas (artritas).</w:t>
      </w:r>
    </w:p>
    <w:p w14:paraId="5DFFEA2E" w14:textId="77777777" w:rsidR="00611539" w:rsidRPr="000C5085" w:rsidRDefault="00611539" w:rsidP="008100DF">
      <w:pPr>
        <w:widowControl w:val="0"/>
        <w:numPr>
          <w:ilvl w:val="0"/>
          <w:numId w:val="33"/>
        </w:numPr>
        <w:spacing w:after="0" w:line="240" w:lineRule="auto"/>
        <w:ind w:left="567" w:hanging="567"/>
        <w:contextualSpacing/>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Krūtinės skausmas.</w:t>
      </w:r>
    </w:p>
    <w:p w14:paraId="3DC7CE5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Odos išbėrimas.</w:t>
      </w:r>
    </w:p>
    <w:p w14:paraId="35439B1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Galvos skausmas.</w:t>
      </w:r>
    </w:p>
    <w:p w14:paraId="7DA1F07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Svaigulys.</w:t>
      </w:r>
    </w:p>
    <w:p w14:paraId="4892CBAA"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Bendrasis negalavimas (bloga bendroji savijauta).</w:t>
      </w:r>
    </w:p>
    <w:p w14:paraId="429C08B5"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Virškinimo trakto sutrikimai, pvz., pykinimas, vėmimas, nevirškinimas, vidurių užkietėjimas, viduriavimas.</w:t>
      </w:r>
    </w:p>
    <w:p w14:paraId="7706DA5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Apetito padidėjimas arba netekimas.</w:t>
      </w:r>
    </w:p>
    <w:p w14:paraId="5CF2826F"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Raumenų skausmas.</w:t>
      </w:r>
    </w:p>
    <w:p w14:paraId="5E82C5E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Kaulų plonėjimas ar retėjimas (osteoporozė), kai kurioms pacientėms sukeliantis kaulų lūžių (taip pat žiūrėkite 3 skyriaus poskyrį „Stebėjimas gydymo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metu“).</w:t>
      </w:r>
    </w:p>
    <w:p w14:paraId="59EEDFC5"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Rankų, plaštakų, pėdų ir kulkšnių patinimas (edema).</w:t>
      </w:r>
    </w:p>
    <w:p w14:paraId="3C0B72E4"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Depresija.</w:t>
      </w:r>
    </w:p>
    <w:p w14:paraId="1E43650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Kūno svorio didėjimas.</w:t>
      </w:r>
    </w:p>
    <w:p w14:paraId="1A86987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Plaukų slinkimas.</w:t>
      </w:r>
    </w:p>
    <w:p w14:paraId="3894543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Kraujospūdžio padidėjimas (hipertenzija).</w:t>
      </w:r>
    </w:p>
    <w:p w14:paraId="2D7092C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Pilvo skausmas.</w:t>
      </w:r>
    </w:p>
    <w:p w14:paraId="52BBEEB4"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Odos sausmė.</w:t>
      </w:r>
    </w:p>
    <w:p w14:paraId="0EC14663"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Kraujavimas iš makšties.</w:t>
      </w:r>
    </w:p>
    <w:p w14:paraId="27B5F30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bet kuris minėtas poveikis tampa sunkus, pasakykite savo gydytojui.</w:t>
      </w:r>
    </w:p>
    <w:p w14:paraId="0A38E35B" w14:textId="77777777" w:rsidR="00611539" w:rsidRPr="000C5085" w:rsidRDefault="00611539" w:rsidP="000C5085">
      <w:pPr>
        <w:widowControl w:val="0"/>
        <w:numPr>
          <w:ilvl w:val="12"/>
          <w:numId w:val="0"/>
        </w:numPr>
        <w:spacing w:after="0" w:line="240" w:lineRule="auto"/>
        <w:rPr>
          <w:rFonts w:ascii="Times New Roman" w:eastAsia="Calibri" w:hAnsi="Times New Roman" w:cs="Times New Roman"/>
        </w:rPr>
      </w:pPr>
    </w:p>
    <w:p w14:paraId="4376DA0C" w14:textId="7EB70745" w:rsidR="00611539" w:rsidRPr="000C5085" w:rsidRDefault="00EA69B9" w:rsidP="000C5085">
      <w:pPr>
        <w:widowControl w:val="0"/>
        <w:numPr>
          <w:ilvl w:val="12"/>
          <w:numId w:val="0"/>
        </w:numPr>
        <w:spacing w:after="0" w:line="240" w:lineRule="auto"/>
        <w:rPr>
          <w:rFonts w:ascii="Times New Roman" w:eastAsia="Calibri" w:hAnsi="Times New Roman" w:cs="Times New Roman"/>
        </w:rPr>
      </w:pPr>
      <w:r w:rsidRPr="00EA69B9">
        <w:rPr>
          <w:rFonts w:ascii="Times New Roman" w:eastAsia="Calibri" w:hAnsi="Times New Roman" w:cs="Times New Roman"/>
          <w:b/>
        </w:rPr>
        <w:t>Nedažni šalutinio poveikio reiškiniai (</w:t>
      </w:r>
      <w:r w:rsidRPr="00947DEE">
        <w:rPr>
          <w:rFonts w:ascii="Times New Roman" w:hAnsi="Times New Roman"/>
          <w:b/>
        </w:rPr>
        <w:t xml:space="preserve">gali </w:t>
      </w:r>
      <w:r w:rsidRPr="00EA69B9">
        <w:rPr>
          <w:rFonts w:ascii="Times New Roman" w:eastAsia="Calibri" w:hAnsi="Times New Roman" w:cs="Times New Roman"/>
          <w:b/>
        </w:rPr>
        <w:t>pasireikšti rečiau kaip</w:t>
      </w:r>
      <w:r w:rsidRPr="00947DEE">
        <w:rPr>
          <w:rFonts w:ascii="Times New Roman" w:hAnsi="Times New Roman"/>
          <w:b/>
        </w:rPr>
        <w:t xml:space="preserve"> 1 iš </w:t>
      </w:r>
      <w:r w:rsidRPr="00EA69B9">
        <w:rPr>
          <w:rFonts w:ascii="Times New Roman" w:eastAsia="Calibri" w:hAnsi="Times New Roman" w:cs="Times New Roman"/>
          <w:b/>
        </w:rPr>
        <w:t>100</w:t>
      </w:r>
      <w:r w:rsidRPr="00947DEE">
        <w:rPr>
          <w:rFonts w:ascii="Times New Roman" w:hAnsi="Times New Roman"/>
          <w:b/>
        </w:rPr>
        <w:t xml:space="preserve"> </w:t>
      </w:r>
      <w:r w:rsidR="006B6068" w:rsidRPr="00947DEE">
        <w:rPr>
          <w:rFonts w:ascii="Times New Roman" w:hAnsi="Times New Roman"/>
          <w:b/>
        </w:rPr>
        <w:t>pacienčių</w:t>
      </w:r>
      <w:r w:rsidRPr="00EA69B9">
        <w:rPr>
          <w:rFonts w:ascii="Times New Roman" w:eastAsia="Calibri" w:hAnsi="Times New Roman" w:cs="Times New Roman"/>
          <w:b/>
        </w:rPr>
        <w:t>)</w:t>
      </w:r>
      <w:r>
        <w:rPr>
          <w:rFonts w:ascii="Times New Roman" w:eastAsia="Calibri" w:hAnsi="Times New Roman" w:cs="Times New Roman"/>
          <w:b/>
        </w:rPr>
        <w:t>:</w:t>
      </w:r>
    </w:p>
    <w:p w14:paraId="4197DCD8"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Nervų sistemos sutrikimai, pvz., nerimas, nervingumas, irzlumas, apsnūdimas, atminties sutrikimas, labai stiprus mieguistumas, nemiga.</w:t>
      </w:r>
    </w:p>
    <w:p w14:paraId="7A00262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Skausmo arba deginimo pojūtis delnuose ar rieše (riešo kanalo sindromas).</w:t>
      </w:r>
    </w:p>
    <w:p w14:paraId="72C59923"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Pojūčių, ypač lietimo, sutrikimas.</w:t>
      </w:r>
    </w:p>
    <w:p w14:paraId="2190B93F"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Akių sutrikimai, pvz., matomo vaizdo </w:t>
      </w:r>
      <w:proofErr w:type="spellStart"/>
      <w:r w:rsidRPr="000C5085">
        <w:rPr>
          <w:rFonts w:ascii="Times New Roman" w:eastAsia="Calibri" w:hAnsi="Times New Roman" w:cs="Times New Roman"/>
        </w:rPr>
        <w:t>neryškumas</w:t>
      </w:r>
      <w:proofErr w:type="spellEnd"/>
      <w:r w:rsidRPr="000C5085">
        <w:rPr>
          <w:rFonts w:ascii="Times New Roman" w:eastAsia="Calibri" w:hAnsi="Times New Roman" w:cs="Times New Roman"/>
        </w:rPr>
        <w:t>, akių dirginimas.</w:t>
      </w:r>
    </w:p>
    <w:p w14:paraId="481F5E28"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Odos sutrikimai, pvz., niežėjimas (dilgėlinė).</w:t>
      </w:r>
    </w:p>
    <w:p w14:paraId="766C0E2D"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 xml:space="preserve">Odos ir akių </w:t>
      </w:r>
      <w:proofErr w:type="spellStart"/>
      <w:r w:rsidRPr="000C5085">
        <w:rPr>
          <w:rFonts w:ascii="Times New Roman" w:eastAsia="Times New Roman" w:hAnsi="Times New Roman" w:cs="Times New Roman"/>
          <w:lang w:eastAsia="sl-SI"/>
        </w:rPr>
        <w:t>pageltimas</w:t>
      </w:r>
      <w:proofErr w:type="spellEnd"/>
      <w:r w:rsidRPr="000C5085">
        <w:rPr>
          <w:rFonts w:ascii="Times New Roman" w:eastAsia="Times New Roman" w:hAnsi="Times New Roman" w:cs="Times New Roman"/>
          <w:lang w:eastAsia="sl-SI"/>
        </w:rPr>
        <w:t>.</w:t>
      </w:r>
    </w:p>
    <w:p w14:paraId="2A68D8E6"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Times New Roman" w:hAnsi="Times New Roman" w:cs="Times New Roman"/>
          <w:lang w:eastAsia="sl-SI"/>
        </w:rPr>
      </w:pPr>
      <w:r w:rsidRPr="000C5085">
        <w:rPr>
          <w:rFonts w:ascii="Times New Roman" w:eastAsia="Times New Roman" w:hAnsi="Times New Roman" w:cs="Times New Roman"/>
          <w:lang w:eastAsia="sl-SI"/>
        </w:rPr>
        <w:t xml:space="preserve">Didelis </w:t>
      </w:r>
      <w:proofErr w:type="spellStart"/>
      <w:r w:rsidRPr="000C5085">
        <w:rPr>
          <w:rFonts w:ascii="Times New Roman" w:eastAsia="Times New Roman" w:hAnsi="Times New Roman" w:cs="Times New Roman"/>
          <w:lang w:eastAsia="sl-SI"/>
        </w:rPr>
        <w:t>bilirubino</w:t>
      </w:r>
      <w:proofErr w:type="spellEnd"/>
      <w:r w:rsidRPr="000C5085">
        <w:rPr>
          <w:rFonts w:ascii="Times New Roman" w:eastAsia="Times New Roman" w:hAnsi="Times New Roman" w:cs="Times New Roman"/>
          <w:lang w:eastAsia="sl-SI"/>
        </w:rPr>
        <w:t xml:space="preserve"> kiekis kraujyje (raudonųjų kraujo kūnelių suskaidymas).</w:t>
      </w:r>
    </w:p>
    <w:p w14:paraId="1355AF79"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Makšties išskyros ar sausmė.</w:t>
      </w:r>
    </w:p>
    <w:p w14:paraId="5939661C"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Krūtų skausmas.</w:t>
      </w:r>
    </w:p>
    <w:p w14:paraId="0A0F200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Karščiavimas.</w:t>
      </w:r>
    </w:p>
    <w:p w14:paraId="014BAC6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Troškulys, skonio pojūčio pokytis, burnos džiūvimas.</w:t>
      </w:r>
    </w:p>
    <w:p w14:paraId="4F22477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lastRenderedPageBreak/>
        <w:t>Gleivinės sausmė.</w:t>
      </w:r>
    </w:p>
    <w:p w14:paraId="711D25E1"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Kūno svorio mažėjimas.</w:t>
      </w:r>
    </w:p>
    <w:p w14:paraId="0643192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Šlapimo takų infekcija, šlapinimosi padažnėjimas.</w:t>
      </w:r>
    </w:p>
    <w:p w14:paraId="5727F282"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Kosulys.</w:t>
      </w:r>
    </w:p>
    <w:p w14:paraId="328F582B"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Fermentų aktyvumo padidėjimas.</w:t>
      </w:r>
    </w:p>
    <w:p w14:paraId="40363586" w14:textId="77777777" w:rsidR="0063305C" w:rsidRPr="000C5085" w:rsidRDefault="0063305C"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Sausgyslės uždegimas ar </w:t>
      </w:r>
      <w:proofErr w:type="spellStart"/>
      <w:r w:rsidRPr="000C5085">
        <w:rPr>
          <w:rFonts w:ascii="Times New Roman" w:eastAsia="Calibri" w:hAnsi="Times New Roman" w:cs="Times New Roman"/>
        </w:rPr>
        <w:t>tendinitas</w:t>
      </w:r>
      <w:proofErr w:type="spellEnd"/>
      <w:r w:rsidRPr="000C5085">
        <w:rPr>
          <w:rFonts w:ascii="Times New Roman" w:eastAsia="Calibri" w:hAnsi="Times New Roman" w:cs="Times New Roman"/>
        </w:rPr>
        <w:t xml:space="preserve"> (jungiamųjų audinių, jungiančių raumenis su kaulais).</w:t>
      </w:r>
    </w:p>
    <w:p w14:paraId="7AB02F97" w14:textId="77777777" w:rsidR="00611539" w:rsidRPr="000C5085" w:rsidRDefault="00611539" w:rsidP="000C5085">
      <w:pPr>
        <w:widowControl w:val="0"/>
        <w:spacing w:after="0" w:line="240" w:lineRule="auto"/>
        <w:rPr>
          <w:rFonts w:ascii="Times New Roman" w:eastAsia="Calibri" w:hAnsi="Times New Roman" w:cs="Times New Roman"/>
          <w:b/>
        </w:rPr>
      </w:pPr>
    </w:p>
    <w:p w14:paraId="541EB2DC" w14:textId="77777777" w:rsidR="0063305C" w:rsidRPr="000C5085" w:rsidRDefault="00EA69B9" w:rsidP="000C5085">
      <w:pPr>
        <w:widowControl w:val="0"/>
        <w:spacing w:after="0" w:line="240" w:lineRule="auto"/>
        <w:rPr>
          <w:rFonts w:ascii="Times New Roman" w:eastAsia="Calibri" w:hAnsi="Times New Roman" w:cs="Times New Roman"/>
          <w:b/>
        </w:rPr>
      </w:pPr>
      <w:r w:rsidRPr="00EA69B9">
        <w:rPr>
          <w:rFonts w:ascii="Times New Roman" w:eastAsia="Calibri" w:hAnsi="Times New Roman" w:cs="Times New Roman"/>
          <w:b/>
        </w:rPr>
        <w:t>Reti šalutinio poveikio reiškiniai (gali</w:t>
      </w:r>
      <w:r>
        <w:rPr>
          <w:rFonts w:ascii="Times New Roman" w:eastAsia="Calibri" w:hAnsi="Times New Roman" w:cs="Times New Roman"/>
          <w:b/>
        </w:rPr>
        <w:t xml:space="preserve"> pasireikšti rečiau kaip 1 iš 1 </w:t>
      </w:r>
      <w:r w:rsidRPr="00EA69B9">
        <w:rPr>
          <w:rFonts w:ascii="Times New Roman" w:eastAsia="Calibri" w:hAnsi="Times New Roman" w:cs="Times New Roman"/>
          <w:b/>
        </w:rPr>
        <w:t xml:space="preserve">000 </w:t>
      </w:r>
      <w:r w:rsidR="006B6068">
        <w:rPr>
          <w:rFonts w:ascii="Times New Roman" w:eastAsia="Calibri" w:hAnsi="Times New Roman" w:cs="Times New Roman"/>
          <w:b/>
        </w:rPr>
        <w:t>pacienčių</w:t>
      </w:r>
      <w:r w:rsidRPr="00EA69B9">
        <w:rPr>
          <w:rFonts w:ascii="Times New Roman" w:eastAsia="Calibri" w:hAnsi="Times New Roman" w:cs="Times New Roman"/>
          <w:b/>
        </w:rPr>
        <w:t>)</w:t>
      </w:r>
      <w:r>
        <w:rPr>
          <w:rFonts w:ascii="Times New Roman" w:eastAsia="Calibri" w:hAnsi="Times New Roman" w:cs="Times New Roman"/>
          <w:b/>
        </w:rPr>
        <w:t>:</w:t>
      </w:r>
    </w:p>
    <w:p w14:paraId="38C07744" w14:textId="77777777" w:rsidR="0063305C" w:rsidRPr="008100DF" w:rsidRDefault="0063305C" w:rsidP="008100DF">
      <w:pPr>
        <w:pStyle w:val="Sraopastraipa"/>
        <w:widowControl w:val="0"/>
        <w:numPr>
          <w:ilvl w:val="0"/>
          <w:numId w:val="36"/>
        </w:numPr>
        <w:spacing w:after="0" w:line="240" w:lineRule="auto"/>
        <w:ind w:left="567" w:hanging="567"/>
        <w:rPr>
          <w:rFonts w:ascii="Times New Roman" w:eastAsia="Calibri" w:hAnsi="Times New Roman" w:cs="Times New Roman"/>
        </w:rPr>
      </w:pPr>
      <w:r w:rsidRPr="000C5085">
        <w:rPr>
          <w:rFonts w:ascii="Times New Roman" w:eastAsia="Calibri" w:hAnsi="Times New Roman" w:cs="Times New Roman"/>
        </w:rPr>
        <w:t>Sausgyslės plyšimas (jungiamųjų audinių, jungiančių</w:t>
      </w:r>
      <w:r w:rsidRPr="008100DF">
        <w:rPr>
          <w:rFonts w:ascii="Times New Roman" w:eastAsia="Calibri" w:hAnsi="Times New Roman" w:cs="Times New Roman"/>
        </w:rPr>
        <w:t xml:space="preserve"> raumenis su kaulais).</w:t>
      </w:r>
    </w:p>
    <w:p w14:paraId="4AAC4145" w14:textId="77777777" w:rsidR="0063305C" w:rsidRPr="000C5085" w:rsidRDefault="0063305C" w:rsidP="000C5085">
      <w:pPr>
        <w:widowControl w:val="0"/>
        <w:spacing w:after="0" w:line="240" w:lineRule="auto"/>
        <w:rPr>
          <w:rFonts w:ascii="Times New Roman" w:eastAsia="Calibri" w:hAnsi="Times New Roman" w:cs="Times New Roman"/>
          <w:b/>
        </w:rPr>
      </w:pPr>
    </w:p>
    <w:p w14:paraId="4D50DE8A" w14:textId="1573ECC3" w:rsidR="00611539" w:rsidRPr="000C5085" w:rsidRDefault="00EA69B9" w:rsidP="000C5085">
      <w:pPr>
        <w:widowControl w:val="0"/>
        <w:spacing w:after="0" w:line="240" w:lineRule="auto"/>
        <w:rPr>
          <w:rFonts w:ascii="Times New Roman" w:eastAsia="Calibri" w:hAnsi="Times New Roman" w:cs="Times New Roman"/>
          <w:b/>
        </w:rPr>
      </w:pPr>
      <w:r w:rsidRPr="00EA69B9">
        <w:rPr>
          <w:rFonts w:ascii="Times New Roman" w:eastAsia="Calibri" w:hAnsi="Times New Roman" w:cs="Times New Roman"/>
          <w:b/>
        </w:rPr>
        <w:t>Šalutin</w:t>
      </w:r>
      <w:r>
        <w:rPr>
          <w:rFonts w:ascii="Times New Roman" w:eastAsia="Calibri" w:hAnsi="Times New Roman" w:cs="Times New Roman"/>
          <w:b/>
        </w:rPr>
        <w:t>io poveikio reiškiniai, kurių</w:t>
      </w:r>
      <w:r w:rsidRPr="00EA69B9">
        <w:rPr>
          <w:rFonts w:ascii="Times New Roman" w:eastAsia="Calibri" w:hAnsi="Times New Roman" w:cs="Times New Roman"/>
          <w:b/>
        </w:rPr>
        <w:t xml:space="preserve"> dažnis nežinomas (negali būti apskaičiuotas pagal turimus duomenis)</w:t>
      </w:r>
      <w:r>
        <w:rPr>
          <w:rFonts w:ascii="Times New Roman" w:eastAsia="Calibri" w:hAnsi="Times New Roman" w:cs="Times New Roman"/>
          <w:b/>
        </w:rPr>
        <w:t>:</w:t>
      </w:r>
    </w:p>
    <w:p w14:paraId="3276323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Spragsintis pirštas, t. y. būklė, kurios metu sulenktas pirštas arba nykštys užstringa.</w:t>
      </w:r>
    </w:p>
    <w:p w14:paraId="7B7253C1" w14:textId="77777777" w:rsidR="009930CB" w:rsidRPr="000C5085" w:rsidRDefault="009930CB" w:rsidP="000C5085">
      <w:pPr>
        <w:widowControl w:val="0"/>
        <w:spacing w:after="0" w:line="240" w:lineRule="auto"/>
        <w:rPr>
          <w:rFonts w:ascii="Times New Roman" w:eastAsia="Calibri" w:hAnsi="Times New Roman" w:cs="Times New Roman"/>
        </w:rPr>
      </w:pPr>
    </w:p>
    <w:p w14:paraId="6C040E25" w14:textId="77777777" w:rsidR="00611539" w:rsidRPr="000C5085" w:rsidRDefault="009930CB"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Jei bet kuris minėtas poveikis tampa sunkus, pasakykite savo gydytojui.</w:t>
      </w:r>
    </w:p>
    <w:p w14:paraId="729F852B" w14:textId="77777777" w:rsidR="009930CB" w:rsidRPr="000C5085" w:rsidRDefault="009930CB" w:rsidP="000C5085">
      <w:pPr>
        <w:widowControl w:val="0"/>
        <w:spacing w:after="0" w:line="240" w:lineRule="auto"/>
        <w:rPr>
          <w:rFonts w:ascii="Times New Roman" w:eastAsia="Calibri" w:hAnsi="Times New Roman" w:cs="Times New Roman"/>
        </w:rPr>
      </w:pPr>
    </w:p>
    <w:p w14:paraId="6CC4B9D4"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Pranešimas apie šalutinį poveikį</w:t>
      </w:r>
    </w:p>
    <w:p w14:paraId="5219F9EB" w14:textId="3F625DA5"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Jeigu pasireiškė šalutinis poveikis, įskaitant šiame lapelyje nenurodytą, pasakykite gydytojui arba vaistininkui. </w:t>
      </w:r>
      <w:r w:rsidR="00EA69B9" w:rsidRPr="00EA69B9">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6B6068" w:rsidRPr="008972C5">
          <w:rPr>
            <w:rStyle w:val="Hipersaitas"/>
            <w:rFonts w:eastAsia="Calibri" w:cs="Times New Roman"/>
            <w:sz w:val="22"/>
            <w:szCs w:val="22"/>
            <w:lang w:val="lt-LT"/>
          </w:rPr>
          <w:t>https://vapris.vvkt.lt/vvkt-web/public/nrv</w:t>
        </w:r>
      </w:hyperlink>
      <w:r w:rsidR="006B6068">
        <w:rPr>
          <w:rFonts w:ascii="Times New Roman" w:eastAsia="Calibri" w:hAnsi="Times New Roman" w:cs="Times New Roman"/>
        </w:rPr>
        <w:t xml:space="preserve"> </w:t>
      </w:r>
      <w:r w:rsidR="00EA69B9" w:rsidRPr="00EA69B9">
        <w:rPr>
          <w:rFonts w:ascii="Times New Roman" w:eastAsia="Calibri" w:hAnsi="Times New Roman" w:cs="Times New Roman"/>
        </w:rPr>
        <w:t xml:space="preserve">arba užpildant Paciento pranešimo apie įtariamą nepageidaujamą reakciją (ĮNR) formą, kuri skelbiama </w:t>
      </w:r>
      <w:hyperlink r:id="rId12" w:history="1">
        <w:r w:rsidR="00EA69B9" w:rsidRPr="008972C5">
          <w:rPr>
            <w:rStyle w:val="Hipersaitas"/>
            <w:rFonts w:eastAsia="Calibri" w:cs="Times New Roman"/>
            <w:sz w:val="22"/>
            <w:szCs w:val="22"/>
            <w:lang w:val="lt-LT"/>
          </w:rPr>
          <w:t>https://www.vvkt.lt/index.php?4004286486</w:t>
        </w:r>
      </w:hyperlink>
      <w:r w:rsidR="00EA69B9">
        <w:rPr>
          <w:rFonts w:ascii="Times New Roman" w:eastAsia="Calibri" w:hAnsi="Times New Roman" w:cs="Times New Roman"/>
        </w:rPr>
        <w:t>,</w:t>
      </w:r>
      <w:r w:rsidR="00EA69B9" w:rsidRPr="00EA69B9">
        <w:rPr>
          <w:rFonts w:ascii="Times New Roman" w:eastAsia="Calibri" w:hAnsi="Times New Roman" w:cs="Times New Roman"/>
        </w:rPr>
        <w:t xml:space="preserve"> ir atsiunčiant elektroniniu paštu (adresu </w:t>
      </w:r>
      <w:hyperlink r:id="rId13" w:history="1">
        <w:r w:rsidR="006B6068" w:rsidRPr="008972C5">
          <w:rPr>
            <w:rStyle w:val="Hipersaitas"/>
            <w:rFonts w:eastAsia="Calibri" w:cs="Times New Roman"/>
            <w:sz w:val="22"/>
            <w:szCs w:val="22"/>
            <w:lang w:val="lt-LT"/>
          </w:rPr>
          <w:t>NepageidaujamaR@vvkt.lt</w:t>
        </w:r>
      </w:hyperlink>
      <w:r w:rsidR="006B6068">
        <w:rPr>
          <w:rFonts w:ascii="Times New Roman" w:eastAsia="Calibri" w:hAnsi="Times New Roman" w:cs="Times New Roman"/>
        </w:rPr>
        <w:t>)</w:t>
      </w:r>
      <w:r w:rsidR="00EA69B9" w:rsidRPr="00EA69B9">
        <w:rPr>
          <w:rFonts w:ascii="Times New Roman" w:eastAsia="Calibri" w:hAnsi="Times New Roman" w:cs="Times New Roman"/>
        </w:rPr>
        <w:t xml:space="preserve"> arba nemokamu telefonu 8 800 73 568. Pranešdami apie šalutinį poveikį galite mums padėti gauti daugiau informacijos apie šio vaisto saugumą.</w:t>
      </w:r>
    </w:p>
    <w:p w14:paraId="4995889C" w14:textId="77777777" w:rsidR="00611539" w:rsidRPr="000C5085" w:rsidRDefault="00611539" w:rsidP="000C5085">
      <w:pPr>
        <w:widowControl w:val="0"/>
        <w:spacing w:after="0" w:line="240" w:lineRule="auto"/>
        <w:rPr>
          <w:rFonts w:ascii="Times New Roman" w:eastAsia="Calibri" w:hAnsi="Times New Roman" w:cs="Times New Roman"/>
        </w:rPr>
      </w:pPr>
    </w:p>
    <w:p w14:paraId="08A69328" w14:textId="77777777" w:rsidR="00611539" w:rsidRPr="000C5085" w:rsidRDefault="00611539" w:rsidP="000C5085">
      <w:pPr>
        <w:widowControl w:val="0"/>
        <w:spacing w:after="0" w:line="240" w:lineRule="auto"/>
        <w:rPr>
          <w:rFonts w:ascii="Times New Roman" w:eastAsia="Calibri" w:hAnsi="Times New Roman" w:cs="Times New Roman"/>
        </w:rPr>
      </w:pPr>
    </w:p>
    <w:p w14:paraId="796807C5"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76" w:name="_Toc129243143"/>
      <w:bookmarkStart w:id="77" w:name="_Toc129243268"/>
      <w:r w:rsidRPr="000C5085">
        <w:rPr>
          <w:rFonts w:ascii="Times New Roman" w:eastAsia="Calibri" w:hAnsi="Times New Roman" w:cs="Times New Roman"/>
          <w:b/>
        </w:rPr>
        <w:t>5.</w:t>
      </w:r>
      <w:r w:rsidRPr="000C5085">
        <w:rPr>
          <w:rFonts w:ascii="Times New Roman" w:eastAsia="Calibri" w:hAnsi="Times New Roman" w:cs="Times New Roman"/>
          <w:b/>
        </w:rPr>
        <w:tab/>
      </w:r>
      <w:bookmarkEnd w:id="76"/>
      <w:bookmarkEnd w:id="77"/>
      <w:r w:rsidRPr="000C5085">
        <w:rPr>
          <w:rFonts w:ascii="Times New Roman" w:eastAsia="Calibri" w:hAnsi="Times New Roman" w:cs="Times New Roman"/>
          <w:b/>
        </w:rPr>
        <w:t xml:space="preserve">Kaip laikyti </w:t>
      </w:r>
      <w:proofErr w:type="spellStart"/>
      <w:r w:rsidRPr="000C5085">
        <w:rPr>
          <w:rFonts w:ascii="Times New Roman" w:eastAsia="Calibri" w:hAnsi="Times New Roman" w:cs="Times New Roman"/>
          <w:b/>
        </w:rPr>
        <w:t>Likarda</w:t>
      </w:r>
      <w:proofErr w:type="spellEnd"/>
    </w:p>
    <w:p w14:paraId="26FF1125" w14:textId="77777777" w:rsidR="00611539" w:rsidRPr="000C5085" w:rsidRDefault="00611539" w:rsidP="000C5085">
      <w:pPr>
        <w:widowControl w:val="0"/>
        <w:spacing w:after="0" w:line="240" w:lineRule="auto"/>
        <w:rPr>
          <w:rFonts w:ascii="Times New Roman" w:eastAsia="Calibri" w:hAnsi="Times New Roman" w:cs="Times New Roman"/>
        </w:rPr>
      </w:pPr>
    </w:p>
    <w:p w14:paraId="2241869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Šį vaistą laikykite vaikams nepastebimoje ir nepasiekiamoje vietoje.</w:t>
      </w:r>
    </w:p>
    <w:p w14:paraId="46D53A01" w14:textId="77777777" w:rsidR="00611539" w:rsidRPr="000C5085" w:rsidRDefault="00611539" w:rsidP="000C5085">
      <w:pPr>
        <w:widowControl w:val="0"/>
        <w:spacing w:after="0" w:line="240" w:lineRule="auto"/>
        <w:rPr>
          <w:rFonts w:ascii="Times New Roman" w:eastAsia="Calibri" w:hAnsi="Times New Roman" w:cs="Times New Roman"/>
        </w:rPr>
      </w:pPr>
    </w:p>
    <w:p w14:paraId="7D1F0875"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rPr>
        <w:t>Ant pakuotės po „</w:t>
      </w:r>
      <w:r w:rsidRPr="008100DF">
        <w:rPr>
          <w:rFonts w:ascii="Times New Roman" w:eastAsia="Calibri" w:hAnsi="Times New Roman" w:cs="Times New Roman"/>
          <w:highlight w:val="lightGray"/>
        </w:rPr>
        <w:t>Tinka iki</w:t>
      </w:r>
      <w:r w:rsidRPr="000C5085">
        <w:rPr>
          <w:rFonts w:ascii="Times New Roman" w:eastAsia="Calibri" w:hAnsi="Times New Roman" w:cs="Times New Roman"/>
        </w:rPr>
        <w:t>/EXP“ nurodytam tinkamumo laikui pasibaigus, šio vaisto vartoti negalima. Vaistas tinkamas vartoti iki paskutinės nurodyto mėnesio dienos.</w:t>
      </w:r>
    </w:p>
    <w:p w14:paraId="2A947760" w14:textId="77777777" w:rsidR="00611539" w:rsidRPr="000C5085" w:rsidRDefault="00611539" w:rsidP="000C5085">
      <w:pPr>
        <w:widowControl w:val="0"/>
        <w:spacing w:after="0" w:line="240" w:lineRule="auto"/>
        <w:rPr>
          <w:rFonts w:ascii="Times New Roman" w:eastAsia="Calibri" w:hAnsi="Times New Roman" w:cs="Times New Roman"/>
        </w:rPr>
      </w:pPr>
    </w:p>
    <w:p w14:paraId="1CB475E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Šiam vaistiniam preparatui specialių laikymo sąlygų nereikia.</w:t>
      </w:r>
    </w:p>
    <w:p w14:paraId="521C7C41" w14:textId="77777777" w:rsidR="00611539" w:rsidRPr="000C5085" w:rsidRDefault="00611539" w:rsidP="008100DF">
      <w:pPr>
        <w:widowControl w:val="0"/>
        <w:tabs>
          <w:tab w:val="left" w:pos="567"/>
        </w:tabs>
        <w:spacing w:after="0" w:line="240" w:lineRule="auto"/>
        <w:rPr>
          <w:rFonts w:ascii="Times New Roman" w:eastAsia="Calibri" w:hAnsi="Times New Roman" w:cs="Times New Roman"/>
        </w:rPr>
      </w:pPr>
    </w:p>
    <w:p w14:paraId="29D7B92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3E8054F" w14:textId="77777777" w:rsidR="00611539" w:rsidRPr="000C5085" w:rsidRDefault="00611539" w:rsidP="000C5085">
      <w:pPr>
        <w:widowControl w:val="0"/>
        <w:spacing w:after="0" w:line="240" w:lineRule="auto"/>
        <w:rPr>
          <w:rFonts w:ascii="Times New Roman" w:eastAsia="Calibri" w:hAnsi="Times New Roman" w:cs="Times New Roman"/>
        </w:rPr>
      </w:pPr>
    </w:p>
    <w:p w14:paraId="07207B40" w14:textId="77777777" w:rsidR="00611539" w:rsidRPr="000C5085" w:rsidRDefault="00611539" w:rsidP="000C5085">
      <w:pPr>
        <w:widowControl w:val="0"/>
        <w:spacing w:after="0" w:line="240" w:lineRule="auto"/>
        <w:rPr>
          <w:rFonts w:ascii="Times New Roman" w:eastAsia="Calibri" w:hAnsi="Times New Roman" w:cs="Times New Roman"/>
        </w:rPr>
      </w:pPr>
    </w:p>
    <w:p w14:paraId="0424E7AC" w14:textId="77777777" w:rsidR="00611539" w:rsidRPr="000C5085" w:rsidRDefault="00611539" w:rsidP="000C5085">
      <w:pPr>
        <w:widowControl w:val="0"/>
        <w:tabs>
          <w:tab w:val="left" w:pos="567"/>
        </w:tabs>
        <w:spacing w:after="0" w:line="240" w:lineRule="auto"/>
        <w:ind w:left="567" w:hanging="567"/>
        <w:outlineLvl w:val="1"/>
        <w:rPr>
          <w:rFonts w:ascii="Times New Roman" w:eastAsia="Calibri" w:hAnsi="Times New Roman" w:cs="Times New Roman"/>
          <w:b/>
        </w:rPr>
      </w:pPr>
      <w:bookmarkStart w:id="78" w:name="_Toc129243144"/>
      <w:bookmarkStart w:id="79" w:name="_Toc129243269"/>
      <w:r w:rsidRPr="000C5085">
        <w:rPr>
          <w:rFonts w:ascii="Times New Roman" w:eastAsia="Calibri" w:hAnsi="Times New Roman" w:cs="Times New Roman"/>
          <w:b/>
        </w:rPr>
        <w:t>6.</w:t>
      </w:r>
      <w:r w:rsidRPr="000C5085">
        <w:rPr>
          <w:rFonts w:ascii="Times New Roman" w:eastAsia="Calibri" w:hAnsi="Times New Roman" w:cs="Times New Roman"/>
          <w:b/>
        </w:rPr>
        <w:tab/>
      </w:r>
      <w:bookmarkEnd w:id="78"/>
      <w:bookmarkEnd w:id="79"/>
      <w:r w:rsidRPr="000C5085">
        <w:rPr>
          <w:rFonts w:ascii="Times New Roman" w:eastAsia="Calibri" w:hAnsi="Times New Roman" w:cs="Times New Roman"/>
          <w:b/>
        </w:rPr>
        <w:t>Pakuotės turinys ir kita informacija</w:t>
      </w:r>
    </w:p>
    <w:p w14:paraId="16D8656A" w14:textId="77777777" w:rsidR="00611539" w:rsidRPr="000C5085" w:rsidRDefault="00611539" w:rsidP="000C5085">
      <w:pPr>
        <w:widowControl w:val="0"/>
        <w:spacing w:after="0" w:line="240" w:lineRule="auto"/>
        <w:rPr>
          <w:rFonts w:ascii="Times New Roman" w:eastAsia="Calibri" w:hAnsi="Times New Roman" w:cs="Times New Roman"/>
        </w:rPr>
      </w:pPr>
    </w:p>
    <w:p w14:paraId="06B74244"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sudėtis</w:t>
      </w:r>
    </w:p>
    <w:p w14:paraId="3F75EB5E"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Veiklioji medžiaga yra </w:t>
      </w:r>
      <w:proofErr w:type="spellStart"/>
      <w:r w:rsidRPr="000C5085">
        <w:rPr>
          <w:rFonts w:ascii="Times New Roman" w:eastAsia="Calibri" w:hAnsi="Times New Roman" w:cs="Times New Roman"/>
        </w:rPr>
        <w:t>letrozolas</w:t>
      </w:r>
      <w:proofErr w:type="spellEnd"/>
      <w:r w:rsidRPr="000C5085">
        <w:rPr>
          <w:rFonts w:ascii="Times New Roman" w:eastAsia="Calibri" w:hAnsi="Times New Roman" w:cs="Times New Roman"/>
        </w:rPr>
        <w:t xml:space="preserve">. Kiekvienoje plėvele dengtoje tabletėje yra 2,5 mg </w:t>
      </w:r>
      <w:proofErr w:type="spellStart"/>
      <w:r w:rsidRPr="000C5085">
        <w:rPr>
          <w:rFonts w:ascii="Times New Roman" w:eastAsia="Calibri" w:hAnsi="Times New Roman" w:cs="Times New Roman"/>
        </w:rPr>
        <w:t>letrozolo</w:t>
      </w:r>
      <w:proofErr w:type="spellEnd"/>
      <w:r w:rsidRPr="000C5085">
        <w:rPr>
          <w:rFonts w:ascii="Times New Roman" w:eastAsia="Calibri" w:hAnsi="Times New Roman" w:cs="Times New Roman"/>
        </w:rPr>
        <w:t>.</w:t>
      </w:r>
    </w:p>
    <w:p w14:paraId="29D345A0" w14:textId="77777777" w:rsidR="00611539" w:rsidRPr="000C5085" w:rsidRDefault="00611539" w:rsidP="008100DF">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rPr>
      </w:pPr>
      <w:r w:rsidRPr="000C5085">
        <w:rPr>
          <w:rFonts w:ascii="Times New Roman" w:eastAsia="Calibri" w:hAnsi="Times New Roman" w:cs="Times New Roman"/>
        </w:rPr>
        <w:t xml:space="preserve">Pagalbinės tabletės šerdies medžiagos yra laktozė </w:t>
      </w:r>
      <w:proofErr w:type="spellStart"/>
      <w:r w:rsidRPr="000C5085">
        <w:rPr>
          <w:rFonts w:ascii="Times New Roman" w:eastAsia="Calibri" w:hAnsi="Times New Roman" w:cs="Times New Roman"/>
        </w:rPr>
        <w:t>monohidratas</w:t>
      </w:r>
      <w:proofErr w:type="spellEnd"/>
      <w:r w:rsidRPr="000C5085">
        <w:rPr>
          <w:rFonts w:ascii="Times New Roman" w:eastAsia="Calibri" w:hAnsi="Times New Roman" w:cs="Times New Roman"/>
        </w:rPr>
        <w:t xml:space="preserve">, kukurūzų krakmolas, </w:t>
      </w:r>
      <w:proofErr w:type="spellStart"/>
      <w:r w:rsidRPr="000C5085">
        <w:rPr>
          <w:rFonts w:ascii="Times New Roman" w:eastAsia="Calibri" w:hAnsi="Times New Roman" w:cs="Times New Roman"/>
        </w:rPr>
        <w:t>hipromeliozė</w:t>
      </w:r>
      <w:proofErr w:type="spellEnd"/>
      <w:r w:rsidRPr="000C5085">
        <w:rPr>
          <w:rFonts w:ascii="Times New Roman" w:eastAsia="Calibri" w:hAnsi="Times New Roman" w:cs="Times New Roman"/>
        </w:rPr>
        <w:t xml:space="preserve"> 2910, </w:t>
      </w:r>
      <w:proofErr w:type="spellStart"/>
      <w:r w:rsidRPr="000C5085">
        <w:rPr>
          <w:rFonts w:ascii="Times New Roman" w:eastAsia="Calibri" w:hAnsi="Times New Roman" w:cs="Times New Roman"/>
        </w:rPr>
        <w:t>mikrokristalinė</w:t>
      </w:r>
      <w:proofErr w:type="spellEnd"/>
      <w:r w:rsidRPr="000C5085">
        <w:rPr>
          <w:rFonts w:ascii="Times New Roman" w:eastAsia="Calibri" w:hAnsi="Times New Roman" w:cs="Times New Roman"/>
        </w:rPr>
        <w:t xml:space="preserve"> celiuliozė, </w:t>
      </w:r>
      <w:proofErr w:type="spellStart"/>
      <w:r w:rsidRPr="000C5085">
        <w:rPr>
          <w:rFonts w:ascii="Times New Roman" w:eastAsia="Calibri" w:hAnsi="Times New Roman" w:cs="Times New Roman"/>
        </w:rPr>
        <w:t>karboksimetilkrakmolo</w:t>
      </w:r>
      <w:proofErr w:type="spellEnd"/>
      <w:r w:rsidRPr="000C5085">
        <w:rPr>
          <w:rFonts w:ascii="Times New Roman" w:eastAsia="Calibri" w:hAnsi="Times New Roman" w:cs="Times New Roman"/>
        </w:rPr>
        <w:t xml:space="preserve"> A natrio druska, bevandenis koloidinis silicio dioksidas ir magnio </w:t>
      </w:r>
      <w:proofErr w:type="spellStart"/>
      <w:r w:rsidRPr="000C5085">
        <w:rPr>
          <w:rFonts w:ascii="Times New Roman" w:eastAsia="Calibri" w:hAnsi="Times New Roman" w:cs="Times New Roman"/>
        </w:rPr>
        <w:t>stearatas</w:t>
      </w:r>
      <w:proofErr w:type="spellEnd"/>
      <w:r w:rsidRPr="000C5085">
        <w:rPr>
          <w:rFonts w:ascii="Times New Roman" w:eastAsia="Calibri" w:hAnsi="Times New Roman" w:cs="Times New Roman"/>
        </w:rPr>
        <w:t xml:space="preserve">; pagalbinės tabletės plėvelės medžiagos yra </w:t>
      </w:r>
      <w:proofErr w:type="spellStart"/>
      <w:r w:rsidRPr="000C5085">
        <w:rPr>
          <w:rFonts w:ascii="Times New Roman" w:eastAsia="Calibri" w:hAnsi="Times New Roman" w:cs="Times New Roman"/>
        </w:rPr>
        <w:t>hipromeliozė</w:t>
      </w:r>
      <w:proofErr w:type="spellEnd"/>
      <w:r w:rsidRPr="000C5085">
        <w:rPr>
          <w:rFonts w:ascii="Times New Roman" w:eastAsia="Calibri" w:hAnsi="Times New Roman" w:cs="Times New Roman"/>
        </w:rPr>
        <w:t xml:space="preserve"> 6 </w:t>
      </w:r>
      <w:proofErr w:type="spellStart"/>
      <w:r w:rsidRPr="000C5085">
        <w:rPr>
          <w:rFonts w:ascii="Times New Roman" w:eastAsia="Calibri" w:hAnsi="Times New Roman" w:cs="Times New Roman"/>
        </w:rPr>
        <w:t>cp</w:t>
      </w:r>
      <w:proofErr w:type="spellEnd"/>
      <w:r w:rsidRPr="000C5085">
        <w:rPr>
          <w:rFonts w:ascii="Times New Roman" w:eastAsia="Calibri" w:hAnsi="Times New Roman" w:cs="Times New Roman"/>
        </w:rPr>
        <w:t xml:space="preserve">, titano dioksidas (E171), geltonasis geležies oksidas (E172), </w:t>
      </w:r>
      <w:proofErr w:type="spellStart"/>
      <w:r w:rsidRPr="000C5085">
        <w:rPr>
          <w:rFonts w:ascii="Times New Roman" w:eastAsia="Calibri" w:hAnsi="Times New Roman" w:cs="Times New Roman"/>
        </w:rPr>
        <w:t>makrogolis</w:t>
      </w:r>
      <w:proofErr w:type="spellEnd"/>
      <w:r w:rsidRPr="000C5085">
        <w:rPr>
          <w:rFonts w:ascii="Times New Roman" w:eastAsia="Calibri" w:hAnsi="Times New Roman" w:cs="Times New Roman"/>
        </w:rPr>
        <w:t xml:space="preserve"> 400 ir talkas.</w:t>
      </w:r>
    </w:p>
    <w:p w14:paraId="2922C1C0" w14:textId="3BAF60D4" w:rsidR="00B337A6" w:rsidRPr="000C5085" w:rsidRDefault="00B337A6" w:rsidP="008100DF">
      <w:pPr>
        <w:widowControl w:val="0"/>
        <w:autoSpaceDE w:val="0"/>
        <w:autoSpaceDN w:val="0"/>
        <w:adjustRightInd w:val="0"/>
        <w:spacing w:after="0" w:line="240" w:lineRule="auto"/>
        <w:ind w:left="567"/>
        <w:contextualSpacing/>
        <w:rPr>
          <w:rFonts w:ascii="Times New Roman" w:eastAsia="Calibri" w:hAnsi="Times New Roman" w:cs="Times New Roman"/>
        </w:rPr>
      </w:pPr>
      <w:r w:rsidRPr="000C5085">
        <w:rPr>
          <w:rFonts w:ascii="Times New Roman" w:eastAsia="Calibri" w:hAnsi="Times New Roman" w:cs="Times New Roman"/>
        </w:rPr>
        <w:t>Žr. 2</w:t>
      </w:r>
      <w:r w:rsidR="00B66BB6">
        <w:rPr>
          <w:rFonts w:ascii="Times New Roman" w:eastAsia="Calibri" w:hAnsi="Times New Roman" w:cs="Times New Roman"/>
        </w:rPr>
        <w:t> </w:t>
      </w:r>
      <w:r w:rsidRPr="000C5085">
        <w:rPr>
          <w:rFonts w:ascii="Times New Roman" w:eastAsia="Calibri" w:hAnsi="Times New Roman" w:cs="Times New Roman"/>
        </w:rPr>
        <w:t>skyrių „</w:t>
      </w: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sudėtyje yra laktozės </w:t>
      </w:r>
      <w:proofErr w:type="spellStart"/>
      <w:r w:rsidRPr="000C5085">
        <w:rPr>
          <w:rFonts w:ascii="Times New Roman" w:eastAsia="Calibri" w:hAnsi="Times New Roman" w:cs="Times New Roman"/>
        </w:rPr>
        <w:t>monohidrato</w:t>
      </w:r>
      <w:proofErr w:type="spellEnd"/>
      <w:r w:rsidRPr="000C5085">
        <w:rPr>
          <w:rFonts w:ascii="Times New Roman" w:eastAsia="Calibri" w:hAnsi="Times New Roman" w:cs="Times New Roman"/>
        </w:rPr>
        <w:t xml:space="preserve"> ir natrio.“</w:t>
      </w:r>
    </w:p>
    <w:p w14:paraId="356FA630" w14:textId="77777777" w:rsidR="00611539" w:rsidRPr="000C5085" w:rsidRDefault="00611539" w:rsidP="000C5085">
      <w:pPr>
        <w:widowControl w:val="0"/>
        <w:spacing w:after="0" w:line="240" w:lineRule="auto"/>
        <w:rPr>
          <w:rFonts w:ascii="Times New Roman" w:eastAsia="Calibri" w:hAnsi="Times New Roman" w:cs="Times New Roman"/>
        </w:rPr>
      </w:pPr>
    </w:p>
    <w:p w14:paraId="17474533"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Likarda</w:t>
      </w:r>
      <w:proofErr w:type="spellEnd"/>
      <w:r w:rsidRPr="000C5085">
        <w:rPr>
          <w:rFonts w:ascii="Times New Roman" w:eastAsia="Calibri" w:hAnsi="Times New Roman" w:cs="Times New Roman"/>
          <w:b/>
        </w:rPr>
        <w:t xml:space="preserve"> išvaizda ir kiekis pakuotėje</w:t>
      </w:r>
    </w:p>
    <w:p w14:paraId="24366D20"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r w:rsidRPr="000C5085">
        <w:rPr>
          <w:rFonts w:ascii="Times New Roman" w:eastAsia="Calibri" w:hAnsi="Times New Roman" w:cs="Times New Roman"/>
        </w:rPr>
        <w:t>Tabletės yra g</w:t>
      </w:r>
      <w:r w:rsidRPr="000C5085">
        <w:rPr>
          <w:rFonts w:ascii="Times New Roman" w:eastAsia="Calibri" w:hAnsi="Times New Roman" w:cs="Times New Roman"/>
          <w:shd w:val="clear" w:color="auto" w:fill="FFFFFF"/>
        </w:rPr>
        <w:t xml:space="preserve">eltonos, apvalios, abipus išgaubtos, dengtos plėvele, </w:t>
      </w:r>
      <w:smartTag w:uri="urn:schemas-microsoft-com:office:smarttags" w:element="metricconverter">
        <w:smartTagPr>
          <w:attr w:name="ProductID" w:val="6 mm"/>
        </w:smartTagPr>
        <w:r w:rsidRPr="000C5085">
          <w:rPr>
            <w:rFonts w:ascii="Times New Roman" w:eastAsia="Calibri" w:hAnsi="Times New Roman" w:cs="Times New Roman"/>
            <w:shd w:val="clear" w:color="auto" w:fill="FFFFFF"/>
          </w:rPr>
          <w:t>6 mm</w:t>
        </w:r>
      </w:smartTag>
      <w:r w:rsidRPr="000C5085">
        <w:rPr>
          <w:rFonts w:ascii="Times New Roman" w:eastAsia="Calibri" w:hAnsi="Times New Roman" w:cs="Times New Roman"/>
          <w:shd w:val="clear" w:color="auto" w:fill="FFFFFF"/>
        </w:rPr>
        <w:t xml:space="preserve"> skersmens, abipus lygiu paviršiumi.</w:t>
      </w:r>
    </w:p>
    <w:p w14:paraId="570535EC"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p>
    <w:p w14:paraId="7DF27BA4" w14:textId="77777777" w:rsidR="00611539" w:rsidRPr="000C5085" w:rsidRDefault="00611539" w:rsidP="000C5085">
      <w:pPr>
        <w:widowControl w:val="0"/>
        <w:spacing w:after="0" w:line="240" w:lineRule="auto"/>
        <w:rPr>
          <w:rFonts w:ascii="Times New Roman" w:eastAsia="Calibri" w:hAnsi="Times New Roman" w:cs="Times New Roman"/>
          <w:shd w:val="clear" w:color="auto" w:fill="FFFFFF"/>
        </w:rPr>
      </w:pPr>
      <w:r w:rsidRPr="000C5085">
        <w:rPr>
          <w:rFonts w:ascii="Times New Roman" w:eastAsia="Calibri" w:hAnsi="Times New Roman" w:cs="Times New Roman"/>
        </w:rPr>
        <w:t xml:space="preserve">Dėžutėje yra 10, 14, 28, 30, 50, 60, 84, 90, 98 arba 100 plėvele dengtų tablečių lizdinėmis </w:t>
      </w:r>
      <w:r w:rsidRPr="000C5085">
        <w:rPr>
          <w:rFonts w:ascii="Times New Roman" w:eastAsia="Calibri" w:hAnsi="Times New Roman" w:cs="Times New Roman"/>
        </w:rPr>
        <w:lastRenderedPageBreak/>
        <w:t>plokštelėmis.</w:t>
      </w:r>
    </w:p>
    <w:p w14:paraId="5A7E4BC5" w14:textId="77777777" w:rsidR="00611539" w:rsidRPr="000C5085" w:rsidRDefault="00611539" w:rsidP="000C5085">
      <w:pPr>
        <w:widowControl w:val="0"/>
        <w:spacing w:after="0" w:line="240" w:lineRule="auto"/>
        <w:rPr>
          <w:rFonts w:ascii="Times New Roman" w:eastAsia="Calibri" w:hAnsi="Times New Roman" w:cs="Times New Roman"/>
          <w:b/>
        </w:rPr>
      </w:pPr>
    </w:p>
    <w:p w14:paraId="3A2DB4E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Gali būti tiekiamos ne visų dydžių pakuotės.</w:t>
      </w:r>
    </w:p>
    <w:p w14:paraId="068126A9" w14:textId="77777777" w:rsidR="00611539" w:rsidRPr="000C5085" w:rsidRDefault="00611539" w:rsidP="000C5085">
      <w:pPr>
        <w:widowControl w:val="0"/>
        <w:spacing w:after="0" w:line="240" w:lineRule="auto"/>
        <w:rPr>
          <w:rFonts w:ascii="Times New Roman" w:eastAsia="Calibri" w:hAnsi="Times New Roman" w:cs="Times New Roman"/>
          <w:b/>
        </w:rPr>
      </w:pPr>
    </w:p>
    <w:p w14:paraId="23B4CBBB"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Registruotojas</w:t>
      </w:r>
      <w:proofErr w:type="spellEnd"/>
      <w:r w:rsidRPr="000C5085">
        <w:rPr>
          <w:rFonts w:ascii="Times New Roman" w:eastAsia="Calibri" w:hAnsi="Times New Roman" w:cs="Times New Roman"/>
          <w:b/>
        </w:rPr>
        <w:t xml:space="preserve"> ir gamintojas</w:t>
      </w:r>
    </w:p>
    <w:p w14:paraId="69F89076" w14:textId="77777777" w:rsidR="00611539" w:rsidRPr="000C5085" w:rsidRDefault="00611539" w:rsidP="000C5085">
      <w:pPr>
        <w:widowControl w:val="0"/>
        <w:spacing w:after="0" w:line="240" w:lineRule="auto"/>
        <w:rPr>
          <w:rFonts w:ascii="Times New Roman" w:eastAsia="Calibri" w:hAnsi="Times New Roman" w:cs="Times New Roman"/>
          <w:b/>
        </w:rPr>
      </w:pPr>
    </w:p>
    <w:p w14:paraId="7FCADC4D"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b/>
        </w:rPr>
        <w:t>Registruotojas</w:t>
      </w:r>
      <w:proofErr w:type="spellEnd"/>
    </w:p>
    <w:p w14:paraId="2472633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KRKA, </w:t>
      </w:r>
      <w:proofErr w:type="spellStart"/>
      <w:r w:rsidRPr="000C5085">
        <w:rPr>
          <w:rFonts w:ascii="Times New Roman" w:eastAsia="Calibri" w:hAnsi="Times New Roman" w:cs="Times New Roman"/>
        </w:rPr>
        <w:t>d.d</w:t>
      </w:r>
      <w:proofErr w:type="spellEnd"/>
      <w:r w:rsidRPr="000C5085">
        <w:rPr>
          <w:rFonts w:ascii="Times New Roman" w:eastAsia="Calibri" w:hAnsi="Times New Roman" w:cs="Times New Roman"/>
        </w:rPr>
        <w:t>., Novo mesto</w:t>
      </w:r>
    </w:p>
    <w:p w14:paraId="53552EE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Šmarješka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cesta</w:t>
      </w:r>
      <w:proofErr w:type="spellEnd"/>
      <w:r w:rsidRPr="000C5085">
        <w:rPr>
          <w:rFonts w:ascii="Times New Roman" w:eastAsia="Calibri" w:hAnsi="Times New Roman" w:cs="Times New Roman"/>
        </w:rPr>
        <w:t xml:space="preserve"> 6</w:t>
      </w:r>
    </w:p>
    <w:p w14:paraId="05F4A89D"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8501 Novo mesto</w:t>
      </w:r>
    </w:p>
    <w:p w14:paraId="15F542F7"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p w14:paraId="7D16AC7B" w14:textId="77777777" w:rsidR="00611539" w:rsidRPr="000C5085" w:rsidRDefault="00611539" w:rsidP="000C5085">
      <w:pPr>
        <w:widowControl w:val="0"/>
        <w:spacing w:after="0" w:line="240" w:lineRule="auto"/>
        <w:rPr>
          <w:rFonts w:ascii="Times New Roman" w:eastAsia="Calibri" w:hAnsi="Times New Roman" w:cs="Times New Roman"/>
        </w:rPr>
      </w:pPr>
    </w:p>
    <w:p w14:paraId="69E3F812"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b/>
        </w:rPr>
      </w:pPr>
      <w:r w:rsidRPr="000C5085">
        <w:rPr>
          <w:rFonts w:ascii="Times New Roman" w:eastAsia="Calibri" w:hAnsi="Times New Roman" w:cs="Times New Roman"/>
          <w:b/>
        </w:rPr>
        <w:t>Gamintojas</w:t>
      </w:r>
    </w:p>
    <w:p w14:paraId="69B0C173"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KRKA, </w:t>
      </w:r>
      <w:proofErr w:type="spellStart"/>
      <w:r w:rsidRPr="000C5085">
        <w:rPr>
          <w:rFonts w:ascii="Times New Roman" w:eastAsia="Calibri" w:hAnsi="Times New Roman" w:cs="Times New Roman"/>
        </w:rPr>
        <w:t>d.d</w:t>
      </w:r>
      <w:proofErr w:type="spellEnd"/>
      <w:r w:rsidRPr="000C5085">
        <w:rPr>
          <w:rFonts w:ascii="Times New Roman" w:eastAsia="Calibri" w:hAnsi="Times New Roman" w:cs="Times New Roman"/>
        </w:rPr>
        <w:t>., Novo mesto</w:t>
      </w:r>
    </w:p>
    <w:p w14:paraId="3CFA3CBB"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Šmarješka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cesta</w:t>
      </w:r>
      <w:proofErr w:type="spellEnd"/>
      <w:r w:rsidRPr="000C5085">
        <w:rPr>
          <w:rFonts w:ascii="Times New Roman" w:eastAsia="Calibri" w:hAnsi="Times New Roman" w:cs="Times New Roman"/>
        </w:rPr>
        <w:t xml:space="preserve"> 6</w:t>
      </w:r>
    </w:p>
    <w:p w14:paraId="66F8B79C"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8501 Novo mesto</w:t>
      </w:r>
    </w:p>
    <w:p w14:paraId="6EA8C82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p w14:paraId="5C13F40F"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
    <w:p w14:paraId="0486C695"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arba</w:t>
      </w:r>
    </w:p>
    <w:p w14:paraId="417D0185"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highlight w:val="lightGray"/>
        </w:rPr>
      </w:pPr>
    </w:p>
    <w:p w14:paraId="73B0186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TAD </w:t>
      </w:r>
      <w:proofErr w:type="spellStart"/>
      <w:r w:rsidRPr="000C5085">
        <w:rPr>
          <w:rFonts w:ascii="Times New Roman" w:eastAsia="Calibri" w:hAnsi="Times New Roman" w:cs="Times New Roman"/>
        </w:rPr>
        <w:t>Pharma</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GmbH</w:t>
      </w:r>
      <w:proofErr w:type="spellEnd"/>
    </w:p>
    <w:p w14:paraId="45A59730"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Heinz-Lohmann-Straße.</w:t>
      </w:r>
      <w:proofErr w:type="spellEnd"/>
      <w:r w:rsidRPr="000C5085">
        <w:rPr>
          <w:rFonts w:ascii="Times New Roman" w:eastAsia="Calibri" w:hAnsi="Times New Roman" w:cs="Times New Roman"/>
        </w:rPr>
        <w:t xml:space="preserve"> 5</w:t>
      </w:r>
    </w:p>
    <w:p w14:paraId="7CA5EFDD"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D-27472 </w:t>
      </w:r>
      <w:proofErr w:type="spellStart"/>
      <w:r w:rsidRPr="000C5085">
        <w:rPr>
          <w:rFonts w:ascii="Times New Roman" w:eastAsia="Calibri" w:hAnsi="Times New Roman" w:cs="Times New Roman"/>
        </w:rPr>
        <w:t>Cuxhaven</w:t>
      </w:r>
      <w:proofErr w:type="spellEnd"/>
    </w:p>
    <w:p w14:paraId="04EFF2EA" w14:textId="77777777" w:rsidR="00611539" w:rsidRPr="000C5085" w:rsidRDefault="00611539" w:rsidP="000C5085">
      <w:pPr>
        <w:widowControl w:val="0"/>
        <w:tabs>
          <w:tab w:val="left" w:pos="567"/>
        </w:tabs>
        <w:spacing w:after="0" w:line="240" w:lineRule="auto"/>
        <w:rPr>
          <w:rFonts w:ascii="Times New Roman" w:eastAsia="Calibri" w:hAnsi="Times New Roman" w:cs="Times New Roman"/>
        </w:rPr>
      </w:pPr>
      <w:r w:rsidRPr="000C5085">
        <w:rPr>
          <w:rFonts w:ascii="Times New Roman" w:eastAsia="Calibri" w:hAnsi="Times New Roman" w:cs="Times New Roman"/>
        </w:rPr>
        <w:t>Vokietija</w:t>
      </w:r>
    </w:p>
    <w:p w14:paraId="0446B7C7" w14:textId="77777777" w:rsidR="00611539" w:rsidRPr="000C5085" w:rsidRDefault="00611539" w:rsidP="000C5085">
      <w:pPr>
        <w:widowControl w:val="0"/>
        <w:spacing w:after="0" w:line="240" w:lineRule="auto"/>
        <w:rPr>
          <w:rFonts w:ascii="Times New Roman" w:eastAsia="Calibri" w:hAnsi="Times New Roman" w:cs="Times New Roman"/>
        </w:rPr>
      </w:pPr>
    </w:p>
    <w:p w14:paraId="28050CAF"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rPr>
        <w:t>Jeigu apie šį vaistą norite sužinoti daugiau, kreipkitės į vietinį registruotojo atstovą.</w:t>
      </w:r>
    </w:p>
    <w:p w14:paraId="64C462AC" w14:textId="77777777" w:rsidR="00611539" w:rsidRPr="000C5085" w:rsidRDefault="00611539" w:rsidP="000C5085">
      <w:pPr>
        <w:widowControl w:val="0"/>
        <w:spacing w:after="0" w:line="240" w:lineRule="auto"/>
        <w:rPr>
          <w:rFonts w:ascii="Times New Roman" w:eastAsia="Calibri" w:hAnsi="Times New Roman" w:cs="Times New Roman"/>
        </w:rPr>
      </w:pPr>
    </w:p>
    <w:p w14:paraId="5D0A5D2A"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UAB KRKA Lietuva</w:t>
      </w:r>
    </w:p>
    <w:p w14:paraId="71A4F7A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Senasis Ukmergės kelias 4,</w:t>
      </w:r>
    </w:p>
    <w:p w14:paraId="60BEF63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Užubalių</w:t>
      </w:r>
      <w:proofErr w:type="spellEnd"/>
      <w:r w:rsidRPr="000C5085">
        <w:rPr>
          <w:rFonts w:ascii="Times New Roman" w:eastAsia="Calibri" w:hAnsi="Times New Roman" w:cs="Times New Roman"/>
        </w:rPr>
        <w:t xml:space="preserve"> </w:t>
      </w:r>
      <w:proofErr w:type="spellStart"/>
      <w:r w:rsidRPr="000C5085">
        <w:rPr>
          <w:rFonts w:ascii="Times New Roman" w:eastAsia="Calibri" w:hAnsi="Times New Roman" w:cs="Times New Roman"/>
        </w:rPr>
        <w:t>km.,Vilniaus</w:t>
      </w:r>
      <w:proofErr w:type="spellEnd"/>
      <w:r w:rsidRPr="000C5085">
        <w:rPr>
          <w:rFonts w:ascii="Times New Roman" w:eastAsia="Calibri" w:hAnsi="Times New Roman" w:cs="Times New Roman"/>
        </w:rPr>
        <w:t xml:space="preserve"> r.</w:t>
      </w:r>
    </w:p>
    <w:p w14:paraId="18F7E5A9"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LT - 14013</w:t>
      </w:r>
    </w:p>
    <w:p w14:paraId="793243C8" w14:textId="77777777" w:rsidR="00611539" w:rsidRPr="000C5085" w:rsidRDefault="00611539" w:rsidP="000C5085">
      <w:pPr>
        <w:widowControl w:val="0"/>
        <w:numPr>
          <w:ilvl w:val="12"/>
          <w:numId w:val="0"/>
        </w:numPr>
        <w:spacing w:after="0" w:line="240" w:lineRule="auto"/>
        <w:ind w:right="-2"/>
        <w:outlineLvl w:val="0"/>
        <w:rPr>
          <w:rFonts w:ascii="Times New Roman" w:eastAsia="Calibri" w:hAnsi="Times New Roman" w:cs="Times New Roman"/>
        </w:rPr>
      </w:pPr>
      <w:r w:rsidRPr="000C5085">
        <w:rPr>
          <w:rFonts w:ascii="Times New Roman" w:eastAsia="Calibri" w:hAnsi="Times New Roman" w:cs="Times New Roman"/>
        </w:rPr>
        <w:t>Tel. + 370 5 236 27 40</w:t>
      </w:r>
    </w:p>
    <w:p w14:paraId="185F4320" w14:textId="77777777" w:rsidR="00611539" w:rsidRPr="000C5085" w:rsidRDefault="00611539" w:rsidP="000C5085">
      <w:pPr>
        <w:widowControl w:val="0"/>
        <w:numPr>
          <w:ilvl w:val="12"/>
          <w:numId w:val="0"/>
        </w:numPr>
        <w:spacing w:after="0" w:line="240" w:lineRule="auto"/>
        <w:ind w:right="-2"/>
        <w:outlineLvl w:val="0"/>
        <w:rPr>
          <w:rFonts w:ascii="Times New Roman" w:eastAsia="Calibri" w:hAnsi="Times New Roman" w:cs="Times New Roman"/>
        </w:rPr>
      </w:pPr>
    </w:p>
    <w:p w14:paraId="199ED2A8" w14:textId="52226F58"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r w:rsidRPr="000C5085">
        <w:rPr>
          <w:rFonts w:ascii="Times New Roman" w:eastAsia="Calibri" w:hAnsi="Times New Roman" w:cs="Times New Roman"/>
          <w:b/>
        </w:rPr>
        <w:t xml:space="preserve">Šis vaistas </w:t>
      </w:r>
      <w:r w:rsidR="00EA69B9" w:rsidRPr="00EA69B9">
        <w:rPr>
          <w:rFonts w:ascii="Times New Roman" w:eastAsia="Calibri" w:hAnsi="Times New Roman" w:cs="Times New Roman"/>
          <w:b/>
        </w:rPr>
        <w:t>Europos ekonominės erdvės</w:t>
      </w:r>
      <w:r w:rsidRPr="000C5085">
        <w:rPr>
          <w:rFonts w:ascii="Times New Roman" w:eastAsia="Calibri" w:hAnsi="Times New Roman" w:cs="Times New Roman"/>
          <w:b/>
        </w:rPr>
        <w:t xml:space="preserve"> valstybėse narėse registruotas tokiais pavadinimais</w:t>
      </w:r>
      <w:r w:rsidRPr="000C5085">
        <w:rPr>
          <w:rFonts w:ascii="Times New Roman" w:eastAsia="Calibri" w:hAnsi="Times New Roman" w:cs="Times New Roman"/>
        </w:rPr>
        <w:t>:</w:t>
      </w:r>
    </w:p>
    <w:p w14:paraId="7D043B10" w14:textId="77777777" w:rsidR="00611539" w:rsidRPr="000C5085" w:rsidRDefault="00611539" w:rsidP="000C5085">
      <w:pPr>
        <w:widowControl w:val="0"/>
        <w:numPr>
          <w:ilvl w:val="12"/>
          <w:numId w:val="0"/>
        </w:numPr>
        <w:spacing w:after="0" w:line="240" w:lineRule="auto"/>
        <w:ind w:right="-2"/>
        <w:rPr>
          <w:rFonts w:ascii="Times New Roman" w:eastAsia="Calibri" w:hAnsi="Times New Roman" w:cs="Times New Roman"/>
        </w:rPr>
      </w:pPr>
    </w:p>
    <w:tbl>
      <w:tblPr>
        <w:tblW w:w="8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2"/>
        <w:gridCol w:w="4248"/>
      </w:tblGrid>
      <w:tr w:rsidR="00611539" w:rsidRPr="000C5085" w14:paraId="0281BCD3" w14:textId="77777777" w:rsidTr="008637BB">
        <w:tc>
          <w:tcPr>
            <w:tcW w:w="3832" w:type="dxa"/>
          </w:tcPr>
          <w:p w14:paraId="265AD252" w14:textId="77777777" w:rsidR="00611539" w:rsidRPr="000C5085" w:rsidRDefault="00611539" w:rsidP="000C5085">
            <w:pPr>
              <w:widowControl w:val="0"/>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t>Valstybės narės pavadinimas</w:t>
            </w:r>
          </w:p>
        </w:tc>
        <w:tc>
          <w:tcPr>
            <w:tcW w:w="4248" w:type="dxa"/>
          </w:tcPr>
          <w:p w14:paraId="054350DC" w14:textId="0E166401" w:rsidR="00611539" w:rsidRPr="000C5085" w:rsidRDefault="00611539" w:rsidP="0045175C">
            <w:pPr>
              <w:widowControl w:val="0"/>
              <w:spacing w:after="0" w:line="240" w:lineRule="auto"/>
              <w:jc w:val="center"/>
              <w:rPr>
                <w:rFonts w:ascii="Times New Roman" w:eastAsia="Calibri" w:hAnsi="Times New Roman" w:cs="Times New Roman"/>
                <w:b/>
              </w:rPr>
            </w:pPr>
            <w:r w:rsidRPr="000C5085">
              <w:rPr>
                <w:rFonts w:ascii="Times New Roman" w:eastAsia="Calibri" w:hAnsi="Times New Roman" w:cs="Times New Roman"/>
                <w:b/>
              </w:rPr>
              <w:t>Vaisto pavadinimas</w:t>
            </w:r>
          </w:p>
        </w:tc>
      </w:tr>
      <w:tr w:rsidR="00611539" w:rsidRPr="000C5085" w14:paraId="38D99F73" w14:textId="77777777" w:rsidTr="008637BB">
        <w:tc>
          <w:tcPr>
            <w:tcW w:w="3832" w:type="dxa"/>
          </w:tcPr>
          <w:p w14:paraId="4635A745" w14:textId="77777777"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rPr>
              <w:t>Jungtinė Karalystė</w:t>
            </w:r>
          </w:p>
        </w:tc>
        <w:tc>
          <w:tcPr>
            <w:tcW w:w="4248" w:type="dxa"/>
          </w:tcPr>
          <w:p w14:paraId="135ED9E3" w14:textId="77777777" w:rsidR="00611539" w:rsidRPr="000C5085" w:rsidRDefault="00611539" w:rsidP="000C5085">
            <w:pPr>
              <w:widowControl w:val="0"/>
              <w:spacing w:after="0" w:line="240" w:lineRule="auto"/>
              <w:rPr>
                <w:rFonts w:ascii="Times New Roman" w:eastAsia="Calibri" w:hAnsi="Times New Roman" w:cs="Times New Roman"/>
                <w:b/>
              </w:rPr>
            </w:pPr>
            <w:proofErr w:type="spellStart"/>
            <w:r w:rsidRPr="000C5085">
              <w:rPr>
                <w:rFonts w:ascii="Times New Roman" w:eastAsia="Calibri" w:hAnsi="Times New Roman" w:cs="Times New Roman"/>
              </w:rPr>
              <w:t>Letrozole</w:t>
            </w:r>
            <w:proofErr w:type="spellEnd"/>
          </w:p>
        </w:tc>
      </w:tr>
      <w:tr w:rsidR="00611539" w:rsidRPr="000C5085" w14:paraId="0DCDA665" w14:textId="77777777" w:rsidTr="0027292F">
        <w:trPr>
          <w:trHeight w:val="223"/>
        </w:trPr>
        <w:tc>
          <w:tcPr>
            <w:tcW w:w="3832" w:type="dxa"/>
          </w:tcPr>
          <w:p w14:paraId="0FC6CB4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Bulgarija</w:t>
            </w:r>
          </w:p>
        </w:tc>
        <w:tc>
          <w:tcPr>
            <w:tcW w:w="4248" w:type="dxa"/>
          </w:tcPr>
          <w:p w14:paraId="58714E17" w14:textId="77777777" w:rsidR="00611539" w:rsidRPr="000C5085" w:rsidRDefault="00611539" w:rsidP="000C5085">
            <w:pPr>
              <w:widowControl w:val="0"/>
              <w:spacing w:after="0" w:line="240" w:lineRule="auto"/>
              <w:rPr>
                <w:rFonts w:ascii="Times New Roman" w:eastAsia="Calibri" w:hAnsi="Times New Roman" w:cs="Times New Roman"/>
              </w:rPr>
            </w:pPr>
            <w:bookmarkStart w:id="80" w:name="OLE_LINK1"/>
            <w:bookmarkStart w:id="81" w:name="OLE_LINK2"/>
            <w:proofErr w:type="spellStart"/>
            <w:r w:rsidRPr="000C5085">
              <w:rPr>
                <w:rFonts w:ascii="Times New Roman" w:eastAsia="Calibri" w:hAnsi="Times New Roman" w:cs="Times New Roman"/>
              </w:rPr>
              <w:t>Lortanda</w:t>
            </w:r>
            <w:bookmarkEnd w:id="80"/>
            <w:bookmarkEnd w:id="81"/>
            <w:proofErr w:type="spellEnd"/>
          </w:p>
        </w:tc>
      </w:tr>
      <w:tr w:rsidR="00611539" w:rsidRPr="000C5085" w14:paraId="01D001F0" w14:textId="77777777" w:rsidTr="008637BB">
        <w:tc>
          <w:tcPr>
            <w:tcW w:w="3832" w:type="dxa"/>
          </w:tcPr>
          <w:p w14:paraId="2575229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Čekija</w:t>
            </w:r>
          </w:p>
        </w:tc>
        <w:tc>
          <w:tcPr>
            <w:tcW w:w="4248" w:type="dxa"/>
          </w:tcPr>
          <w:p w14:paraId="19BCFA0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r w:rsidRPr="000C5085">
              <w:rPr>
                <w:rFonts w:ascii="Times New Roman" w:eastAsia="Calibri" w:hAnsi="Times New Roman" w:cs="Times New Roman"/>
              </w:rPr>
              <w:t xml:space="preserve"> </w:t>
            </w:r>
          </w:p>
        </w:tc>
      </w:tr>
      <w:tr w:rsidR="00611539" w:rsidRPr="000C5085" w14:paraId="21349EC8" w14:textId="77777777" w:rsidTr="008637BB">
        <w:tc>
          <w:tcPr>
            <w:tcW w:w="3832" w:type="dxa"/>
          </w:tcPr>
          <w:p w14:paraId="23E6F42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Vokietija</w:t>
            </w:r>
          </w:p>
        </w:tc>
        <w:tc>
          <w:tcPr>
            <w:tcW w:w="4248" w:type="dxa"/>
          </w:tcPr>
          <w:p w14:paraId="6E32780E"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r w:rsidRPr="000C5085">
              <w:rPr>
                <w:rFonts w:ascii="Times New Roman" w:eastAsia="Calibri" w:hAnsi="Times New Roman" w:cs="Times New Roman"/>
              </w:rPr>
              <w:t xml:space="preserve"> </w:t>
            </w:r>
          </w:p>
        </w:tc>
      </w:tr>
      <w:tr w:rsidR="00611539" w:rsidRPr="000C5085" w14:paraId="1013201E" w14:textId="77777777" w:rsidTr="008637BB">
        <w:tc>
          <w:tcPr>
            <w:tcW w:w="3832" w:type="dxa"/>
          </w:tcPr>
          <w:p w14:paraId="7ABC357F"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Estija</w:t>
            </w:r>
          </w:p>
        </w:tc>
        <w:tc>
          <w:tcPr>
            <w:tcW w:w="4248" w:type="dxa"/>
          </w:tcPr>
          <w:p w14:paraId="215D36FC"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1309B2BB" w14:textId="77777777" w:rsidTr="008637BB">
        <w:tc>
          <w:tcPr>
            <w:tcW w:w="3832" w:type="dxa"/>
          </w:tcPr>
          <w:p w14:paraId="48C3C5B6"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Vengrija</w:t>
            </w:r>
          </w:p>
        </w:tc>
        <w:tc>
          <w:tcPr>
            <w:tcW w:w="4248" w:type="dxa"/>
          </w:tcPr>
          <w:p w14:paraId="1984B468"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r w:rsidRPr="000C5085">
              <w:rPr>
                <w:rFonts w:ascii="Times New Roman" w:eastAsia="Calibri" w:hAnsi="Times New Roman" w:cs="Times New Roman"/>
              </w:rPr>
              <w:t xml:space="preserve"> </w:t>
            </w:r>
          </w:p>
        </w:tc>
      </w:tr>
      <w:tr w:rsidR="00611539" w:rsidRPr="000C5085" w14:paraId="1AE20CD8" w14:textId="77777777" w:rsidTr="008637BB">
        <w:tc>
          <w:tcPr>
            <w:tcW w:w="3832" w:type="dxa"/>
          </w:tcPr>
          <w:p w14:paraId="761A653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Lietuva</w:t>
            </w:r>
          </w:p>
        </w:tc>
        <w:tc>
          <w:tcPr>
            <w:tcW w:w="4248" w:type="dxa"/>
          </w:tcPr>
          <w:p w14:paraId="6DA981B6"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bookmarkStart w:id="82" w:name="_GoBack"/>
            <w:bookmarkEnd w:id="82"/>
            <w:proofErr w:type="spellEnd"/>
          </w:p>
        </w:tc>
      </w:tr>
      <w:tr w:rsidR="00611539" w:rsidRPr="000C5085" w14:paraId="0D9E696A" w14:textId="77777777" w:rsidTr="008637BB">
        <w:tc>
          <w:tcPr>
            <w:tcW w:w="3832" w:type="dxa"/>
          </w:tcPr>
          <w:p w14:paraId="6D137955"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Latvija</w:t>
            </w:r>
          </w:p>
        </w:tc>
        <w:tc>
          <w:tcPr>
            <w:tcW w:w="4248" w:type="dxa"/>
          </w:tcPr>
          <w:p w14:paraId="1F229AEE"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Likarda</w:t>
            </w:r>
            <w:proofErr w:type="spellEnd"/>
          </w:p>
        </w:tc>
      </w:tr>
      <w:tr w:rsidR="00611539" w:rsidRPr="000C5085" w14:paraId="4CE2D03A" w14:textId="77777777" w:rsidTr="008637BB">
        <w:tc>
          <w:tcPr>
            <w:tcW w:w="3832" w:type="dxa"/>
          </w:tcPr>
          <w:p w14:paraId="113ECFE4"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 xml:space="preserve">Lenkija </w:t>
            </w:r>
          </w:p>
        </w:tc>
        <w:tc>
          <w:tcPr>
            <w:tcW w:w="4248" w:type="dxa"/>
          </w:tcPr>
          <w:p w14:paraId="31BA2323"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607B0B32" w14:textId="77777777" w:rsidTr="008637BB">
        <w:tc>
          <w:tcPr>
            <w:tcW w:w="3832" w:type="dxa"/>
          </w:tcPr>
          <w:p w14:paraId="345B2B18"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Rumunija</w:t>
            </w:r>
          </w:p>
        </w:tc>
        <w:tc>
          <w:tcPr>
            <w:tcW w:w="4248" w:type="dxa"/>
          </w:tcPr>
          <w:p w14:paraId="28911262"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471D6E94" w14:textId="77777777" w:rsidTr="008637BB">
        <w:tc>
          <w:tcPr>
            <w:tcW w:w="3832" w:type="dxa"/>
          </w:tcPr>
          <w:p w14:paraId="6B6975F2"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Slovėnija</w:t>
            </w:r>
          </w:p>
        </w:tc>
        <w:tc>
          <w:tcPr>
            <w:tcW w:w="4248" w:type="dxa"/>
          </w:tcPr>
          <w:p w14:paraId="47DEBDA0" w14:textId="77777777" w:rsidR="00611539" w:rsidRPr="000C5085" w:rsidRDefault="00611539" w:rsidP="000C5085">
            <w:pPr>
              <w:widowControl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r w:rsidR="00611539" w:rsidRPr="000C5085" w14:paraId="5DBA7D7E" w14:textId="77777777" w:rsidTr="008637BB">
        <w:tc>
          <w:tcPr>
            <w:tcW w:w="3832" w:type="dxa"/>
          </w:tcPr>
          <w:p w14:paraId="4F27FA3B" w14:textId="77777777" w:rsidR="00611539" w:rsidRPr="000C5085" w:rsidRDefault="00611539" w:rsidP="000C5085">
            <w:pPr>
              <w:widowControl w:val="0"/>
              <w:spacing w:after="0" w:line="240" w:lineRule="auto"/>
              <w:rPr>
                <w:rFonts w:ascii="Times New Roman" w:eastAsia="Calibri" w:hAnsi="Times New Roman" w:cs="Times New Roman"/>
              </w:rPr>
            </w:pPr>
            <w:r w:rsidRPr="000C5085">
              <w:rPr>
                <w:rFonts w:ascii="Times New Roman" w:eastAsia="Calibri" w:hAnsi="Times New Roman" w:cs="Times New Roman"/>
              </w:rPr>
              <w:t>Slovakija</w:t>
            </w:r>
          </w:p>
        </w:tc>
        <w:tc>
          <w:tcPr>
            <w:tcW w:w="4248" w:type="dxa"/>
          </w:tcPr>
          <w:p w14:paraId="4BB79ACD" w14:textId="77777777" w:rsidR="00611539" w:rsidRPr="000C5085" w:rsidRDefault="00611539" w:rsidP="000C5085">
            <w:pPr>
              <w:widowControl w:val="0"/>
              <w:autoSpaceDE w:val="0"/>
              <w:autoSpaceDN w:val="0"/>
              <w:adjustRightInd w:val="0"/>
              <w:spacing w:after="0" w:line="240" w:lineRule="auto"/>
              <w:rPr>
                <w:rFonts w:ascii="Times New Roman" w:eastAsia="Calibri" w:hAnsi="Times New Roman" w:cs="Times New Roman"/>
              </w:rPr>
            </w:pPr>
            <w:proofErr w:type="spellStart"/>
            <w:r w:rsidRPr="000C5085">
              <w:rPr>
                <w:rFonts w:ascii="Times New Roman" w:eastAsia="Calibri" w:hAnsi="Times New Roman" w:cs="Times New Roman"/>
              </w:rPr>
              <w:t>Lortanda</w:t>
            </w:r>
            <w:proofErr w:type="spellEnd"/>
          </w:p>
        </w:tc>
      </w:tr>
    </w:tbl>
    <w:p w14:paraId="566D2E80" w14:textId="77777777" w:rsidR="00611539" w:rsidRPr="000C5085" w:rsidRDefault="00611539" w:rsidP="000C5085">
      <w:pPr>
        <w:widowControl w:val="0"/>
        <w:spacing w:after="0" w:line="240" w:lineRule="auto"/>
        <w:rPr>
          <w:rFonts w:ascii="Times New Roman" w:eastAsia="Calibri" w:hAnsi="Times New Roman" w:cs="Times New Roman"/>
        </w:rPr>
      </w:pPr>
    </w:p>
    <w:p w14:paraId="359DDBA3" w14:textId="77777777" w:rsidR="00611539" w:rsidRPr="000C5085" w:rsidRDefault="00611539" w:rsidP="000C5085">
      <w:pPr>
        <w:widowControl w:val="0"/>
        <w:spacing w:after="0" w:line="240" w:lineRule="auto"/>
        <w:rPr>
          <w:rFonts w:ascii="Times New Roman" w:eastAsia="Calibri" w:hAnsi="Times New Roman" w:cs="Times New Roman"/>
        </w:rPr>
      </w:pPr>
    </w:p>
    <w:p w14:paraId="03FFCEB7" w14:textId="2CBC3784" w:rsidR="00611539" w:rsidRPr="000C5085" w:rsidRDefault="00611539" w:rsidP="000C5085">
      <w:pPr>
        <w:widowControl w:val="0"/>
        <w:spacing w:after="0" w:line="240" w:lineRule="auto"/>
        <w:rPr>
          <w:rFonts w:ascii="Times New Roman" w:eastAsia="Calibri" w:hAnsi="Times New Roman" w:cs="Times New Roman"/>
          <w:b/>
        </w:rPr>
      </w:pPr>
      <w:r w:rsidRPr="000C5085">
        <w:rPr>
          <w:rFonts w:ascii="Times New Roman" w:eastAsia="Calibri" w:hAnsi="Times New Roman" w:cs="Times New Roman"/>
          <w:b/>
        </w:rPr>
        <w:t>Šis pakuotės lapelis paskut</w:t>
      </w:r>
      <w:r w:rsidR="008100DF">
        <w:rPr>
          <w:rFonts w:ascii="Times New Roman" w:eastAsia="Calibri" w:hAnsi="Times New Roman" w:cs="Times New Roman"/>
          <w:b/>
        </w:rPr>
        <w:t>inį kartą peržiūrėtas</w:t>
      </w:r>
      <w:r w:rsidR="00187AC7">
        <w:rPr>
          <w:rFonts w:ascii="Times New Roman" w:eastAsia="Calibri" w:hAnsi="Times New Roman" w:cs="Times New Roman"/>
          <w:b/>
        </w:rPr>
        <w:t xml:space="preserve"> 2022-04-11</w:t>
      </w:r>
      <w:r w:rsidR="008100DF">
        <w:rPr>
          <w:rFonts w:ascii="Times New Roman" w:eastAsia="Calibri" w:hAnsi="Times New Roman" w:cs="Times New Roman"/>
          <w:b/>
        </w:rPr>
        <w:t xml:space="preserve"> </w:t>
      </w:r>
      <w:r w:rsidRPr="000C5085">
        <w:rPr>
          <w:rFonts w:ascii="Times New Roman" w:eastAsia="Calibri" w:hAnsi="Times New Roman" w:cs="Times New Roman"/>
          <w:b/>
        </w:rPr>
        <w:t>.</w:t>
      </w:r>
    </w:p>
    <w:p w14:paraId="07A9F56F" w14:textId="77777777" w:rsidR="00611539" w:rsidRPr="000C5085" w:rsidRDefault="00611539" w:rsidP="000C5085">
      <w:pPr>
        <w:widowControl w:val="0"/>
        <w:spacing w:after="0" w:line="240" w:lineRule="auto"/>
        <w:rPr>
          <w:rFonts w:ascii="Times New Roman" w:eastAsia="Calibri" w:hAnsi="Times New Roman" w:cs="Times New Roman"/>
          <w:b/>
        </w:rPr>
      </w:pPr>
    </w:p>
    <w:p w14:paraId="1E396A95" w14:textId="77777777" w:rsidR="00611539" w:rsidRPr="000C5085" w:rsidRDefault="00611539" w:rsidP="000C5085">
      <w:pPr>
        <w:widowControl w:val="0"/>
        <w:spacing w:after="0" w:line="240" w:lineRule="auto"/>
        <w:rPr>
          <w:rFonts w:ascii="Times New Roman" w:eastAsia="Calibri" w:hAnsi="Times New Roman" w:cs="Times New Roman"/>
        </w:rPr>
      </w:pPr>
    </w:p>
    <w:p w14:paraId="627F3FF7" w14:textId="059E201F" w:rsidR="002C5A52" w:rsidRPr="00947DEE" w:rsidRDefault="00611539" w:rsidP="000C5085">
      <w:pPr>
        <w:widowControl w:val="0"/>
        <w:spacing w:after="0" w:line="240" w:lineRule="auto"/>
        <w:rPr>
          <w:rFonts w:ascii="Times New Roman" w:eastAsia="Calibri" w:hAnsi="Times New Roman" w:cs="Times New Roman"/>
          <w:color w:val="0000FF"/>
          <w:u w:val="single"/>
        </w:rPr>
      </w:pPr>
      <w:r w:rsidRPr="000C5085">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4" w:history="1">
        <w:r w:rsidRPr="000C5085">
          <w:rPr>
            <w:rFonts w:ascii="Times New Roman" w:eastAsia="Calibri" w:hAnsi="Times New Roman" w:cs="Times New Roman"/>
            <w:color w:val="0000FF"/>
            <w:u w:val="single"/>
          </w:rPr>
          <w:t>http://www.vvkt.lt/</w:t>
        </w:r>
      </w:hyperlink>
      <w:r w:rsidR="006B6068" w:rsidRPr="003F160C">
        <w:rPr>
          <w:rFonts w:ascii="Times New Roman" w:eastAsia="Calibri" w:hAnsi="Times New Roman" w:cs="Times New Roman"/>
        </w:rPr>
        <w:t>.</w:t>
      </w:r>
    </w:p>
    <w:sectPr w:rsidR="002C5A52" w:rsidRPr="00947DEE" w:rsidSect="00D56AFC">
      <w:headerReference w:type="default" r:id="rId15"/>
      <w:footerReference w:type="even"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7F905" w14:textId="77777777" w:rsidR="00B52510" w:rsidRDefault="00B52510">
      <w:pPr>
        <w:spacing w:after="0" w:line="240" w:lineRule="auto"/>
      </w:pPr>
      <w:r>
        <w:separator/>
      </w:r>
    </w:p>
  </w:endnote>
  <w:endnote w:type="continuationSeparator" w:id="0">
    <w:p w14:paraId="78AE0417" w14:textId="77777777" w:rsidR="00B52510" w:rsidRDefault="00B52510">
      <w:pPr>
        <w:spacing w:after="0" w:line="240" w:lineRule="auto"/>
      </w:pPr>
      <w:r>
        <w:continuationSeparator/>
      </w:r>
    </w:p>
  </w:endnote>
  <w:endnote w:type="continuationNotice" w:id="1">
    <w:p w14:paraId="154C7CE8" w14:textId="77777777" w:rsidR="00B52510" w:rsidRDefault="00B52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ymbo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A3B0B" w14:textId="77777777" w:rsidR="00EA69B9" w:rsidRDefault="00EA69B9" w:rsidP="008637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17E2EC" w14:textId="77777777" w:rsidR="00EA69B9" w:rsidRDefault="00EA69B9" w:rsidP="008637B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28CE" w14:textId="77777777" w:rsidR="00B52510" w:rsidRDefault="00B52510">
      <w:pPr>
        <w:spacing w:after="0" w:line="240" w:lineRule="auto"/>
      </w:pPr>
      <w:r>
        <w:separator/>
      </w:r>
    </w:p>
  </w:footnote>
  <w:footnote w:type="continuationSeparator" w:id="0">
    <w:p w14:paraId="792B174A" w14:textId="77777777" w:rsidR="00B52510" w:rsidRDefault="00B52510">
      <w:pPr>
        <w:spacing w:after="0" w:line="240" w:lineRule="auto"/>
      </w:pPr>
      <w:r>
        <w:continuationSeparator/>
      </w:r>
    </w:p>
  </w:footnote>
  <w:footnote w:type="continuationNotice" w:id="1">
    <w:p w14:paraId="22E21E1E" w14:textId="77777777" w:rsidR="00B52510" w:rsidRDefault="00B525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EC07A" w14:textId="77777777" w:rsidR="00EA69B9" w:rsidRDefault="00EA69B9">
    <w:pPr>
      <w:pStyle w:val="Antrats"/>
    </w:pPr>
    <w:bookmarkStart w:id="83" w:name="TableTag1"/>
    <w:bookmarkEnd w:id="8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1F1442"/>
    <w:multiLevelType w:val="hybridMultilevel"/>
    <w:tmpl w:val="83061F14"/>
    <w:lvl w:ilvl="0" w:tplc="FFFFFFFF">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C51A9"/>
    <w:multiLevelType w:val="hybridMultilevel"/>
    <w:tmpl w:val="20C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B7935"/>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51BBC"/>
    <w:multiLevelType w:val="hybridMultilevel"/>
    <w:tmpl w:val="76CA9CF0"/>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77038A"/>
    <w:multiLevelType w:val="hybridMultilevel"/>
    <w:tmpl w:val="016CCECC"/>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6824AB"/>
    <w:multiLevelType w:val="hybridMultilevel"/>
    <w:tmpl w:val="C460242C"/>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147F0296"/>
    <w:multiLevelType w:val="hybridMultilevel"/>
    <w:tmpl w:val="E90040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24728BE"/>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406964"/>
    <w:multiLevelType w:val="hybridMultilevel"/>
    <w:tmpl w:val="C4F0CD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42EDE"/>
    <w:multiLevelType w:val="hybridMultilevel"/>
    <w:tmpl w:val="76C2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3242C5C"/>
    <w:multiLevelType w:val="hybridMultilevel"/>
    <w:tmpl w:val="0C428F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07A4205"/>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4F0FBC"/>
    <w:multiLevelType w:val="hybridMultilevel"/>
    <w:tmpl w:val="D300364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51282207"/>
    <w:multiLevelType w:val="hybridMultilevel"/>
    <w:tmpl w:val="5FA00E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D92074"/>
    <w:multiLevelType w:val="hybridMultilevel"/>
    <w:tmpl w:val="7C64AF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DB6692E"/>
    <w:multiLevelType w:val="hybridMultilevel"/>
    <w:tmpl w:val="8E500EF8"/>
    <w:lvl w:ilvl="0" w:tplc="FFFFFFFF">
      <w:start w:val="1"/>
      <w:numFmt w:val="bullet"/>
      <w:lvlText w:val="-"/>
      <w:lvlJc w:val="left"/>
      <w:pPr>
        <w:tabs>
          <w:tab w:val="num" w:pos="851"/>
        </w:tabs>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22C0F62"/>
    <w:multiLevelType w:val="hybridMultilevel"/>
    <w:tmpl w:val="C4E298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C9220A"/>
    <w:multiLevelType w:val="hybridMultilevel"/>
    <w:tmpl w:val="158631DA"/>
    <w:lvl w:ilvl="0" w:tplc="51662330">
      <w:numFmt w:val="bullet"/>
      <w:lvlText w:val="•"/>
      <w:lvlJc w:val="left"/>
      <w:pPr>
        <w:ind w:left="720" w:hanging="360"/>
      </w:pPr>
      <w:rPr>
        <w:rFonts w:ascii="SymbolMT" w:eastAsia="Times New Roman" w:hAnsi="SymbolMT"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C3C0ACF"/>
    <w:multiLevelType w:val="hybridMultilevel"/>
    <w:tmpl w:val="DE4A53EA"/>
    <w:lvl w:ilvl="0" w:tplc="04090001">
      <w:start w:val="1"/>
      <w:numFmt w:val="bullet"/>
      <w:lvlText w:val=""/>
      <w:lvlJc w:val="left"/>
      <w:pPr>
        <w:tabs>
          <w:tab w:val="num" w:pos="720"/>
        </w:tabs>
        <w:ind w:left="720" w:hanging="360"/>
      </w:pPr>
      <w:rPr>
        <w:rFonts w:ascii="Symbol" w:hAnsi="Symbol" w:hint="default"/>
      </w:rPr>
    </w:lvl>
    <w:lvl w:ilvl="1" w:tplc="B0C85D42">
      <w:start w:val="1"/>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4B50C4"/>
    <w:multiLevelType w:val="hybridMultilevel"/>
    <w:tmpl w:val="72AA6F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2C29C8"/>
    <w:multiLevelType w:val="hybridMultilevel"/>
    <w:tmpl w:val="3004625C"/>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nsid w:val="71261C37"/>
    <w:multiLevelType w:val="hybridMultilevel"/>
    <w:tmpl w:val="605053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2D0235"/>
    <w:multiLevelType w:val="hybridMultilevel"/>
    <w:tmpl w:val="957C3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900494"/>
    <w:multiLevelType w:val="hybridMultilevel"/>
    <w:tmpl w:val="B27A7F9A"/>
    <w:lvl w:ilvl="0" w:tplc="CE5E783C">
      <w:start w:val="1"/>
      <w:numFmt w:val="bullet"/>
      <w:lvlText w:val=""/>
      <w:lvlJc w:val="left"/>
      <w:pPr>
        <w:tabs>
          <w:tab w:val="num" w:pos="720"/>
        </w:tabs>
        <w:ind w:left="720" w:hanging="360"/>
      </w:pPr>
      <w:rPr>
        <w:rFonts w:ascii="Symbol" w:hAnsi="Symbol" w:hint="default"/>
        <w:sz w:val="16"/>
      </w:rPr>
    </w:lvl>
    <w:lvl w:ilvl="1" w:tplc="3884ADD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7"/>
  </w:num>
  <w:num w:numId="4">
    <w:abstractNumId w:val="0"/>
    <w:lvlOverride w:ilvl="0">
      <w:lvl w:ilvl="0">
        <w:start w:val="1"/>
        <w:numFmt w:val="bullet"/>
        <w:lvlText w:val="-"/>
        <w:legacy w:legacy="1" w:legacySpace="0" w:legacyIndent="360"/>
        <w:lvlJc w:val="left"/>
        <w:pPr>
          <w:ind w:left="360" w:hanging="360"/>
        </w:pPr>
      </w:lvl>
    </w:lvlOverride>
  </w:num>
  <w:num w:numId="5">
    <w:abstractNumId w:val="27"/>
  </w:num>
  <w:num w:numId="6">
    <w:abstractNumId w:val="28"/>
  </w:num>
  <w:num w:numId="7">
    <w:abstractNumId w:val="16"/>
  </w:num>
  <w:num w:numId="8">
    <w:abstractNumId w:val="23"/>
  </w:num>
  <w:num w:numId="9">
    <w:abstractNumId w:val="13"/>
  </w:num>
  <w:num w:numId="10">
    <w:abstractNumId w:val="17"/>
  </w:num>
  <w:num w:numId="11">
    <w:abstractNumId w:val="14"/>
  </w:num>
  <w:num w:numId="12">
    <w:abstractNumId w:val="5"/>
  </w:num>
  <w:num w:numId="13">
    <w:abstractNumId w:val="4"/>
  </w:num>
  <w:num w:numId="14">
    <w:abstractNumId w:val="24"/>
  </w:num>
  <w:num w:numId="15">
    <w:abstractNumId w:val="29"/>
  </w:num>
  <w:num w:numId="16">
    <w:abstractNumId w:val="34"/>
  </w:num>
  <w:num w:numId="17">
    <w:abstractNumId w:val="10"/>
  </w:num>
  <w:num w:numId="18">
    <w:abstractNumId w:val="18"/>
  </w:num>
  <w:num w:numId="19">
    <w:abstractNumId w:val="3"/>
  </w:num>
  <w:num w:numId="20">
    <w:abstractNumId w:val="12"/>
  </w:num>
  <w:num w:numId="21">
    <w:abstractNumId w:val="19"/>
  </w:num>
  <w:num w:numId="22">
    <w:abstractNumId w:val="31"/>
  </w:num>
  <w:num w:numId="23">
    <w:abstractNumId w:val="33"/>
  </w:num>
  <w:num w:numId="24">
    <w:abstractNumId w:val="2"/>
  </w:num>
  <w:num w:numId="25">
    <w:abstractNumId w:val="26"/>
  </w:num>
  <w:num w:numId="26">
    <w:abstractNumId w:val="11"/>
  </w:num>
  <w:num w:numId="27">
    <w:abstractNumId w:val="1"/>
  </w:num>
  <w:num w:numId="28">
    <w:abstractNumId w:val="0"/>
    <w:lvlOverride w:ilvl="0">
      <w:lvl w:ilvl="0">
        <w:start w:val="1"/>
        <w:numFmt w:val="bullet"/>
        <w:lvlText w:val="-"/>
        <w:lvlJc w:val="left"/>
        <w:pPr>
          <w:ind w:left="360" w:hanging="360"/>
        </w:pPr>
      </w:lvl>
    </w:lvlOverride>
  </w:num>
  <w:num w:numId="29">
    <w:abstractNumId w:val="32"/>
  </w:num>
  <w:num w:numId="30">
    <w:abstractNumId w:val="30"/>
  </w:num>
  <w:num w:numId="31">
    <w:abstractNumId w:val="25"/>
  </w:num>
  <w:num w:numId="32">
    <w:abstractNumId w:val="21"/>
  </w:num>
  <w:num w:numId="33">
    <w:abstractNumId w:val="8"/>
  </w:num>
  <w:num w:numId="34">
    <w:abstractNumId w:val="15"/>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AA"/>
    <w:rsid w:val="000060C8"/>
    <w:rsid w:val="000903EC"/>
    <w:rsid w:val="000C5085"/>
    <w:rsid w:val="00163270"/>
    <w:rsid w:val="00187AC7"/>
    <w:rsid w:val="0022573B"/>
    <w:rsid w:val="0027292F"/>
    <w:rsid w:val="00277397"/>
    <w:rsid w:val="002C5A52"/>
    <w:rsid w:val="003F160C"/>
    <w:rsid w:val="003F4232"/>
    <w:rsid w:val="00405788"/>
    <w:rsid w:val="0045175C"/>
    <w:rsid w:val="004F55C1"/>
    <w:rsid w:val="0060536B"/>
    <w:rsid w:val="00611539"/>
    <w:rsid w:val="0063305C"/>
    <w:rsid w:val="006430D0"/>
    <w:rsid w:val="006B6068"/>
    <w:rsid w:val="006F14BB"/>
    <w:rsid w:val="00716E5F"/>
    <w:rsid w:val="007926AA"/>
    <w:rsid w:val="007A4295"/>
    <w:rsid w:val="007A59BF"/>
    <w:rsid w:val="008100DF"/>
    <w:rsid w:val="00825C22"/>
    <w:rsid w:val="008637BB"/>
    <w:rsid w:val="008D19CB"/>
    <w:rsid w:val="00947DEE"/>
    <w:rsid w:val="009930CB"/>
    <w:rsid w:val="009D04D1"/>
    <w:rsid w:val="00A60FDE"/>
    <w:rsid w:val="00B03F18"/>
    <w:rsid w:val="00B2493F"/>
    <w:rsid w:val="00B337A6"/>
    <w:rsid w:val="00B52510"/>
    <w:rsid w:val="00B66BB6"/>
    <w:rsid w:val="00B95CDC"/>
    <w:rsid w:val="00C47533"/>
    <w:rsid w:val="00D51561"/>
    <w:rsid w:val="00D56AFC"/>
    <w:rsid w:val="00D61037"/>
    <w:rsid w:val="00DB1B08"/>
    <w:rsid w:val="00DC7F6D"/>
    <w:rsid w:val="00E07BCA"/>
    <w:rsid w:val="00E614C5"/>
    <w:rsid w:val="00EA69B9"/>
    <w:rsid w:val="00EA6DAF"/>
    <w:rsid w:val="00F65AB7"/>
    <w:rsid w:val="00F96D62"/>
    <w:rsid w:val="00FA2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C0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611539"/>
    <w:pPr>
      <w:keepNext/>
      <w:spacing w:before="240" w:after="60" w:line="240" w:lineRule="auto"/>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rsid w:val="00611539"/>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x-none" w:eastAsia="sl-SI"/>
    </w:rPr>
  </w:style>
  <w:style w:type="paragraph" w:styleId="Antrat3">
    <w:name w:val="heading 3"/>
    <w:basedOn w:val="prastasis"/>
    <w:next w:val="prastasis"/>
    <w:link w:val="Antrat3Diagrama"/>
    <w:uiPriority w:val="99"/>
    <w:qFormat/>
    <w:rsid w:val="00611539"/>
    <w:pPr>
      <w:keepNext/>
      <w:tabs>
        <w:tab w:val="decimal" w:pos="6760"/>
      </w:tabs>
      <w:spacing w:after="0" w:line="480" w:lineRule="atLeast"/>
      <w:outlineLvl w:val="2"/>
    </w:pPr>
    <w:rPr>
      <w:rFonts w:ascii="Times New Roman" w:eastAsia="Times New Roman" w:hAnsi="Times New Roman" w:cs="Times New Roman"/>
      <w:b/>
      <w:sz w:val="24"/>
      <w:szCs w:val="20"/>
      <w:lang w:val="x-none" w:eastAsia="sl-SI"/>
    </w:rPr>
  </w:style>
  <w:style w:type="paragraph" w:styleId="Antrat4">
    <w:name w:val="heading 4"/>
    <w:basedOn w:val="prastasis"/>
    <w:next w:val="prastasis"/>
    <w:link w:val="Antrat4Diagrama"/>
    <w:uiPriority w:val="99"/>
    <w:qFormat/>
    <w:rsid w:val="00611539"/>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rsid w:val="00611539"/>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x-none" w:eastAsia="sl-SI"/>
    </w:rPr>
  </w:style>
  <w:style w:type="paragraph" w:styleId="Antrat8">
    <w:name w:val="heading 8"/>
    <w:basedOn w:val="prastasis"/>
    <w:next w:val="prastasis"/>
    <w:link w:val="Antrat8Diagrama"/>
    <w:uiPriority w:val="99"/>
    <w:qFormat/>
    <w:rsid w:val="00611539"/>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uiPriority w:val="99"/>
    <w:qFormat/>
    <w:rsid w:val="00611539"/>
    <w:pPr>
      <w:spacing w:before="240" w:after="60" w:line="240" w:lineRule="auto"/>
      <w:outlineLvl w:val="8"/>
    </w:pPr>
    <w:rPr>
      <w:rFonts w:ascii="Arial" w:eastAsia="Times New Roman" w:hAnsi="Arial"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11539"/>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sid w:val="00611539"/>
    <w:rPr>
      <w:rFonts w:ascii="Times New Roman" w:eastAsia="Times New Roman" w:hAnsi="Times New Roman" w:cs="Times New Roman"/>
      <w:b/>
      <w:sz w:val="24"/>
      <w:szCs w:val="20"/>
      <w:u w:val="single"/>
      <w:lang w:val="x-none" w:eastAsia="sl-SI"/>
    </w:rPr>
  </w:style>
  <w:style w:type="character" w:customStyle="1" w:styleId="Antrat3Diagrama">
    <w:name w:val="Antraštė 3 Diagrama"/>
    <w:basedOn w:val="Numatytasispastraiposriftas"/>
    <w:link w:val="Antrat3"/>
    <w:uiPriority w:val="99"/>
    <w:rsid w:val="00611539"/>
    <w:rPr>
      <w:rFonts w:ascii="Times New Roman" w:eastAsia="Times New Roman" w:hAnsi="Times New Roman" w:cs="Times New Roman"/>
      <w:b/>
      <w:sz w:val="24"/>
      <w:szCs w:val="20"/>
      <w:lang w:val="x-none" w:eastAsia="sl-SI"/>
    </w:rPr>
  </w:style>
  <w:style w:type="character" w:customStyle="1" w:styleId="Antrat4Diagrama">
    <w:name w:val="Antraštė 4 Diagrama"/>
    <w:basedOn w:val="Numatytasispastraiposriftas"/>
    <w:link w:val="Antrat4"/>
    <w:uiPriority w:val="99"/>
    <w:rsid w:val="0061153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sid w:val="00611539"/>
    <w:rPr>
      <w:rFonts w:ascii="Times New Roman" w:eastAsia="Times New Roman" w:hAnsi="Times New Roman" w:cs="Times New Roman"/>
      <w:b/>
      <w:sz w:val="24"/>
      <w:szCs w:val="20"/>
      <w:lang w:val="x-none" w:eastAsia="sl-SI"/>
    </w:rPr>
  </w:style>
  <w:style w:type="character" w:customStyle="1" w:styleId="Antrat8Diagrama">
    <w:name w:val="Antraštė 8 Diagrama"/>
    <w:basedOn w:val="Numatytasispastraiposriftas"/>
    <w:link w:val="Antrat8"/>
    <w:uiPriority w:val="99"/>
    <w:rsid w:val="00611539"/>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611539"/>
    <w:rPr>
      <w:rFonts w:ascii="Arial" w:eastAsia="Times New Roman" w:hAnsi="Arial" w:cs="Times New Roman"/>
      <w:sz w:val="20"/>
      <w:szCs w:val="20"/>
    </w:rPr>
  </w:style>
  <w:style w:type="numbering" w:customStyle="1" w:styleId="Sraonra1">
    <w:name w:val="Sąrašo nėra1"/>
    <w:next w:val="Sraonra"/>
    <w:uiPriority w:val="99"/>
    <w:semiHidden/>
    <w:unhideWhenUsed/>
    <w:rsid w:val="00611539"/>
  </w:style>
  <w:style w:type="numbering" w:customStyle="1" w:styleId="Sraonra11">
    <w:name w:val="Sąrašo nėra11"/>
    <w:next w:val="Sraonra"/>
    <w:uiPriority w:val="99"/>
    <w:semiHidden/>
    <w:unhideWhenUsed/>
    <w:rsid w:val="00611539"/>
  </w:style>
  <w:style w:type="paragraph" w:styleId="Antrats">
    <w:name w:val="header"/>
    <w:basedOn w:val="prastasis"/>
    <w:link w:val="Antrats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61153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11539"/>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611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611539"/>
  </w:style>
  <w:style w:type="character" w:styleId="Hipersaitas">
    <w:name w:val="Hyperlink"/>
    <w:uiPriority w:val="99"/>
    <w:rsid w:val="00611539"/>
    <w:rPr>
      <w:rFonts w:ascii="Times New Roman" w:hAnsi="Times New Roman"/>
      <w:color w:val="auto"/>
      <w:sz w:val="24"/>
      <w:szCs w:val="24"/>
      <w:u w:val="single"/>
      <w:lang w:val="en-US"/>
    </w:rPr>
  </w:style>
  <w:style w:type="character" w:styleId="Perirtashipersaitas">
    <w:name w:val="FollowedHyperlink"/>
    <w:rsid w:val="00611539"/>
    <w:rPr>
      <w:color w:val="800080"/>
      <w:u w:val="single"/>
    </w:rPr>
  </w:style>
  <w:style w:type="paragraph" w:styleId="Paprastasistekstas">
    <w:name w:val="Plain Text"/>
    <w:basedOn w:val="prastasis"/>
    <w:link w:val="PaprastasistekstasDiagrama"/>
    <w:rsid w:val="0061153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611539"/>
    <w:rPr>
      <w:rFonts w:ascii="Courier New" w:eastAsia="Times New Roman" w:hAnsi="Courier New" w:cs="Times New Roman"/>
      <w:sz w:val="20"/>
      <w:szCs w:val="20"/>
      <w:lang w:val="en-GB" w:eastAsia="sl-SI"/>
    </w:rPr>
  </w:style>
  <w:style w:type="paragraph" w:styleId="Antrat">
    <w:name w:val="caption"/>
    <w:basedOn w:val="prastasis"/>
    <w:next w:val="prastasis"/>
    <w:qFormat/>
    <w:rsid w:val="0061153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611539"/>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611539"/>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61153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61153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61153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61153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61153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6115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611539"/>
  </w:style>
  <w:style w:type="paragraph" w:customStyle="1" w:styleId="PI-1EMEASMCA">
    <w:name w:val="PI-1 EMEA_SMCA"/>
    <w:basedOn w:val="Antrat2"/>
    <w:autoRedefine/>
    <w:uiPriority w:val="99"/>
    <w:rsid w:val="0061153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611539"/>
    <w:pPr>
      <w:pBdr>
        <w:top w:val="single" w:sz="4" w:space="1" w:color="auto"/>
        <w:left w:val="single" w:sz="4" w:space="4" w:color="auto"/>
        <w:bottom w:val="single" w:sz="4" w:space="1" w:color="auto"/>
        <w:right w:val="single" w:sz="4" w:space="4" w:color="auto"/>
      </w:pBdr>
      <w:tabs>
        <w:tab w:val="left" w:pos="0"/>
      </w:tabs>
      <w:spacing w:after="0" w:line="240" w:lineRule="auto"/>
    </w:pPr>
    <w:rPr>
      <w:rFonts w:ascii="Times New Roman" w:eastAsia="Times New Roman" w:hAnsi="Times New Roman" w:cs="Times New Roman"/>
      <w:b/>
      <w:noProof/>
      <w:lang w:eastAsia="x-none"/>
    </w:rPr>
  </w:style>
  <w:style w:type="character" w:customStyle="1" w:styleId="PI-1labEMEASMCAChar">
    <w:name w:val="PI-1_lab EMEA_SMCA Char"/>
    <w:link w:val="PI-1labEMEASMCA"/>
    <w:uiPriority w:val="99"/>
    <w:locked/>
    <w:rsid w:val="00611539"/>
    <w:rPr>
      <w:rFonts w:ascii="Times New Roman" w:eastAsia="Times New Roman" w:hAnsi="Times New Roman" w:cs="Times New Roman"/>
      <w:b/>
      <w:noProof/>
      <w:lang w:eastAsia="x-none"/>
    </w:rPr>
  </w:style>
  <w:style w:type="paragraph" w:customStyle="1" w:styleId="PI-2EMEASMCA">
    <w:name w:val="PI-2 EMEA_SMCA"/>
    <w:basedOn w:val="Antrat3"/>
    <w:autoRedefine/>
    <w:uiPriority w:val="99"/>
    <w:rsid w:val="0061153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611539"/>
    <w:pPr>
      <w:spacing w:after="0" w:line="240" w:lineRule="auto"/>
    </w:pPr>
    <w:rPr>
      <w:rFonts w:ascii="Times New Roman" w:eastAsia="Times New Roman" w:hAnsi="Times New Roman" w:cs="Times New Roman"/>
      <w:sz w:val="20"/>
      <w:szCs w:val="20"/>
      <w:lang w:eastAsia="x-none"/>
    </w:rPr>
  </w:style>
  <w:style w:type="paragraph" w:customStyle="1" w:styleId="TTEMEASMCA">
    <w:name w:val="TT EMEA_SMCA"/>
    <w:basedOn w:val="Antrat1"/>
    <w:link w:val="TTEMEASMCAChar"/>
    <w:autoRedefine/>
    <w:uiPriority w:val="99"/>
    <w:rsid w:val="00611539"/>
    <w:pPr>
      <w:keepNext w:val="0"/>
      <w:tabs>
        <w:tab w:val="left" w:pos="567"/>
      </w:tabs>
      <w:spacing w:before="0" w:after="0"/>
      <w:ind w:left="567" w:hanging="567"/>
      <w:jc w:val="center"/>
    </w:pPr>
    <w:rPr>
      <w:rFonts w:ascii="Times New Roman" w:hAnsi="Times New Roman"/>
      <w:bCs w:val="0"/>
      <w:caps/>
      <w:kern w:val="0"/>
      <w:sz w:val="20"/>
      <w:szCs w:val="20"/>
      <w:lang w:val="x-none" w:eastAsia="x-none"/>
    </w:rPr>
  </w:style>
  <w:style w:type="character" w:customStyle="1" w:styleId="TTEMEASMCAChar">
    <w:name w:val="TT EMEA_SMCA Char"/>
    <w:link w:val="TTEMEASMCA"/>
    <w:uiPriority w:val="99"/>
    <w:locked/>
    <w:rsid w:val="00611539"/>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uiPriority w:val="99"/>
    <w:rsid w:val="0061153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11539"/>
    <w:pPr>
      <w:numPr>
        <w:numId w:val="11"/>
      </w:numPr>
      <w:tabs>
        <w:tab w:val="clear" w:pos="720"/>
        <w:tab w:val="num" w:pos="567"/>
      </w:tabs>
      <w:ind w:left="567" w:hanging="567"/>
    </w:pPr>
  </w:style>
  <w:style w:type="paragraph" w:customStyle="1" w:styleId="PI-3EMEASMCA">
    <w:name w:val="PI-3 EMEA_SMCA"/>
    <w:basedOn w:val="prastasis"/>
    <w:autoRedefine/>
    <w:uiPriority w:val="99"/>
    <w:rsid w:val="0061153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611539"/>
    <w:rPr>
      <w:b/>
    </w:rPr>
  </w:style>
  <w:style w:type="paragraph" w:customStyle="1" w:styleId="BTbeEMEASMCA">
    <w:name w:val="BT(be) EMEA_SMCA"/>
    <w:basedOn w:val="BTEMEASMCA"/>
    <w:autoRedefine/>
    <w:uiPriority w:val="99"/>
    <w:rsid w:val="00611539"/>
    <w:pPr>
      <w:jc w:val="center"/>
    </w:pPr>
    <w:rPr>
      <w:b/>
    </w:rPr>
  </w:style>
  <w:style w:type="paragraph" w:customStyle="1" w:styleId="BTeEMEASMCA">
    <w:name w:val="BT(e) EMEA_SMCA"/>
    <w:basedOn w:val="BTEMEASMCA"/>
    <w:autoRedefine/>
    <w:uiPriority w:val="99"/>
    <w:rsid w:val="00611539"/>
    <w:pPr>
      <w:jc w:val="center"/>
    </w:pPr>
  </w:style>
  <w:style w:type="paragraph" w:customStyle="1" w:styleId="BTgEMEASMCA">
    <w:name w:val="BT(g) EMEA_SMCA"/>
    <w:basedOn w:val="BTEMEASMCA"/>
    <w:link w:val="BTgEMEASMCAChar"/>
    <w:autoRedefine/>
    <w:uiPriority w:val="99"/>
    <w:rsid w:val="00611539"/>
    <w:rPr>
      <w:i/>
      <w:color w:val="008000"/>
    </w:rPr>
  </w:style>
  <w:style w:type="character" w:customStyle="1" w:styleId="BTEMEASMCAChar">
    <w:name w:val="BT EMEA_SMCA Char"/>
    <w:link w:val="BTEMEASMCA"/>
    <w:uiPriority w:val="99"/>
    <w:locked/>
    <w:rsid w:val="00611539"/>
    <w:rPr>
      <w:rFonts w:ascii="Times New Roman" w:eastAsia="Times New Roman" w:hAnsi="Times New Roman" w:cs="Times New Roman"/>
      <w:sz w:val="20"/>
      <w:szCs w:val="20"/>
      <w:lang w:eastAsia="x-none"/>
    </w:rPr>
  </w:style>
  <w:style w:type="character" w:customStyle="1" w:styleId="BTgEMEASMCAChar">
    <w:name w:val="BT(g) EMEA_SMCA Char"/>
    <w:link w:val="BTgEMEASMCA"/>
    <w:uiPriority w:val="99"/>
    <w:locked/>
    <w:rsid w:val="00611539"/>
    <w:rPr>
      <w:rFonts w:ascii="Times New Roman" w:eastAsia="Times New Roman" w:hAnsi="Times New Roman" w:cs="Times New Roman"/>
      <w:i/>
      <w:color w:val="008000"/>
      <w:sz w:val="20"/>
      <w:szCs w:val="20"/>
      <w:lang w:eastAsia="x-none"/>
    </w:rPr>
  </w:style>
  <w:style w:type="paragraph" w:customStyle="1" w:styleId="BTuEMEASMCA">
    <w:name w:val="BT(u) EMEA_SMCA"/>
    <w:basedOn w:val="BTEMEASMCA"/>
    <w:autoRedefine/>
    <w:uiPriority w:val="99"/>
    <w:rsid w:val="00611539"/>
    <w:rPr>
      <w:u w:val="single"/>
    </w:rPr>
  </w:style>
  <w:style w:type="paragraph" w:styleId="Debesliotekstas">
    <w:name w:val="Balloon Text"/>
    <w:basedOn w:val="prastasis"/>
    <w:link w:val="DebesliotekstasDiagrama"/>
    <w:uiPriority w:val="99"/>
    <w:rsid w:val="0061153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rsid w:val="00611539"/>
    <w:rPr>
      <w:rFonts w:ascii="Tahoma" w:eastAsia="Times New Roman" w:hAnsi="Tahoma" w:cs="Times New Roman"/>
      <w:sz w:val="16"/>
      <w:szCs w:val="16"/>
    </w:rPr>
  </w:style>
  <w:style w:type="paragraph" w:styleId="Dokumentostruktra">
    <w:name w:val="Document Map"/>
    <w:basedOn w:val="prastasis"/>
    <w:link w:val="DokumentostruktraDiagrama"/>
    <w:uiPriority w:val="99"/>
    <w:rsid w:val="00611539"/>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uiPriority w:val="99"/>
    <w:rsid w:val="00611539"/>
    <w:rPr>
      <w:rFonts w:ascii="Tahoma" w:eastAsia="Times New Roman" w:hAnsi="Tahoma" w:cs="Times New Roman"/>
      <w:sz w:val="20"/>
      <w:szCs w:val="20"/>
      <w:shd w:val="clear" w:color="auto" w:fill="000080"/>
    </w:rPr>
  </w:style>
  <w:style w:type="paragraph" w:styleId="Dokumentoinaostekstas">
    <w:name w:val="endnote text"/>
    <w:basedOn w:val="prastasis"/>
    <w:link w:val="DokumentoinaostekstasDiagrama"/>
    <w:uiPriority w:val="99"/>
    <w:rsid w:val="00611539"/>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611539"/>
    <w:rPr>
      <w:rFonts w:ascii="Times New Roman" w:eastAsia="Times New Roman" w:hAnsi="Times New Roman" w:cs="Times New Roman"/>
      <w:sz w:val="20"/>
      <w:szCs w:val="20"/>
      <w:lang w:val="en-GB"/>
    </w:rPr>
  </w:style>
  <w:style w:type="paragraph" w:customStyle="1" w:styleId="Text">
    <w:name w:val="Text"/>
    <w:basedOn w:val="prastasis"/>
    <w:link w:val="TextChar1"/>
    <w:uiPriority w:val="99"/>
    <w:rsid w:val="00611539"/>
    <w:pPr>
      <w:spacing w:before="120" w:after="0" w:line="240" w:lineRule="auto"/>
      <w:jc w:val="both"/>
    </w:pPr>
    <w:rPr>
      <w:rFonts w:ascii="Arial" w:eastAsia="Times New Roman" w:hAnsi="Arial" w:cs="Times New Roman"/>
      <w:sz w:val="20"/>
      <w:szCs w:val="20"/>
      <w:lang w:val="x-none" w:eastAsia="x-none"/>
    </w:rPr>
  </w:style>
  <w:style w:type="paragraph" w:styleId="Pagrindiniotekstotrauka">
    <w:name w:val="Body Text Indent"/>
    <w:basedOn w:val="prastasis"/>
    <w:link w:val="PagrindiniotekstotraukaDiagrama"/>
    <w:uiPriority w:val="99"/>
    <w:rsid w:val="00611539"/>
    <w:pPr>
      <w:spacing w:after="0" w:line="240" w:lineRule="auto"/>
      <w:ind w:left="567"/>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uiPriority w:val="99"/>
    <w:rsid w:val="00611539"/>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iPriority w:val="99"/>
    <w:rsid w:val="00611539"/>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611539"/>
    <w:rPr>
      <w:rFonts w:ascii="Times New Roman" w:eastAsia="Times New Roman" w:hAnsi="Times New Roman" w:cs="Times New Roman"/>
      <w:sz w:val="24"/>
      <w:szCs w:val="24"/>
    </w:rPr>
  </w:style>
  <w:style w:type="paragraph" w:customStyle="1" w:styleId="Table">
    <w:name w:val="Table"/>
    <w:basedOn w:val="prastasis"/>
    <w:uiPriority w:val="99"/>
    <w:rsid w:val="00611539"/>
    <w:pPr>
      <w:keepLines/>
      <w:tabs>
        <w:tab w:val="left" w:pos="284"/>
      </w:tabs>
      <w:spacing w:before="40" w:after="20" w:line="240" w:lineRule="auto"/>
    </w:pPr>
    <w:rPr>
      <w:rFonts w:ascii="Arial" w:eastAsia="Times New Roman" w:hAnsi="Arial" w:cs="Times New Roman"/>
      <w:sz w:val="24"/>
      <w:szCs w:val="20"/>
      <w:lang w:val="en-US"/>
    </w:rPr>
  </w:style>
  <w:style w:type="paragraph" w:customStyle="1" w:styleId="normallist">
    <w:name w:val="normallist"/>
    <w:uiPriority w:val="99"/>
    <w:rsid w:val="00611539"/>
    <w:pPr>
      <w:spacing w:after="0" w:line="240" w:lineRule="auto"/>
      <w:jc w:val="both"/>
    </w:pPr>
    <w:rPr>
      <w:rFonts w:ascii="Helvetica" w:eastAsia="Times New Roman" w:hAnsi="Helvetica" w:cs="Times New Roman"/>
      <w:sz w:val="24"/>
      <w:szCs w:val="20"/>
      <w:lang w:val="en-US"/>
    </w:rPr>
  </w:style>
  <w:style w:type="paragraph" w:customStyle="1" w:styleId="TextCharChar">
    <w:name w:val="Text Char Char"/>
    <w:basedOn w:val="prastasis"/>
    <w:uiPriority w:val="99"/>
    <w:rsid w:val="00611539"/>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uiPriority w:val="99"/>
    <w:rsid w:val="00611539"/>
    <w:pPr>
      <w:spacing w:before="40" w:after="20" w:line="240" w:lineRule="auto"/>
      <w:ind w:left="425" w:hanging="425"/>
    </w:pPr>
    <w:rPr>
      <w:rFonts w:ascii="Times New Roman" w:eastAsia="Times New Roman" w:hAnsi="Times New Roman" w:cs="Times New Roman"/>
      <w:sz w:val="24"/>
      <w:szCs w:val="20"/>
      <w:lang w:val="en-US"/>
    </w:rPr>
  </w:style>
  <w:style w:type="paragraph" w:customStyle="1" w:styleId="CharCharCharChar">
    <w:name w:val="Char Char Char Char"/>
    <w:basedOn w:val="prastasis"/>
    <w:uiPriority w:val="99"/>
    <w:rsid w:val="00611539"/>
    <w:pPr>
      <w:spacing w:line="240" w:lineRule="exact"/>
    </w:pPr>
    <w:rPr>
      <w:rFonts w:ascii="Verdana" w:eastAsia="Times New Roman" w:hAnsi="Verdana" w:cs="Verdana"/>
      <w:sz w:val="20"/>
      <w:szCs w:val="20"/>
      <w:lang w:val="en-GB"/>
    </w:rPr>
  </w:style>
  <w:style w:type="paragraph" w:customStyle="1" w:styleId="ReferenceLine">
    <w:name w:val="Reference Line"/>
    <w:basedOn w:val="Pagrindinistekstas"/>
    <w:uiPriority w:val="99"/>
    <w:rsid w:val="00611539"/>
    <w:pPr>
      <w:numPr>
        <w:ilvl w:val="0"/>
      </w:numPr>
      <w:tabs>
        <w:tab w:val="clear" w:pos="8505"/>
      </w:tabs>
      <w:ind w:left="567" w:right="0" w:hanging="567"/>
      <w:jc w:val="both"/>
    </w:pPr>
    <w:rPr>
      <w:rFonts w:ascii="Arial" w:hAnsi="Arial"/>
      <w:sz w:val="24"/>
      <w:lang w:val="en-GB" w:eastAsia="en-US"/>
    </w:rPr>
  </w:style>
  <w:style w:type="character" w:styleId="Komentaronuoroda">
    <w:name w:val="annotation reference"/>
    <w:uiPriority w:val="99"/>
    <w:rsid w:val="00611539"/>
    <w:rPr>
      <w:rFonts w:cs="Times New Roman"/>
      <w:sz w:val="16"/>
      <w:szCs w:val="16"/>
    </w:rPr>
  </w:style>
  <w:style w:type="paragraph" w:styleId="Komentarotekstas">
    <w:name w:val="annotation text"/>
    <w:basedOn w:val="prastasis"/>
    <w:link w:val="KomentarotekstasDiagrama"/>
    <w:uiPriority w:val="99"/>
    <w:rsid w:val="0061153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61153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11539"/>
    <w:rPr>
      <w:b/>
      <w:bCs/>
    </w:rPr>
  </w:style>
  <w:style w:type="character" w:customStyle="1" w:styleId="KomentarotemaDiagrama">
    <w:name w:val="Komentaro tema Diagrama"/>
    <w:basedOn w:val="KomentarotekstasDiagrama"/>
    <w:link w:val="Komentarotema"/>
    <w:uiPriority w:val="99"/>
    <w:rsid w:val="00611539"/>
    <w:rPr>
      <w:rFonts w:ascii="Times New Roman" w:eastAsia="Times New Roman" w:hAnsi="Times New Roman" w:cs="Times New Roman"/>
      <w:b/>
      <w:bCs/>
      <w:sz w:val="20"/>
      <w:szCs w:val="20"/>
    </w:rPr>
  </w:style>
  <w:style w:type="paragraph" w:styleId="prastasistinklapis">
    <w:name w:val="Normal (Web)"/>
    <w:basedOn w:val="prastasis"/>
    <w:uiPriority w:val="99"/>
    <w:rsid w:val="006115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ltaViewInsertion">
    <w:name w:val="DeltaView Insertion"/>
    <w:uiPriority w:val="99"/>
    <w:rsid w:val="00611539"/>
    <w:rPr>
      <w:color w:val="0000FF"/>
      <w:spacing w:val="0"/>
      <w:u w:val="double"/>
    </w:rPr>
  </w:style>
  <w:style w:type="paragraph" w:customStyle="1" w:styleId="ListParagraph1">
    <w:name w:val="List Paragraph1"/>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character" w:customStyle="1" w:styleId="TextChar1">
    <w:name w:val="Text Char1"/>
    <w:link w:val="Text"/>
    <w:uiPriority w:val="99"/>
    <w:locked/>
    <w:rsid w:val="00611539"/>
    <w:rPr>
      <w:rFonts w:ascii="Arial" w:eastAsia="Times New Roman" w:hAnsi="Arial" w:cs="Times New Roman"/>
      <w:sz w:val="20"/>
      <w:szCs w:val="20"/>
      <w:lang w:val="x-none" w:eastAsia="x-none"/>
    </w:rPr>
  </w:style>
  <w:style w:type="paragraph" w:customStyle="1" w:styleId="Revision1">
    <w:name w:val="Revision1"/>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99"/>
    <w:rsid w:val="00611539"/>
    <w:pPr>
      <w:spacing w:after="0" w:line="240" w:lineRule="auto"/>
    </w:pPr>
    <w:rPr>
      <w:rFonts w:ascii="Times New Roman" w:eastAsia="Times New Roman" w:hAnsi="Times New Roman" w:cs="Times New Roman"/>
      <w:sz w:val="20"/>
      <w:szCs w:val="20"/>
      <w:lang w:val="en-US" w:eastAsia="sl-SI"/>
    </w:rPr>
  </w:style>
  <w:style w:type="character" w:styleId="HTMLspausdinimomainl">
    <w:name w:val="HTML Typewriter"/>
    <w:uiPriority w:val="99"/>
    <w:rsid w:val="00611539"/>
    <w:rPr>
      <w:rFonts w:ascii="Courier New" w:hAnsi="Courier New" w:cs="Courier New"/>
      <w:sz w:val="20"/>
      <w:szCs w:val="20"/>
    </w:rPr>
  </w:style>
  <w:style w:type="paragraph" w:customStyle="1" w:styleId="ListParagraph2">
    <w:name w:val="List Paragraph2"/>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paragraph" w:customStyle="1" w:styleId="Revision2">
    <w:name w:val="Revision2"/>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2">
    <w:name w:val="No Spacing2"/>
    <w:uiPriority w:val="99"/>
    <w:rsid w:val="00611539"/>
    <w:pPr>
      <w:spacing w:after="0" w:line="240" w:lineRule="auto"/>
    </w:pPr>
    <w:rPr>
      <w:rFonts w:ascii="Times New Roman" w:eastAsia="Times New Roman" w:hAnsi="Times New Roman" w:cs="Times New Roman"/>
      <w:sz w:val="20"/>
      <w:szCs w:val="20"/>
      <w:lang w:val="en-US" w:eastAsia="sl-SI"/>
    </w:rPr>
  </w:style>
  <w:style w:type="paragraph" w:customStyle="1" w:styleId="Sraopastraipa1">
    <w:name w:val="Sąrašo pastraipa1"/>
    <w:basedOn w:val="prastasis"/>
    <w:next w:val="Sraopastraipa"/>
    <w:uiPriority w:val="34"/>
    <w:qFormat/>
    <w:rsid w:val="00611539"/>
    <w:pPr>
      <w:spacing w:after="0" w:line="240" w:lineRule="auto"/>
      <w:ind w:left="720" w:hanging="567"/>
      <w:contextualSpacing/>
    </w:pPr>
  </w:style>
  <w:style w:type="paragraph" w:styleId="Sraopastraipa">
    <w:name w:val="List Paragraph"/>
    <w:basedOn w:val="prastasis"/>
    <w:uiPriority w:val="34"/>
    <w:qFormat/>
    <w:rsid w:val="00611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611539"/>
    <w:pPr>
      <w:keepNext/>
      <w:spacing w:before="240" w:after="60" w:line="240" w:lineRule="auto"/>
      <w:outlineLvl w:val="0"/>
    </w:pPr>
    <w:rPr>
      <w:rFonts w:ascii="Arial" w:eastAsia="Times New Roman" w:hAnsi="Arial" w:cs="Times New Roman"/>
      <w:b/>
      <w:bCs/>
      <w:kern w:val="32"/>
      <w:sz w:val="32"/>
      <w:szCs w:val="32"/>
      <w:lang w:val="sl-SI" w:eastAsia="sl-SI"/>
    </w:rPr>
  </w:style>
  <w:style w:type="paragraph" w:styleId="Antrat2">
    <w:name w:val="heading 2"/>
    <w:basedOn w:val="prastasis"/>
    <w:next w:val="prastasis"/>
    <w:link w:val="Antrat2Diagrama"/>
    <w:uiPriority w:val="99"/>
    <w:qFormat/>
    <w:rsid w:val="00611539"/>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x-none" w:eastAsia="sl-SI"/>
    </w:rPr>
  </w:style>
  <w:style w:type="paragraph" w:styleId="Antrat3">
    <w:name w:val="heading 3"/>
    <w:basedOn w:val="prastasis"/>
    <w:next w:val="prastasis"/>
    <w:link w:val="Antrat3Diagrama"/>
    <w:uiPriority w:val="99"/>
    <w:qFormat/>
    <w:rsid w:val="00611539"/>
    <w:pPr>
      <w:keepNext/>
      <w:tabs>
        <w:tab w:val="decimal" w:pos="6760"/>
      </w:tabs>
      <w:spacing w:after="0" w:line="480" w:lineRule="atLeast"/>
      <w:outlineLvl w:val="2"/>
    </w:pPr>
    <w:rPr>
      <w:rFonts w:ascii="Times New Roman" w:eastAsia="Times New Roman" w:hAnsi="Times New Roman" w:cs="Times New Roman"/>
      <w:b/>
      <w:sz w:val="24"/>
      <w:szCs w:val="20"/>
      <w:lang w:val="x-none" w:eastAsia="sl-SI"/>
    </w:rPr>
  </w:style>
  <w:style w:type="paragraph" w:styleId="Antrat4">
    <w:name w:val="heading 4"/>
    <w:basedOn w:val="prastasis"/>
    <w:next w:val="prastasis"/>
    <w:link w:val="Antrat4Diagrama"/>
    <w:uiPriority w:val="99"/>
    <w:qFormat/>
    <w:rsid w:val="00611539"/>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iPriority w:val="99"/>
    <w:qFormat/>
    <w:rsid w:val="00611539"/>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x-none" w:eastAsia="sl-SI"/>
    </w:rPr>
  </w:style>
  <w:style w:type="paragraph" w:styleId="Antrat8">
    <w:name w:val="heading 8"/>
    <w:basedOn w:val="prastasis"/>
    <w:next w:val="prastasis"/>
    <w:link w:val="Antrat8Diagrama"/>
    <w:uiPriority w:val="99"/>
    <w:qFormat/>
    <w:rsid w:val="00611539"/>
    <w:pPr>
      <w:spacing w:before="240" w:after="60" w:line="240" w:lineRule="auto"/>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uiPriority w:val="99"/>
    <w:qFormat/>
    <w:rsid w:val="00611539"/>
    <w:pPr>
      <w:spacing w:before="240" w:after="60" w:line="240" w:lineRule="auto"/>
      <w:outlineLvl w:val="8"/>
    </w:pPr>
    <w:rPr>
      <w:rFonts w:ascii="Arial" w:eastAsia="Times New Roman" w:hAnsi="Arial"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11539"/>
    <w:rPr>
      <w:rFonts w:ascii="Arial" w:eastAsia="Times New Roman" w:hAnsi="Arial" w:cs="Times New Roman"/>
      <w:b/>
      <w:bCs/>
      <w:kern w:val="32"/>
      <w:sz w:val="32"/>
      <w:szCs w:val="32"/>
      <w:lang w:val="sl-SI" w:eastAsia="sl-SI"/>
    </w:rPr>
  </w:style>
  <w:style w:type="character" w:customStyle="1" w:styleId="Antrat2Diagrama">
    <w:name w:val="Antraštė 2 Diagrama"/>
    <w:basedOn w:val="Numatytasispastraiposriftas"/>
    <w:link w:val="Antrat2"/>
    <w:uiPriority w:val="99"/>
    <w:rsid w:val="00611539"/>
    <w:rPr>
      <w:rFonts w:ascii="Times New Roman" w:eastAsia="Times New Roman" w:hAnsi="Times New Roman" w:cs="Times New Roman"/>
      <w:b/>
      <w:sz w:val="24"/>
      <w:szCs w:val="20"/>
      <w:u w:val="single"/>
      <w:lang w:val="x-none" w:eastAsia="sl-SI"/>
    </w:rPr>
  </w:style>
  <w:style w:type="character" w:customStyle="1" w:styleId="Antrat3Diagrama">
    <w:name w:val="Antraštė 3 Diagrama"/>
    <w:basedOn w:val="Numatytasispastraiposriftas"/>
    <w:link w:val="Antrat3"/>
    <w:uiPriority w:val="99"/>
    <w:rsid w:val="00611539"/>
    <w:rPr>
      <w:rFonts w:ascii="Times New Roman" w:eastAsia="Times New Roman" w:hAnsi="Times New Roman" w:cs="Times New Roman"/>
      <w:b/>
      <w:sz w:val="24"/>
      <w:szCs w:val="20"/>
      <w:lang w:val="x-none" w:eastAsia="sl-SI"/>
    </w:rPr>
  </w:style>
  <w:style w:type="character" w:customStyle="1" w:styleId="Antrat4Diagrama">
    <w:name w:val="Antraštė 4 Diagrama"/>
    <w:basedOn w:val="Numatytasispastraiposriftas"/>
    <w:link w:val="Antrat4"/>
    <w:uiPriority w:val="99"/>
    <w:rsid w:val="0061153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uiPriority w:val="99"/>
    <w:rsid w:val="00611539"/>
    <w:rPr>
      <w:rFonts w:ascii="Times New Roman" w:eastAsia="Times New Roman" w:hAnsi="Times New Roman" w:cs="Times New Roman"/>
      <w:b/>
      <w:sz w:val="24"/>
      <w:szCs w:val="20"/>
      <w:lang w:val="x-none" w:eastAsia="sl-SI"/>
    </w:rPr>
  </w:style>
  <w:style w:type="character" w:customStyle="1" w:styleId="Antrat8Diagrama">
    <w:name w:val="Antraštė 8 Diagrama"/>
    <w:basedOn w:val="Numatytasispastraiposriftas"/>
    <w:link w:val="Antrat8"/>
    <w:uiPriority w:val="99"/>
    <w:rsid w:val="00611539"/>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611539"/>
    <w:rPr>
      <w:rFonts w:ascii="Arial" w:eastAsia="Times New Roman" w:hAnsi="Arial" w:cs="Times New Roman"/>
      <w:sz w:val="20"/>
      <w:szCs w:val="20"/>
    </w:rPr>
  </w:style>
  <w:style w:type="numbering" w:customStyle="1" w:styleId="Sraonra1">
    <w:name w:val="Sąrašo nėra1"/>
    <w:next w:val="Sraonra"/>
    <w:uiPriority w:val="99"/>
    <w:semiHidden/>
    <w:unhideWhenUsed/>
    <w:rsid w:val="00611539"/>
  </w:style>
  <w:style w:type="numbering" w:customStyle="1" w:styleId="Sraonra11">
    <w:name w:val="Sąrašo nėra11"/>
    <w:next w:val="Sraonra"/>
    <w:uiPriority w:val="99"/>
    <w:semiHidden/>
    <w:unhideWhenUsed/>
    <w:rsid w:val="00611539"/>
  </w:style>
  <w:style w:type="paragraph" w:styleId="Antrats">
    <w:name w:val="header"/>
    <w:basedOn w:val="prastasis"/>
    <w:link w:val="Antrats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61153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611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611539"/>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611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611539"/>
  </w:style>
  <w:style w:type="character" w:styleId="Hipersaitas">
    <w:name w:val="Hyperlink"/>
    <w:uiPriority w:val="99"/>
    <w:rsid w:val="00611539"/>
    <w:rPr>
      <w:rFonts w:ascii="Times New Roman" w:hAnsi="Times New Roman"/>
      <w:color w:val="auto"/>
      <w:sz w:val="24"/>
      <w:szCs w:val="24"/>
      <w:u w:val="single"/>
      <w:lang w:val="en-US"/>
    </w:rPr>
  </w:style>
  <w:style w:type="character" w:styleId="Perirtashipersaitas">
    <w:name w:val="FollowedHyperlink"/>
    <w:rsid w:val="00611539"/>
    <w:rPr>
      <w:color w:val="800080"/>
      <w:u w:val="single"/>
    </w:rPr>
  </w:style>
  <w:style w:type="paragraph" w:styleId="Paprastasistekstas">
    <w:name w:val="Plain Text"/>
    <w:basedOn w:val="prastasis"/>
    <w:link w:val="PaprastasistekstasDiagrama"/>
    <w:rsid w:val="0061153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611539"/>
    <w:rPr>
      <w:rFonts w:ascii="Courier New" w:eastAsia="Times New Roman" w:hAnsi="Courier New" w:cs="Times New Roman"/>
      <w:sz w:val="20"/>
      <w:szCs w:val="20"/>
      <w:lang w:val="en-GB" w:eastAsia="sl-SI"/>
    </w:rPr>
  </w:style>
  <w:style w:type="paragraph" w:styleId="Antrat">
    <w:name w:val="caption"/>
    <w:basedOn w:val="prastasis"/>
    <w:next w:val="prastasis"/>
    <w:qFormat/>
    <w:rsid w:val="0061153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611539"/>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611539"/>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61153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61153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61153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61153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61153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6115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611539"/>
  </w:style>
  <w:style w:type="paragraph" w:customStyle="1" w:styleId="PI-1EMEASMCA">
    <w:name w:val="PI-1 EMEA_SMCA"/>
    <w:basedOn w:val="Antrat2"/>
    <w:autoRedefine/>
    <w:uiPriority w:val="99"/>
    <w:rsid w:val="0061153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611539"/>
    <w:pPr>
      <w:pBdr>
        <w:top w:val="single" w:sz="4" w:space="1" w:color="auto"/>
        <w:left w:val="single" w:sz="4" w:space="4" w:color="auto"/>
        <w:bottom w:val="single" w:sz="4" w:space="1" w:color="auto"/>
        <w:right w:val="single" w:sz="4" w:space="4" w:color="auto"/>
      </w:pBdr>
      <w:tabs>
        <w:tab w:val="left" w:pos="0"/>
      </w:tabs>
      <w:spacing w:after="0" w:line="240" w:lineRule="auto"/>
    </w:pPr>
    <w:rPr>
      <w:rFonts w:ascii="Times New Roman" w:eastAsia="Times New Roman" w:hAnsi="Times New Roman" w:cs="Times New Roman"/>
      <w:b/>
      <w:noProof/>
      <w:lang w:eastAsia="x-none"/>
    </w:rPr>
  </w:style>
  <w:style w:type="character" w:customStyle="1" w:styleId="PI-1labEMEASMCAChar">
    <w:name w:val="PI-1_lab EMEA_SMCA Char"/>
    <w:link w:val="PI-1labEMEASMCA"/>
    <w:uiPriority w:val="99"/>
    <w:locked/>
    <w:rsid w:val="00611539"/>
    <w:rPr>
      <w:rFonts w:ascii="Times New Roman" w:eastAsia="Times New Roman" w:hAnsi="Times New Roman" w:cs="Times New Roman"/>
      <w:b/>
      <w:noProof/>
      <w:lang w:eastAsia="x-none"/>
    </w:rPr>
  </w:style>
  <w:style w:type="paragraph" w:customStyle="1" w:styleId="PI-2EMEASMCA">
    <w:name w:val="PI-2 EMEA_SMCA"/>
    <w:basedOn w:val="Antrat3"/>
    <w:autoRedefine/>
    <w:uiPriority w:val="99"/>
    <w:rsid w:val="0061153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611539"/>
    <w:pPr>
      <w:spacing w:after="0" w:line="240" w:lineRule="auto"/>
    </w:pPr>
    <w:rPr>
      <w:rFonts w:ascii="Times New Roman" w:eastAsia="Times New Roman" w:hAnsi="Times New Roman" w:cs="Times New Roman"/>
      <w:sz w:val="20"/>
      <w:szCs w:val="20"/>
      <w:lang w:eastAsia="x-none"/>
    </w:rPr>
  </w:style>
  <w:style w:type="paragraph" w:customStyle="1" w:styleId="TTEMEASMCA">
    <w:name w:val="TT EMEA_SMCA"/>
    <w:basedOn w:val="Antrat1"/>
    <w:link w:val="TTEMEASMCAChar"/>
    <w:autoRedefine/>
    <w:uiPriority w:val="99"/>
    <w:rsid w:val="00611539"/>
    <w:pPr>
      <w:keepNext w:val="0"/>
      <w:tabs>
        <w:tab w:val="left" w:pos="567"/>
      </w:tabs>
      <w:spacing w:before="0" w:after="0"/>
      <w:ind w:left="567" w:hanging="567"/>
      <w:jc w:val="center"/>
    </w:pPr>
    <w:rPr>
      <w:rFonts w:ascii="Times New Roman" w:hAnsi="Times New Roman"/>
      <w:bCs w:val="0"/>
      <w:caps/>
      <w:kern w:val="0"/>
      <w:sz w:val="20"/>
      <w:szCs w:val="20"/>
      <w:lang w:val="x-none" w:eastAsia="x-none"/>
    </w:rPr>
  </w:style>
  <w:style w:type="character" w:customStyle="1" w:styleId="TTEMEASMCAChar">
    <w:name w:val="TT EMEA_SMCA Char"/>
    <w:link w:val="TTEMEASMCA"/>
    <w:uiPriority w:val="99"/>
    <w:locked/>
    <w:rsid w:val="00611539"/>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uiPriority w:val="99"/>
    <w:rsid w:val="0061153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11539"/>
    <w:pPr>
      <w:numPr>
        <w:numId w:val="11"/>
      </w:numPr>
      <w:tabs>
        <w:tab w:val="clear" w:pos="720"/>
        <w:tab w:val="num" w:pos="567"/>
      </w:tabs>
      <w:ind w:left="567" w:hanging="567"/>
    </w:pPr>
  </w:style>
  <w:style w:type="paragraph" w:customStyle="1" w:styleId="PI-3EMEASMCA">
    <w:name w:val="PI-3 EMEA_SMCA"/>
    <w:basedOn w:val="prastasis"/>
    <w:autoRedefine/>
    <w:uiPriority w:val="99"/>
    <w:rsid w:val="00611539"/>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611539"/>
    <w:rPr>
      <w:b/>
    </w:rPr>
  </w:style>
  <w:style w:type="paragraph" w:customStyle="1" w:styleId="BTbeEMEASMCA">
    <w:name w:val="BT(be) EMEA_SMCA"/>
    <w:basedOn w:val="BTEMEASMCA"/>
    <w:autoRedefine/>
    <w:uiPriority w:val="99"/>
    <w:rsid w:val="00611539"/>
    <w:pPr>
      <w:jc w:val="center"/>
    </w:pPr>
    <w:rPr>
      <w:b/>
    </w:rPr>
  </w:style>
  <w:style w:type="paragraph" w:customStyle="1" w:styleId="BTeEMEASMCA">
    <w:name w:val="BT(e) EMEA_SMCA"/>
    <w:basedOn w:val="BTEMEASMCA"/>
    <w:autoRedefine/>
    <w:uiPriority w:val="99"/>
    <w:rsid w:val="00611539"/>
    <w:pPr>
      <w:jc w:val="center"/>
    </w:pPr>
  </w:style>
  <w:style w:type="paragraph" w:customStyle="1" w:styleId="BTgEMEASMCA">
    <w:name w:val="BT(g) EMEA_SMCA"/>
    <w:basedOn w:val="BTEMEASMCA"/>
    <w:link w:val="BTgEMEASMCAChar"/>
    <w:autoRedefine/>
    <w:uiPriority w:val="99"/>
    <w:rsid w:val="00611539"/>
    <w:rPr>
      <w:i/>
      <w:color w:val="008000"/>
    </w:rPr>
  </w:style>
  <w:style w:type="character" w:customStyle="1" w:styleId="BTEMEASMCAChar">
    <w:name w:val="BT EMEA_SMCA Char"/>
    <w:link w:val="BTEMEASMCA"/>
    <w:uiPriority w:val="99"/>
    <w:locked/>
    <w:rsid w:val="00611539"/>
    <w:rPr>
      <w:rFonts w:ascii="Times New Roman" w:eastAsia="Times New Roman" w:hAnsi="Times New Roman" w:cs="Times New Roman"/>
      <w:sz w:val="20"/>
      <w:szCs w:val="20"/>
      <w:lang w:eastAsia="x-none"/>
    </w:rPr>
  </w:style>
  <w:style w:type="character" w:customStyle="1" w:styleId="BTgEMEASMCAChar">
    <w:name w:val="BT(g) EMEA_SMCA Char"/>
    <w:link w:val="BTgEMEASMCA"/>
    <w:uiPriority w:val="99"/>
    <w:locked/>
    <w:rsid w:val="00611539"/>
    <w:rPr>
      <w:rFonts w:ascii="Times New Roman" w:eastAsia="Times New Roman" w:hAnsi="Times New Roman" w:cs="Times New Roman"/>
      <w:i/>
      <w:color w:val="008000"/>
      <w:sz w:val="20"/>
      <w:szCs w:val="20"/>
      <w:lang w:eastAsia="x-none"/>
    </w:rPr>
  </w:style>
  <w:style w:type="paragraph" w:customStyle="1" w:styleId="BTuEMEASMCA">
    <w:name w:val="BT(u) EMEA_SMCA"/>
    <w:basedOn w:val="BTEMEASMCA"/>
    <w:autoRedefine/>
    <w:uiPriority w:val="99"/>
    <w:rsid w:val="00611539"/>
    <w:rPr>
      <w:u w:val="single"/>
    </w:rPr>
  </w:style>
  <w:style w:type="paragraph" w:styleId="Debesliotekstas">
    <w:name w:val="Balloon Text"/>
    <w:basedOn w:val="prastasis"/>
    <w:link w:val="DebesliotekstasDiagrama"/>
    <w:uiPriority w:val="99"/>
    <w:rsid w:val="0061153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rsid w:val="00611539"/>
    <w:rPr>
      <w:rFonts w:ascii="Tahoma" w:eastAsia="Times New Roman" w:hAnsi="Tahoma" w:cs="Times New Roman"/>
      <w:sz w:val="16"/>
      <w:szCs w:val="16"/>
    </w:rPr>
  </w:style>
  <w:style w:type="paragraph" w:styleId="Dokumentostruktra">
    <w:name w:val="Document Map"/>
    <w:basedOn w:val="prastasis"/>
    <w:link w:val="DokumentostruktraDiagrama"/>
    <w:uiPriority w:val="99"/>
    <w:rsid w:val="00611539"/>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uiPriority w:val="99"/>
    <w:rsid w:val="00611539"/>
    <w:rPr>
      <w:rFonts w:ascii="Tahoma" w:eastAsia="Times New Roman" w:hAnsi="Tahoma" w:cs="Times New Roman"/>
      <w:sz w:val="20"/>
      <w:szCs w:val="20"/>
      <w:shd w:val="clear" w:color="auto" w:fill="000080"/>
    </w:rPr>
  </w:style>
  <w:style w:type="paragraph" w:styleId="Dokumentoinaostekstas">
    <w:name w:val="endnote text"/>
    <w:basedOn w:val="prastasis"/>
    <w:link w:val="DokumentoinaostekstasDiagrama"/>
    <w:uiPriority w:val="99"/>
    <w:rsid w:val="00611539"/>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611539"/>
    <w:rPr>
      <w:rFonts w:ascii="Times New Roman" w:eastAsia="Times New Roman" w:hAnsi="Times New Roman" w:cs="Times New Roman"/>
      <w:sz w:val="20"/>
      <w:szCs w:val="20"/>
      <w:lang w:val="en-GB"/>
    </w:rPr>
  </w:style>
  <w:style w:type="paragraph" w:customStyle="1" w:styleId="Text">
    <w:name w:val="Text"/>
    <w:basedOn w:val="prastasis"/>
    <w:link w:val="TextChar1"/>
    <w:uiPriority w:val="99"/>
    <w:rsid w:val="00611539"/>
    <w:pPr>
      <w:spacing w:before="120" w:after="0" w:line="240" w:lineRule="auto"/>
      <w:jc w:val="both"/>
    </w:pPr>
    <w:rPr>
      <w:rFonts w:ascii="Arial" w:eastAsia="Times New Roman" w:hAnsi="Arial" w:cs="Times New Roman"/>
      <w:sz w:val="20"/>
      <w:szCs w:val="20"/>
      <w:lang w:val="x-none" w:eastAsia="x-none"/>
    </w:rPr>
  </w:style>
  <w:style w:type="paragraph" w:styleId="Pagrindiniotekstotrauka">
    <w:name w:val="Body Text Indent"/>
    <w:basedOn w:val="prastasis"/>
    <w:link w:val="PagrindiniotekstotraukaDiagrama"/>
    <w:uiPriority w:val="99"/>
    <w:rsid w:val="00611539"/>
    <w:pPr>
      <w:spacing w:after="0" w:line="240" w:lineRule="auto"/>
      <w:ind w:left="567"/>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uiPriority w:val="99"/>
    <w:rsid w:val="00611539"/>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iPriority w:val="99"/>
    <w:rsid w:val="00611539"/>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611539"/>
    <w:rPr>
      <w:rFonts w:ascii="Times New Roman" w:eastAsia="Times New Roman" w:hAnsi="Times New Roman" w:cs="Times New Roman"/>
      <w:sz w:val="24"/>
      <w:szCs w:val="24"/>
    </w:rPr>
  </w:style>
  <w:style w:type="paragraph" w:customStyle="1" w:styleId="Table">
    <w:name w:val="Table"/>
    <w:basedOn w:val="prastasis"/>
    <w:uiPriority w:val="99"/>
    <w:rsid w:val="00611539"/>
    <w:pPr>
      <w:keepLines/>
      <w:tabs>
        <w:tab w:val="left" w:pos="284"/>
      </w:tabs>
      <w:spacing w:before="40" w:after="20" w:line="240" w:lineRule="auto"/>
    </w:pPr>
    <w:rPr>
      <w:rFonts w:ascii="Arial" w:eastAsia="Times New Roman" w:hAnsi="Arial" w:cs="Times New Roman"/>
      <w:sz w:val="24"/>
      <w:szCs w:val="20"/>
      <w:lang w:val="en-US"/>
    </w:rPr>
  </w:style>
  <w:style w:type="paragraph" w:customStyle="1" w:styleId="normallist">
    <w:name w:val="normallist"/>
    <w:uiPriority w:val="99"/>
    <w:rsid w:val="00611539"/>
    <w:pPr>
      <w:spacing w:after="0" w:line="240" w:lineRule="auto"/>
      <w:jc w:val="both"/>
    </w:pPr>
    <w:rPr>
      <w:rFonts w:ascii="Helvetica" w:eastAsia="Times New Roman" w:hAnsi="Helvetica" w:cs="Times New Roman"/>
      <w:sz w:val="24"/>
      <w:szCs w:val="20"/>
      <w:lang w:val="en-US"/>
    </w:rPr>
  </w:style>
  <w:style w:type="paragraph" w:customStyle="1" w:styleId="TextCharChar">
    <w:name w:val="Text Char Char"/>
    <w:basedOn w:val="prastasis"/>
    <w:uiPriority w:val="99"/>
    <w:rsid w:val="00611539"/>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uiPriority w:val="99"/>
    <w:rsid w:val="00611539"/>
    <w:pPr>
      <w:spacing w:before="40" w:after="20" w:line="240" w:lineRule="auto"/>
      <w:ind w:left="425" w:hanging="425"/>
    </w:pPr>
    <w:rPr>
      <w:rFonts w:ascii="Times New Roman" w:eastAsia="Times New Roman" w:hAnsi="Times New Roman" w:cs="Times New Roman"/>
      <w:sz w:val="24"/>
      <w:szCs w:val="20"/>
      <w:lang w:val="en-US"/>
    </w:rPr>
  </w:style>
  <w:style w:type="paragraph" w:customStyle="1" w:styleId="CharCharCharChar">
    <w:name w:val="Char Char Char Char"/>
    <w:basedOn w:val="prastasis"/>
    <w:uiPriority w:val="99"/>
    <w:rsid w:val="00611539"/>
    <w:pPr>
      <w:spacing w:line="240" w:lineRule="exact"/>
    </w:pPr>
    <w:rPr>
      <w:rFonts w:ascii="Verdana" w:eastAsia="Times New Roman" w:hAnsi="Verdana" w:cs="Verdana"/>
      <w:sz w:val="20"/>
      <w:szCs w:val="20"/>
      <w:lang w:val="en-GB"/>
    </w:rPr>
  </w:style>
  <w:style w:type="paragraph" w:customStyle="1" w:styleId="ReferenceLine">
    <w:name w:val="Reference Line"/>
    <w:basedOn w:val="Pagrindinistekstas"/>
    <w:uiPriority w:val="99"/>
    <w:rsid w:val="00611539"/>
    <w:pPr>
      <w:numPr>
        <w:ilvl w:val="0"/>
      </w:numPr>
      <w:tabs>
        <w:tab w:val="clear" w:pos="8505"/>
      </w:tabs>
      <w:ind w:left="567" w:right="0" w:hanging="567"/>
      <w:jc w:val="both"/>
    </w:pPr>
    <w:rPr>
      <w:rFonts w:ascii="Arial" w:hAnsi="Arial"/>
      <w:sz w:val="24"/>
      <w:lang w:val="en-GB" w:eastAsia="en-US"/>
    </w:rPr>
  </w:style>
  <w:style w:type="character" w:styleId="Komentaronuoroda">
    <w:name w:val="annotation reference"/>
    <w:uiPriority w:val="99"/>
    <w:rsid w:val="00611539"/>
    <w:rPr>
      <w:rFonts w:cs="Times New Roman"/>
      <w:sz w:val="16"/>
      <w:szCs w:val="16"/>
    </w:rPr>
  </w:style>
  <w:style w:type="paragraph" w:styleId="Komentarotekstas">
    <w:name w:val="annotation text"/>
    <w:basedOn w:val="prastasis"/>
    <w:link w:val="KomentarotekstasDiagrama"/>
    <w:uiPriority w:val="99"/>
    <w:rsid w:val="0061153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61153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611539"/>
    <w:rPr>
      <w:b/>
      <w:bCs/>
    </w:rPr>
  </w:style>
  <w:style w:type="character" w:customStyle="1" w:styleId="KomentarotemaDiagrama">
    <w:name w:val="Komentaro tema Diagrama"/>
    <w:basedOn w:val="KomentarotekstasDiagrama"/>
    <w:link w:val="Komentarotema"/>
    <w:uiPriority w:val="99"/>
    <w:rsid w:val="00611539"/>
    <w:rPr>
      <w:rFonts w:ascii="Times New Roman" w:eastAsia="Times New Roman" w:hAnsi="Times New Roman" w:cs="Times New Roman"/>
      <w:b/>
      <w:bCs/>
      <w:sz w:val="20"/>
      <w:szCs w:val="20"/>
    </w:rPr>
  </w:style>
  <w:style w:type="paragraph" w:styleId="prastasistinklapis">
    <w:name w:val="Normal (Web)"/>
    <w:basedOn w:val="prastasis"/>
    <w:uiPriority w:val="99"/>
    <w:rsid w:val="006115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ltaViewInsertion">
    <w:name w:val="DeltaView Insertion"/>
    <w:uiPriority w:val="99"/>
    <w:rsid w:val="00611539"/>
    <w:rPr>
      <w:color w:val="0000FF"/>
      <w:spacing w:val="0"/>
      <w:u w:val="double"/>
    </w:rPr>
  </w:style>
  <w:style w:type="paragraph" w:customStyle="1" w:styleId="ListParagraph1">
    <w:name w:val="List Paragraph1"/>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character" w:customStyle="1" w:styleId="TextChar1">
    <w:name w:val="Text Char1"/>
    <w:link w:val="Text"/>
    <w:uiPriority w:val="99"/>
    <w:locked/>
    <w:rsid w:val="00611539"/>
    <w:rPr>
      <w:rFonts w:ascii="Arial" w:eastAsia="Times New Roman" w:hAnsi="Arial" w:cs="Times New Roman"/>
      <w:sz w:val="20"/>
      <w:szCs w:val="20"/>
      <w:lang w:val="x-none" w:eastAsia="x-none"/>
    </w:rPr>
  </w:style>
  <w:style w:type="paragraph" w:customStyle="1" w:styleId="Revision1">
    <w:name w:val="Revision1"/>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1">
    <w:name w:val="No Spacing1"/>
    <w:uiPriority w:val="99"/>
    <w:rsid w:val="00611539"/>
    <w:pPr>
      <w:spacing w:after="0" w:line="240" w:lineRule="auto"/>
    </w:pPr>
    <w:rPr>
      <w:rFonts w:ascii="Times New Roman" w:eastAsia="Times New Roman" w:hAnsi="Times New Roman" w:cs="Times New Roman"/>
      <w:sz w:val="20"/>
      <w:szCs w:val="20"/>
      <w:lang w:val="en-US" w:eastAsia="sl-SI"/>
    </w:rPr>
  </w:style>
  <w:style w:type="character" w:styleId="HTMLspausdinimomainl">
    <w:name w:val="HTML Typewriter"/>
    <w:uiPriority w:val="99"/>
    <w:rsid w:val="00611539"/>
    <w:rPr>
      <w:rFonts w:ascii="Courier New" w:hAnsi="Courier New" w:cs="Courier New"/>
      <w:sz w:val="20"/>
      <w:szCs w:val="20"/>
    </w:rPr>
  </w:style>
  <w:style w:type="paragraph" w:customStyle="1" w:styleId="ListParagraph2">
    <w:name w:val="List Paragraph2"/>
    <w:basedOn w:val="prastasis"/>
    <w:uiPriority w:val="99"/>
    <w:rsid w:val="00611539"/>
    <w:pPr>
      <w:spacing w:after="0" w:line="240" w:lineRule="auto"/>
      <w:ind w:left="720"/>
      <w:contextualSpacing/>
    </w:pPr>
    <w:rPr>
      <w:rFonts w:ascii="Times New Roman" w:eastAsia="Times New Roman" w:hAnsi="Times New Roman" w:cs="Times New Roman"/>
      <w:sz w:val="24"/>
      <w:szCs w:val="24"/>
    </w:rPr>
  </w:style>
  <w:style w:type="paragraph" w:customStyle="1" w:styleId="Revision2">
    <w:name w:val="Revision2"/>
    <w:hidden/>
    <w:uiPriority w:val="99"/>
    <w:semiHidden/>
    <w:rsid w:val="00611539"/>
    <w:pPr>
      <w:spacing w:after="0" w:line="240" w:lineRule="auto"/>
    </w:pPr>
    <w:rPr>
      <w:rFonts w:ascii="Times New Roman" w:eastAsia="Times New Roman" w:hAnsi="Times New Roman" w:cs="Times New Roman"/>
      <w:sz w:val="24"/>
      <w:szCs w:val="24"/>
    </w:rPr>
  </w:style>
  <w:style w:type="paragraph" w:customStyle="1" w:styleId="NoSpacing2">
    <w:name w:val="No Spacing2"/>
    <w:uiPriority w:val="99"/>
    <w:rsid w:val="00611539"/>
    <w:pPr>
      <w:spacing w:after="0" w:line="240" w:lineRule="auto"/>
    </w:pPr>
    <w:rPr>
      <w:rFonts w:ascii="Times New Roman" w:eastAsia="Times New Roman" w:hAnsi="Times New Roman" w:cs="Times New Roman"/>
      <w:sz w:val="20"/>
      <w:szCs w:val="20"/>
      <w:lang w:val="en-US" w:eastAsia="sl-SI"/>
    </w:rPr>
  </w:style>
  <w:style w:type="paragraph" w:customStyle="1" w:styleId="Sraopastraipa1">
    <w:name w:val="Sąrašo pastraipa1"/>
    <w:basedOn w:val="prastasis"/>
    <w:next w:val="Sraopastraipa"/>
    <w:uiPriority w:val="34"/>
    <w:qFormat/>
    <w:rsid w:val="00611539"/>
    <w:pPr>
      <w:spacing w:after="0" w:line="240" w:lineRule="auto"/>
      <w:ind w:left="720" w:hanging="567"/>
      <w:contextualSpacing/>
    </w:pPr>
  </w:style>
  <w:style w:type="paragraph" w:styleId="Sraopastraipa">
    <w:name w:val="List Paragraph"/>
    <w:basedOn w:val="prastasis"/>
    <w:uiPriority w:val="34"/>
    <w:qFormat/>
    <w:rsid w:val="00611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41612</Words>
  <Characters>23720</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65202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Birute</cp:lastModifiedBy>
  <cp:revision>4</cp:revision>
  <dcterms:created xsi:type="dcterms:W3CDTF">2022-04-12T12:08:00Z</dcterms:created>
  <dcterms:modified xsi:type="dcterms:W3CDTF">2022-04-12T12:10:00Z</dcterms:modified>
</cp:coreProperties>
</file>