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59D4F" w14:textId="77777777" w:rsidR="00EB7699" w:rsidRPr="004C6E5C" w:rsidRDefault="00EB7699" w:rsidP="00EB7699">
      <w:pPr>
        <w:spacing w:after="0" w:line="240" w:lineRule="auto"/>
        <w:rPr>
          <w:rFonts w:ascii="Times New Roman" w:hAnsi="Times New Roman"/>
        </w:rPr>
      </w:pPr>
    </w:p>
    <w:p w14:paraId="72B0D974" w14:textId="77777777" w:rsidR="00EB7699" w:rsidRPr="004C6E5C" w:rsidRDefault="00EB7699" w:rsidP="00EB7699">
      <w:pPr>
        <w:spacing w:after="0" w:line="240" w:lineRule="auto"/>
        <w:rPr>
          <w:rFonts w:ascii="Times New Roman" w:hAnsi="Times New Roman"/>
        </w:rPr>
      </w:pPr>
    </w:p>
    <w:p w14:paraId="05933DCA" w14:textId="77777777" w:rsidR="00EB7699" w:rsidRPr="004C6E5C" w:rsidRDefault="00EB7699" w:rsidP="00EB7699">
      <w:pPr>
        <w:spacing w:after="0" w:line="240" w:lineRule="auto"/>
        <w:rPr>
          <w:rFonts w:ascii="Times New Roman" w:hAnsi="Times New Roman"/>
        </w:rPr>
      </w:pPr>
    </w:p>
    <w:p w14:paraId="7CB63197" w14:textId="77777777" w:rsidR="00EB7699" w:rsidRPr="004C6E5C" w:rsidRDefault="00EB7699" w:rsidP="00EB7699">
      <w:pPr>
        <w:spacing w:after="0" w:line="240" w:lineRule="auto"/>
        <w:rPr>
          <w:rFonts w:ascii="Times New Roman" w:hAnsi="Times New Roman"/>
        </w:rPr>
      </w:pPr>
    </w:p>
    <w:p w14:paraId="74996B6F" w14:textId="77777777" w:rsidR="00EB7699" w:rsidRPr="004C6E5C" w:rsidRDefault="00EB7699" w:rsidP="00EB7699">
      <w:pPr>
        <w:spacing w:after="0" w:line="240" w:lineRule="auto"/>
        <w:rPr>
          <w:rFonts w:ascii="Times New Roman" w:hAnsi="Times New Roman"/>
        </w:rPr>
      </w:pPr>
    </w:p>
    <w:p w14:paraId="3CBB6BA6" w14:textId="77777777" w:rsidR="00EB7699" w:rsidRPr="004C6E5C" w:rsidRDefault="00EB7699" w:rsidP="00EB7699">
      <w:pPr>
        <w:spacing w:after="0" w:line="240" w:lineRule="auto"/>
        <w:rPr>
          <w:rFonts w:ascii="Times New Roman" w:hAnsi="Times New Roman"/>
        </w:rPr>
      </w:pPr>
    </w:p>
    <w:p w14:paraId="7D1D8F8D" w14:textId="77777777" w:rsidR="00EB7699" w:rsidRPr="004C6E5C" w:rsidRDefault="00EB7699" w:rsidP="00EB7699">
      <w:pPr>
        <w:spacing w:after="0" w:line="240" w:lineRule="auto"/>
        <w:rPr>
          <w:rFonts w:ascii="Times New Roman" w:hAnsi="Times New Roman"/>
        </w:rPr>
      </w:pPr>
    </w:p>
    <w:p w14:paraId="721902AA" w14:textId="77777777" w:rsidR="00EB7699" w:rsidRPr="004C6E5C" w:rsidRDefault="00EB7699" w:rsidP="00EB7699">
      <w:pPr>
        <w:spacing w:after="0" w:line="240" w:lineRule="auto"/>
        <w:rPr>
          <w:rFonts w:ascii="Times New Roman" w:hAnsi="Times New Roman"/>
        </w:rPr>
      </w:pPr>
    </w:p>
    <w:p w14:paraId="44882A12" w14:textId="77777777" w:rsidR="00EB7699" w:rsidRPr="004C6E5C" w:rsidRDefault="00EB7699" w:rsidP="00EB7699">
      <w:pPr>
        <w:spacing w:after="0" w:line="240" w:lineRule="auto"/>
        <w:rPr>
          <w:rFonts w:ascii="Times New Roman" w:hAnsi="Times New Roman"/>
        </w:rPr>
      </w:pPr>
    </w:p>
    <w:p w14:paraId="36C2C730" w14:textId="77777777" w:rsidR="00EB7699" w:rsidRPr="004C6E5C" w:rsidRDefault="00EB7699" w:rsidP="00EB7699">
      <w:pPr>
        <w:spacing w:after="0" w:line="240" w:lineRule="auto"/>
        <w:rPr>
          <w:rFonts w:ascii="Times New Roman" w:hAnsi="Times New Roman"/>
        </w:rPr>
      </w:pPr>
    </w:p>
    <w:p w14:paraId="69603D53" w14:textId="77777777" w:rsidR="00EB7699" w:rsidRPr="004C6E5C" w:rsidRDefault="00EB7699" w:rsidP="00EB7699">
      <w:pPr>
        <w:spacing w:after="0" w:line="240" w:lineRule="auto"/>
        <w:rPr>
          <w:rFonts w:ascii="Times New Roman" w:hAnsi="Times New Roman"/>
        </w:rPr>
      </w:pPr>
    </w:p>
    <w:p w14:paraId="2C1D7E88" w14:textId="77777777" w:rsidR="00EB7699" w:rsidRPr="004C6E5C" w:rsidRDefault="00EB7699" w:rsidP="00EB7699">
      <w:pPr>
        <w:spacing w:after="0" w:line="240" w:lineRule="auto"/>
        <w:rPr>
          <w:rFonts w:ascii="Times New Roman" w:hAnsi="Times New Roman"/>
        </w:rPr>
      </w:pPr>
    </w:p>
    <w:p w14:paraId="028BF808" w14:textId="77777777" w:rsidR="00EB7699" w:rsidRPr="004C6E5C" w:rsidRDefault="00EB7699" w:rsidP="00EB7699">
      <w:pPr>
        <w:spacing w:after="0" w:line="240" w:lineRule="auto"/>
        <w:rPr>
          <w:rFonts w:ascii="Times New Roman" w:hAnsi="Times New Roman"/>
        </w:rPr>
      </w:pPr>
    </w:p>
    <w:p w14:paraId="4EB70F77" w14:textId="77777777" w:rsidR="00EB7699" w:rsidRPr="004C6E5C" w:rsidRDefault="00EB7699" w:rsidP="00EB7699">
      <w:pPr>
        <w:spacing w:after="0" w:line="240" w:lineRule="auto"/>
        <w:rPr>
          <w:rFonts w:ascii="Times New Roman" w:hAnsi="Times New Roman"/>
        </w:rPr>
      </w:pPr>
    </w:p>
    <w:p w14:paraId="5FD929CA" w14:textId="77777777" w:rsidR="00EB7699" w:rsidRPr="004C6E5C" w:rsidRDefault="00EB7699" w:rsidP="00EB7699">
      <w:pPr>
        <w:spacing w:after="0" w:line="240" w:lineRule="auto"/>
        <w:rPr>
          <w:rFonts w:ascii="Times New Roman" w:hAnsi="Times New Roman"/>
        </w:rPr>
      </w:pPr>
    </w:p>
    <w:p w14:paraId="292507E5" w14:textId="77777777" w:rsidR="00EB7699" w:rsidRPr="004C6E5C" w:rsidRDefault="00EB7699" w:rsidP="00EB7699">
      <w:pPr>
        <w:spacing w:after="0" w:line="240" w:lineRule="auto"/>
        <w:rPr>
          <w:rFonts w:ascii="Times New Roman" w:hAnsi="Times New Roman"/>
        </w:rPr>
      </w:pPr>
    </w:p>
    <w:p w14:paraId="0CACAA0C" w14:textId="77777777" w:rsidR="00EB7699" w:rsidRPr="004C6E5C" w:rsidRDefault="00EB7699" w:rsidP="00EB7699">
      <w:pPr>
        <w:spacing w:after="0" w:line="240" w:lineRule="auto"/>
        <w:rPr>
          <w:rFonts w:ascii="Times New Roman" w:hAnsi="Times New Roman"/>
        </w:rPr>
      </w:pPr>
    </w:p>
    <w:p w14:paraId="57043745" w14:textId="77777777" w:rsidR="00EB7699" w:rsidRPr="004C6E5C" w:rsidRDefault="00EB7699" w:rsidP="00EB7699">
      <w:pPr>
        <w:spacing w:after="0" w:line="240" w:lineRule="auto"/>
        <w:rPr>
          <w:rFonts w:ascii="Times New Roman" w:hAnsi="Times New Roman"/>
        </w:rPr>
      </w:pPr>
    </w:p>
    <w:p w14:paraId="57C932A6" w14:textId="77777777" w:rsidR="00EB7699" w:rsidRPr="004C6E5C" w:rsidRDefault="00EB7699" w:rsidP="00EB7699">
      <w:pPr>
        <w:spacing w:after="0" w:line="240" w:lineRule="auto"/>
        <w:rPr>
          <w:rFonts w:ascii="Times New Roman" w:hAnsi="Times New Roman"/>
        </w:rPr>
      </w:pPr>
    </w:p>
    <w:p w14:paraId="5CA8E950" w14:textId="77777777" w:rsidR="00EB7699" w:rsidRPr="004C6E5C" w:rsidRDefault="00EB7699" w:rsidP="00EB7699">
      <w:pPr>
        <w:spacing w:after="0" w:line="240" w:lineRule="auto"/>
        <w:rPr>
          <w:rFonts w:ascii="Times New Roman" w:hAnsi="Times New Roman"/>
        </w:rPr>
      </w:pPr>
    </w:p>
    <w:p w14:paraId="570B8830" w14:textId="77777777" w:rsidR="00EB7699" w:rsidRPr="004C6E5C" w:rsidRDefault="00EB7699" w:rsidP="00EB7699">
      <w:pPr>
        <w:spacing w:after="0" w:line="240" w:lineRule="auto"/>
        <w:rPr>
          <w:rFonts w:ascii="Times New Roman" w:hAnsi="Times New Roman"/>
        </w:rPr>
      </w:pPr>
    </w:p>
    <w:p w14:paraId="70748961" w14:textId="77777777" w:rsidR="00EB7699" w:rsidRPr="004C6E5C" w:rsidRDefault="00EB7699" w:rsidP="00EB7699">
      <w:pPr>
        <w:spacing w:after="0" w:line="240" w:lineRule="auto"/>
        <w:rPr>
          <w:rFonts w:ascii="Times New Roman" w:hAnsi="Times New Roman"/>
        </w:rPr>
      </w:pPr>
    </w:p>
    <w:p w14:paraId="41C73650" w14:textId="77777777" w:rsidR="00EB7699" w:rsidRPr="004C6E5C" w:rsidRDefault="00EB7699" w:rsidP="00EB7699">
      <w:pPr>
        <w:spacing w:after="0" w:line="240" w:lineRule="auto"/>
        <w:rPr>
          <w:rFonts w:ascii="Times New Roman" w:hAnsi="Times New Roman"/>
        </w:rPr>
      </w:pPr>
    </w:p>
    <w:p w14:paraId="127B8072" w14:textId="77777777" w:rsidR="00EB7699" w:rsidRPr="004C6E5C" w:rsidRDefault="00EB7699" w:rsidP="00EB7699">
      <w:pPr>
        <w:spacing w:after="0" w:line="240" w:lineRule="auto"/>
        <w:jc w:val="center"/>
        <w:rPr>
          <w:rFonts w:ascii="Times New Roman" w:hAnsi="Times New Roman"/>
          <w:b/>
        </w:rPr>
      </w:pPr>
      <w:bookmarkStart w:id="0" w:name="_Toc129243221"/>
      <w:bookmarkStart w:id="1" w:name="_Toc129243096"/>
      <w:bookmarkStart w:id="2" w:name="_GoBack"/>
      <w:bookmarkEnd w:id="2"/>
      <w:r w:rsidRPr="004C6E5C">
        <w:rPr>
          <w:rFonts w:ascii="Times New Roman" w:hAnsi="Times New Roman"/>
          <w:b/>
        </w:rPr>
        <w:t>I PRIEDAS</w:t>
      </w:r>
      <w:bookmarkEnd w:id="0"/>
      <w:bookmarkEnd w:id="1"/>
    </w:p>
    <w:p w14:paraId="26FB3FAD" w14:textId="77777777" w:rsidR="00EB7699" w:rsidRPr="004C6E5C" w:rsidRDefault="00EB7699" w:rsidP="00EB7699">
      <w:pPr>
        <w:spacing w:after="0" w:line="240" w:lineRule="auto"/>
        <w:jc w:val="center"/>
        <w:rPr>
          <w:rFonts w:ascii="Times New Roman" w:hAnsi="Times New Roman"/>
          <w:b/>
        </w:rPr>
      </w:pPr>
    </w:p>
    <w:p w14:paraId="0FC69469" w14:textId="77777777" w:rsidR="00EB7699" w:rsidRPr="004C6E5C" w:rsidRDefault="00EB7699" w:rsidP="00EB7699">
      <w:pPr>
        <w:spacing w:after="0" w:line="240" w:lineRule="auto"/>
        <w:jc w:val="center"/>
        <w:rPr>
          <w:rFonts w:ascii="Times New Roman" w:hAnsi="Times New Roman"/>
          <w:b/>
        </w:rPr>
      </w:pPr>
      <w:bookmarkStart w:id="3" w:name="_Toc129243222"/>
      <w:bookmarkStart w:id="4" w:name="_Toc129243097"/>
      <w:r w:rsidRPr="004C6E5C">
        <w:rPr>
          <w:rFonts w:ascii="Times New Roman" w:hAnsi="Times New Roman"/>
          <w:b/>
        </w:rPr>
        <w:t>PREPARATO CHARAKTERISTIKŲ SANTRAUKA</w:t>
      </w:r>
      <w:bookmarkEnd w:id="3"/>
      <w:bookmarkEnd w:id="4"/>
    </w:p>
    <w:p w14:paraId="50383B56" w14:textId="77777777" w:rsidR="00EB7699" w:rsidRPr="004C6E5C" w:rsidRDefault="00EB7699" w:rsidP="00EB7699">
      <w:pPr>
        <w:spacing w:after="0" w:line="240" w:lineRule="auto"/>
        <w:ind w:left="540" w:hanging="540"/>
        <w:rPr>
          <w:rFonts w:ascii="Times New Roman" w:hAnsi="Times New Roman"/>
          <w:b/>
        </w:rPr>
      </w:pPr>
      <w:r w:rsidRPr="004C6E5C">
        <w:rPr>
          <w:rFonts w:ascii="Times New Roman" w:hAnsi="Times New Roman"/>
        </w:rPr>
        <w:br w:type="page"/>
      </w:r>
      <w:bookmarkStart w:id="5" w:name="_Toc129243223"/>
      <w:bookmarkStart w:id="6" w:name="_Toc129243098"/>
      <w:r w:rsidRPr="004C6E5C">
        <w:rPr>
          <w:rFonts w:ascii="Times New Roman" w:hAnsi="Times New Roman"/>
          <w:b/>
        </w:rPr>
        <w:lastRenderedPageBreak/>
        <w:t>1.</w:t>
      </w:r>
      <w:r w:rsidRPr="004C6E5C">
        <w:rPr>
          <w:rFonts w:ascii="Times New Roman" w:hAnsi="Times New Roman"/>
          <w:b/>
        </w:rPr>
        <w:tab/>
        <w:t>VAISTINIO PREPARATO PAVADINIMAS</w:t>
      </w:r>
      <w:bookmarkEnd w:id="5"/>
      <w:bookmarkEnd w:id="6"/>
    </w:p>
    <w:p w14:paraId="18493F1E" w14:textId="77777777" w:rsidR="00EB7699" w:rsidRPr="004C6E5C" w:rsidRDefault="00EB7699" w:rsidP="00EB7699">
      <w:pPr>
        <w:spacing w:after="0" w:line="240" w:lineRule="auto"/>
        <w:rPr>
          <w:rFonts w:ascii="Times New Roman" w:hAnsi="Times New Roman"/>
        </w:rPr>
      </w:pPr>
    </w:p>
    <w:p w14:paraId="4D071274"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100 mg skrandyje neirios tabletės</w:t>
      </w:r>
    </w:p>
    <w:p w14:paraId="235BBA98" w14:textId="77777777" w:rsidR="00EB7699" w:rsidRPr="004C6E5C" w:rsidRDefault="00EB7699" w:rsidP="00EB7699">
      <w:pPr>
        <w:spacing w:after="0" w:line="240" w:lineRule="auto"/>
        <w:rPr>
          <w:rFonts w:ascii="Times New Roman" w:hAnsi="Times New Roman"/>
        </w:rPr>
      </w:pPr>
    </w:p>
    <w:p w14:paraId="11121384" w14:textId="77777777" w:rsidR="00EB7699" w:rsidRPr="004C6E5C" w:rsidRDefault="00EB7699" w:rsidP="00EB7699">
      <w:pPr>
        <w:spacing w:after="0" w:line="240" w:lineRule="auto"/>
        <w:rPr>
          <w:rFonts w:ascii="Times New Roman" w:hAnsi="Times New Roman"/>
        </w:rPr>
      </w:pPr>
    </w:p>
    <w:p w14:paraId="7D836E90" w14:textId="77777777" w:rsidR="00EB7699" w:rsidRPr="004C6E5C" w:rsidRDefault="00EB7699" w:rsidP="00EB7699">
      <w:pPr>
        <w:spacing w:after="0" w:line="240" w:lineRule="auto"/>
        <w:ind w:left="540" w:hanging="540"/>
        <w:rPr>
          <w:rFonts w:ascii="Times New Roman" w:hAnsi="Times New Roman"/>
          <w:b/>
        </w:rPr>
      </w:pPr>
      <w:bookmarkStart w:id="7" w:name="_Toc129243224"/>
      <w:bookmarkStart w:id="8" w:name="_Toc129243099"/>
      <w:r w:rsidRPr="004C6E5C">
        <w:rPr>
          <w:rFonts w:ascii="Times New Roman" w:hAnsi="Times New Roman"/>
          <w:b/>
        </w:rPr>
        <w:t>2.</w:t>
      </w:r>
      <w:r w:rsidRPr="004C6E5C">
        <w:rPr>
          <w:rFonts w:ascii="Times New Roman" w:hAnsi="Times New Roman"/>
          <w:b/>
        </w:rPr>
        <w:tab/>
        <w:t>KOKYBINĖ IR KIEKYBINĖ SUDĖTIS</w:t>
      </w:r>
      <w:bookmarkEnd w:id="7"/>
      <w:bookmarkEnd w:id="8"/>
    </w:p>
    <w:p w14:paraId="363592AF" w14:textId="77777777" w:rsidR="00EB7699" w:rsidRPr="004C6E5C" w:rsidRDefault="00EB7699" w:rsidP="00EB7699">
      <w:pPr>
        <w:spacing w:after="0" w:line="240" w:lineRule="auto"/>
        <w:rPr>
          <w:rFonts w:ascii="Times New Roman" w:hAnsi="Times New Roman"/>
        </w:rPr>
      </w:pPr>
    </w:p>
    <w:p w14:paraId="40490D8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Kiekvienoje skrandyje neirioje tabletėje yra 100 mg acetilsalicilo rūgšties.</w:t>
      </w:r>
    </w:p>
    <w:p w14:paraId="4D98D899" w14:textId="77777777" w:rsidR="00EB7699" w:rsidRPr="004C6E5C" w:rsidRDefault="00EB7699" w:rsidP="00EB7699">
      <w:pPr>
        <w:spacing w:after="0" w:line="240" w:lineRule="auto"/>
        <w:rPr>
          <w:rFonts w:ascii="Times New Roman" w:hAnsi="Times New Roman"/>
        </w:rPr>
      </w:pPr>
    </w:p>
    <w:p w14:paraId="7BBA364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Visos pagalbinės medžiagos išvardytos 6.1 skyriuje.</w:t>
      </w:r>
    </w:p>
    <w:p w14:paraId="31C133AF" w14:textId="77777777" w:rsidR="00EB7699" w:rsidRPr="004C6E5C" w:rsidRDefault="00EB7699" w:rsidP="00EB7699">
      <w:pPr>
        <w:spacing w:after="0" w:line="240" w:lineRule="auto"/>
        <w:rPr>
          <w:rFonts w:ascii="Times New Roman" w:hAnsi="Times New Roman"/>
        </w:rPr>
      </w:pPr>
    </w:p>
    <w:p w14:paraId="5BE89E02" w14:textId="77777777" w:rsidR="00EB7699" w:rsidRPr="004C6E5C" w:rsidRDefault="00EB7699" w:rsidP="00EB7699">
      <w:pPr>
        <w:spacing w:after="0" w:line="240" w:lineRule="auto"/>
        <w:rPr>
          <w:rFonts w:ascii="Times New Roman" w:hAnsi="Times New Roman"/>
        </w:rPr>
      </w:pPr>
    </w:p>
    <w:p w14:paraId="06029FFA" w14:textId="77777777" w:rsidR="00EB7699" w:rsidRPr="004C6E5C" w:rsidRDefault="00EB7699" w:rsidP="00EB7699">
      <w:pPr>
        <w:spacing w:after="0" w:line="240" w:lineRule="auto"/>
        <w:ind w:left="540" w:hanging="540"/>
        <w:rPr>
          <w:rFonts w:ascii="Times New Roman" w:hAnsi="Times New Roman"/>
          <w:b/>
        </w:rPr>
      </w:pPr>
      <w:bookmarkStart w:id="9" w:name="_Toc129243225"/>
      <w:bookmarkStart w:id="10" w:name="_Toc129243100"/>
      <w:r w:rsidRPr="004C6E5C">
        <w:rPr>
          <w:rFonts w:ascii="Times New Roman" w:hAnsi="Times New Roman"/>
          <w:b/>
        </w:rPr>
        <w:t>3.</w:t>
      </w:r>
      <w:r w:rsidRPr="004C6E5C">
        <w:rPr>
          <w:rFonts w:ascii="Times New Roman" w:hAnsi="Times New Roman"/>
          <w:b/>
        </w:rPr>
        <w:tab/>
        <w:t>FARMACINĖ FORMA</w:t>
      </w:r>
      <w:bookmarkEnd w:id="9"/>
      <w:bookmarkEnd w:id="10"/>
    </w:p>
    <w:p w14:paraId="2DBFE6DB" w14:textId="77777777" w:rsidR="00EB7699" w:rsidRPr="004C6E5C" w:rsidRDefault="00EB7699" w:rsidP="00EB7699">
      <w:pPr>
        <w:spacing w:after="0" w:line="240" w:lineRule="auto"/>
        <w:rPr>
          <w:rFonts w:ascii="Times New Roman" w:hAnsi="Times New Roman"/>
        </w:rPr>
      </w:pPr>
    </w:p>
    <w:p w14:paraId="3608196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Skrandyje neiri tabletė</w:t>
      </w:r>
    </w:p>
    <w:p w14:paraId="6FC366F2" w14:textId="77777777" w:rsidR="00EB7699" w:rsidRPr="004C6E5C" w:rsidRDefault="00EB7699" w:rsidP="00EB7699">
      <w:pPr>
        <w:spacing w:after="0" w:line="240" w:lineRule="auto"/>
        <w:rPr>
          <w:rFonts w:ascii="Times New Roman" w:hAnsi="Times New Roman"/>
        </w:rPr>
      </w:pPr>
    </w:p>
    <w:p w14:paraId="36514CA6" w14:textId="77777777" w:rsidR="00EB7699" w:rsidRPr="004C6E5C" w:rsidRDefault="00EB7699" w:rsidP="00EB7699">
      <w:pPr>
        <w:spacing w:after="0" w:line="240" w:lineRule="auto"/>
        <w:rPr>
          <w:rFonts w:ascii="Times New Roman" w:hAnsi="Times New Roman"/>
        </w:rPr>
      </w:pPr>
      <w:bookmarkStart w:id="11" w:name="OLE_LINK5"/>
      <w:bookmarkStart w:id="12" w:name="OLE_LINK4"/>
      <w:r w:rsidRPr="004C6E5C">
        <w:rPr>
          <w:rFonts w:ascii="Times New Roman" w:hAnsi="Times New Roman"/>
        </w:rPr>
        <w:t>Baltos, apvalios, abipus išgaubtos skrandyje neirios 7,2 mm skersmens tabletės.</w:t>
      </w:r>
    </w:p>
    <w:bookmarkEnd w:id="11"/>
    <w:bookmarkEnd w:id="12"/>
    <w:p w14:paraId="67F64429" w14:textId="77777777" w:rsidR="00EB7699" w:rsidRPr="004C6E5C" w:rsidRDefault="00EB7699" w:rsidP="00EB7699">
      <w:pPr>
        <w:spacing w:after="0" w:line="240" w:lineRule="auto"/>
        <w:rPr>
          <w:rFonts w:ascii="Times New Roman" w:hAnsi="Times New Roman"/>
        </w:rPr>
      </w:pPr>
    </w:p>
    <w:p w14:paraId="6DA1BA26" w14:textId="77777777" w:rsidR="00EB7699" w:rsidRPr="004C6E5C" w:rsidRDefault="00EB7699" w:rsidP="00EB7699">
      <w:pPr>
        <w:spacing w:after="0" w:line="240" w:lineRule="auto"/>
        <w:rPr>
          <w:rFonts w:ascii="Times New Roman" w:hAnsi="Times New Roman"/>
        </w:rPr>
      </w:pPr>
    </w:p>
    <w:p w14:paraId="706F3B2A" w14:textId="77777777" w:rsidR="00EB7699" w:rsidRPr="004C6E5C" w:rsidRDefault="00EB7699" w:rsidP="00EB7699">
      <w:pPr>
        <w:spacing w:after="0" w:line="240" w:lineRule="auto"/>
        <w:ind w:left="540" w:hanging="540"/>
        <w:rPr>
          <w:rFonts w:ascii="Times New Roman" w:hAnsi="Times New Roman"/>
          <w:b/>
        </w:rPr>
      </w:pPr>
      <w:bookmarkStart w:id="13" w:name="_Toc129243226"/>
      <w:bookmarkStart w:id="14" w:name="_Toc129243101"/>
      <w:r w:rsidRPr="004C6E5C">
        <w:rPr>
          <w:rFonts w:ascii="Times New Roman" w:hAnsi="Times New Roman"/>
          <w:b/>
        </w:rPr>
        <w:t>4.</w:t>
      </w:r>
      <w:r w:rsidRPr="004C6E5C">
        <w:rPr>
          <w:rFonts w:ascii="Times New Roman" w:hAnsi="Times New Roman"/>
          <w:b/>
        </w:rPr>
        <w:tab/>
        <w:t>KLINIKINĖ INFORMACIJA</w:t>
      </w:r>
      <w:bookmarkEnd w:id="13"/>
      <w:bookmarkEnd w:id="14"/>
    </w:p>
    <w:p w14:paraId="763DA1BB" w14:textId="77777777" w:rsidR="00EB7699" w:rsidRPr="004C6E5C" w:rsidRDefault="00EB7699" w:rsidP="00EB7699">
      <w:pPr>
        <w:spacing w:after="0" w:line="240" w:lineRule="auto"/>
        <w:rPr>
          <w:rFonts w:ascii="Times New Roman" w:hAnsi="Times New Roman"/>
        </w:rPr>
      </w:pPr>
    </w:p>
    <w:p w14:paraId="35727D4B" w14:textId="77777777" w:rsidR="00EB7699" w:rsidRPr="004C6E5C" w:rsidRDefault="00EB7699" w:rsidP="00EB7699">
      <w:pPr>
        <w:spacing w:after="0" w:line="240" w:lineRule="auto"/>
        <w:ind w:left="540" w:hanging="540"/>
        <w:rPr>
          <w:rFonts w:ascii="Times New Roman" w:hAnsi="Times New Roman"/>
          <w:b/>
        </w:rPr>
      </w:pPr>
      <w:bookmarkStart w:id="15" w:name="_Toc129243227"/>
      <w:bookmarkStart w:id="16" w:name="_Toc129243102"/>
      <w:r w:rsidRPr="004C6E5C">
        <w:rPr>
          <w:rFonts w:ascii="Times New Roman" w:hAnsi="Times New Roman"/>
          <w:b/>
        </w:rPr>
        <w:t>4.1</w:t>
      </w:r>
      <w:r w:rsidRPr="004C6E5C">
        <w:rPr>
          <w:rFonts w:ascii="Times New Roman" w:hAnsi="Times New Roman"/>
          <w:b/>
        </w:rPr>
        <w:tab/>
        <w:t>Terapinės indikacijos</w:t>
      </w:r>
      <w:bookmarkEnd w:id="15"/>
      <w:bookmarkEnd w:id="16"/>
    </w:p>
    <w:p w14:paraId="043D718E" w14:textId="77777777" w:rsidR="00EB7699" w:rsidRPr="004C6E5C" w:rsidRDefault="00EB7699" w:rsidP="00EB7699">
      <w:pPr>
        <w:spacing w:after="0" w:line="240" w:lineRule="auto"/>
        <w:rPr>
          <w:rFonts w:ascii="Times New Roman" w:hAnsi="Times New Roman"/>
        </w:rPr>
      </w:pPr>
    </w:p>
    <w:p w14:paraId="4439F6C1" w14:textId="77777777" w:rsidR="00EB7699" w:rsidRPr="004C6E5C" w:rsidRDefault="00EB7699" w:rsidP="00CF10CF">
      <w:pPr>
        <w:numPr>
          <w:ilvl w:val="0"/>
          <w:numId w:val="4"/>
        </w:numPr>
        <w:spacing w:after="0" w:line="240" w:lineRule="auto"/>
        <w:ind w:left="567" w:hanging="567"/>
        <w:contextualSpacing/>
        <w:rPr>
          <w:rFonts w:ascii="Times New Roman" w:hAnsi="Times New Roman"/>
        </w:rPr>
      </w:pPr>
      <w:r w:rsidRPr="004C6E5C">
        <w:rPr>
          <w:rFonts w:ascii="Times New Roman" w:hAnsi="Times New Roman"/>
        </w:rPr>
        <w:t>Antrinė miokardo infarkto profilaktika.</w:t>
      </w:r>
    </w:p>
    <w:p w14:paraId="7EBC1D5B" w14:textId="77777777" w:rsidR="00EB7699" w:rsidRPr="004C6E5C" w:rsidRDefault="00EB7699" w:rsidP="00EB7699">
      <w:pPr>
        <w:numPr>
          <w:ilvl w:val="0"/>
          <w:numId w:val="4"/>
        </w:numPr>
        <w:spacing w:after="0" w:line="240" w:lineRule="auto"/>
        <w:ind w:left="567" w:hanging="567"/>
        <w:rPr>
          <w:rFonts w:ascii="Times New Roman" w:hAnsi="Times New Roman"/>
        </w:rPr>
      </w:pPr>
      <w:r w:rsidRPr="004C6E5C">
        <w:rPr>
          <w:rFonts w:ascii="Times New Roman" w:hAnsi="Times New Roman"/>
        </w:rPr>
        <w:t>Kardiovaskulinio sergamumo profilaktika pacientams, sergantiems stabiliąja krūtinės angina.</w:t>
      </w:r>
    </w:p>
    <w:p w14:paraId="11BF24B2" w14:textId="77777777" w:rsidR="00EB7699" w:rsidRPr="004C6E5C" w:rsidRDefault="00EB7699" w:rsidP="00EB7699">
      <w:pPr>
        <w:numPr>
          <w:ilvl w:val="0"/>
          <w:numId w:val="4"/>
        </w:numPr>
        <w:spacing w:after="0" w:line="240" w:lineRule="auto"/>
        <w:ind w:left="567" w:hanging="567"/>
        <w:rPr>
          <w:rFonts w:ascii="Times New Roman" w:hAnsi="Times New Roman"/>
        </w:rPr>
      </w:pPr>
      <w:r w:rsidRPr="004C6E5C">
        <w:rPr>
          <w:rFonts w:ascii="Times New Roman" w:hAnsi="Times New Roman"/>
        </w:rPr>
        <w:t>Buvusi nestabilioji krūtinės angina (išskyrus vartojimą ūminės fazės metu).</w:t>
      </w:r>
    </w:p>
    <w:p w14:paraId="6CEF8539" w14:textId="77777777" w:rsidR="00EB7699" w:rsidRPr="004C6E5C" w:rsidRDefault="00EB7699" w:rsidP="00EB7699">
      <w:pPr>
        <w:numPr>
          <w:ilvl w:val="0"/>
          <w:numId w:val="4"/>
        </w:numPr>
        <w:spacing w:after="0" w:line="240" w:lineRule="auto"/>
        <w:ind w:left="567" w:hanging="567"/>
        <w:rPr>
          <w:rFonts w:ascii="Times New Roman" w:hAnsi="Times New Roman"/>
        </w:rPr>
      </w:pPr>
      <w:r w:rsidRPr="004C6E5C">
        <w:rPr>
          <w:rFonts w:ascii="Times New Roman" w:hAnsi="Times New Roman"/>
        </w:rPr>
        <w:t>Transplantato okliuzijos profilaktika po vainikinių arterijų šuntavimo operacijos (VAŠO).</w:t>
      </w:r>
    </w:p>
    <w:p w14:paraId="3BD6BD44" w14:textId="77777777" w:rsidR="00EB7699" w:rsidRPr="004C6E5C" w:rsidRDefault="00EB7699" w:rsidP="00EB7699">
      <w:pPr>
        <w:numPr>
          <w:ilvl w:val="0"/>
          <w:numId w:val="4"/>
        </w:numPr>
        <w:spacing w:after="0" w:line="240" w:lineRule="auto"/>
        <w:ind w:left="567" w:hanging="567"/>
        <w:rPr>
          <w:rFonts w:ascii="Times New Roman" w:hAnsi="Times New Roman"/>
        </w:rPr>
      </w:pPr>
      <w:r w:rsidRPr="004C6E5C">
        <w:rPr>
          <w:rFonts w:ascii="Times New Roman" w:hAnsi="Times New Roman"/>
        </w:rPr>
        <w:t>Vainikinių arterijų angioplastika (išskyrus vartojimą ūminės fazės metu).</w:t>
      </w:r>
    </w:p>
    <w:p w14:paraId="3827A05C" w14:textId="77777777" w:rsidR="00EB7699" w:rsidRPr="004C6E5C" w:rsidRDefault="00EB7699" w:rsidP="00EB7699">
      <w:pPr>
        <w:numPr>
          <w:ilvl w:val="0"/>
          <w:numId w:val="4"/>
        </w:numPr>
        <w:spacing w:after="0" w:line="240" w:lineRule="auto"/>
        <w:ind w:left="567" w:hanging="567"/>
        <w:rPr>
          <w:rFonts w:ascii="Times New Roman" w:hAnsi="Times New Roman"/>
        </w:rPr>
      </w:pPr>
      <w:r w:rsidRPr="004C6E5C">
        <w:rPr>
          <w:rFonts w:ascii="Times New Roman" w:hAnsi="Times New Roman"/>
        </w:rPr>
        <w:t>Praeinančių smegenų išemijos priepuolių (PSIP) ir išeminių cerebrovaskulinių įvykių (CVĮ) antrinė profilaktika, jei patvirtinta, kad nėra intracerebrinės hemoragijos.</w:t>
      </w:r>
    </w:p>
    <w:p w14:paraId="633FCE46" w14:textId="77777777" w:rsidR="00EB7699" w:rsidRPr="004C6E5C" w:rsidRDefault="00EB7699" w:rsidP="00EB7699">
      <w:pPr>
        <w:spacing w:after="0" w:line="240" w:lineRule="auto"/>
        <w:ind w:left="540" w:hanging="540"/>
        <w:rPr>
          <w:rFonts w:ascii="Times New Roman" w:hAnsi="Times New Roman"/>
        </w:rPr>
      </w:pPr>
    </w:p>
    <w:p w14:paraId="21D9400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nerekomenduojama vartoti skubiais atvejais. Jo vartojama tik antrinei profilaktikai lėtinio gydymo metu.</w:t>
      </w:r>
    </w:p>
    <w:p w14:paraId="26792169" w14:textId="77777777" w:rsidR="00EB7699" w:rsidRPr="004C6E5C" w:rsidRDefault="00EB7699" w:rsidP="00EB7699">
      <w:pPr>
        <w:spacing w:after="0" w:line="240" w:lineRule="auto"/>
        <w:ind w:left="540" w:hanging="540"/>
        <w:rPr>
          <w:rFonts w:ascii="Times New Roman" w:hAnsi="Times New Roman"/>
        </w:rPr>
      </w:pPr>
    </w:p>
    <w:p w14:paraId="100371B8" w14:textId="77777777" w:rsidR="00EB7699" w:rsidRPr="004C6E5C" w:rsidRDefault="00EB7699" w:rsidP="00EB7699">
      <w:pPr>
        <w:numPr>
          <w:ilvl w:val="1"/>
          <w:numId w:val="6"/>
        </w:numPr>
        <w:spacing w:after="0" w:line="240" w:lineRule="auto"/>
        <w:rPr>
          <w:rFonts w:ascii="Times New Roman" w:hAnsi="Times New Roman"/>
          <w:b/>
        </w:rPr>
      </w:pPr>
      <w:bookmarkStart w:id="17" w:name="_Toc129243228"/>
      <w:bookmarkStart w:id="18" w:name="_Toc129243103"/>
      <w:r w:rsidRPr="004C6E5C">
        <w:rPr>
          <w:rFonts w:ascii="Times New Roman" w:hAnsi="Times New Roman"/>
          <w:b/>
        </w:rPr>
        <w:t>Dozavimas ir vartojimo metodas</w:t>
      </w:r>
      <w:bookmarkEnd w:id="17"/>
      <w:bookmarkEnd w:id="18"/>
    </w:p>
    <w:p w14:paraId="6F2E58A3" w14:textId="77777777" w:rsidR="00EB7699" w:rsidRPr="004C6E5C" w:rsidRDefault="00EB7699" w:rsidP="00EB7699">
      <w:pPr>
        <w:spacing w:after="0" w:line="240" w:lineRule="auto"/>
        <w:rPr>
          <w:rFonts w:ascii="Times New Roman" w:hAnsi="Times New Roman"/>
          <w:b/>
        </w:rPr>
      </w:pPr>
    </w:p>
    <w:p w14:paraId="600B5947"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Dozavimas</w:t>
      </w:r>
    </w:p>
    <w:p w14:paraId="2E6CE092" w14:textId="77777777" w:rsidR="00EB7699" w:rsidRPr="004C6E5C" w:rsidRDefault="00EB7699" w:rsidP="00EB7699">
      <w:pPr>
        <w:spacing w:after="0" w:line="240" w:lineRule="auto"/>
        <w:rPr>
          <w:rFonts w:ascii="Times New Roman" w:hAnsi="Times New Roman"/>
          <w:b/>
        </w:rPr>
      </w:pPr>
    </w:p>
    <w:p w14:paraId="21F00A79"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Suaugusiems žmonėms</w:t>
      </w:r>
    </w:p>
    <w:p w14:paraId="10CE77BC"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Antrinė miokardo infarkto profilaktika</w:t>
      </w:r>
    </w:p>
    <w:p w14:paraId="5BD42E7A"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Rekomenduojama kartą per parą vartojama dozė yra 75-150 mg.</w:t>
      </w:r>
    </w:p>
    <w:p w14:paraId="7607ED96" w14:textId="77777777" w:rsidR="00EB7699" w:rsidRPr="004C6E5C" w:rsidRDefault="00EB7699" w:rsidP="00EB7699">
      <w:pPr>
        <w:tabs>
          <w:tab w:val="left" w:pos="567"/>
        </w:tabs>
        <w:spacing w:after="0" w:line="260" w:lineRule="exact"/>
        <w:rPr>
          <w:rFonts w:ascii="Times New Roman" w:hAnsi="Times New Roman"/>
        </w:rPr>
      </w:pPr>
    </w:p>
    <w:p w14:paraId="29328995"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Kardiovaskulinio sergamumo profilaktika pacientams, sergantiems stabiliąja krūtinės angina</w:t>
      </w:r>
    </w:p>
    <w:p w14:paraId="12D4D6CC"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Rekomenduojama kartą per parą vartojama dozė yra 75-150 mg.</w:t>
      </w:r>
    </w:p>
    <w:p w14:paraId="0A411665" w14:textId="77777777" w:rsidR="00EB7699" w:rsidRPr="004C6E5C" w:rsidRDefault="00EB7699" w:rsidP="00EB7699">
      <w:pPr>
        <w:tabs>
          <w:tab w:val="left" w:pos="567"/>
        </w:tabs>
        <w:spacing w:after="0" w:line="260" w:lineRule="exact"/>
        <w:rPr>
          <w:rFonts w:ascii="Times New Roman" w:hAnsi="Times New Roman"/>
        </w:rPr>
      </w:pPr>
    </w:p>
    <w:p w14:paraId="7E04E2B3"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Buvusi nestabilioji krūtinės angina (išskyrus vartojimą ūminės fazės metu)</w:t>
      </w:r>
    </w:p>
    <w:p w14:paraId="1C79EE35"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Rekomenduojama kartą per parą vartojama dozė yra 75-150 mg.</w:t>
      </w:r>
    </w:p>
    <w:p w14:paraId="0CB4206D" w14:textId="77777777" w:rsidR="00EB7699" w:rsidRPr="004C6E5C" w:rsidRDefault="00EB7699" w:rsidP="00EB7699">
      <w:pPr>
        <w:tabs>
          <w:tab w:val="left" w:pos="567"/>
        </w:tabs>
        <w:spacing w:after="0" w:line="260" w:lineRule="exact"/>
        <w:rPr>
          <w:rFonts w:ascii="Times New Roman" w:hAnsi="Times New Roman"/>
        </w:rPr>
      </w:pPr>
    </w:p>
    <w:p w14:paraId="754CBFC6"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Transplantato okliuzijos profilaktika po vainikinių arterijų šuntavimo operacijos (VAŠO)</w:t>
      </w:r>
    </w:p>
    <w:p w14:paraId="1C660864"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Rekomenduojama kartą per parą vartojama dozė yra 75-150 mg.</w:t>
      </w:r>
    </w:p>
    <w:p w14:paraId="115CA8BE" w14:textId="77777777" w:rsidR="00EB7699" w:rsidRPr="004C6E5C" w:rsidRDefault="00EB7699" w:rsidP="00EB7699">
      <w:pPr>
        <w:tabs>
          <w:tab w:val="left" w:pos="567"/>
        </w:tabs>
        <w:spacing w:after="0" w:line="260" w:lineRule="exact"/>
        <w:rPr>
          <w:rFonts w:ascii="Times New Roman" w:hAnsi="Times New Roman"/>
        </w:rPr>
      </w:pPr>
    </w:p>
    <w:p w14:paraId="2AC22E48"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Vainikinių arterijų angioplastika (išskyrus vartojimą ūminės fazės metu)</w:t>
      </w:r>
    </w:p>
    <w:p w14:paraId="76764EE7"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Rekomenduojama kartą per parą vartojama dozė yra 75-150 mg.</w:t>
      </w:r>
    </w:p>
    <w:p w14:paraId="33BDF073" w14:textId="77777777" w:rsidR="00EB7699" w:rsidRPr="004C6E5C" w:rsidRDefault="00EB7699" w:rsidP="00EB7699">
      <w:pPr>
        <w:tabs>
          <w:tab w:val="left" w:pos="567"/>
        </w:tabs>
        <w:spacing w:after="0" w:line="260" w:lineRule="exact"/>
        <w:rPr>
          <w:rFonts w:ascii="Times New Roman" w:hAnsi="Times New Roman"/>
        </w:rPr>
      </w:pPr>
    </w:p>
    <w:p w14:paraId="18BE416C"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Praeinančių smegenų išemijos priepuolių (PSIP) ir išeminių cerebrovaskulinių įvykių (CVĮ) antrinė profilaktika, jei patvirtinta, kad nėra intracerebrinės hemoragijos</w:t>
      </w:r>
    </w:p>
    <w:p w14:paraId="55E09750"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lastRenderedPageBreak/>
        <w:t>Rekomenduojama kartą per parą vartojama dozė yra 75-300 mg.</w:t>
      </w:r>
    </w:p>
    <w:p w14:paraId="2419B20E" w14:textId="77777777" w:rsidR="00EB7699" w:rsidRPr="004C6E5C" w:rsidRDefault="00EB7699" w:rsidP="00EB7699">
      <w:pPr>
        <w:tabs>
          <w:tab w:val="left" w:pos="567"/>
        </w:tabs>
        <w:spacing w:after="0" w:line="260" w:lineRule="exact"/>
        <w:rPr>
          <w:rFonts w:ascii="Times New Roman" w:hAnsi="Times New Roman"/>
        </w:rPr>
      </w:pPr>
    </w:p>
    <w:p w14:paraId="08D07C56"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Senyviems žmonėms</w:t>
      </w:r>
    </w:p>
    <w:p w14:paraId="413E9A07" w14:textId="77777777" w:rsidR="00EB7699" w:rsidRPr="004C6E5C" w:rsidRDefault="00EB7699" w:rsidP="00EB7699">
      <w:pPr>
        <w:tabs>
          <w:tab w:val="left" w:pos="567"/>
        </w:tabs>
        <w:spacing w:after="0" w:line="260" w:lineRule="exact"/>
        <w:rPr>
          <w:rFonts w:ascii="Times New Roman" w:hAnsi="Times New Roman"/>
          <w:spacing w:val="-5"/>
        </w:rPr>
      </w:pPr>
      <w:r w:rsidRPr="004C6E5C">
        <w:rPr>
          <w:rFonts w:ascii="Times New Roman" w:hAnsi="Times New Roman"/>
          <w:spacing w:val="-5"/>
        </w:rPr>
        <w:t xml:space="preserve">Acetilsalicilo rūgšties senyviems pacientams reikia vartoti atsargiai, kadangi jiems yra didesnė nepageidaujamų reiškinių rizika. Jei nėra sunkaus inkstų ar kepenų funkcijos sutrikimo, rekomenduojama vartoti įprastinę suaugusių žmonių dozę </w:t>
      </w:r>
      <w:r w:rsidRPr="004C6E5C">
        <w:rPr>
          <w:rFonts w:ascii="Times New Roman" w:hAnsi="Times New Roman"/>
        </w:rPr>
        <w:t xml:space="preserve">(žr. 4.3 ir 4.4 skyrius). </w:t>
      </w:r>
      <w:r w:rsidRPr="004C6E5C">
        <w:rPr>
          <w:rFonts w:ascii="Times New Roman" w:hAnsi="Times New Roman"/>
          <w:spacing w:val="-5"/>
        </w:rPr>
        <w:t>Gydymą būtina reguliariai įvertinti iš naujo.</w:t>
      </w:r>
    </w:p>
    <w:p w14:paraId="19A7CD85" w14:textId="77777777" w:rsidR="00EB7699" w:rsidRPr="004C6E5C" w:rsidRDefault="00EB7699" w:rsidP="00EB7699">
      <w:pPr>
        <w:tabs>
          <w:tab w:val="left" w:pos="567"/>
        </w:tabs>
        <w:spacing w:after="0" w:line="260" w:lineRule="exact"/>
        <w:rPr>
          <w:rFonts w:ascii="Times New Roman" w:hAnsi="Times New Roman"/>
          <w:spacing w:val="-5"/>
        </w:rPr>
      </w:pPr>
    </w:p>
    <w:p w14:paraId="55842C06"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Vaikams</w:t>
      </w:r>
    </w:p>
    <w:p w14:paraId="4A99D1AC" w14:textId="77777777" w:rsidR="00EB7699" w:rsidRPr="004C6E5C" w:rsidRDefault="00EB7699" w:rsidP="00EB7699">
      <w:pPr>
        <w:tabs>
          <w:tab w:val="left" w:pos="567"/>
        </w:tabs>
        <w:spacing w:after="0" w:line="260" w:lineRule="exact"/>
        <w:rPr>
          <w:rFonts w:ascii="Times New Roman" w:hAnsi="Times New Roman"/>
          <w:spacing w:val="-5"/>
        </w:rPr>
      </w:pPr>
      <w:r w:rsidRPr="004C6E5C">
        <w:rPr>
          <w:rFonts w:ascii="Times New Roman" w:hAnsi="Times New Roman"/>
          <w:spacing w:val="-5"/>
        </w:rPr>
        <w:t>Acetilsalicilo rūgšties vaikams ir jaunesniems kaip 16 metų paaugliams vartoti negalima, nebent gydytojas mano, kad galima nauda yra didesnė už riziką (žr. 4.4 skyrių).</w:t>
      </w:r>
    </w:p>
    <w:p w14:paraId="0A0D981E" w14:textId="77777777" w:rsidR="00EB7699" w:rsidRPr="004C6E5C" w:rsidRDefault="00EB7699" w:rsidP="00EB7699">
      <w:pPr>
        <w:tabs>
          <w:tab w:val="left" w:pos="567"/>
        </w:tabs>
        <w:spacing w:after="0" w:line="260" w:lineRule="exact"/>
        <w:rPr>
          <w:rFonts w:ascii="Times New Roman" w:hAnsi="Times New Roman"/>
          <w:spacing w:val="-5"/>
        </w:rPr>
      </w:pPr>
    </w:p>
    <w:p w14:paraId="46916834"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Vartojimo metodas</w:t>
      </w:r>
    </w:p>
    <w:p w14:paraId="53575A4C" w14:textId="77777777" w:rsidR="00EB7699" w:rsidRPr="004C6E5C" w:rsidRDefault="00EB7699" w:rsidP="00EB7699">
      <w:pPr>
        <w:tabs>
          <w:tab w:val="left" w:pos="567"/>
        </w:tabs>
        <w:spacing w:after="0" w:line="260" w:lineRule="exact"/>
        <w:rPr>
          <w:rFonts w:ascii="Times New Roman" w:hAnsi="Times New Roman"/>
          <w:spacing w:val="-5"/>
        </w:rPr>
      </w:pPr>
      <w:r w:rsidRPr="004C6E5C">
        <w:rPr>
          <w:rFonts w:ascii="Times New Roman" w:hAnsi="Times New Roman"/>
          <w:spacing w:val="-5"/>
        </w:rPr>
        <w:t>Vartoti per burną.</w:t>
      </w:r>
    </w:p>
    <w:p w14:paraId="592FF36B"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spacing w:val="-5"/>
        </w:rPr>
        <w:t xml:space="preserve">Tabletes reikia nuryti sveikas, užgeriant pakankamu kiekiu skysčio (puse stiklinės vandens). </w:t>
      </w:r>
      <w:r w:rsidRPr="004C6E5C">
        <w:rPr>
          <w:rFonts w:ascii="Times New Roman" w:hAnsi="Times New Roman"/>
        </w:rPr>
        <w:t>Kadangi tabletė turi skrandyje neirią dangą, jos negalima traiškyti, laužyti ar kramtyti, kadangi danga apsaugo nuo dirginamojo poveikio žarnyne.</w:t>
      </w:r>
    </w:p>
    <w:p w14:paraId="1F9A3999"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 xml:space="preserve"> Provapirin galima vartoti valgant arba kitu laiku.</w:t>
      </w:r>
    </w:p>
    <w:p w14:paraId="7AA0615E" w14:textId="77777777" w:rsidR="00EB7699" w:rsidRPr="004C6E5C" w:rsidRDefault="00EB7699" w:rsidP="00EB7699">
      <w:pPr>
        <w:spacing w:after="0" w:line="240" w:lineRule="auto"/>
        <w:rPr>
          <w:rFonts w:ascii="Times New Roman" w:hAnsi="Times New Roman"/>
        </w:rPr>
      </w:pPr>
    </w:p>
    <w:p w14:paraId="75C45B97" w14:textId="77777777" w:rsidR="00EB7699" w:rsidRPr="004C6E5C" w:rsidRDefault="00EB7699" w:rsidP="00EB7699">
      <w:pPr>
        <w:spacing w:after="0" w:line="240" w:lineRule="auto"/>
        <w:ind w:left="540" w:hanging="540"/>
        <w:rPr>
          <w:rFonts w:ascii="Times New Roman" w:hAnsi="Times New Roman"/>
          <w:b/>
        </w:rPr>
      </w:pPr>
      <w:bookmarkStart w:id="19" w:name="_Toc129243229"/>
      <w:bookmarkStart w:id="20" w:name="_Toc129243104"/>
      <w:r w:rsidRPr="004C6E5C">
        <w:rPr>
          <w:rFonts w:ascii="Times New Roman" w:hAnsi="Times New Roman"/>
          <w:b/>
        </w:rPr>
        <w:t>4.3</w:t>
      </w:r>
      <w:r w:rsidRPr="004C6E5C">
        <w:rPr>
          <w:rFonts w:ascii="Times New Roman" w:hAnsi="Times New Roman"/>
          <w:b/>
        </w:rPr>
        <w:tab/>
        <w:t>Kontraindikacijos</w:t>
      </w:r>
      <w:bookmarkEnd w:id="19"/>
      <w:bookmarkEnd w:id="20"/>
    </w:p>
    <w:p w14:paraId="08FAA738" w14:textId="77777777" w:rsidR="00EB7699" w:rsidRPr="004C6E5C" w:rsidRDefault="00EB7699" w:rsidP="00EB7699">
      <w:pPr>
        <w:spacing w:after="0" w:line="240" w:lineRule="auto"/>
        <w:rPr>
          <w:rFonts w:ascii="Times New Roman" w:hAnsi="Times New Roman"/>
        </w:rPr>
      </w:pPr>
    </w:p>
    <w:p w14:paraId="12EDD076"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Padidėjęs jautrumas veikliajai arba bet kuriai 6.1 skyriuje nurodytai pagalbinei medžiagai.</w:t>
      </w:r>
    </w:p>
    <w:p w14:paraId="4862EC6C"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Aktyvi arba buvusi pasikartojanti pepsinė opa ir (arba) kraujavimas iš virškinimo trakto arba kitoks kraujavimas, pvz., cerebrovaskulinė hemoragija.</w:t>
      </w:r>
    </w:p>
    <w:p w14:paraId="1614D5DC"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Hemoraginė diatezė, koaguliacijos sutrikimas, pvz., hemofilija, trombocitopenija.</w:t>
      </w:r>
    </w:p>
    <w:p w14:paraId="385D1E9B"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Sunkus kepenų funkcijos sutrikimas.</w:t>
      </w:r>
    </w:p>
    <w:p w14:paraId="676BF74C"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Sunkus inkstų funkcijos sutrikimas.</w:t>
      </w:r>
    </w:p>
    <w:p w14:paraId="33FB1A64"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Trečiasis nėštumo trimestras, jei vartojama didesnė kaip 100 mg paros dozė (žr. 4.6 skyrių).</w:t>
      </w:r>
    </w:p>
    <w:p w14:paraId="43304ADD"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w:t>
      </w:r>
      <w:r w:rsidRPr="004C6E5C">
        <w:rPr>
          <w:rFonts w:ascii="Times New Roman" w:hAnsi="Times New Roman"/>
        </w:rPr>
        <w:tab/>
        <w:t>Vartojama 15 mg ar didesnė metotreksato savaitės dozė (žr. 4.5 skyrių).</w:t>
      </w:r>
    </w:p>
    <w:p w14:paraId="2EB4E6A3" w14:textId="77777777" w:rsidR="00EB7699" w:rsidRPr="004C6E5C" w:rsidRDefault="00EB7699" w:rsidP="00EB7699">
      <w:pPr>
        <w:spacing w:after="0" w:line="240" w:lineRule="auto"/>
        <w:ind w:left="540" w:hanging="540"/>
        <w:rPr>
          <w:rFonts w:ascii="Times New Roman" w:hAnsi="Times New Roman"/>
        </w:rPr>
      </w:pPr>
    </w:p>
    <w:p w14:paraId="6D00D9B2" w14:textId="77777777" w:rsidR="00EB7699" w:rsidRPr="004C6E5C" w:rsidRDefault="00EB7699" w:rsidP="00EB7699">
      <w:pPr>
        <w:spacing w:after="0" w:line="240" w:lineRule="auto"/>
        <w:ind w:left="540" w:hanging="540"/>
        <w:rPr>
          <w:rFonts w:ascii="Times New Roman" w:hAnsi="Times New Roman"/>
          <w:b/>
        </w:rPr>
      </w:pPr>
      <w:bookmarkStart w:id="21" w:name="_Toc129243230"/>
      <w:bookmarkStart w:id="22" w:name="_Toc129243105"/>
      <w:r w:rsidRPr="004C6E5C">
        <w:rPr>
          <w:rFonts w:ascii="Times New Roman" w:hAnsi="Times New Roman"/>
          <w:b/>
        </w:rPr>
        <w:t>4.4</w:t>
      </w:r>
      <w:r w:rsidRPr="004C6E5C">
        <w:rPr>
          <w:rFonts w:ascii="Times New Roman" w:hAnsi="Times New Roman"/>
          <w:b/>
        </w:rPr>
        <w:tab/>
        <w:t>Specialūs įspėjimai ir atsargumo priemonės</w:t>
      </w:r>
      <w:bookmarkEnd w:id="21"/>
      <w:bookmarkEnd w:id="22"/>
    </w:p>
    <w:p w14:paraId="54AC83BD" w14:textId="77777777" w:rsidR="00EB7699" w:rsidRPr="004C6E5C" w:rsidRDefault="00EB7699" w:rsidP="00EB7699">
      <w:pPr>
        <w:spacing w:after="0" w:line="240" w:lineRule="auto"/>
        <w:rPr>
          <w:rFonts w:ascii="Times New Roman" w:hAnsi="Times New Roman"/>
        </w:rPr>
      </w:pPr>
    </w:p>
    <w:p w14:paraId="7946D01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negalima vartoti uždegimui, skausmui ar karščiavimui mažinti.</w:t>
      </w:r>
    </w:p>
    <w:p w14:paraId="2CA9C172" w14:textId="77777777" w:rsidR="00EB7699" w:rsidRPr="004C6E5C" w:rsidRDefault="00EB7699" w:rsidP="00EB7699">
      <w:pPr>
        <w:spacing w:after="0" w:line="240" w:lineRule="auto"/>
        <w:rPr>
          <w:rFonts w:ascii="Times New Roman" w:hAnsi="Times New Roman"/>
        </w:rPr>
      </w:pPr>
    </w:p>
    <w:p w14:paraId="076F0A29"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Vaikų populiacija</w:t>
      </w:r>
    </w:p>
    <w:p w14:paraId="49E56EE8"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Šio vaistinio preparato rekomenduojama vartoti suaugusiems žmonėms ir 16 bei vyresniems paaugliams. Jo nerekomenduojama vartoti jaunesniems kaip16 metų paaugliams ir vaikams, nebent laukiama nauda viršija riziką. Acetilsalicilo rūgštis kai kuriems vaikams gali prisidėti prie Reye sindromo atsiradimo.</w:t>
      </w:r>
    </w:p>
    <w:p w14:paraId="01DC93F9" w14:textId="77777777" w:rsidR="00EB7699" w:rsidRPr="004C6E5C" w:rsidRDefault="00EB7699" w:rsidP="00EB7699">
      <w:pPr>
        <w:spacing w:after="0" w:line="240" w:lineRule="auto"/>
        <w:rPr>
          <w:rFonts w:ascii="Times New Roman" w:hAnsi="Times New Roman"/>
        </w:rPr>
      </w:pPr>
    </w:p>
    <w:p w14:paraId="06257B32"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Kraujavimo iš dvylikapirštės žarnos ir skrandžio opos rizikos padidėjimas</w:t>
      </w:r>
    </w:p>
    <w:p w14:paraId="66F3E86F"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Vartojant Provapirin didėja kraujavimo rizika, ypač operacijų (net nedidelių procedūrų, pvz., danties ištraukimo) metu ar po jų. Šio vaistinio preparato prieš operacijas, įskaitant dantų traukimą, būtina vartoti atsargiai. Gali reikėti laikinai nuraukti gydymą.</w:t>
      </w:r>
    </w:p>
    <w:p w14:paraId="3628CECB" w14:textId="77777777" w:rsidR="00EB7699" w:rsidRPr="004C6E5C" w:rsidRDefault="00EB7699" w:rsidP="00EB7699">
      <w:pPr>
        <w:spacing w:after="0" w:line="240" w:lineRule="auto"/>
        <w:rPr>
          <w:rFonts w:ascii="Times New Roman" w:hAnsi="Times New Roman"/>
        </w:rPr>
      </w:pPr>
    </w:p>
    <w:p w14:paraId="5692228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nerekomenduojama vartoti esant menstruacijoms, kadangi kraujavimas gali stiprėti.</w:t>
      </w:r>
    </w:p>
    <w:p w14:paraId="3F446F23" w14:textId="77777777" w:rsidR="00EB7699" w:rsidRPr="004C6E5C" w:rsidRDefault="00EB7699" w:rsidP="00EB7699">
      <w:pPr>
        <w:spacing w:after="0" w:line="240" w:lineRule="auto"/>
        <w:rPr>
          <w:rFonts w:ascii="Times New Roman" w:hAnsi="Times New Roman"/>
        </w:rPr>
      </w:pPr>
    </w:p>
    <w:p w14:paraId="3F686B7B"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reikia atsargiai vartoti pacientams, kurie serga arterine hipertenzija ir kuriems yra buvusi skrandžio ar dvylikapirštės žarnos opa ar kraujavimo epizodas arba kurie yra gydomi antikoaguliantais.</w:t>
      </w:r>
    </w:p>
    <w:p w14:paraId="23F01864" w14:textId="77777777" w:rsidR="00EB7699" w:rsidRPr="004C6E5C" w:rsidRDefault="00EB7699" w:rsidP="00EB7699">
      <w:pPr>
        <w:spacing w:after="0" w:line="240" w:lineRule="auto"/>
        <w:rPr>
          <w:rFonts w:ascii="Times New Roman" w:hAnsi="Times New Roman"/>
        </w:rPr>
      </w:pPr>
    </w:p>
    <w:p w14:paraId="4CE46B7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nerekomenduojama vartoti kartu su kitais hemostazę veikiančiais vaistiniais preparatais – antikoaguliantais (pvz., varfarinu), tromboliziniais, antiagregantais, priešuždegiminiais ir selektyviais serotonino reabsorbcijos inibitoriais, išskyrus neabejotinai būtinus atvejus, kadangi jie gali padidinti kraujavimo riziką (žr. 4.5 skyrių). Jeigu vis dėlto tokio derinio vartojimas neišvengiamas, rekomenduojama atidžiai stebėti, ar neatsiranda kraujavimo požymių.</w:t>
      </w:r>
    </w:p>
    <w:p w14:paraId="71FBF52B" w14:textId="77777777" w:rsidR="00EB7699" w:rsidRPr="004C6E5C" w:rsidRDefault="00EB7699" w:rsidP="00EB7699">
      <w:pPr>
        <w:spacing w:after="0" w:line="240" w:lineRule="auto"/>
        <w:rPr>
          <w:rFonts w:ascii="Times New Roman" w:hAnsi="Times New Roman"/>
        </w:rPr>
      </w:pPr>
    </w:p>
    <w:p w14:paraId="69F9684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lastRenderedPageBreak/>
        <w:t>Kartu vartojant opos riziką galinčių didinti vaistinių preparatų – geriamųjų kortikosteroidų, selektyvių serotonino reabsorbcijos inhibitorių ar deferazirokso, rekomenduojamos atsargumo priemonės (žr. 4.5 skyrių).</w:t>
      </w:r>
    </w:p>
    <w:p w14:paraId="20218CB6" w14:textId="77777777" w:rsidR="00EB7699" w:rsidRPr="004C6E5C" w:rsidRDefault="00EB7699" w:rsidP="00EB7699">
      <w:pPr>
        <w:spacing w:after="0" w:line="240" w:lineRule="auto"/>
        <w:rPr>
          <w:rFonts w:ascii="Times New Roman" w:hAnsi="Times New Roman"/>
        </w:rPr>
      </w:pPr>
    </w:p>
    <w:p w14:paraId="421FE8B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Pacientas gydytojui privalo pranešti apie bet kokius neįprastus kraujavimo simptomus. Jei atsiranda virškinimo trakto kraujavimas ar išopėjimas, gydymą būtina nutraukti.</w:t>
      </w:r>
    </w:p>
    <w:p w14:paraId="5D2EF8E9" w14:textId="77777777" w:rsidR="00EB7699" w:rsidRPr="004C6E5C" w:rsidRDefault="00EB7699" w:rsidP="00EB7699">
      <w:pPr>
        <w:spacing w:after="0" w:line="240" w:lineRule="auto"/>
        <w:rPr>
          <w:rFonts w:ascii="Times New Roman" w:hAnsi="Times New Roman"/>
        </w:rPr>
      </w:pPr>
    </w:p>
    <w:p w14:paraId="6E0FF356"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Sutrikusi inkstų ir kepenų funkcija</w:t>
      </w:r>
    </w:p>
    <w:p w14:paraId="74F70B4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Acetilsalicilo rūgšties reikia atsargiai vartoti pacientams, kuriems yra vidutinio sunkumo inkstų ar kepenų funkcijos sutrikimas (jei toks sutrikimas yra sunkus, acetilsalicilo rūgšties vartoti draudžiama), bei ligoniams, kuriems yra dehidratacija, kadangi NVNU gali pabloginti inkstų funkciją. Pacientams, kuriems yra lengvas ar vidutinio sunkumo kepenų nepakankamumas, reikia reguliariai atlikinėti kepenų funkcijos tyrimus.</w:t>
      </w:r>
    </w:p>
    <w:p w14:paraId="44785EF6" w14:textId="77777777" w:rsidR="00EB7699" w:rsidRPr="004C6E5C" w:rsidRDefault="00EB7699" w:rsidP="00EB7699">
      <w:pPr>
        <w:spacing w:after="0" w:line="240" w:lineRule="auto"/>
        <w:rPr>
          <w:rFonts w:ascii="Times New Roman" w:hAnsi="Times New Roman"/>
        </w:rPr>
      </w:pPr>
    </w:p>
    <w:p w14:paraId="58DFD7CF"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Padidėjusio jautrumo reakcijos</w:t>
      </w:r>
    </w:p>
    <w:p w14:paraId="1E67153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Acetilsalicilo rūgštis gali skatinti bronchų spazmo, astmos priepuolių ar kitų padidėjusio jautrumo reakcijų atsiradimą. Rizikos veiksniai yra astma, šienligė, nosies polipai ir lėtinės kvėpavimo takų ligos. Be to, tokia rizika yra didesnė pacientams, kurie yra alergiški kitoms medžiagoms (pvz., buvo pasireiškę odos reakcijų, niežėjimas ar dilgėlinė). </w:t>
      </w:r>
    </w:p>
    <w:p w14:paraId="73A6945B" w14:textId="77777777" w:rsidR="00EB7699" w:rsidRPr="004C6E5C" w:rsidRDefault="00EB7699" w:rsidP="00EB7699">
      <w:pPr>
        <w:spacing w:after="0" w:line="240" w:lineRule="auto"/>
        <w:rPr>
          <w:rFonts w:ascii="Times New Roman" w:hAnsi="Times New Roman"/>
        </w:rPr>
      </w:pPr>
    </w:p>
    <w:p w14:paraId="58966709"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Odos reakcijos</w:t>
      </w:r>
    </w:p>
    <w:p w14:paraId="1CFBA76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Gauta retų pranešimų apie su acetilsalicilo rūgšties vartojimu susijusias sunkias odos reakcijas, įskaitant Stivenso–Džonsono (</w:t>
      </w:r>
      <w:r w:rsidRPr="004C6E5C">
        <w:rPr>
          <w:rFonts w:ascii="Times New Roman" w:hAnsi="Times New Roman"/>
          <w:i/>
        </w:rPr>
        <w:t>Stevens-Johnson</w:t>
      </w:r>
      <w:r w:rsidRPr="004C6E5C">
        <w:rPr>
          <w:rFonts w:ascii="Times New Roman" w:hAnsi="Times New Roman"/>
        </w:rPr>
        <w:t>) sindromą (žr. 4.8 skyrių). Provapirin vartojimą būtina nutraukti nedelsiant, vos tik atsiranda odos išbėrimas, gleivinės pažeidimas ar bet koks kitas padidėjusio jautrumo požymis.</w:t>
      </w:r>
    </w:p>
    <w:p w14:paraId="7D51D9CE" w14:textId="77777777" w:rsidR="00EB7699" w:rsidRPr="004C6E5C" w:rsidRDefault="00EB7699" w:rsidP="00EB7699">
      <w:pPr>
        <w:spacing w:after="0" w:line="240" w:lineRule="auto"/>
        <w:rPr>
          <w:rFonts w:ascii="Times New Roman" w:hAnsi="Times New Roman"/>
        </w:rPr>
      </w:pPr>
    </w:p>
    <w:p w14:paraId="481DA74D"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Senyviems pacientams</w:t>
      </w:r>
    </w:p>
    <w:p w14:paraId="34A80B5E"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Senyvi pacientai yra ypač jautrūs nepageidaujamam NVNU, įskaitant acetilsalicilo rūgštį, poveikiui, ypač virškinimo trakto kraujavimui ir perforacijai, kurie gali būti mirtini (žr. 4.2 skyrių). Jei būtinas ilgalaikis gydymas, būtina reguliariai vertinti paciento būklę.</w:t>
      </w:r>
    </w:p>
    <w:p w14:paraId="2DC8D92F" w14:textId="77777777" w:rsidR="00EB7699" w:rsidRPr="004C6E5C" w:rsidRDefault="00EB7699" w:rsidP="00EB7699">
      <w:pPr>
        <w:spacing w:after="0" w:line="240" w:lineRule="auto"/>
        <w:rPr>
          <w:rFonts w:ascii="Times New Roman" w:hAnsi="Times New Roman"/>
          <w:u w:val="single"/>
        </w:rPr>
      </w:pPr>
    </w:p>
    <w:p w14:paraId="0D40B738"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Podagra</w:t>
      </w:r>
    </w:p>
    <w:p w14:paraId="06C19C5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Mažomis dozėmis vartojama acetilsalicilo rūgštis mažina šlapimo rūgšties ekskreciją. Dėl šios priežasties pacientai, kuriems yra šlapimo rūgšties ekskrecijos sumažėjimo rizika, gali patirti podagros priepuolį (žr. 4.5 skyrių).</w:t>
      </w:r>
    </w:p>
    <w:p w14:paraId="4C976389" w14:textId="77777777" w:rsidR="00EB7699" w:rsidRPr="004C6E5C" w:rsidRDefault="00EB7699" w:rsidP="00EB7699">
      <w:pPr>
        <w:spacing w:after="0" w:line="240" w:lineRule="auto"/>
        <w:rPr>
          <w:rFonts w:ascii="Times New Roman" w:hAnsi="Times New Roman"/>
        </w:rPr>
      </w:pPr>
    </w:p>
    <w:p w14:paraId="66D265DE"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Hipoglikemijos rizika</w:t>
      </w:r>
    </w:p>
    <w:p w14:paraId="309AF374"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Sulfonkarbamidais ir insulinu gydomiems pacientams perdozuotas Provapirin gali didinti hipoglikeminių reiškinių riziką (žr. 4.5 skyrių).</w:t>
      </w:r>
    </w:p>
    <w:p w14:paraId="437A8201" w14:textId="77777777" w:rsidR="00EB7699" w:rsidRPr="004C6E5C" w:rsidRDefault="00EB7699" w:rsidP="00EB7699">
      <w:pPr>
        <w:spacing w:after="0" w:line="240" w:lineRule="auto"/>
        <w:rPr>
          <w:rFonts w:ascii="Times New Roman" w:hAnsi="Times New Roman"/>
        </w:rPr>
      </w:pPr>
    </w:p>
    <w:p w14:paraId="4DDA4A89" w14:textId="77777777" w:rsidR="00EB7699" w:rsidRPr="004C6E5C" w:rsidRDefault="00EB7699" w:rsidP="00EB7699">
      <w:pPr>
        <w:spacing w:after="0" w:line="240" w:lineRule="auto"/>
        <w:ind w:left="540" w:hanging="540"/>
        <w:rPr>
          <w:rFonts w:ascii="Times New Roman" w:hAnsi="Times New Roman"/>
          <w:b/>
        </w:rPr>
      </w:pPr>
      <w:bookmarkStart w:id="23" w:name="_Toc129243231"/>
      <w:bookmarkStart w:id="24" w:name="_Toc129243106"/>
      <w:r w:rsidRPr="004C6E5C">
        <w:rPr>
          <w:rFonts w:ascii="Times New Roman" w:hAnsi="Times New Roman"/>
          <w:b/>
        </w:rPr>
        <w:t>4.5</w:t>
      </w:r>
      <w:r w:rsidRPr="004C6E5C">
        <w:rPr>
          <w:rFonts w:ascii="Times New Roman" w:hAnsi="Times New Roman"/>
          <w:b/>
        </w:rPr>
        <w:tab/>
        <w:t>Sąveika su kitais vaistiniais preparatais ir kitokia sąveika</w:t>
      </w:r>
      <w:bookmarkEnd w:id="23"/>
      <w:bookmarkEnd w:id="24"/>
    </w:p>
    <w:p w14:paraId="4A6A525E" w14:textId="77777777" w:rsidR="00EB7699" w:rsidRPr="004C6E5C" w:rsidRDefault="00EB7699" w:rsidP="00EB7699">
      <w:pPr>
        <w:spacing w:after="0" w:line="240" w:lineRule="auto"/>
        <w:rPr>
          <w:rFonts w:ascii="Times New Roman" w:hAnsi="Times New Roman"/>
        </w:rPr>
      </w:pPr>
    </w:p>
    <w:p w14:paraId="6BE6CFDD"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Draudžiami deriniai</w:t>
      </w:r>
    </w:p>
    <w:p w14:paraId="10C14AD2" w14:textId="77777777" w:rsidR="00EB7699" w:rsidRPr="004C6E5C" w:rsidRDefault="00EB7699" w:rsidP="00EB7699">
      <w:pPr>
        <w:spacing w:after="0" w:line="240" w:lineRule="auto"/>
        <w:rPr>
          <w:rFonts w:ascii="Times New Roman" w:hAnsi="Times New Roman"/>
          <w:i/>
        </w:rPr>
      </w:pPr>
      <w:r w:rsidRPr="004C6E5C">
        <w:rPr>
          <w:rFonts w:ascii="Times New Roman" w:hAnsi="Times New Roman"/>
          <w:i/>
        </w:rPr>
        <w:t>Metotreksatas (15 mg ar didesnė savaitės dozė)</w:t>
      </w:r>
    </w:p>
    <w:p w14:paraId="626025B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Kartu vartojant metotreksato ir acetilsalicilo rūgšties, stiprėja hematotoksinis metotreksato poveikis, kadangi acetilsalicilo rūgštis mažina metotreksato klirensą per inkstus. Dėl šios priežasties Provapirin ir metotreksato (15 mg ar didesnės savaitės dozės) kartu vartoti draudžiama (žr. 4.3 skyrių).</w:t>
      </w:r>
    </w:p>
    <w:p w14:paraId="1D94C07E" w14:textId="77777777" w:rsidR="00EB7699" w:rsidRPr="004C6E5C" w:rsidRDefault="00EB7699" w:rsidP="00EB7699">
      <w:pPr>
        <w:spacing w:after="0" w:line="240" w:lineRule="auto"/>
        <w:rPr>
          <w:rFonts w:ascii="Times New Roman" w:hAnsi="Times New Roman"/>
        </w:rPr>
      </w:pPr>
    </w:p>
    <w:p w14:paraId="6EA96CC6"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Nerekomenduojami deriniai</w:t>
      </w:r>
    </w:p>
    <w:p w14:paraId="74BEE150"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Šlapimo rūgšties išsiskyrimą skatinantys preparatai, pvz., probenecidas</w:t>
      </w:r>
    </w:p>
    <w:p w14:paraId="59D69DCA"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 xml:space="preserve">Salicilatai neutralizuoja probenecido poveikį. Minėtų vaistinių preparatų kartu vartoti nerekomenduojama. </w:t>
      </w:r>
    </w:p>
    <w:p w14:paraId="19704599" w14:textId="77777777" w:rsidR="00EB7699" w:rsidRPr="004C6E5C" w:rsidRDefault="00EB7699" w:rsidP="00EB7699">
      <w:pPr>
        <w:tabs>
          <w:tab w:val="left" w:pos="567"/>
        </w:tabs>
        <w:spacing w:after="0" w:line="260" w:lineRule="exact"/>
        <w:rPr>
          <w:rFonts w:ascii="Times New Roman" w:hAnsi="Times New Roman"/>
        </w:rPr>
      </w:pPr>
    </w:p>
    <w:p w14:paraId="032AB1B0"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Deriniai, kuriuos reikia vartoti atsargiai ar kuriuos vartojant reikia turėti omenyje galimą sąveiką</w:t>
      </w:r>
    </w:p>
    <w:p w14:paraId="17EF5BC5"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i/>
        </w:rPr>
        <w:t>Antikoaguliantai, pvz., kumarinas, heparinas, varfarinas</w:t>
      </w:r>
    </w:p>
    <w:p w14:paraId="54A05C33"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lastRenderedPageBreak/>
        <w:t>Kraujavimo rizika didėja dėl trombocitų funkcijos slopinimo, dvylikapirštės žarnos gleivinės pažeidimo bei geriamųjų antikoaguliantų išstūmimo iš prisijungimo prie plazmos baltymų vietos. Būtina stebėti kraujavimo laiką (žr. 4.4 skyrių).</w:t>
      </w:r>
    </w:p>
    <w:p w14:paraId="26FDF3E2" w14:textId="77777777" w:rsidR="00EB7699" w:rsidRPr="004C6E5C" w:rsidRDefault="00EB7699" w:rsidP="00EB7699">
      <w:pPr>
        <w:tabs>
          <w:tab w:val="left" w:pos="567"/>
        </w:tabs>
        <w:spacing w:after="0" w:line="260" w:lineRule="exact"/>
        <w:rPr>
          <w:rFonts w:ascii="Times New Roman" w:hAnsi="Times New Roman"/>
        </w:rPr>
      </w:pPr>
    </w:p>
    <w:p w14:paraId="7781F965" w14:textId="77777777" w:rsidR="00EB7699" w:rsidRPr="004C6E5C" w:rsidRDefault="00EB7699" w:rsidP="00EB7699">
      <w:pPr>
        <w:autoSpaceDE w:val="0"/>
        <w:autoSpaceDN w:val="0"/>
        <w:adjustRightInd w:val="0"/>
        <w:spacing w:after="0" w:line="240" w:lineRule="auto"/>
        <w:rPr>
          <w:rFonts w:ascii="Times New Roman" w:hAnsi="Times New Roman"/>
          <w:i/>
        </w:rPr>
      </w:pPr>
      <w:r w:rsidRPr="004C6E5C">
        <w:rPr>
          <w:rFonts w:ascii="Times New Roman" w:hAnsi="Times New Roman"/>
          <w:i/>
        </w:rPr>
        <w:t>Trombocitų aregaciją slopinantys preparatai (pvz., klopidogrelis ir dipiridamolis) ir selektyvaus poveikio serotonino reabsorbcijos inhibitoriai (SSRI; pvz., sertralinas ar paroksetinas)</w:t>
      </w:r>
    </w:p>
    <w:p w14:paraId="50497ECB"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Didėja virškinimo trakto kraujavimo rizika (žr. 4.4 skyrių).</w:t>
      </w:r>
    </w:p>
    <w:p w14:paraId="2E920930" w14:textId="77777777" w:rsidR="00EB7699" w:rsidRPr="004C6E5C" w:rsidRDefault="00EB7699" w:rsidP="00EB7699">
      <w:pPr>
        <w:tabs>
          <w:tab w:val="left" w:pos="567"/>
        </w:tabs>
        <w:spacing w:after="0" w:line="260" w:lineRule="exact"/>
        <w:rPr>
          <w:rFonts w:ascii="Times New Roman" w:hAnsi="Times New Roman"/>
        </w:rPr>
      </w:pPr>
    </w:p>
    <w:p w14:paraId="33774F4E"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Vaistiniai preparatai nuo cukrinio diabeto, pvz., sulfonkarbamidai</w:t>
      </w:r>
    </w:p>
    <w:p w14:paraId="032A2726"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Salicilatai gali stiprinti hipoglikemiją sukeliantį sulfonilkarbamidų poveikį.</w:t>
      </w:r>
    </w:p>
    <w:p w14:paraId="032C9F0C" w14:textId="77777777" w:rsidR="00EB7699" w:rsidRPr="004C6E5C" w:rsidRDefault="00EB7699" w:rsidP="00EB7699">
      <w:pPr>
        <w:tabs>
          <w:tab w:val="left" w:pos="567"/>
        </w:tabs>
        <w:spacing w:after="0" w:line="260" w:lineRule="exact"/>
        <w:rPr>
          <w:rFonts w:ascii="Times New Roman" w:hAnsi="Times New Roman"/>
          <w:i/>
        </w:rPr>
      </w:pPr>
    </w:p>
    <w:p w14:paraId="61DE325A"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Digoksinas ir litis</w:t>
      </w:r>
    </w:p>
    <w:p w14:paraId="243E90DE"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Acetilsalicilo rūgštis lėtina digoksino ir ličio išsiskyrimą pro inkstus, todėl didėja minėtų medžiagų koncentracija plazmoje. Digoksino ir ličio koncentraciją plazmoje rekomenduojama tirti pradedant ir baigiant gydymą acetilsalicilo rūgštimi. Gali reikėti koreguoti dozę.</w:t>
      </w:r>
    </w:p>
    <w:p w14:paraId="0F484F3F" w14:textId="77777777" w:rsidR="00EB7699" w:rsidRPr="004C6E5C" w:rsidRDefault="00EB7699" w:rsidP="00EB7699">
      <w:pPr>
        <w:spacing w:after="0" w:line="260" w:lineRule="exact"/>
        <w:rPr>
          <w:rFonts w:ascii="Times New Roman" w:hAnsi="Times New Roman"/>
          <w:i/>
        </w:rPr>
      </w:pPr>
    </w:p>
    <w:p w14:paraId="6414D902"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Diuretikai ir antihipertenziniai preparatai</w:t>
      </w:r>
    </w:p>
    <w:p w14:paraId="0ED6199D"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 xml:space="preserve">NVNU gali slopinti kraujospūdį mažinantį diuretikų ir kitų antihipertenzinių preparatų poveikį. Acetilsalicilo rūgšties, kaip ir kitokių NVNU, vartojant kartu su AKF inhibitoriais, didėja ūminio inkstų nepakankamumo rizika. </w:t>
      </w:r>
    </w:p>
    <w:p w14:paraId="46A1677D"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Diuretikai: didėja ūminio inkstų nepakankamumo rizika, kadangi dėl inkstų prostaglandinų sintezės slopinimo mažėja glomerulų filtracija. Gydymo pradžioje rekomenduojama užtikrinti, kad paciento organizme būtų pakankamas skysčio kiekis bei stebėti inkstų funkciją.</w:t>
      </w:r>
    </w:p>
    <w:p w14:paraId="390BFCE1" w14:textId="77777777" w:rsidR="00EB7699" w:rsidRPr="004C6E5C" w:rsidRDefault="00EB7699" w:rsidP="00EB7699">
      <w:pPr>
        <w:spacing w:after="0" w:line="260" w:lineRule="exact"/>
        <w:rPr>
          <w:rFonts w:ascii="Times New Roman" w:hAnsi="Times New Roman"/>
        </w:rPr>
      </w:pPr>
    </w:p>
    <w:p w14:paraId="1BF10EBE"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Karboanhidrazės inhibitoriai (acetazolamidas)</w:t>
      </w:r>
    </w:p>
    <w:p w14:paraId="09CF620C"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Gali pasireikšti sunki acidozė bei sustiprėti toksinis poveikis centrinei nervų sistemai.</w:t>
      </w:r>
    </w:p>
    <w:p w14:paraId="73F123B9" w14:textId="77777777" w:rsidR="00EB7699" w:rsidRPr="004C6E5C" w:rsidRDefault="00EB7699" w:rsidP="00EB7699">
      <w:pPr>
        <w:spacing w:after="0" w:line="260" w:lineRule="exact"/>
        <w:rPr>
          <w:rFonts w:ascii="Times New Roman" w:hAnsi="Times New Roman"/>
        </w:rPr>
      </w:pPr>
    </w:p>
    <w:p w14:paraId="04F46759" w14:textId="77777777" w:rsidR="00EB7699" w:rsidRPr="004C6E5C" w:rsidRDefault="00EB7699" w:rsidP="00EB7699">
      <w:pPr>
        <w:spacing w:after="0" w:line="260" w:lineRule="exact"/>
        <w:rPr>
          <w:rFonts w:ascii="Times New Roman" w:hAnsi="Times New Roman"/>
        </w:rPr>
      </w:pPr>
      <w:r w:rsidRPr="004C6E5C">
        <w:rPr>
          <w:rFonts w:ascii="Times New Roman" w:hAnsi="Times New Roman"/>
          <w:i/>
        </w:rPr>
        <w:t>Sisteminio poveikio kortikosteroidai</w:t>
      </w:r>
    </w:p>
    <w:p w14:paraId="2F2D6D9E"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Jei vienu metu vartojama acetilsalicilo rūgšties ir kortikosteroidų, gali didėti virškinimo trakto kraujavimo ir išopėjimo rizika (žr. 4.4 skyrių).</w:t>
      </w:r>
    </w:p>
    <w:p w14:paraId="7CD30748" w14:textId="77777777" w:rsidR="00EB7699" w:rsidRPr="004C6E5C" w:rsidRDefault="00EB7699" w:rsidP="00EB7699">
      <w:pPr>
        <w:spacing w:after="0" w:line="260" w:lineRule="exact"/>
        <w:rPr>
          <w:rFonts w:ascii="Times New Roman" w:hAnsi="Times New Roman"/>
        </w:rPr>
      </w:pPr>
    </w:p>
    <w:p w14:paraId="46CB60E6" w14:textId="77777777" w:rsidR="00EB7699" w:rsidRPr="004C6E5C" w:rsidRDefault="00EB7699" w:rsidP="00EB7699">
      <w:pPr>
        <w:tabs>
          <w:tab w:val="left" w:pos="567"/>
          <w:tab w:val="left" w:pos="1080"/>
        </w:tabs>
        <w:spacing w:after="0" w:line="260" w:lineRule="exact"/>
        <w:rPr>
          <w:rFonts w:ascii="Times New Roman" w:hAnsi="Times New Roman"/>
          <w:i/>
        </w:rPr>
      </w:pPr>
      <w:r w:rsidRPr="004C6E5C">
        <w:rPr>
          <w:rFonts w:ascii="Times New Roman" w:hAnsi="Times New Roman"/>
          <w:i/>
        </w:rPr>
        <w:t xml:space="preserve">Metotreksatas (&lt;15 mg savaitės dozės) </w:t>
      </w:r>
    </w:p>
    <w:p w14:paraId="03512842" w14:textId="77777777" w:rsidR="00EB7699" w:rsidRPr="004C6E5C" w:rsidRDefault="00EB7699" w:rsidP="00EB7699">
      <w:pPr>
        <w:tabs>
          <w:tab w:val="left" w:pos="567"/>
          <w:tab w:val="left" w:pos="1080"/>
        </w:tabs>
        <w:spacing w:after="0" w:line="260" w:lineRule="exact"/>
        <w:rPr>
          <w:rFonts w:ascii="Times New Roman" w:hAnsi="Times New Roman"/>
        </w:rPr>
      </w:pPr>
      <w:r w:rsidRPr="004C6E5C">
        <w:rPr>
          <w:rFonts w:ascii="Times New Roman" w:hAnsi="Times New Roman"/>
        </w:rPr>
        <w:t>Kartu vartojant metotreksato ir acetilsalicilo rūgšties, gali stiprėti hematotoksinis metotreksato poveikis, kadangi acetilsalicilo rūgštis mažina metotreksato klirensą per inkstus. Pirmosiomis kombinuotojo gydymo savaitėmis būtina kas savaitę tirti kraujo ląstelių kiekį. Atidesnis stebėjimas būtinas tuo atveju, jei yra inkstų funkcijos sutrikimas (net ir lengvas) bei jei pacientas yra senyvas.</w:t>
      </w:r>
    </w:p>
    <w:p w14:paraId="5B821124" w14:textId="77777777" w:rsidR="00EB7699" w:rsidRPr="004C6E5C" w:rsidRDefault="00EB7699" w:rsidP="00EB7699">
      <w:pPr>
        <w:spacing w:after="0" w:line="260" w:lineRule="exact"/>
        <w:rPr>
          <w:rFonts w:ascii="Times New Roman" w:hAnsi="Times New Roman"/>
        </w:rPr>
      </w:pPr>
    </w:p>
    <w:p w14:paraId="27D86F85"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Kiti NVNU</w:t>
      </w:r>
    </w:p>
    <w:p w14:paraId="353AF8D7"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 xml:space="preserve">Dėl sinergistinio poveikio didėja išopėjimo ir virškinimo trakto kraujavimo rizika. </w:t>
      </w:r>
    </w:p>
    <w:p w14:paraId="32691A6F" w14:textId="77777777" w:rsidR="00EB7699" w:rsidRPr="004C6E5C" w:rsidRDefault="00EB7699" w:rsidP="00EB7699">
      <w:pPr>
        <w:spacing w:after="0" w:line="260" w:lineRule="exact"/>
        <w:rPr>
          <w:rFonts w:ascii="Times New Roman" w:hAnsi="Times New Roman"/>
        </w:rPr>
      </w:pPr>
    </w:p>
    <w:p w14:paraId="0527F55C"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Ibuprofenas</w:t>
      </w:r>
    </w:p>
    <w:p w14:paraId="68FC8683" w14:textId="77777777" w:rsidR="00EB7699" w:rsidRPr="004C6E5C" w:rsidRDefault="00EB7699" w:rsidP="00EB7699">
      <w:pPr>
        <w:autoSpaceDE w:val="0"/>
        <w:autoSpaceDN w:val="0"/>
        <w:adjustRightInd w:val="0"/>
        <w:spacing w:after="0" w:line="240" w:lineRule="auto"/>
        <w:rPr>
          <w:rFonts w:ascii="Times New Roman" w:hAnsi="Times New Roman"/>
        </w:rPr>
      </w:pPr>
      <w:r w:rsidRPr="004C6E5C">
        <w:rPr>
          <w:rFonts w:ascii="Times New Roman" w:hAnsi="Times New Roman"/>
        </w:rPr>
        <w:t xml:space="preserve">Eksperimentiniai duomenys rodo, kad ibuprofenas gali slopinti kartu vartojamų mažų acetilsalicilo rūgšties dozių sukeliamą trombocitų agregacijos slopinimą. Tačiau negausūs duomenys ir netikslumas perkeliant </w:t>
      </w:r>
      <w:r w:rsidRPr="004C6E5C">
        <w:rPr>
          <w:rFonts w:ascii="Times New Roman" w:hAnsi="Times New Roman"/>
          <w:i/>
        </w:rPr>
        <w:t>ex vivo</w:t>
      </w:r>
      <w:r w:rsidRPr="004C6E5C">
        <w:rPr>
          <w:rFonts w:ascii="Times New Roman" w:hAnsi="Times New Roman"/>
        </w:rPr>
        <w:t xml:space="preserve"> duomenis į klinikinę patirtį neleidžia daryti griežtų išvadų dėl ibuprofeno reguliaraus vartojimo. Manoma, kad kliniškai reikšmingas poveikis, ibuprofeno vartojant nereguliariai, nėra tikėtinas (žr. 5.1 skyrių). </w:t>
      </w:r>
    </w:p>
    <w:p w14:paraId="3AC1435B" w14:textId="77777777" w:rsidR="00EB7699" w:rsidRPr="004C6E5C" w:rsidRDefault="00EB7699" w:rsidP="00EB7699">
      <w:pPr>
        <w:autoSpaceDE w:val="0"/>
        <w:autoSpaceDN w:val="0"/>
        <w:adjustRightInd w:val="0"/>
        <w:spacing w:after="0" w:line="240" w:lineRule="auto"/>
        <w:rPr>
          <w:rFonts w:ascii="Times New Roman" w:hAnsi="Times New Roman"/>
        </w:rPr>
      </w:pPr>
    </w:p>
    <w:p w14:paraId="2341C5E3" w14:textId="77777777" w:rsidR="00EB7699" w:rsidRPr="004C6E5C" w:rsidRDefault="00EB7699" w:rsidP="00EB7699">
      <w:pPr>
        <w:autoSpaceDE w:val="0"/>
        <w:autoSpaceDN w:val="0"/>
        <w:adjustRightInd w:val="0"/>
        <w:spacing w:after="0" w:line="240" w:lineRule="auto"/>
        <w:rPr>
          <w:rFonts w:ascii="Times New Roman" w:hAnsi="Times New Roman"/>
          <w:i/>
        </w:rPr>
      </w:pPr>
      <w:r w:rsidRPr="004C6E5C">
        <w:rPr>
          <w:rFonts w:ascii="Times New Roman" w:hAnsi="Times New Roman"/>
          <w:i/>
        </w:rPr>
        <w:t>Ciklosporinas, takrolimuzas</w:t>
      </w:r>
    </w:p>
    <w:p w14:paraId="2D516869" w14:textId="77777777" w:rsidR="00EB7699" w:rsidRPr="004C6E5C" w:rsidRDefault="00EB7699" w:rsidP="00EB7699">
      <w:pPr>
        <w:autoSpaceDE w:val="0"/>
        <w:autoSpaceDN w:val="0"/>
        <w:adjustRightInd w:val="0"/>
        <w:spacing w:after="0" w:line="240" w:lineRule="auto"/>
        <w:rPr>
          <w:rFonts w:ascii="Times New Roman" w:hAnsi="Times New Roman"/>
        </w:rPr>
      </w:pPr>
      <w:r w:rsidRPr="004C6E5C">
        <w:rPr>
          <w:rFonts w:ascii="Times New Roman" w:hAnsi="Times New Roman"/>
        </w:rPr>
        <w:t>Kartu vartojant NVNU ir ciklosporino ar takrolimuzo, gali stiprėti nefrotoksinis ciklosporino ir takrolimuzo poveikis. Jei kartu vartojama minėtų vaistinių preparatų ir acetilsalicilo rūgšties, būtina stebėti inkstų funkciją.</w:t>
      </w:r>
    </w:p>
    <w:p w14:paraId="271F60E8" w14:textId="77777777" w:rsidR="00EB7699" w:rsidRPr="004C6E5C" w:rsidRDefault="00EB7699" w:rsidP="00EB7699">
      <w:pPr>
        <w:tabs>
          <w:tab w:val="left" w:pos="567"/>
        </w:tabs>
        <w:spacing w:after="0" w:line="260" w:lineRule="exact"/>
        <w:rPr>
          <w:rFonts w:ascii="Times New Roman" w:hAnsi="Times New Roman"/>
        </w:rPr>
      </w:pPr>
    </w:p>
    <w:p w14:paraId="79D5792C"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Valproatas</w:t>
      </w:r>
    </w:p>
    <w:p w14:paraId="0D968579"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Gauta duomenų, kad acetilsalicilo rūgštis mažina valproato jungimąsi prie serumo albuminų, todėl, nusistovėjus pusiausvyrinei būklei, koncentracija plazmoje būna didesnė.</w:t>
      </w:r>
    </w:p>
    <w:p w14:paraId="628B296E" w14:textId="77777777" w:rsidR="00EB7699" w:rsidRPr="004C6E5C" w:rsidRDefault="00EB7699" w:rsidP="00EB7699">
      <w:pPr>
        <w:tabs>
          <w:tab w:val="left" w:pos="567"/>
        </w:tabs>
        <w:spacing w:after="0" w:line="260" w:lineRule="exact"/>
        <w:rPr>
          <w:rFonts w:ascii="Times New Roman" w:hAnsi="Times New Roman"/>
        </w:rPr>
      </w:pPr>
    </w:p>
    <w:p w14:paraId="0FC13CD4"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lastRenderedPageBreak/>
        <w:t>Fenitoinas</w:t>
      </w:r>
    </w:p>
    <w:p w14:paraId="034738A8"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Salicilatai mažina fenitoino jungimąsi prie plazmos albuminų. Tai gali sumažinti bendrąją fenitoino koncentraciją plazmoje, bet padidinti laisvojo fenitoino dalį. Reikšmingas neprisijungusio fenitoino koncentracijos, taigi, ir gydomojo poveikio, pokytis nėra tikėtinas.</w:t>
      </w:r>
    </w:p>
    <w:p w14:paraId="5E553BE1" w14:textId="77777777" w:rsidR="00EB7699" w:rsidRPr="004C6E5C" w:rsidRDefault="00EB7699" w:rsidP="00EB7699">
      <w:pPr>
        <w:spacing w:after="0" w:line="260" w:lineRule="exact"/>
        <w:rPr>
          <w:rFonts w:ascii="Times New Roman" w:hAnsi="Times New Roman"/>
        </w:rPr>
      </w:pPr>
    </w:p>
    <w:p w14:paraId="06E6FF16"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Metamizolas</w:t>
      </w:r>
    </w:p>
    <w:p w14:paraId="66D49906"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Metamizolas, vartojant kartu, gali sumažinti acetilsalicilo rūgšties poveikį trombocitų agregacijai. Todėl šį derinį reikia atsargiai vartoti pacientams, vartojantiems mažą acetilsalicilo rūgšties kiekį kardioprotekcijai.</w:t>
      </w:r>
    </w:p>
    <w:p w14:paraId="04FF7791" w14:textId="77777777" w:rsidR="00EB7699" w:rsidRPr="004C6E5C" w:rsidRDefault="00EB7699" w:rsidP="00EB7699">
      <w:pPr>
        <w:spacing w:after="0" w:line="260" w:lineRule="exact"/>
        <w:rPr>
          <w:rFonts w:ascii="Times New Roman" w:hAnsi="Times New Roman"/>
        </w:rPr>
      </w:pPr>
    </w:p>
    <w:p w14:paraId="579A96DE"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Alkoholis</w:t>
      </w:r>
    </w:p>
    <w:p w14:paraId="609AAE65"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Kartu vartojant acetilsalicilo rūgšties ir alkoholio, didėja virškinimo trakto kraujavimo rizika.</w:t>
      </w:r>
    </w:p>
    <w:p w14:paraId="29213A2D" w14:textId="77777777" w:rsidR="00EB7699" w:rsidRPr="004C6E5C" w:rsidRDefault="00EB7699" w:rsidP="00EB7699">
      <w:pPr>
        <w:spacing w:after="0" w:line="240" w:lineRule="auto"/>
        <w:rPr>
          <w:rFonts w:ascii="Times New Roman" w:hAnsi="Times New Roman"/>
        </w:rPr>
      </w:pPr>
    </w:p>
    <w:p w14:paraId="7AC18FE2" w14:textId="77777777" w:rsidR="00EB7699" w:rsidRPr="004C6E5C" w:rsidRDefault="00EB7699" w:rsidP="00EB7699">
      <w:pPr>
        <w:spacing w:after="0" w:line="240" w:lineRule="auto"/>
        <w:ind w:left="540" w:hanging="540"/>
        <w:rPr>
          <w:rFonts w:ascii="Times New Roman" w:hAnsi="Times New Roman"/>
          <w:b/>
        </w:rPr>
      </w:pPr>
      <w:bookmarkStart w:id="25" w:name="_Toc129243232"/>
      <w:bookmarkStart w:id="26" w:name="_Toc129243107"/>
      <w:r w:rsidRPr="004C6E5C">
        <w:rPr>
          <w:rFonts w:ascii="Times New Roman" w:hAnsi="Times New Roman"/>
          <w:b/>
        </w:rPr>
        <w:t>4.6</w:t>
      </w:r>
      <w:r w:rsidRPr="004C6E5C">
        <w:rPr>
          <w:rFonts w:ascii="Times New Roman" w:hAnsi="Times New Roman"/>
          <w:b/>
        </w:rPr>
        <w:tab/>
        <w:t>Vaisingumas, nėštumo ir žindymo laikotarpis</w:t>
      </w:r>
      <w:bookmarkEnd w:id="25"/>
      <w:bookmarkEnd w:id="26"/>
    </w:p>
    <w:p w14:paraId="6EB9D280" w14:textId="77777777" w:rsidR="00EB7699" w:rsidRPr="004C6E5C" w:rsidRDefault="00EB7699" w:rsidP="00EB7699">
      <w:pPr>
        <w:spacing w:after="0" w:line="240" w:lineRule="auto"/>
        <w:rPr>
          <w:rFonts w:ascii="Times New Roman" w:hAnsi="Times New Roman"/>
        </w:rPr>
      </w:pPr>
    </w:p>
    <w:p w14:paraId="69CD6D03"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Nėštumas</w:t>
      </w:r>
    </w:p>
    <w:p w14:paraId="08DBF751"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i/>
        </w:rPr>
      </w:pPr>
      <w:r w:rsidRPr="004C6E5C">
        <w:rPr>
          <w:rFonts w:ascii="Times New Roman" w:hAnsi="Times New Roman"/>
          <w:i/>
        </w:rPr>
        <w:t>Mažos dozės (iki 100 mg per parą)</w:t>
      </w:r>
    </w:p>
    <w:p w14:paraId="79AB8F20"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Klinikinių tyrimų metu nustatyta, kad ne didesnės kaip 100 mg paros dozės gali būti saugiai vartojamos tam tikromis akušerinėmis situacijomis, tačiau būtinas specializuotas stebėjimas.</w:t>
      </w:r>
    </w:p>
    <w:p w14:paraId="459EC160"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i/>
        </w:rPr>
      </w:pPr>
    </w:p>
    <w:p w14:paraId="766D585D"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i/>
        </w:rPr>
      </w:pPr>
      <w:r w:rsidRPr="004C6E5C">
        <w:rPr>
          <w:rFonts w:ascii="Times New Roman" w:hAnsi="Times New Roman"/>
          <w:i/>
        </w:rPr>
        <w:t xml:space="preserve">100- 500 mg paros dozės </w:t>
      </w:r>
    </w:p>
    <w:p w14:paraId="5BE3D57B"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Klinikinių duomenų apie 100</w:t>
      </w:r>
      <w:r w:rsidRPr="004C6E5C">
        <w:rPr>
          <w:rFonts w:ascii="Times New Roman" w:hAnsi="Times New Roman"/>
        </w:rPr>
        <w:noBreakHyphen/>
        <w:t>500 mg paros dozių vartojimą nepakanka. Dėl šios priežasties rekomendacijos, susijusios su 500 mg ir didesnės paros dozės vartojimu, pateiktos toliau tinka ir šioms dozėms.</w:t>
      </w:r>
    </w:p>
    <w:p w14:paraId="4E81A686"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i/>
        </w:rPr>
      </w:pPr>
    </w:p>
    <w:p w14:paraId="5EDE5086"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i/>
        </w:rPr>
      </w:pPr>
      <w:r w:rsidRPr="004C6E5C">
        <w:rPr>
          <w:rFonts w:ascii="Times New Roman" w:hAnsi="Times New Roman"/>
          <w:i/>
        </w:rPr>
        <w:t xml:space="preserve">500 mg ir didesnės paros dozės </w:t>
      </w:r>
    </w:p>
    <w:p w14:paraId="11C4097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Prostaglandinų sintezės slopinimas gali neigiamai paveikti nėštumą ir (arba) embriono bei vaisiaus vystymąsi. Epidemiologinių tyrimų duomenys rodo padidėjusią persileidimų, širdies apsigimimų ir įgimtos eventeracijos riziką prostaglandinų sintezės inhibitorių vartojimo ankstyvuoju nėštumo laikotarpiu atveju. Absoliuti kardiovaskulinių malformacijų rizika padidėja nuo mažesnės kaip 1% iki maždaug 1,5%. Manoma, kad rizika didėja didėjant dozei ir ilgėjant gydymo trukmei. Gyvūnams prostaglandinų sintezės inhibitoriai dažnino gemalo žūtį prieš implantaciją ir po jos bei embriono ir vaisiaus žūtį. Be to, gyvūnams, organogenezės laikotarpiu vartojusiems prostaglandinų sintezės inhibitorių, padažnėjo sklaidos defektų, įskaitant kardiovaskulinius. Pirmuoju ir antruoju nėštumo trimestrais acetilsalicilo rūgšties galima vartoti tik neabejotinai būtinu atveju. Jei acetilsalicilo rūgšties vartoja pastoti bandanti moteris arba jos vartojama pirmuoju ir antruoju nėštumo trimestrais, dozė turi būti kiek įmanoma mažesnė, o gydymas – trumpesnis.</w:t>
      </w:r>
    </w:p>
    <w:p w14:paraId="28ABB31C" w14:textId="77777777" w:rsidR="00EB7699" w:rsidRPr="004C6E5C" w:rsidRDefault="00EB7699" w:rsidP="00EB7699">
      <w:pPr>
        <w:spacing w:after="0" w:line="240" w:lineRule="auto"/>
        <w:rPr>
          <w:rFonts w:ascii="Times New Roman" w:hAnsi="Times New Roman"/>
        </w:rPr>
      </w:pPr>
    </w:p>
    <w:p w14:paraId="5E02F85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Visi trečiąjį nėštumo trimestrą vartojami prostaglandinų sintezės inhibitoriai vaisiui gali sukelti:</w:t>
      </w:r>
    </w:p>
    <w:p w14:paraId="32FDD9CE" w14:textId="77777777" w:rsidR="00EB7699" w:rsidRPr="004C6E5C" w:rsidRDefault="00EB7699" w:rsidP="00EB7699">
      <w:pPr>
        <w:numPr>
          <w:ilvl w:val="0"/>
          <w:numId w:val="8"/>
        </w:numPr>
        <w:spacing w:after="0" w:line="240" w:lineRule="auto"/>
        <w:rPr>
          <w:rFonts w:ascii="Times New Roman" w:hAnsi="Times New Roman"/>
        </w:rPr>
      </w:pPr>
      <w:r w:rsidRPr="004C6E5C">
        <w:rPr>
          <w:rFonts w:ascii="Times New Roman" w:hAnsi="Times New Roman"/>
        </w:rPr>
        <w:t>toksinį kardiopulmoninį poveikį (per ankstyvą arterinio latako užsidarymą ir plautinę hipertenziją);</w:t>
      </w:r>
    </w:p>
    <w:p w14:paraId="4F997027" w14:textId="77777777" w:rsidR="00EB7699" w:rsidRPr="004C6E5C" w:rsidRDefault="00EB7699" w:rsidP="00EB7699">
      <w:pPr>
        <w:numPr>
          <w:ilvl w:val="0"/>
          <w:numId w:val="8"/>
        </w:numPr>
        <w:spacing w:after="0" w:line="240" w:lineRule="auto"/>
        <w:rPr>
          <w:rFonts w:ascii="Times New Roman" w:hAnsi="Times New Roman"/>
        </w:rPr>
      </w:pPr>
      <w:r w:rsidRPr="004C6E5C">
        <w:rPr>
          <w:rFonts w:ascii="Times New Roman" w:hAnsi="Times New Roman"/>
        </w:rPr>
        <w:t>inkstų funkcijos sutrikimą, kuris gali progresuoti iki inkstų nepakankamumo su oligohidramnionu.</w:t>
      </w:r>
    </w:p>
    <w:p w14:paraId="4C706A79" w14:textId="77777777" w:rsidR="00EB7699" w:rsidRPr="004C6E5C" w:rsidRDefault="00EB7699" w:rsidP="00EB7699">
      <w:pPr>
        <w:spacing w:after="0" w:line="240" w:lineRule="auto"/>
        <w:rPr>
          <w:rFonts w:ascii="Times New Roman" w:hAnsi="Times New Roman"/>
        </w:rPr>
      </w:pPr>
    </w:p>
    <w:p w14:paraId="0FB189C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Nėštumo pabaigoje vartojami prostaglandinų sintezės inhibitoriai moteriai ir naujagimiui gali sukelti:</w:t>
      </w:r>
    </w:p>
    <w:p w14:paraId="28FFB817" w14:textId="77777777" w:rsidR="00EB7699" w:rsidRPr="004C6E5C" w:rsidRDefault="00EB7699" w:rsidP="00EB7699">
      <w:pPr>
        <w:numPr>
          <w:ilvl w:val="0"/>
          <w:numId w:val="8"/>
        </w:numPr>
        <w:spacing w:after="0" w:line="240" w:lineRule="auto"/>
        <w:rPr>
          <w:rFonts w:ascii="Times New Roman" w:hAnsi="Times New Roman"/>
        </w:rPr>
      </w:pPr>
      <w:r w:rsidRPr="004C6E5C">
        <w:rPr>
          <w:rFonts w:ascii="Times New Roman" w:hAnsi="Times New Roman"/>
        </w:rPr>
        <w:t>kraujavimo laiko pailgėjimą, trombocitų agregaciją slopinantį poveikį, kuris gali pasireikšti preparatą vartojant net labai mažomis dozėmis;</w:t>
      </w:r>
    </w:p>
    <w:p w14:paraId="75461C8D" w14:textId="77777777" w:rsidR="00EB7699" w:rsidRPr="004C6E5C" w:rsidRDefault="00EB7699" w:rsidP="00EB7699">
      <w:pPr>
        <w:numPr>
          <w:ilvl w:val="0"/>
          <w:numId w:val="8"/>
        </w:numPr>
        <w:spacing w:after="0" w:line="240" w:lineRule="auto"/>
        <w:rPr>
          <w:rFonts w:ascii="Times New Roman" w:hAnsi="Times New Roman"/>
        </w:rPr>
      </w:pPr>
      <w:r w:rsidRPr="004C6E5C">
        <w:rPr>
          <w:rFonts w:ascii="Times New Roman" w:hAnsi="Times New Roman"/>
        </w:rPr>
        <w:t>gimdos susitraukimų slopinimą, dėl kurio vėluoja ir ilgiau trunka gimdymas.</w:t>
      </w:r>
    </w:p>
    <w:p w14:paraId="1DC23108" w14:textId="77777777" w:rsidR="00EB7699" w:rsidRPr="004C6E5C" w:rsidRDefault="00EB7699" w:rsidP="00EB7699">
      <w:pPr>
        <w:spacing w:after="0" w:line="240" w:lineRule="auto"/>
        <w:rPr>
          <w:rFonts w:ascii="Times New Roman" w:hAnsi="Times New Roman"/>
        </w:rPr>
      </w:pPr>
    </w:p>
    <w:p w14:paraId="3DDFB149"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Dėl minėtų priežasčių acetilsalicilo rūgšties 100 mg ar didesnėmis paros dozėmis trečiąjį nėštumo trimestrą vartoti draudžiama.</w:t>
      </w:r>
    </w:p>
    <w:p w14:paraId="49A10BE5" w14:textId="77777777" w:rsidR="00EB7699" w:rsidRPr="004C6E5C" w:rsidRDefault="00EB7699" w:rsidP="00EB7699">
      <w:pPr>
        <w:spacing w:after="0" w:line="240" w:lineRule="auto"/>
        <w:rPr>
          <w:rFonts w:ascii="Times New Roman" w:hAnsi="Times New Roman"/>
        </w:rPr>
      </w:pPr>
    </w:p>
    <w:p w14:paraId="425229E1"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Žindymas</w:t>
      </w:r>
    </w:p>
    <w:p w14:paraId="651D86D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Mažas salicilatų ir jų metabolitų kiekis patenka į motinos pieną. Kadangi duomenų apie nepageidaujamą poveikį kūdikiui iki šiol negauta, dėl trumpalaikio rekomenduojamų acetilsalicilo </w:t>
      </w:r>
      <w:r w:rsidRPr="004C6E5C">
        <w:rPr>
          <w:rFonts w:ascii="Times New Roman" w:hAnsi="Times New Roman"/>
        </w:rPr>
        <w:lastRenderedPageBreak/>
        <w:t>rūgšties dozių vartojimo žindymo nutraukti neprireikia. Vis dėlto, jei vaistinio preparato vartojama ilgai ir (arba) didelėmis dozėmis, žindymą reikia nutraukti.</w:t>
      </w:r>
    </w:p>
    <w:p w14:paraId="38CAA160" w14:textId="77777777" w:rsidR="00EB7699" w:rsidRPr="004C6E5C" w:rsidRDefault="00EB7699" w:rsidP="00EB7699">
      <w:pPr>
        <w:spacing w:after="0" w:line="240" w:lineRule="auto"/>
        <w:rPr>
          <w:rFonts w:ascii="Times New Roman" w:hAnsi="Times New Roman"/>
        </w:rPr>
      </w:pPr>
    </w:p>
    <w:p w14:paraId="509DAD5A"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Vaisingumas</w:t>
      </w:r>
    </w:p>
    <w:p w14:paraId="4C10287E"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Galimo acetilsalicilo rūgšties poveikio vaisingumui kontroliuojamų tyrimų neatlikta.</w:t>
      </w:r>
    </w:p>
    <w:p w14:paraId="22EE389A" w14:textId="77777777" w:rsidR="00EB7699" w:rsidRPr="004C6E5C" w:rsidRDefault="00EB7699" w:rsidP="00EB7699">
      <w:pPr>
        <w:spacing w:after="0" w:line="240" w:lineRule="auto"/>
        <w:rPr>
          <w:rFonts w:ascii="Times New Roman" w:hAnsi="Times New Roman"/>
        </w:rPr>
      </w:pPr>
    </w:p>
    <w:p w14:paraId="27FE22B8" w14:textId="77777777" w:rsidR="00EB7699" w:rsidRPr="004C6E5C" w:rsidRDefault="00EB7699" w:rsidP="00EB7699">
      <w:pPr>
        <w:spacing w:after="0" w:line="240" w:lineRule="auto"/>
        <w:ind w:left="540" w:hanging="540"/>
        <w:rPr>
          <w:rFonts w:ascii="Times New Roman" w:hAnsi="Times New Roman"/>
          <w:b/>
        </w:rPr>
      </w:pPr>
      <w:bookmarkStart w:id="27" w:name="_Toc129243233"/>
      <w:bookmarkStart w:id="28" w:name="_Toc129243108"/>
      <w:r w:rsidRPr="004C6E5C">
        <w:rPr>
          <w:rFonts w:ascii="Times New Roman" w:hAnsi="Times New Roman"/>
          <w:b/>
        </w:rPr>
        <w:t>4.7</w:t>
      </w:r>
      <w:r w:rsidRPr="004C6E5C">
        <w:rPr>
          <w:rFonts w:ascii="Times New Roman" w:hAnsi="Times New Roman"/>
          <w:b/>
        </w:rPr>
        <w:tab/>
        <w:t>Poveikis gebėjimui vairuoti ir valdyti mechanizmus</w:t>
      </w:r>
      <w:bookmarkEnd w:id="27"/>
      <w:bookmarkEnd w:id="28"/>
    </w:p>
    <w:p w14:paraId="5B86BE3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poveikio gebėjimui vairuoti ir valdyti mechanizmus tyrimų neatlikta. Remiantis acetilsalicilo rūgšties farmakodinaminėmis savybėmis ir sukeliamu nepageidaujamu poveikiu, gebėjimas reaguoti ir vairuoti ar valdyti mechanizmus pakisti neturėtų.</w:t>
      </w:r>
    </w:p>
    <w:p w14:paraId="5B3C27DC" w14:textId="77777777" w:rsidR="00EB7699" w:rsidRPr="004C6E5C" w:rsidRDefault="00EB7699" w:rsidP="00EB7699">
      <w:pPr>
        <w:spacing w:after="0" w:line="240" w:lineRule="auto"/>
        <w:rPr>
          <w:rFonts w:ascii="Times New Roman" w:hAnsi="Times New Roman"/>
        </w:rPr>
      </w:pPr>
    </w:p>
    <w:p w14:paraId="2DD201A2" w14:textId="77777777" w:rsidR="00EB7699" w:rsidRPr="004C6E5C" w:rsidRDefault="00EB7699" w:rsidP="00EB7699">
      <w:pPr>
        <w:spacing w:after="0" w:line="240" w:lineRule="auto"/>
        <w:ind w:left="540" w:hanging="540"/>
        <w:rPr>
          <w:rFonts w:ascii="Times New Roman" w:hAnsi="Times New Roman"/>
          <w:b/>
        </w:rPr>
      </w:pPr>
      <w:bookmarkStart w:id="29" w:name="_Toc129243234"/>
      <w:bookmarkStart w:id="30" w:name="_Toc129243109"/>
      <w:r w:rsidRPr="004C6E5C">
        <w:rPr>
          <w:rFonts w:ascii="Times New Roman" w:hAnsi="Times New Roman"/>
          <w:b/>
        </w:rPr>
        <w:t>4.8</w:t>
      </w:r>
      <w:r w:rsidRPr="004C6E5C">
        <w:rPr>
          <w:rFonts w:ascii="Times New Roman" w:hAnsi="Times New Roman"/>
          <w:b/>
        </w:rPr>
        <w:tab/>
        <w:t>Nepageidaujamas poveikis</w:t>
      </w:r>
      <w:bookmarkEnd w:id="29"/>
      <w:bookmarkEnd w:id="30"/>
    </w:p>
    <w:p w14:paraId="6C956E1A" w14:textId="77777777" w:rsidR="00EB7699" w:rsidRPr="004C6E5C" w:rsidRDefault="00EB7699" w:rsidP="00EB7699">
      <w:pPr>
        <w:spacing w:after="0" w:line="240" w:lineRule="auto"/>
        <w:rPr>
          <w:rFonts w:ascii="Times New Roman" w:hAnsi="Times New Roman"/>
        </w:rPr>
      </w:pPr>
    </w:p>
    <w:p w14:paraId="3BADDBDF"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Nepageidaujamas poveikis suskirstytas pagal organų sistemų klases. Kiekvienoje organų sistemų klasėje atvejų dažnis apibūdinamas taip: labai dažni (≥1/10), dažni (nuo ≥1/100 iki &lt;1/10), nedažni (nuo ≥1/1000 iki &lt;1/100), reti (nuo ≥1/10000 iki &lt;1/1000), labai reti (&lt;1/10000), dažnis nežinomas (negali būti įvertintas pagal turimus duomenis).</w:t>
      </w:r>
    </w:p>
    <w:p w14:paraId="17D8E0BE" w14:textId="77777777" w:rsidR="00EB7699" w:rsidRPr="004C6E5C" w:rsidRDefault="00EB7699" w:rsidP="00EB769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6360"/>
      </w:tblGrid>
      <w:tr w:rsidR="00EB7699" w:rsidRPr="00EB7699" w14:paraId="7245F215"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76328D9F" w14:textId="77777777" w:rsidR="00EB7699" w:rsidRPr="004C6E5C" w:rsidRDefault="00EB7699" w:rsidP="00EB7699">
            <w:pPr>
              <w:spacing w:after="0" w:line="260" w:lineRule="exact"/>
              <w:rPr>
                <w:rFonts w:ascii="Times New Roman" w:hAnsi="Times New Roman"/>
              </w:rPr>
            </w:pPr>
            <w:r w:rsidRPr="004C6E5C">
              <w:rPr>
                <w:rFonts w:ascii="Times New Roman" w:hAnsi="Times New Roman"/>
                <w:b/>
              </w:rPr>
              <w:t>Kraujo ir limfinės sistemos sutrikimai</w:t>
            </w:r>
          </w:p>
        </w:tc>
        <w:tc>
          <w:tcPr>
            <w:tcW w:w="6360" w:type="dxa"/>
            <w:tcBorders>
              <w:top w:val="single" w:sz="4" w:space="0" w:color="auto"/>
              <w:left w:val="single" w:sz="4" w:space="0" w:color="auto"/>
              <w:bottom w:val="single" w:sz="4" w:space="0" w:color="auto"/>
              <w:right w:val="single" w:sz="4" w:space="0" w:color="auto"/>
            </w:tcBorders>
          </w:tcPr>
          <w:p w14:paraId="0C6FFA3C"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Dažni</w:t>
            </w:r>
          </w:p>
          <w:p w14:paraId="3EDF91CF"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Padidėjęs polinkis kraujuoti.</w:t>
            </w:r>
          </w:p>
          <w:p w14:paraId="21E98D04" w14:textId="77777777" w:rsidR="00EB7699" w:rsidRPr="004C6E5C" w:rsidRDefault="00EB7699" w:rsidP="00EB7699">
            <w:pPr>
              <w:spacing w:after="0" w:line="260" w:lineRule="exact"/>
              <w:rPr>
                <w:rFonts w:ascii="Times New Roman" w:hAnsi="Times New Roman"/>
              </w:rPr>
            </w:pPr>
          </w:p>
          <w:p w14:paraId="17D38BA0"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Reti</w:t>
            </w:r>
          </w:p>
          <w:p w14:paraId="29A0434E"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Trombocitopenija, agranulocitozė, aplazinė anemija.</w:t>
            </w:r>
          </w:p>
          <w:p w14:paraId="0442DA6F" w14:textId="77777777" w:rsidR="00EB7699" w:rsidRPr="004C6E5C" w:rsidRDefault="00EB7699" w:rsidP="00EB7699">
            <w:pPr>
              <w:spacing w:after="0" w:line="260" w:lineRule="exact"/>
              <w:rPr>
                <w:rFonts w:ascii="Times New Roman" w:hAnsi="Times New Roman"/>
              </w:rPr>
            </w:pPr>
          </w:p>
          <w:p w14:paraId="13C298A9" w14:textId="77777777" w:rsidR="00EB7699" w:rsidRPr="004C6E5C" w:rsidRDefault="00EB7699" w:rsidP="00EB7699">
            <w:pPr>
              <w:tabs>
                <w:tab w:val="left" w:pos="0"/>
              </w:tabs>
              <w:spacing w:after="0" w:line="260" w:lineRule="exact"/>
              <w:rPr>
                <w:rFonts w:ascii="Times New Roman" w:hAnsi="Times New Roman"/>
                <w:i/>
              </w:rPr>
            </w:pPr>
            <w:r w:rsidRPr="004C6E5C">
              <w:rPr>
                <w:rFonts w:ascii="Times New Roman" w:hAnsi="Times New Roman"/>
                <w:i/>
              </w:rPr>
              <w:t>Dažnis nežinomas</w:t>
            </w:r>
          </w:p>
          <w:p w14:paraId="2B67580C" w14:textId="77777777" w:rsidR="00EB7699" w:rsidRPr="004C6E5C" w:rsidRDefault="00EB7699" w:rsidP="00EB7699">
            <w:pPr>
              <w:tabs>
                <w:tab w:val="left" w:pos="0"/>
              </w:tabs>
              <w:spacing w:after="0" w:line="260" w:lineRule="exact"/>
              <w:rPr>
                <w:rFonts w:ascii="Times New Roman" w:hAnsi="Times New Roman"/>
              </w:rPr>
            </w:pPr>
            <w:r w:rsidRPr="004C6E5C">
              <w:rPr>
                <w:rFonts w:ascii="Times New Roman" w:hAnsi="Times New Roman"/>
              </w:rPr>
              <w:t>Kraujavimas, pvz., iš nosies, dantenų, pailgėjus kraujavimo laikui. Simptomai gali išlikti 4-8 dienas po acetilsalicilo rūgšties vartojimo nutraukimo. Gali padidėti kraujavimo rizika chirurginių procedūrų metu.</w:t>
            </w:r>
          </w:p>
          <w:p w14:paraId="36A9973B"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Matomas (vėmimas krauju, melena) ar slaptasis virškinimo trakto kraujavimas, galintis sukelti geležies stokos anemiją (toks poveikis dažnesnis vartojant dideles dozes).</w:t>
            </w:r>
          </w:p>
          <w:p w14:paraId="231B883B" w14:textId="77777777" w:rsidR="00EB7699" w:rsidRPr="004C6E5C" w:rsidRDefault="00EB7699" w:rsidP="00EB7699">
            <w:pPr>
              <w:spacing w:after="0" w:line="260" w:lineRule="exact"/>
              <w:rPr>
                <w:rFonts w:ascii="Times New Roman" w:hAnsi="Times New Roman"/>
              </w:rPr>
            </w:pPr>
          </w:p>
        </w:tc>
      </w:tr>
      <w:tr w:rsidR="00EB7699" w:rsidRPr="00EB7699" w14:paraId="32EE4A1D"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006507BE"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Imuninės sistemos sutrikimai</w:t>
            </w:r>
          </w:p>
        </w:tc>
        <w:tc>
          <w:tcPr>
            <w:tcW w:w="6360" w:type="dxa"/>
            <w:tcBorders>
              <w:top w:val="single" w:sz="4" w:space="0" w:color="auto"/>
              <w:left w:val="single" w:sz="4" w:space="0" w:color="auto"/>
              <w:bottom w:val="single" w:sz="4" w:space="0" w:color="auto"/>
              <w:right w:val="single" w:sz="4" w:space="0" w:color="auto"/>
            </w:tcBorders>
          </w:tcPr>
          <w:p w14:paraId="3EE6BE18" w14:textId="77777777" w:rsidR="00EB7699" w:rsidRPr="004C6E5C" w:rsidRDefault="00EB7699" w:rsidP="00EB7699">
            <w:pPr>
              <w:tabs>
                <w:tab w:val="left" w:pos="0"/>
                <w:tab w:val="left" w:pos="567"/>
              </w:tabs>
              <w:spacing w:after="0" w:line="260" w:lineRule="exact"/>
              <w:rPr>
                <w:rFonts w:ascii="Times New Roman" w:hAnsi="Times New Roman"/>
                <w:i/>
              </w:rPr>
            </w:pPr>
            <w:r w:rsidRPr="004C6E5C">
              <w:rPr>
                <w:rFonts w:ascii="Times New Roman" w:hAnsi="Times New Roman"/>
                <w:i/>
              </w:rPr>
              <w:t>Reti</w:t>
            </w:r>
          </w:p>
          <w:p w14:paraId="35176FCB" w14:textId="77777777" w:rsidR="00EB7699" w:rsidRPr="004C6E5C" w:rsidRDefault="00EB7699" w:rsidP="00EB7699">
            <w:pPr>
              <w:tabs>
                <w:tab w:val="left" w:pos="0"/>
                <w:tab w:val="left" w:pos="567"/>
              </w:tabs>
              <w:spacing w:after="0" w:line="260" w:lineRule="exact"/>
              <w:rPr>
                <w:rFonts w:ascii="Times New Roman" w:hAnsi="Times New Roman"/>
              </w:rPr>
            </w:pPr>
            <w:r w:rsidRPr="004C6E5C">
              <w:rPr>
                <w:rFonts w:ascii="Times New Roman" w:hAnsi="Times New Roman"/>
              </w:rPr>
              <w:t>Padidėjusio jautrumo reakcijos, angioneurozinė edema, alerginė edema, anafilaksinė reakcija, įskaitant šoką.</w:t>
            </w:r>
          </w:p>
          <w:p w14:paraId="5F289523" w14:textId="77777777" w:rsidR="00EB7699" w:rsidRPr="004C6E5C" w:rsidRDefault="00EB7699" w:rsidP="00EB7699">
            <w:pPr>
              <w:spacing w:after="0" w:line="260" w:lineRule="exact"/>
              <w:rPr>
                <w:rFonts w:ascii="Times New Roman" w:hAnsi="Times New Roman"/>
              </w:rPr>
            </w:pPr>
          </w:p>
        </w:tc>
      </w:tr>
      <w:tr w:rsidR="00EB7699" w:rsidRPr="00EB7699" w14:paraId="0F9919EC"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7A9E11AC"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Metabolizmo ir mitybos sutrikimai</w:t>
            </w:r>
          </w:p>
        </w:tc>
        <w:tc>
          <w:tcPr>
            <w:tcW w:w="6360" w:type="dxa"/>
            <w:tcBorders>
              <w:top w:val="single" w:sz="4" w:space="0" w:color="auto"/>
              <w:left w:val="single" w:sz="4" w:space="0" w:color="auto"/>
              <w:bottom w:val="single" w:sz="4" w:space="0" w:color="auto"/>
              <w:right w:val="single" w:sz="4" w:space="0" w:color="auto"/>
            </w:tcBorders>
            <w:hideMark/>
          </w:tcPr>
          <w:p w14:paraId="1D18FD34" w14:textId="77777777" w:rsidR="00EB7699" w:rsidRPr="004C6E5C" w:rsidRDefault="00EB7699" w:rsidP="00EB7699">
            <w:pPr>
              <w:tabs>
                <w:tab w:val="left" w:pos="0"/>
                <w:tab w:val="left" w:pos="567"/>
              </w:tabs>
              <w:spacing w:after="0" w:line="260" w:lineRule="exact"/>
              <w:rPr>
                <w:rFonts w:ascii="Times New Roman" w:hAnsi="Times New Roman"/>
                <w:i/>
              </w:rPr>
            </w:pPr>
            <w:r w:rsidRPr="004C6E5C">
              <w:rPr>
                <w:rFonts w:ascii="Times New Roman" w:hAnsi="Times New Roman"/>
                <w:i/>
              </w:rPr>
              <w:t>Dažnis nežinomas</w:t>
            </w:r>
          </w:p>
          <w:p w14:paraId="62B68855" w14:textId="77777777" w:rsidR="00EB7699" w:rsidRPr="004C6E5C" w:rsidRDefault="00EB7699" w:rsidP="00EB7699">
            <w:pPr>
              <w:tabs>
                <w:tab w:val="left" w:pos="0"/>
                <w:tab w:val="left" w:pos="567"/>
              </w:tabs>
              <w:spacing w:after="0" w:line="260" w:lineRule="exact"/>
              <w:rPr>
                <w:rFonts w:ascii="Times New Roman" w:hAnsi="Times New Roman"/>
                <w:i/>
              </w:rPr>
            </w:pPr>
            <w:r w:rsidRPr="004C6E5C">
              <w:rPr>
                <w:rFonts w:ascii="Times New Roman" w:hAnsi="Times New Roman"/>
              </w:rPr>
              <w:t>Hiperurikemija.</w:t>
            </w:r>
          </w:p>
        </w:tc>
      </w:tr>
      <w:tr w:rsidR="00EB7699" w:rsidRPr="00EB7699" w14:paraId="35E00ED5"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7F841B91"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Nervų sistemos sutrikimai</w:t>
            </w:r>
          </w:p>
        </w:tc>
        <w:tc>
          <w:tcPr>
            <w:tcW w:w="6360" w:type="dxa"/>
            <w:tcBorders>
              <w:top w:val="single" w:sz="4" w:space="0" w:color="auto"/>
              <w:left w:val="single" w:sz="4" w:space="0" w:color="auto"/>
              <w:bottom w:val="single" w:sz="4" w:space="0" w:color="auto"/>
              <w:right w:val="single" w:sz="4" w:space="0" w:color="auto"/>
            </w:tcBorders>
          </w:tcPr>
          <w:p w14:paraId="0A2289A8"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Reti</w:t>
            </w:r>
          </w:p>
          <w:p w14:paraId="6A07AECC" w14:textId="77777777" w:rsidR="00EB7699" w:rsidRPr="004C6E5C" w:rsidRDefault="00EB7699" w:rsidP="00EB7699">
            <w:pPr>
              <w:tabs>
                <w:tab w:val="left" w:pos="0"/>
                <w:tab w:val="left" w:pos="567"/>
              </w:tabs>
              <w:spacing w:after="0" w:line="260" w:lineRule="exact"/>
              <w:rPr>
                <w:rFonts w:ascii="Times New Roman" w:hAnsi="Times New Roman"/>
                <w:i/>
              </w:rPr>
            </w:pPr>
            <w:r w:rsidRPr="004C6E5C">
              <w:rPr>
                <w:rFonts w:ascii="Times New Roman" w:hAnsi="Times New Roman"/>
              </w:rPr>
              <w:t>Intrakranijinis kraujavimas.</w:t>
            </w:r>
          </w:p>
          <w:p w14:paraId="43C9ADDD" w14:textId="77777777" w:rsidR="00EB7699" w:rsidRPr="004C6E5C" w:rsidRDefault="00EB7699" w:rsidP="00EB7699">
            <w:pPr>
              <w:tabs>
                <w:tab w:val="left" w:pos="0"/>
              </w:tabs>
              <w:spacing w:after="0" w:line="260" w:lineRule="exact"/>
              <w:rPr>
                <w:rFonts w:ascii="Times New Roman" w:hAnsi="Times New Roman"/>
                <w:i/>
              </w:rPr>
            </w:pPr>
          </w:p>
          <w:p w14:paraId="2B1FC463" w14:textId="77777777" w:rsidR="00EB7699" w:rsidRPr="004C6E5C" w:rsidRDefault="00EB7699" w:rsidP="00EB7699">
            <w:pPr>
              <w:tabs>
                <w:tab w:val="left" w:pos="0"/>
              </w:tabs>
              <w:spacing w:after="0" w:line="260" w:lineRule="exact"/>
              <w:rPr>
                <w:rFonts w:ascii="Times New Roman" w:hAnsi="Times New Roman"/>
                <w:i/>
              </w:rPr>
            </w:pPr>
            <w:r w:rsidRPr="004C6E5C">
              <w:rPr>
                <w:rFonts w:ascii="Times New Roman" w:hAnsi="Times New Roman"/>
                <w:i/>
              </w:rPr>
              <w:t>Dažnis nežinomas</w:t>
            </w:r>
          </w:p>
          <w:p w14:paraId="7CBDE047" w14:textId="77777777" w:rsidR="00EB7699" w:rsidRPr="004C6E5C" w:rsidRDefault="00EB7699" w:rsidP="00EB7699">
            <w:pPr>
              <w:tabs>
                <w:tab w:val="left" w:pos="0"/>
              </w:tabs>
              <w:spacing w:after="0" w:line="260" w:lineRule="exact"/>
              <w:rPr>
                <w:rFonts w:ascii="Times New Roman" w:hAnsi="Times New Roman"/>
              </w:rPr>
            </w:pPr>
            <w:r w:rsidRPr="004C6E5C">
              <w:rPr>
                <w:rFonts w:ascii="Times New Roman" w:hAnsi="Times New Roman"/>
              </w:rPr>
              <w:t>Galvos skausmas, svaigimas (</w:t>
            </w:r>
            <w:r w:rsidRPr="004C6E5C">
              <w:rPr>
                <w:rFonts w:ascii="Times New Roman" w:hAnsi="Times New Roman"/>
                <w:i/>
              </w:rPr>
              <w:t>vertigo</w:t>
            </w:r>
            <w:r w:rsidRPr="004C6E5C">
              <w:rPr>
                <w:rFonts w:ascii="Times New Roman" w:hAnsi="Times New Roman"/>
              </w:rPr>
              <w:t xml:space="preserve">). </w:t>
            </w:r>
          </w:p>
          <w:p w14:paraId="1B520D97" w14:textId="77777777" w:rsidR="00EB7699" w:rsidRPr="004C6E5C" w:rsidRDefault="00EB7699" w:rsidP="00EB7699">
            <w:pPr>
              <w:spacing w:after="0" w:line="260" w:lineRule="exact"/>
              <w:rPr>
                <w:rFonts w:ascii="Times New Roman" w:hAnsi="Times New Roman"/>
              </w:rPr>
            </w:pPr>
          </w:p>
        </w:tc>
      </w:tr>
      <w:tr w:rsidR="00EB7699" w:rsidRPr="00EB7699" w14:paraId="029C5CB8"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6FA5C4F6"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Ausų ir labirintų sutrikimai</w:t>
            </w:r>
          </w:p>
        </w:tc>
        <w:tc>
          <w:tcPr>
            <w:tcW w:w="6360" w:type="dxa"/>
            <w:tcBorders>
              <w:top w:val="single" w:sz="4" w:space="0" w:color="auto"/>
              <w:left w:val="single" w:sz="4" w:space="0" w:color="auto"/>
              <w:bottom w:val="single" w:sz="4" w:space="0" w:color="auto"/>
              <w:right w:val="single" w:sz="4" w:space="0" w:color="auto"/>
            </w:tcBorders>
          </w:tcPr>
          <w:p w14:paraId="45820B6D"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Dažnis nežinomas</w:t>
            </w:r>
          </w:p>
          <w:p w14:paraId="28FD2A64"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Susilpnėjusi klausa; ūžesys.</w:t>
            </w:r>
          </w:p>
          <w:p w14:paraId="13501759" w14:textId="77777777" w:rsidR="00EB7699" w:rsidRPr="004C6E5C" w:rsidRDefault="00EB7699" w:rsidP="00EB7699">
            <w:pPr>
              <w:spacing w:after="0" w:line="260" w:lineRule="exact"/>
              <w:rPr>
                <w:rFonts w:ascii="Times New Roman" w:hAnsi="Times New Roman"/>
              </w:rPr>
            </w:pPr>
          </w:p>
        </w:tc>
      </w:tr>
      <w:tr w:rsidR="00EB7699" w:rsidRPr="00EB7699" w14:paraId="692C0F54"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439DB8D7" w14:textId="77777777" w:rsidR="00EB7699" w:rsidRPr="004C6E5C" w:rsidRDefault="00EB7699" w:rsidP="00EB7699">
            <w:pPr>
              <w:spacing w:after="0" w:line="260" w:lineRule="exact"/>
              <w:rPr>
                <w:rFonts w:ascii="Times New Roman" w:hAnsi="Times New Roman"/>
              </w:rPr>
            </w:pPr>
            <w:r w:rsidRPr="004C6E5C">
              <w:rPr>
                <w:rFonts w:ascii="Times New Roman" w:hAnsi="Times New Roman"/>
                <w:b/>
              </w:rPr>
              <w:t>Kraujagyslių sutrikimai</w:t>
            </w:r>
          </w:p>
        </w:tc>
        <w:tc>
          <w:tcPr>
            <w:tcW w:w="6360" w:type="dxa"/>
            <w:tcBorders>
              <w:top w:val="single" w:sz="4" w:space="0" w:color="auto"/>
              <w:left w:val="single" w:sz="4" w:space="0" w:color="auto"/>
              <w:bottom w:val="single" w:sz="4" w:space="0" w:color="auto"/>
              <w:right w:val="single" w:sz="4" w:space="0" w:color="auto"/>
            </w:tcBorders>
          </w:tcPr>
          <w:p w14:paraId="14C8DA37"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Reti</w:t>
            </w:r>
          </w:p>
          <w:p w14:paraId="78682CBF"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Hemoraginis vaskulitas.</w:t>
            </w:r>
          </w:p>
          <w:p w14:paraId="4F898124" w14:textId="77777777" w:rsidR="00EB7699" w:rsidRPr="004C6E5C" w:rsidRDefault="00EB7699" w:rsidP="00EB7699">
            <w:pPr>
              <w:spacing w:after="0" w:line="260" w:lineRule="exact"/>
              <w:rPr>
                <w:rFonts w:ascii="Times New Roman" w:hAnsi="Times New Roman"/>
              </w:rPr>
            </w:pPr>
          </w:p>
        </w:tc>
      </w:tr>
      <w:tr w:rsidR="00EB7699" w:rsidRPr="00EB7699" w14:paraId="7712CD2E"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5A54EDC5" w14:textId="77777777" w:rsidR="00EB7699" w:rsidRPr="004C6E5C" w:rsidRDefault="00EB7699" w:rsidP="00EB7699">
            <w:pPr>
              <w:spacing w:after="0" w:line="260" w:lineRule="exact"/>
              <w:rPr>
                <w:rFonts w:ascii="Times New Roman" w:hAnsi="Times New Roman"/>
              </w:rPr>
            </w:pPr>
            <w:r w:rsidRPr="004C6E5C">
              <w:rPr>
                <w:rFonts w:ascii="Times New Roman" w:hAnsi="Times New Roman"/>
                <w:b/>
              </w:rPr>
              <w:t>Kvėpavimo sistemos, krūtinės ląstos ir tarpuplaučio sutrikimai</w:t>
            </w:r>
          </w:p>
        </w:tc>
        <w:tc>
          <w:tcPr>
            <w:tcW w:w="6360" w:type="dxa"/>
            <w:tcBorders>
              <w:top w:val="single" w:sz="4" w:space="0" w:color="auto"/>
              <w:left w:val="single" w:sz="4" w:space="0" w:color="auto"/>
              <w:bottom w:val="single" w:sz="4" w:space="0" w:color="auto"/>
              <w:right w:val="single" w:sz="4" w:space="0" w:color="auto"/>
            </w:tcBorders>
          </w:tcPr>
          <w:p w14:paraId="073279C2"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Nedažni</w:t>
            </w:r>
          </w:p>
          <w:p w14:paraId="3675BD20"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Rinitas, dispnėja.</w:t>
            </w:r>
          </w:p>
          <w:p w14:paraId="5DE5508F" w14:textId="77777777" w:rsidR="00EB7699" w:rsidRPr="004C6E5C" w:rsidRDefault="00EB7699" w:rsidP="00EB7699">
            <w:pPr>
              <w:spacing w:after="0" w:line="260" w:lineRule="exact"/>
              <w:rPr>
                <w:rFonts w:ascii="Times New Roman" w:hAnsi="Times New Roman"/>
              </w:rPr>
            </w:pPr>
          </w:p>
          <w:p w14:paraId="41507948"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Reti</w:t>
            </w:r>
          </w:p>
          <w:p w14:paraId="4749983F"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Bronchų spazmas, astmos priepuolis.</w:t>
            </w:r>
          </w:p>
          <w:p w14:paraId="6D628199" w14:textId="77777777" w:rsidR="00EB7699" w:rsidRPr="004C6E5C" w:rsidRDefault="00EB7699" w:rsidP="00EB7699">
            <w:pPr>
              <w:spacing w:after="0" w:line="260" w:lineRule="exact"/>
              <w:rPr>
                <w:rFonts w:ascii="Times New Roman" w:hAnsi="Times New Roman"/>
              </w:rPr>
            </w:pPr>
          </w:p>
        </w:tc>
      </w:tr>
      <w:tr w:rsidR="00EB7699" w:rsidRPr="00EB7699" w14:paraId="42D114BF"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27564EA1" w14:textId="77777777" w:rsidR="00EB7699" w:rsidRPr="004C6E5C" w:rsidRDefault="00EB7699" w:rsidP="00EB7699">
            <w:pPr>
              <w:spacing w:after="0" w:line="260" w:lineRule="exact"/>
              <w:rPr>
                <w:rFonts w:ascii="Times New Roman" w:hAnsi="Times New Roman"/>
              </w:rPr>
            </w:pPr>
            <w:r w:rsidRPr="004C6E5C">
              <w:rPr>
                <w:rFonts w:ascii="Times New Roman" w:hAnsi="Times New Roman"/>
                <w:b/>
              </w:rPr>
              <w:lastRenderedPageBreak/>
              <w:t>Virškinimo trakto sutrikimai</w:t>
            </w:r>
          </w:p>
        </w:tc>
        <w:tc>
          <w:tcPr>
            <w:tcW w:w="6360" w:type="dxa"/>
            <w:tcBorders>
              <w:top w:val="single" w:sz="4" w:space="0" w:color="auto"/>
              <w:left w:val="single" w:sz="4" w:space="0" w:color="auto"/>
              <w:bottom w:val="single" w:sz="4" w:space="0" w:color="auto"/>
              <w:right w:val="single" w:sz="4" w:space="0" w:color="auto"/>
            </w:tcBorders>
          </w:tcPr>
          <w:p w14:paraId="35134623"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Dažni</w:t>
            </w:r>
          </w:p>
          <w:p w14:paraId="3F7689C7"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Dispepsija.</w:t>
            </w:r>
          </w:p>
          <w:p w14:paraId="419061B2" w14:textId="77777777" w:rsidR="00EB7699" w:rsidRPr="004C6E5C" w:rsidRDefault="00EB7699" w:rsidP="00EB7699">
            <w:pPr>
              <w:spacing w:after="0" w:line="260" w:lineRule="exact"/>
              <w:rPr>
                <w:rFonts w:ascii="Times New Roman" w:hAnsi="Times New Roman"/>
              </w:rPr>
            </w:pPr>
          </w:p>
          <w:p w14:paraId="5B00D1AA"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Reti</w:t>
            </w:r>
          </w:p>
          <w:p w14:paraId="49784518"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Sunkus virškinimo trakto kraujavimas, pykinimas, vėmimas.</w:t>
            </w:r>
          </w:p>
          <w:p w14:paraId="25FF777F" w14:textId="77777777" w:rsidR="00EB7699" w:rsidRPr="004C6E5C" w:rsidRDefault="00EB7699" w:rsidP="00EB7699">
            <w:pPr>
              <w:spacing w:after="0" w:line="260" w:lineRule="exact"/>
              <w:rPr>
                <w:rFonts w:ascii="Times New Roman" w:hAnsi="Times New Roman"/>
              </w:rPr>
            </w:pPr>
          </w:p>
          <w:p w14:paraId="54980B71"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Dažnis nežinomas</w:t>
            </w:r>
          </w:p>
          <w:p w14:paraId="67FBD2C1" w14:textId="77777777" w:rsidR="00EB7699" w:rsidRPr="004C6E5C" w:rsidRDefault="00EB7699" w:rsidP="00EB7699">
            <w:pPr>
              <w:tabs>
                <w:tab w:val="left" w:pos="0"/>
              </w:tabs>
              <w:spacing w:after="0" w:line="260" w:lineRule="exact"/>
              <w:rPr>
                <w:rFonts w:ascii="Times New Roman" w:hAnsi="Times New Roman"/>
              </w:rPr>
            </w:pPr>
            <w:r w:rsidRPr="004C6E5C">
              <w:rPr>
                <w:rFonts w:ascii="Times New Roman" w:hAnsi="Times New Roman"/>
              </w:rPr>
              <w:t>Skrandžio ar dvylikapirštės žarnos opa ir perforacija.</w:t>
            </w:r>
          </w:p>
        </w:tc>
      </w:tr>
      <w:tr w:rsidR="00EB7699" w:rsidRPr="00EB7699" w14:paraId="2607A3E9"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6A15CD09"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Kepenų, tulžies pūslės ir latakų sutrikimai</w:t>
            </w:r>
          </w:p>
        </w:tc>
        <w:tc>
          <w:tcPr>
            <w:tcW w:w="6360" w:type="dxa"/>
            <w:tcBorders>
              <w:top w:val="single" w:sz="4" w:space="0" w:color="auto"/>
              <w:left w:val="single" w:sz="4" w:space="0" w:color="auto"/>
              <w:bottom w:val="single" w:sz="4" w:space="0" w:color="auto"/>
              <w:right w:val="single" w:sz="4" w:space="0" w:color="auto"/>
            </w:tcBorders>
          </w:tcPr>
          <w:p w14:paraId="6167B074" w14:textId="77777777" w:rsidR="00EB7699" w:rsidRPr="004C6E5C" w:rsidRDefault="00EB7699" w:rsidP="00EB7699">
            <w:pPr>
              <w:tabs>
                <w:tab w:val="left" w:pos="567"/>
              </w:tabs>
              <w:spacing w:after="0" w:line="260" w:lineRule="exact"/>
              <w:rPr>
                <w:rFonts w:ascii="Times New Roman" w:hAnsi="Times New Roman"/>
                <w:i/>
              </w:rPr>
            </w:pPr>
            <w:r w:rsidRPr="004C6E5C">
              <w:rPr>
                <w:rFonts w:ascii="Times New Roman" w:hAnsi="Times New Roman"/>
                <w:i/>
              </w:rPr>
              <w:t>Dažnis nežinomas</w:t>
            </w:r>
          </w:p>
          <w:p w14:paraId="61E93857"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Kepenų nepakankamumas.</w:t>
            </w:r>
          </w:p>
          <w:p w14:paraId="4B235884" w14:textId="77777777" w:rsidR="00EB7699" w:rsidRPr="004C6E5C" w:rsidRDefault="00EB7699" w:rsidP="00EB7699">
            <w:pPr>
              <w:spacing w:after="0" w:line="260" w:lineRule="exact"/>
              <w:rPr>
                <w:rFonts w:ascii="Times New Roman" w:hAnsi="Times New Roman"/>
                <w:i/>
              </w:rPr>
            </w:pPr>
          </w:p>
        </w:tc>
      </w:tr>
      <w:tr w:rsidR="00EB7699" w:rsidRPr="00EB7699" w14:paraId="2825F3CD"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0E27E0F6"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Odos ir poodinio audinio sutrikimai</w:t>
            </w:r>
          </w:p>
        </w:tc>
        <w:tc>
          <w:tcPr>
            <w:tcW w:w="6360" w:type="dxa"/>
            <w:tcBorders>
              <w:top w:val="single" w:sz="4" w:space="0" w:color="auto"/>
              <w:left w:val="single" w:sz="4" w:space="0" w:color="auto"/>
              <w:bottom w:val="single" w:sz="4" w:space="0" w:color="auto"/>
              <w:right w:val="single" w:sz="4" w:space="0" w:color="auto"/>
            </w:tcBorders>
          </w:tcPr>
          <w:p w14:paraId="2AEE0380"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Nedažni</w:t>
            </w:r>
          </w:p>
          <w:p w14:paraId="08091FF1"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Dilgėlinė.</w:t>
            </w:r>
          </w:p>
          <w:p w14:paraId="611B1D3E" w14:textId="77777777" w:rsidR="00EB7699" w:rsidRPr="004C6E5C" w:rsidRDefault="00EB7699" w:rsidP="00EB7699">
            <w:pPr>
              <w:spacing w:after="0" w:line="260" w:lineRule="exact"/>
              <w:rPr>
                <w:rFonts w:ascii="Times New Roman" w:hAnsi="Times New Roman"/>
              </w:rPr>
            </w:pPr>
          </w:p>
          <w:p w14:paraId="683DB24E"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Reti</w:t>
            </w:r>
          </w:p>
          <w:p w14:paraId="21EE51EC" w14:textId="77777777" w:rsidR="00EB7699" w:rsidRPr="004C6E5C" w:rsidRDefault="00EB7699" w:rsidP="00EB7699">
            <w:pPr>
              <w:spacing w:after="0" w:line="260" w:lineRule="exact"/>
              <w:rPr>
                <w:rFonts w:ascii="Times New Roman" w:hAnsi="Times New Roman"/>
              </w:rPr>
            </w:pPr>
            <w:r w:rsidRPr="004C6E5C">
              <w:rPr>
                <w:rFonts w:ascii="Times New Roman" w:hAnsi="Times New Roman"/>
              </w:rPr>
              <w:t>Stivenso–Džonsono (</w:t>
            </w:r>
            <w:proofErr w:type="spellStart"/>
            <w:r w:rsidRPr="004C6E5C">
              <w:rPr>
                <w:rFonts w:ascii="Times New Roman" w:eastAsia="Calibri" w:hAnsi="Times New Roman" w:cs="Times New Roman"/>
                <w:i/>
                <w:noProof w:val="0"/>
              </w:rPr>
              <w:t>Stevens-Johnson</w:t>
            </w:r>
            <w:proofErr w:type="spellEnd"/>
            <w:r w:rsidRPr="004C6E5C">
              <w:rPr>
                <w:rFonts w:ascii="Times New Roman" w:hAnsi="Times New Roman"/>
              </w:rPr>
              <w:t>) sindromas, Lajelio (</w:t>
            </w:r>
            <w:r w:rsidRPr="004C6E5C">
              <w:rPr>
                <w:rFonts w:ascii="Times New Roman" w:hAnsi="Times New Roman"/>
                <w:i/>
              </w:rPr>
              <w:t>Lyell</w:t>
            </w:r>
            <w:r w:rsidRPr="004C6E5C">
              <w:rPr>
                <w:rFonts w:ascii="Times New Roman" w:hAnsi="Times New Roman"/>
              </w:rPr>
              <w:t>) sindromas, purpura, mazginė eritema, daugiaformė eritema.</w:t>
            </w:r>
          </w:p>
          <w:p w14:paraId="4EC9A0AD" w14:textId="77777777" w:rsidR="00EB7699" w:rsidRPr="004C6E5C" w:rsidRDefault="00EB7699" w:rsidP="00EB7699">
            <w:pPr>
              <w:spacing w:after="0" w:line="260" w:lineRule="exact"/>
              <w:rPr>
                <w:rFonts w:ascii="Times New Roman" w:hAnsi="Times New Roman"/>
              </w:rPr>
            </w:pPr>
          </w:p>
        </w:tc>
      </w:tr>
      <w:tr w:rsidR="00EB7699" w:rsidRPr="00EB7699" w14:paraId="5D09ADF5"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5306C8FA"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Inkstų ir šlapimo takų sutrikimai</w:t>
            </w:r>
          </w:p>
        </w:tc>
        <w:tc>
          <w:tcPr>
            <w:tcW w:w="6360" w:type="dxa"/>
            <w:tcBorders>
              <w:top w:val="single" w:sz="4" w:space="0" w:color="auto"/>
              <w:left w:val="single" w:sz="4" w:space="0" w:color="auto"/>
              <w:bottom w:val="single" w:sz="4" w:space="0" w:color="auto"/>
              <w:right w:val="single" w:sz="4" w:space="0" w:color="auto"/>
            </w:tcBorders>
            <w:hideMark/>
          </w:tcPr>
          <w:p w14:paraId="4658FFED"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Dažnis nežinomas</w:t>
            </w:r>
          </w:p>
          <w:p w14:paraId="5F5F1085"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rPr>
              <w:t>Inkstų funkcijos sutrikimas.</w:t>
            </w:r>
          </w:p>
        </w:tc>
      </w:tr>
      <w:tr w:rsidR="00EB7699" w:rsidRPr="00EB7699" w14:paraId="53366FBB" w14:textId="77777777" w:rsidTr="00EB7699">
        <w:tc>
          <w:tcPr>
            <w:tcW w:w="2077" w:type="dxa"/>
            <w:tcBorders>
              <w:top w:val="single" w:sz="4" w:space="0" w:color="auto"/>
              <w:left w:val="single" w:sz="4" w:space="0" w:color="auto"/>
              <w:bottom w:val="single" w:sz="4" w:space="0" w:color="auto"/>
              <w:right w:val="single" w:sz="4" w:space="0" w:color="auto"/>
            </w:tcBorders>
            <w:hideMark/>
          </w:tcPr>
          <w:p w14:paraId="57638291" w14:textId="77777777" w:rsidR="00EB7699" w:rsidRPr="004C6E5C" w:rsidRDefault="00EB7699" w:rsidP="00EB7699">
            <w:pPr>
              <w:spacing w:after="0" w:line="260" w:lineRule="exact"/>
              <w:rPr>
                <w:rFonts w:ascii="Times New Roman" w:hAnsi="Times New Roman"/>
                <w:b/>
              </w:rPr>
            </w:pPr>
            <w:r w:rsidRPr="004C6E5C">
              <w:rPr>
                <w:rFonts w:ascii="Times New Roman" w:hAnsi="Times New Roman"/>
                <w:b/>
              </w:rPr>
              <w:t>Lytinės sistemos ir krūties sutrikimai</w:t>
            </w:r>
          </w:p>
        </w:tc>
        <w:tc>
          <w:tcPr>
            <w:tcW w:w="6360" w:type="dxa"/>
            <w:tcBorders>
              <w:top w:val="single" w:sz="4" w:space="0" w:color="auto"/>
              <w:left w:val="single" w:sz="4" w:space="0" w:color="auto"/>
              <w:bottom w:val="single" w:sz="4" w:space="0" w:color="auto"/>
              <w:right w:val="single" w:sz="4" w:space="0" w:color="auto"/>
            </w:tcBorders>
            <w:hideMark/>
          </w:tcPr>
          <w:p w14:paraId="1F94EA77"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i/>
              </w:rPr>
              <w:t>Reti</w:t>
            </w:r>
          </w:p>
          <w:p w14:paraId="2EF39F63" w14:textId="77777777" w:rsidR="00EB7699" w:rsidRPr="004C6E5C" w:rsidRDefault="00EB7699" w:rsidP="00EB7699">
            <w:pPr>
              <w:spacing w:after="0" w:line="260" w:lineRule="exact"/>
              <w:rPr>
                <w:rFonts w:ascii="Times New Roman" w:hAnsi="Times New Roman"/>
                <w:i/>
              </w:rPr>
            </w:pPr>
            <w:r w:rsidRPr="004C6E5C">
              <w:rPr>
                <w:rFonts w:ascii="Times New Roman" w:hAnsi="Times New Roman"/>
              </w:rPr>
              <w:t>Menoragija.</w:t>
            </w:r>
          </w:p>
        </w:tc>
      </w:tr>
    </w:tbl>
    <w:p w14:paraId="6A693FCF" w14:textId="77777777" w:rsidR="00EB7699" w:rsidRPr="004C6E5C" w:rsidRDefault="00EB7699" w:rsidP="00EB7699">
      <w:pPr>
        <w:spacing w:after="0" w:line="240" w:lineRule="auto"/>
        <w:rPr>
          <w:rFonts w:ascii="Times New Roman" w:hAnsi="Times New Roman"/>
        </w:rPr>
      </w:pPr>
    </w:p>
    <w:p w14:paraId="62C1D119" w14:textId="77777777" w:rsidR="00EB7699" w:rsidRPr="004C6E5C" w:rsidRDefault="00EB7699" w:rsidP="00EB7699">
      <w:pPr>
        <w:autoSpaceDE w:val="0"/>
        <w:autoSpaceDN w:val="0"/>
        <w:adjustRightInd w:val="0"/>
        <w:spacing w:after="0"/>
        <w:rPr>
          <w:rFonts w:ascii="Times New Roman" w:hAnsi="Times New Roman"/>
          <w:u w:val="single"/>
        </w:rPr>
      </w:pPr>
      <w:r w:rsidRPr="004C6E5C">
        <w:rPr>
          <w:rFonts w:ascii="Times New Roman" w:hAnsi="Times New Roman"/>
          <w:u w:val="single"/>
        </w:rPr>
        <w:t>Pranešimas apie įtariamas nepageidaujamas reakcijas</w:t>
      </w:r>
    </w:p>
    <w:p w14:paraId="407F914F" w14:textId="77777777" w:rsidR="00EB7699" w:rsidRPr="004C6E5C" w:rsidRDefault="00EB7699" w:rsidP="00EB7699">
      <w:pPr>
        <w:autoSpaceDE w:val="0"/>
        <w:autoSpaceDN w:val="0"/>
        <w:adjustRightInd w:val="0"/>
        <w:spacing w:after="0"/>
        <w:rPr>
          <w:rFonts w:ascii="Times New Roman" w:hAnsi="Times New Roman"/>
        </w:rPr>
      </w:pPr>
      <w:r w:rsidRPr="004C6E5C">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F10CF">
          <w:t>www.vvkt.lt</w:t>
        </w:r>
      </w:hyperlink>
      <w:r w:rsidRPr="004C6E5C">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F10CF">
          <w:t>NepageidaujamaR@vvkt.lt</w:t>
        </w:r>
      </w:hyperlink>
      <w:r w:rsidRPr="004C6E5C">
        <w:rPr>
          <w:rFonts w:ascii="Times New Roman" w:hAnsi="Times New Roman"/>
        </w:rPr>
        <w:t>), per interneto svetainę (adresu http://www.vvkt.lt).</w:t>
      </w:r>
    </w:p>
    <w:p w14:paraId="78F66CBF" w14:textId="77777777" w:rsidR="00EB7699" w:rsidRPr="004C6E5C" w:rsidRDefault="00EB7699" w:rsidP="00EB7699">
      <w:pPr>
        <w:spacing w:after="0" w:line="240" w:lineRule="auto"/>
        <w:rPr>
          <w:rFonts w:ascii="Times New Roman" w:hAnsi="Times New Roman"/>
          <w:i/>
        </w:rPr>
      </w:pPr>
    </w:p>
    <w:p w14:paraId="20B6CE8E" w14:textId="77777777" w:rsidR="00EB7699" w:rsidRPr="004C6E5C" w:rsidRDefault="00EB7699" w:rsidP="00EB7699">
      <w:pPr>
        <w:spacing w:after="0" w:line="240" w:lineRule="auto"/>
        <w:ind w:left="540" w:hanging="540"/>
        <w:rPr>
          <w:rFonts w:ascii="Times New Roman" w:hAnsi="Times New Roman"/>
          <w:b/>
        </w:rPr>
      </w:pPr>
      <w:bookmarkStart w:id="31" w:name="_Toc129243235"/>
      <w:bookmarkStart w:id="32" w:name="_Toc129243110"/>
      <w:bookmarkStart w:id="33" w:name="OLE_LINK1"/>
      <w:r w:rsidRPr="004C6E5C">
        <w:rPr>
          <w:rFonts w:ascii="Times New Roman" w:hAnsi="Times New Roman"/>
          <w:b/>
        </w:rPr>
        <w:t>4.9</w:t>
      </w:r>
      <w:r w:rsidRPr="004C6E5C">
        <w:rPr>
          <w:rFonts w:ascii="Times New Roman" w:hAnsi="Times New Roman"/>
          <w:b/>
        </w:rPr>
        <w:tab/>
        <w:t>Perdozavimas</w:t>
      </w:r>
      <w:bookmarkEnd w:id="31"/>
      <w:bookmarkEnd w:id="32"/>
    </w:p>
    <w:bookmarkEnd w:id="33"/>
    <w:p w14:paraId="201ED81B" w14:textId="77777777" w:rsidR="00EB7699" w:rsidRPr="004C6E5C" w:rsidRDefault="00EB7699" w:rsidP="00EB7699">
      <w:pPr>
        <w:spacing w:after="0" w:line="240" w:lineRule="auto"/>
        <w:rPr>
          <w:rFonts w:ascii="Times New Roman" w:hAnsi="Times New Roman"/>
        </w:rPr>
      </w:pPr>
    </w:p>
    <w:p w14:paraId="5A555854"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Nors kiekvienam pacientui poveikis gali labai skirtis, laikoma, kad suaugusiems žmonėms toksinį poveikį sukelia 200 mg/kg kūno svorio dozė, vaikams - 100 mg/kg kūno svorio dozė. Mirtina acetilsalicilo rūgšties dozė yra 25</w:t>
      </w:r>
      <w:r w:rsidRPr="004C6E5C">
        <w:rPr>
          <w:rFonts w:ascii="Times New Roman" w:hAnsi="Times New Roman"/>
        </w:rPr>
        <w:noBreakHyphen/>
        <w:t>30 gramų. Intoksikaciją rodo didesnė kaip 300 mg/l salicilatų koncentracija plazmoje. Didesnė kaip 500 mg/l koncentracija suaugusių žmonių plazmoje ir didesnė kaip 300 mg/l vaikų plazmoje paprastai sukelia sunkų toksinį poveikį.</w:t>
      </w:r>
    </w:p>
    <w:p w14:paraId="172A6429"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Perdozavimas gali sukelti žalingą poveikį senyviems pacientams ir ypač mažiems vaikams (perdozavimas gydymo metu ar dažnas netyčinis perdozavimas gali sukelti mirtį).</w:t>
      </w:r>
    </w:p>
    <w:p w14:paraId="505143F9" w14:textId="77777777" w:rsidR="00EB7699" w:rsidRPr="004C6E5C" w:rsidRDefault="00EB7699" w:rsidP="00EB7699">
      <w:pPr>
        <w:tabs>
          <w:tab w:val="left" w:pos="567"/>
        </w:tabs>
        <w:spacing w:after="0" w:line="260" w:lineRule="exact"/>
        <w:rPr>
          <w:rFonts w:ascii="Times New Roman" w:hAnsi="Times New Roman"/>
        </w:rPr>
      </w:pPr>
    </w:p>
    <w:p w14:paraId="58A98172"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Vidutinio sunkumo intoksikacijos simptomai</w:t>
      </w:r>
    </w:p>
    <w:p w14:paraId="79D7D205"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 xml:space="preserve">Ūžesys ausyse, klausos sutrikimas, galvos skausmas, svaigimas, sumišimas ir virškinimo trakto simptomai (pykinimas, vėmimas ir pilvo skausmas). </w:t>
      </w:r>
    </w:p>
    <w:p w14:paraId="67A10153" w14:textId="77777777" w:rsidR="00EB7699" w:rsidRPr="004C6E5C" w:rsidRDefault="00EB7699" w:rsidP="00EB7699">
      <w:pPr>
        <w:tabs>
          <w:tab w:val="left" w:pos="567"/>
        </w:tabs>
        <w:spacing w:after="0" w:line="260" w:lineRule="exact"/>
        <w:rPr>
          <w:rFonts w:ascii="Times New Roman" w:hAnsi="Times New Roman"/>
          <w:b/>
          <w:i/>
        </w:rPr>
      </w:pPr>
    </w:p>
    <w:p w14:paraId="26BCC291"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Sunkios intoksikacijos simptomai</w:t>
      </w:r>
    </w:p>
    <w:p w14:paraId="3281005B"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Simptomai yra susiję su sunkiu rūgščių ir šarmų pusiausvyros sutrikimu. Pirmiausia pasireiškia hiperventiliacija, kuri sukelia respiracinę alkalozę. Vėliau dėl kvėpavimo centro slopinimo pasireiškia respiracinė acidozė. Be to, salicilatai sukelia ir metabolinę acidozę.</w:t>
      </w:r>
    </w:p>
    <w:p w14:paraId="19F76812"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Kadangi mažiems vaikams intoksikacija yra pastebima tik vėlyvosiomis stadijomis, jiems paprastai būna pasireiškusi acidozė.</w:t>
      </w:r>
    </w:p>
    <w:p w14:paraId="4360392E"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lastRenderedPageBreak/>
        <w:t>Be to, gali atsirasti toliau išvardyti simptomai: hipertermija ir smarkus prakaitavimas, sukeliantis dehidrataciją: nerimo jausmas, traukuliai, haliucinacijos ir hipoglikemija. Centrinės nervų sistemos slopinimas gali sukelti komą, kardiovaskulinį kolapsą ar kvėpavimo sustojimą.</w:t>
      </w:r>
    </w:p>
    <w:p w14:paraId="5D7E6DDB" w14:textId="77777777" w:rsidR="00EB7699" w:rsidRPr="004C6E5C" w:rsidRDefault="00EB7699" w:rsidP="00EB7699">
      <w:pPr>
        <w:tabs>
          <w:tab w:val="left" w:pos="567"/>
        </w:tabs>
        <w:spacing w:after="0" w:line="260" w:lineRule="exact"/>
        <w:rPr>
          <w:rFonts w:ascii="Times New Roman" w:hAnsi="Times New Roman"/>
          <w:b/>
          <w:i/>
        </w:rPr>
      </w:pPr>
    </w:p>
    <w:p w14:paraId="564943B9"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Perdozavimo gydymas</w:t>
      </w:r>
    </w:p>
    <w:p w14:paraId="53B7EFE4"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 xml:space="preserve">Jei išgeriama toksinė dozė, pacientą būtina gydyti ligoninėje. Jei intoksikacija yra vidutinio sunkumo, būtina bandyti sukelti vėmimą. </w:t>
      </w:r>
    </w:p>
    <w:p w14:paraId="527AD5F1"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 xml:space="preserve">Jei tai nepavyksta, tuo atveju, jei išgerta didelė dozė, pirmąją valandą po pavartojimo galima bandyti plauti skrandį. Po to reikia skirti aktyvintosios anglies (adsorbento) ir natrio sulfato (vidurius paleidžiančio preparato). </w:t>
      </w:r>
    </w:p>
    <w:p w14:paraId="4D6E6FC4"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Galima skirti vienkartinę aktyvintosios anglies dozę (50 g suaugusiam žmogui, 1 g/kg kūno svorio jaunesniam kaip 12 metų vaikui).</w:t>
      </w:r>
    </w:p>
    <w:p w14:paraId="20C29DA7"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Reikia šarminti šlapimą (sulašinti 250 mmol NaHCO</w:t>
      </w:r>
      <w:r w:rsidRPr="004C6E5C">
        <w:rPr>
          <w:rFonts w:ascii="Times New Roman" w:hAnsi="Times New Roman"/>
          <w:vertAlign w:val="subscript"/>
        </w:rPr>
        <w:t>3</w:t>
      </w:r>
      <w:r w:rsidRPr="004C6E5C">
        <w:rPr>
          <w:rFonts w:ascii="Times New Roman" w:hAnsi="Times New Roman"/>
        </w:rPr>
        <w:t xml:space="preserve"> per tris valandas), tikrinant jo pH. </w:t>
      </w:r>
    </w:p>
    <w:p w14:paraId="6526D546"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Jei intoksikacija sunki, rekomenduojama atlikti hemodializę.</w:t>
      </w:r>
    </w:p>
    <w:p w14:paraId="1DD0D4D2"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Pagal reikalą skiriamas kitoks simptominis gydymas.</w:t>
      </w:r>
    </w:p>
    <w:p w14:paraId="6F812F76" w14:textId="77777777" w:rsidR="00EB7699" w:rsidRPr="004C6E5C" w:rsidRDefault="00EB7699" w:rsidP="00EB7699">
      <w:pPr>
        <w:spacing w:after="0" w:line="240" w:lineRule="auto"/>
        <w:rPr>
          <w:rFonts w:ascii="Times New Roman" w:hAnsi="Times New Roman"/>
        </w:rPr>
      </w:pPr>
    </w:p>
    <w:p w14:paraId="4A06C464" w14:textId="77777777" w:rsidR="00EB7699" w:rsidRPr="004C6E5C" w:rsidRDefault="00EB7699" w:rsidP="00EB7699">
      <w:pPr>
        <w:spacing w:after="0" w:line="240" w:lineRule="auto"/>
        <w:rPr>
          <w:rFonts w:ascii="Times New Roman" w:hAnsi="Times New Roman"/>
        </w:rPr>
      </w:pPr>
    </w:p>
    <w:p w14:paraId="00A91A5B" w14:textId="77777777" w:rsidR="00EB7699" w:rsidRPr="004C6E5C" w:rsidRDefault="00EB7699" w:rsidP="00EB7699">
      <w:pPr>
        <w:spacing w:after="0" w:line="240" w:lineRule="auto"/>
        <w:ind w:left="540" w:hanging="540"/>
        <w:rPr>
          <w:rFonts w:ascii="Times New Roman" w:hAnsi="Times New Roman"/>
          <w:b/>
        </w:rPr>
      </w:pPr>
      <w:bookmarkStart w:id="34" w:name="_Toc129243236"/>
      <w:bookmarkStart w:id="35" w:name="_Toc129243111"/>
      <w:r w:rsidRPr="004C6E5C">
        <w:rPr>
          <w:rFonts w:ascii="Times New Roman" w:hAnsi="Times New Roman"/>
          <w:b/>
        </w:rPr>
        <w:t>5.</w:t>
      </w:r>
      <w:r w:rsidRPr="004C6E5C">
        <w:rPr>
          <w:rFonts w:ascii="Times New Roman" w:hAnsi="Times New Roman"/>
          <w:b/>
        </w:rPr>
        <w:tab/>
        <w:t>FARMAKOLOGINĖS SAVYBĖS</w:t>
      </w:r>
      <w:bookmarkEnd w:id="34"/>
      <w:bookmarkEnd w:id="35"/>
    </w:p>
    <w:p w14:paraId="7264C95B" w14:textId="77777777" w:rsidR="00EB7699" w:rsidRPr="004C6E5C" w:rsidRDefault="00EB7699" w:rsidP="00EB7699">
      <w:pPr>
        <w:spacing w:after="0" w:line="240" w:lineRule="auto"/>
        <w:rPr>
          <w:rFonts w:ascii="Times New Roman" w:hAnsi="Times New Roman"/>
        </w:rPr>
      </w:pPr>
    </w:p>
    <w:p w14:paraId="1F8DA006" w14:textId="77777777" w:rsidR="00EB7699" w:rsidRPr="004C6E5C" w:rsidRDefault="00EB7699" w:rsidP="00EB7699">
      <w:pPr>
        <w:spacing w:after="0" w:line="240" w:lineRule="auto"/>
        <w:ind w:left="540" w:hanging="540"/>
        <w:rPr>
          <w:rFonts w:ascii="Times New Roman" w:hAnsi="Times New Roman"/>
          <w:b/>
        </w:rPr>
      </w:pPr>
      <w:bookmarkStart w:id="36" w:name="_Toc129243237"/>
      <w:bookmarkStart w:id="37" w:name="_Toc129243112"/>
      <w:r w:rsidRPr="004C6E5C">
        <w:rPr>
          <w:rFonts w:ascii="Times New Roman" w:hAnsi="Times New Roman"/>
          <w:b/>
        </w:rPr>
        <w:t>5.1</w:t>
      </w:r>
      <w:r w:rsidRPr="004C6E5C">
        <w:rPr>
          <w:rFonts w:ascii="Times New Roman" w:hAnsi="Times New Roman"/>
          <w:b/>
        </w:rPr>
        <w:tab/>
        <w:t>Farmakodinaminės savybės</w:t>
      </w:r>
      <w:bookmarkEnd w:id="36"/>
      <w:bookmarkEnd w:id="37"/>
    </w:p>
    <w:p w14:paraId="1740BDDB" w14:textId="77777777" w:rsidR="00EB7699" w:rsidRPr="004C6E5C" w:rsidRDefault="00EB7699" w:rsidP="00EB7699">
      <w:pPr>
        <w:spacing w:after="0" w:line="240" w:lineRule="auto"/>
        <w:rPr>
          <w:rFonts w:ascii="Times New Roman" w:hAnsi="Times New Roman"/>
        </w:rPr>
      </w:pPr>
    </w:p>
    <w:p w14:paraId="29C02C7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Farmakoterapinė grupė – antitromboziniai preparatai, trombocitų agregacijos inhibitoriai, išskyrus hepariną, ATC kodas – B01AC06</w:t>
      </w:r>
    </w:p>
    <w:p w14:paraId="4C7683A8" w14:textId="77777777" w:rsidR="00EB7699" w:rsidRPr="004C6E5C" w:rsidRDefault="00EB7699" w:rsidP="00EB7699">
      <w:pPr>
        <w:spacing w:after="0" w:line="240" w:lineRule="auto"/>
        <w:rPr>
          <w:rFonts w:ascii="Times New Roman" w:hAnsi="Times New Roman"/>
        </w:rPr>
      </w:pPr>
    </w:p>
    <w:p w14:paraId="79A5A73C"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Veikimo mechanizmas</w:t>
      </w:r>
    </w:p>
    <w:p w14:paraId="630D9584"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Acetilsalicilo rūgštis slopina trombocitų agregaciją: vykstant acetilinimui blokuojama trombocitų ciklooksigenazė ir slopinama tromboksano A2 (fiziologinį poveikį sukeliančios medžiagos, kurią išskiria trombocitai ir kuri yra svarbi pasireiškiant ateromų plyšimų komplikacijoms) sintezė.</w:t>
      </w:r>
    </w:p>
    <w:p w14:paraId="1B2DD860"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TXA2 sintezės slopinimas yra negrįžtamas, kadangi trombocitai, kuriuose nėra branduolių, negali sintezuoti naujos ciklooksigenazės (nes negali sintezuoti baltymų), kurią acetilino acetilsalicilo rūgštis.</w:t>
      </w:r>
    </w:p>
    <w:p w14:paraId="48D2922C" w14:textId="77777777" w:rsidR="00EB7699" w:rsidRPr="004C6E5C" w:rsidRDefault="00EB7699" w:rsidP="00EB7699">
      <w:pPr>
        <w:spacing w:after="0" w:line="240" w:lineRule="auto"/>
        <w:rPr>
          <w:rFonts w:ascii="Times New Roman" w:hAnsi="Times New Roman"/>
        </w:rPr>
      </w:pPr>
    </w:p>
    <w:p w14:paraId="513E7DC5"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Farmakodinaminis poveikis</w:t>
      </w:r>
    </w:p>
    <w:p w14:paraId="656BDBF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Kartotinai vartojamos 20</w:t>
      </w:r>
      <w:r w:rsidRPr="004C6E5C">
        <w:rPr>
          <w:rFonts w:ascii="Times New Roman" w:hAnsi="Times New Roman"/>
        </w:rPr>
        <w:noBreakHyphen/>
        <w:t>325 mg dozės fermentų aktyvumą sumažina 30</w:t>
      </w:r>
      <w:r w:rsidRPr="004C6E5C">
        <w:rPr>
          <w:rFonts w:ascii="Times New Roman" w:hAnsi="Times New Roman"/>
        </w:rPr>
        <w:noBreakHyphen/>
        <w:t xml:space="preserve">95%. </w:t>
      </w:r>
    </w:p>
    <w:p w14:paraId="75E24DB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Dėl negrįžtamo jungimosi poveikis išlieka tol, kol trombocitas nesuyra (7-10 dienų). Ilgalaikio gydymo atveju slopinamasis poveikis nesilpnėja, o gydymą nutraukus, po 24 </w:t>
      </w:r>
      <w:r w:rsidRPr="004C6E5C">
        <w:rPr>
          <w:rFonts w:ascii="Times New Roman" w:hAnsi="Times New Roman"/>
        </w:rPr>
        <w:noBreakHyphen/>
        <w:t>48 valandų fermentų aktyvumas pradeda laipsniškai didėti atsirandant naujiems trombocitams.</w:t>
      </w:r>
    </w:p>
    <w:p w14:paraId="05CBA3FF"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Acetilsalicilo rūgštis kraujavimo laiką didina vidutiniškai maždaug 50</w:t>
      </w:r>
      <w:r w:rsidRPr="004C6E5C">
        <w:rPr>
          <w:rFonts w:ascii="Times New Roman" w:hAnsi="Times New Roman"/>
        </w:rPr>
        <w:noBreakHyphen/>
        <w:t>100%, tačiau poveikis kiekvienam pacientui gali skirtis.</w:t>
      </w:r>
    </w:p>
    <w:p w14:paraId="705F2AB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Eksperimentinių tyrimų duomenys rodo, kad kartu vartojamas ibuprofenas gali slopinti mažų acetilsalicilo rūgšties dozių poveikį trombocitų agregacijai.</w:t>
      </w:r>
    </w:p>
    <w:p w14:paraId="0DF616A8"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Vieno tyrimo metu vienkartinę 400 mg ibuprofeno dozę pavartojus 8 valandų laikotarpiu iki nedelsiamo atpalaidavimo acetilsalicilo rūgšties dozės (81 mg) vartojimo arba per 30 minučių po jo, pastebėtas susilpnėjęs acetilsalicilo rūgšties poveikis tromboksano formavimuisi arba trombocitų agregacijai. Tačiau negausūs duomenys ir netikslumas perkeliant ex vivo duomenis į klinikinę patirtį neleidžia daryti griežtų išvadų dėl ibuprofeno reguliaraus vartojimo. Manoma, kad kliniškai reikšmingas poveikis, ibuprofeno vartojant nereguliariai, nėra tikėtinas.</w:t>
      </w:r>
    </w:p>
    <w:p w14:paraId="34CFE7CD" w14:textId="77777777" w:rsidR="00EB7699" w:rsidRPr="004C6E5C" w:rsidRDefault="00EB7699" w:rsidP="00EB7699">
      <w:pPr>
        <w:spacing w:after="0" w:line="240" w:lineRule="auto"/>
        <w:rPr>
          <w:rFonts w:ascii="Times New Roman" w:hAnsi="Times New Roman"/>
        </w:rPr>
      </w:pPr>
    </w:p>
    <w:p w14:paraId="26FC62DD" w14:textId="77777777" w:rsidR="00EB7699" w:rsidRPr="004C6E5C" w:rsidRDefault="00EB7699" w:rsidP="00EB7699">
      <w:pPr>
        <w:spacing w:after="0" w:line="240" w:lineRule="auto"/>
        <w:ind w:left="540" w:hanging="540"/>
        <w:rPr>
          <w:rFonts w:ascii="Times New Roman" w:hAnsi="Times New Roman"/>
          <w:b/>
        </w:rPr>
      </w:pPr>
      <w:bookmarkStart w:id="38" w:name="_Toc129243238"/>
      <w:bookmarkStart w:id="39" w:name="_Toc129243113"/>
      <w:r w:rsidRPr="004C6E5C">
        <w:rPr>
          <w:rFonts w:ascii="Times New Roman" w:hAnsi="Times New Roman"/>
          <w:b/>
        </w:rPr>
        <w:t>5.2</w:t>
      </w:r>
      <w:r w:rsidRPr="004C6E5C">
        <w:rPr>
          <w:rFonts w:ascii="Times New Roman" w:hAnsi="Times New Roman"/>
          <w:b/>
        </w:rPr>
        <w:tab/>
        <w:t>Farmakokinetinės savybės</w:t>
      </w:r>
      <w:bookmarkEnd w:id="38"/>
      <w:bookmarkEnd w:id="39"/>
    </w:p>
    <w:p w14:paraId="3B698563" w14:textId="77777777" w:rsidR="00EB7699" w:rsidRPr="004C6E5C" w:rsidRDefault="00EB7699" w:rsidP="00EB7699">
      <w:pPr>
        <w:spacing w:after="0" w:line="240" w:lineRule="auto"/>
        <w:rPr>
          <w:rFonts w:ascii="Times New Roman" w:hAnsi="Times New Roman"/>
        </w:rPr>
      </w:pPr>
    </w:p>
    <w:p w14:paraId="5A2EFD48" w14:textId="77777777" w:rsidR="00EB7699" w:rsidRPr="004C6E5C" w:rsidRDefault="00EB7699" w:rsidP="00EB7699">
      <w:pPr>
        <w:tabs>
          <w:tab w:val="left" w:pos="0"/>
        </w:tabs>
        <w:spacing w:after="0" w:line="260" w:lineRule="exact"/>
        <w:rPr>
          <w:rFonts w:ascii="Times New Roman" w:hAnsi="Times New Roman"/>
          <w:u w:val="single"/>
        </w:rPr>
      </w:pPr>
      <w:r w:rsidRPr="004C6E5C">
        <w:rPr>
          <w:rFonts w:ascii="Times New Roman" w:hAnsi="Times New Roman"/>
          <w:u w:val="single"/>
        </w:rPr>
        <w:t>Absorbcija</w:t>
      </w:r>
    </w:p>
    <w:p w14:paraId="57B79696"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Išgerta acetilsalicilo rūgštis greitai ir visiškai absorbuojama iš virškinimo trakto. Absorbcija daugiausia vyksta proksimalinėje plonosios žarnos dalyje. Reikšminga dozės dalis jau žarnos sienelėje hidrolizuojama į salicilo rūgštį absorbcijos metu. Hidrolizės laipsnis priklauso nuo absorbcijos greičio.</w:t>
      </w:r>
    </w:p>
    <w:p w14:paraId="3918D3C1" w14:textId="77777777" w:rsidR="00EB7699" w:rsidRPr="004C6E5C" w:rsidRDefault="00EB7699" w:rsidP="00EB7699">
      <w:pPr>
        <w:tabs>
          <w:tab w:val="left" w:pos="0"/>
        </w:tabs>
        <w:spacing w:after="0" w:line="260" w:lineRule="exact"/>
        <w:rPr>
          <w:rFonts w:ascii="Times New Roman" w:hAnsi="Times New Roman"/>
        </w:rPr>
      </w:pPr>
      <w:r w:rsidRPr="004C6E5C">
        <w:rPr>
          <w:rFonts w:ascii="Times New Roman" w:hAnsi="Times New Roman"/>
        </w:rPr>
        <w:t xml:space="preserve">Nevalgius išgėrus Provapirin skrandyje neirių tablečių, maksimali acetilsalicilo rūgšties ir salicilo rūgšties koncentracija plazmoje atsiranda atitinkamai po 5 valandų ir 6 valandų. Jei tabletės geriamos </w:t>
      </w:r>
      <w:r w:rsidRPr="004C6E5C">
        <w:rPr>
          <w:rFonts w:ascii="Times New Roman" w:hAnsi="Times New Roman"/>
        </w:rPr>
        <w:lastRenderedPageBreak/>
        <w:t>su maistu, maksimali koncentracija plazmoje atsiranda maždaug 3 valandomis vėliau, nei tuo atveju, jei tablečių vartojama nevalgius.</w:t>
      </w:r>
    </w:p>
    <w:p w14:paraId="08807619" w14:textId="77777777" w:rsidR="00EB7699" w:rsidRPr="004C6E5C" w:rsidRDefault="00EB7699" w:rsidP="00EB7699">
      <w:pPr>
        <w:tabs>
          <w:tab w:val="left" w:pos="0"/>
        </w:tabs>
        <w:spacing w:after="0" w:line="260" w:lineRule="exact"/>
        <w:rPr>
          <w:rFonts w:ascii="Times New Roman" w:hAnsi="Times New Roman"/>
          <w:b/>
          <w:i/>
        </w:rPr>
      </w:pPr>
    </w:p>
    <w:p w14:paraId="433F4E89" w14:textId="77777777" w:rsidR="00EB7699" w:rsidRPr="004C6E5C" w:rsidRDefault="00EB7699" w:rsidP="00EB7699">
      <w:pPr>
        <w:tabs>
          <w:tab w:val="left" w:pos="0"/>
        </w:tabs>
        <w:spacing w:after="0" w:line="260" w:lineRule="exact"/>
        <w:rPr>
          <w:rFonts w:ascii="Times New Roman" w:hAnsi="Times New Roman"/>
          <w:u w:val="single"/>
        </w:rPr>
      </w:pPr>
      <w:r w:rsidRPr="004C6E5C">
        <w:rPr>
          <w:rFonts w:ascii="Times New Roman" w:hAnsi="Times New Roman"/>
          <w:u w:val="single"/>
        </w:rPr>
        <w:t>Pasiskirstymas</w:t>
      </w:r>
    </w:p>
    <w:p w14:paraId="6EB4B31C" w14:textId="77777777" w:rsidR="00EB7699" w:rsidRPr="004C6E5C" w:rsidRDefault="00EB7699" w:rsidP="00EB7699">
      <w:pPr>
        <w:tabs>
          <w:tab w:val="left" w:pos="0"/>
        </w:tabs>
        <w:spacing w:after="0" w:line="260" w:lineRule="exact"/>
        <w:rPr>
          <w:rFonts w:ascii="Times New Roman" w:hAnsi="Times New Roman"/>
        </w:rPr>
      </w:pPr>
      <w:r w:rsidRPr="004C6E5C">
        <w:rPr>
          <w:rFonts w:ascii="Times New Roman" w:hAnsi="Times New Roman"/>
        </w:rPr>
        <w:t xml:space="preserve">Acetilsalicilo rūgštis ir svarbiausias jos metabolitas salicilo rūgštis ekstensyviai jungiasi prie plazmos baltymų, daugiausia albuminų, ir greitai pasiskirsto visose organizmo dalyse. Salicilo rūgšties jungimosi prie baltymų laipsnis labai priklauso nuo salicilo rūgšties ir albumino koncentracijos. Acetilsalicilo rūgšties pasiskirstymo tūris yra 0,16 l/kg kūno svorio. Salicilo rūgštis lėtai difunduoja į sąnarių skystį, pereina pro placentą ir patenka į moters pieną. </w:t>
      </w:r>
    </w:p>
    <w:p w14:paraId="2548351B" w14:textId="77777777" w:rsidR="00EB7699" w:rsidRPr="004C6E5C" w:rsidRDefault="00EB7699" w:rsidP="00EB7699">
      <w:pPr>
        <w:tabs>
          <w:tab w:val="left" w:pos="0"/>
        </w:tabs>
        <w:spacing w:after="0" w:line="260" w:lineRule="exact"/>
        <w:rPr>
          <w:rFonts w:ascii="Times New Roman" w:hAnsi="Times New Roman"/>
        </w:rPr>
      </w:pPr>
    </w:p>
    <w:p w14:paraId="5E2A1111" w14:textId="77777777" w:rsidR="00EB7699" w:rsidRPr="004C6E5C" w:rsidRDefault="00EB7699" w:rsidP="00EB7699">
      <w:pPr>
        <w:tabs>
          <w:tab w:val="left" w:pos="0"/>
        </w:tabs>
        <w:spacing w:after="0" w:line="260" w:lineRule="exact"/>
        <w:rPr>
          <w:rFonts w:ascii="Times New Roman" w:hAnsi="Times New Roman"/>
          <w:u w:val="single"/>
        </w:rPr>
      </w:pPr>
      <w:r w:rsidRPr="004C6E5C">
        <w:rPr>
          <w:rFonts w:ascii="Times New Roman" w:hAnsi="Times New Roman"/>
          <w:u w:val="single"/>
        </w:rPr>
        <w:t>Biotransformacija</w:t>
      </w:r>
    </w:p>
    <w:p w14:paraId="0EDDA53A" w14:textId="77777777" w:rsidR="00EB7699" w:rsidRPr="004C6E5C" w:rsidRDefault="00EB7699" w:rsidP="00EB7699">
      <w:pPr>
        <w:tabs>
          <w:tab w:val="left" w:pos="0"/>
          <w:tab w:val="left" w:pos="567"/>
        </w:tabs>
        <w:spacing w:after="0" w:line="260" w:lineRule="exact"/>
        <w:rPr>
          <w:rFonts w:ascii="Times New Roman" w:hAnsi="Times New Roman"/>
        </w:rPr>
      </w:pPr>
      <w:r w:rsidRPr="004C6E5C">
        <w:rPr>
          <w:rFonts w:ascii="Times New Roman" w:hAnsi="Times New Roman"/>
        </w:rPr>
        <w:t>Acetilsalicilo rūgštis greitai metabolizuojama į salicilo rūgštį, pusinis laikas yra 15-30 minučių. Po to salicilo rūgštis daugiausia verčiama į glicino ir gliukurono rūgšties konjugatus, be to, randama šiek tiek gentizo rūgšties.</w:t>
      </w:r>
    </w:p>
    <w:p w14:paraId="681852B2" w14:textId="77777777" w:rsidR="00EB7699" w:rsidRPr="004C6E5C" w:rsidRDefault="00EB7699" w:rsidP="00EB7699">
      <w:pPr>
        <w:tabs>
          <w:tab w:val="left" w:pos="0"/>
          <w:tab w:val="left" w:pos="567"/>
        </w:tabs>
        <w:spacing w:after="0" w:line="260" w:lineRule="exact"/>
        <w:rPr>
          <w:rFonts w:ascii="Times New Roman" w:hAnsi="Times New Roman"/>
        </w:rPr>
      </w:pPr>
    </w:p>
    <w:p w14:paraId="08297273" w14:textId="77777777" w:rsidR="00EB7699" w:rsidRPr="004C6E5C" w:rsidRDefault="00EB7699" w:rsidP="00EB7699">
      <w:pPr>
        <w:tabs>
          <w:tab w:val="left" w:pos="0"/>
        </w:tabs>
        <w:spacing w:after="0" w:line="260" w:lineRule="exact"/>
        <w:rPr>
          <w:rFonts w:ascii="Times New Roman" w:hAnsi="Times New Roman"/>
          <w:u w:val="single"/>
        </w:rPr>
      </w:pPr>
      <w:r w:rsidRPr="004C6E5C">
        <w:rPr>
          <w:rFonts w:ascii="Times New Roman" w:hAnsi="Times New Roman"/>
          <w:u w:val="single"/>
        </w:rPr>
        <w:t>Eliminacija</w:t>
      </w:r>
    </w:p>
    <w:p w14:paraId="39185BF4" w14:textId="77777777" w:rsidR="00EB7699" w:rsidRPr="004C6E5C" w:rsidRDefault="00EB7699" w:rsidP="00EB7699">
      <w:pPr>
        <w:tabs>
          <w:tab w:val="left" w:pos="0"/>
          <w:tab w:val="left" w:pos="567"/>
        </w:tabs>
        <w:spacing w:after="0" w:line="260" w:lineRule="exact"/>
        <w:rPr>
          <w:rFonts w:ascii="Times New Roman" w:hAnsi="Times New Roman"/>
        </w:rPr>
      </w:pPr>
      <w:r w:rsidRPr="004C6E5C">
        <w:rPr>
          <w:rFonts w:ascii="Times New Roman" w:hAnsi="Times New Roman"/>
        </w:rPr>
        <w:t>Salicilo rūgšties eliminacijos kinetika priklauso nuo dozės, kadangi metabolizmą riboja kepenų fermentų gebėjimas metabolizuoti. Dėl to pusinės eliminacijos laikas būna įvairus: 2</w:t>
      </w:r>
      <w:r w:rsidRPr="004C6E5C">
        <w:rPr>
          <w:rFonts w:ascii="Times New Roman" w:hAnsi="Times New Roman"/>
        </w:rPr>
        <w:noBreakHyphen/>
        <w:t>3 valandos po mažos dozės pavartojimo, 12 valandų po įprastos analgezinės dozės pavartojimo ir 15-30 valandų po didelės gydomosios dozės pavartojimo ar intoksikacijos atveju.</w:t>
      </w:r>
      <w:r w:rsidRPr="004C6E5C">
        <w:rPr>
          <w:rFonts w:ascii="Times New Roman" w:hAnsi="Times New Roman"/>
          <w:b/>
          <w:i/>
        </w:rPr>
        <w:t xml:space="preserve"> </w:t>
      </w:r>
      <w:r w:rsidRPr="004C6E5C">
        <w:rPr>
          <w:rFonts w:ascii="Times New Roman" w:hAnsi="Times New Roman"/>
        </w:rPr>
        <w:t xml:space="preserve"> </w:t>
      </w:r>
    </w:p>
    <w:p w14:paraId="768C5FA0" w14:textId="77777777" w:rsidR="00EB7699" w:rsidRPr="004C6E5C" w:rsidRDefault="00EB7699" w:rsidP="00EB7699">
      <w:pPr>
        <w:tabs>
          <w:tab w:val="left" w:pos="0"/>
        </w:tabs>
        <w:spacing w:after="0" w:line="260" w:lineRule="exact"/>
        <w:rPr>
          <w:rFonts w:ascii="Times New Roman" w:hAnsi="Times New Roman"/>
        </w:rPr>
      </w:pPr>
    </w:p>
    <w:p w14:paraId="023D81FA" w14:textId="77777777" w:rsidR="00EB7699" w:rsidRPr="004C6E5C" w:rsidRDefault="00EB7699" w:rsidP="00EB7699">
      <w:pPr>
        <w:tabs>
          <w:tab w:val="left" w:pos="0"/>
        </w:tabs>
        <w:spacing w:after="0" w:line="260" w:lineRule="exact"/>
        <w:rPr>
          <w:rFonts w:ascii="Times New Roman" w:hAnsi="Times New Roman"/>
          <w:u w:val="single"/>
        </w:rPr>
      </w:pPr>
      <w:r w:rsidRPr="004C6E5C">
        <w:rPr>
          <w:rFonts w:ascii="Times New Roman" w:hAnsi="Times New Roman"/>
          <w:u w:val="single"/>
        </w:rPr>
        <w:t>Ekskrecija</w:t>
      </w:r>
    </w:p>
    <w:p w14:paraId="0CB0093F" w14:textId="77777777" w:rsidR="00EB7699" w:rsidRPr="004C6E5C" w:rsidRDefault="00EB7699" w:rsidP="00EB7699">
      <w:pPr>
        <w:tabs>
          <w:tab w:val="left" w:pos="0"/>
          <w:tab w:val="left" w:pos="567"/>
        </w:tabs>
        <w:spacing w:after="0" w:line="260" w:lineRule="exact"/>
        <w:rPr>
          <w:rFonts w:ascii="Times New Roman" w:hAnsi="Times New Roman"/>
        </w:rPr>
      </w:pPr>
      <w:r w:rsidRPr="004C6E5C">
        <w:rPr>
          <w:rFonts w:ascii="Times New Roman" w:hAnsi="Times New Roman"/>
        </w:rPr>
        <w:t>Salicilo rūgštis ir jos metabolitai daugiausia išskiriami pro inkstus.</w:t>
      </w:r>
    </w:p>
    <w:p w14:paraId="585F7CEB" w14:textId="77777777" w:rsidR="00EB7699" w:rsidRPr="004C6E5C" w:rsidRDefault="00EB7699" w:rsidP="00EB7699">
      <w:pPr>
        <w:spacing w:after="0" w:line="240" w:lineRule="auto"/>
        <w:rPr>
          <w:rFonts w:ascii="Times New Roman" w:hAnsi="Times New Roman"/>
        </w:rPr>
      </w:pPr>
    </w:p>
    <w:p w14:paraId="62483BB2" w14:textId="77777777" w:rsidR="00EB7699" w:rsidRPr="004C6E5C" w:rsidRDefault="00EB7699" w:rsidP="00EB7699">
      <w:pPr>
        <w:spacing w:after="0" w:line="240" w:lineRule="auto"/>
        <w:ind w:left="540" w:hanging="540"/>
        <w:rPr>
          <w:rFonts w:ascii="Times New Roman" w:hAnsi="Times New Roman"/>
          <w:b/>
        </w:rPr>
      </w:pPr>
      <w:bookmarkStart w:id="40" w:name="_Toc129243239"/>
      <w:bookmarkStart w:id="41" w:name="_Toc129243114"/>
      <w:r w:rsidRPr="004C6E5C">
        <w:rPr>
          <w:rFonts w:ascii="Times New Roman" w:hAnsi="Times New Roman"/>
          <w:b/>
        </w:rPr>
        <w:t>5.3</w:t>
      </w:r>
      <w:r w:rsidRPr="004C6E5C">
        <w:rPr>
          <w:rFonts w:ascii="Times New Roman" w:hAnsi="Times New Roman"/>
          <w:b/>
        </w:rPr>
        <w:tab/>
        <w:t>Ikiklinikinių saugumo tyrimų duomenys</w:t>
      </w:r>
      <w:bookmarkEnd w:id="40"/>
      <w:bookmarkEnd w:id="41"/>
    </w:p>
    <w:p w14:paraId="082701A5" w14:textId="77777777" w:rsidR="00EB7699" w:rsidRPr="004C6E5C" w:rsidRDefault="00EB7699" w:rsidP="00EB7699">
      <w:pPr>
        <w:spacing w:after="0" w:line="240" w:lineRule="auto"/>
        <w:rPr>
          <w:rFonts w:ascii="Times New Roman" w:hAnsi="Times New Roman"/>
        </w:rPr>
      </w:pPr>
    </w:p>
    <w:p w14:paraId="5B76D295"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Acetilsalicilo rūgšties ikiklinikinės saugumo savybės yra gerai dokumentuotos.</w:t>
      </w:r>
    </w:p>
    <w:p w14:paraId="78798E71"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Tyrimų su gyvūnais duomenimis didelės salicilatų dozės sukelia inkstų pažaidą, bet nesukelia kitų organų pažaidos. Tyrimų su žiurkėmis metu patelei toksinį poveikį sukeliančios dozės sukėlė toksinį poveikį vaisiui ir teratogeninį poveikį. Klinikinė tokio poveikio reikšmė nėra žinoma, kadangi ikiklinikinų tyrimų metu vartotos dozės daug (mažiausiai 7 kartus) didesnės už maksimalią rekomenduojamą dozę kardiovaskulinėms indikacijoms.</w:t>
      </w:r>
    </w:p>
    <w:p w14:paraId="6A5A8FF7"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rPr>
        <w:t>Acetilsalicilo rūgšties mutageninis ir kancerogeninis poveikis yra ekstensyviai ištirtas. Pelių ir žiurkių tyrimų rezultatai nerodo jokių reikšmingų mutageninio ar kancerogeninio poveikio požymių.</w:t>
      </w:r>
    </w:p>
    <w:p w14:paraId="2F51EDF1" w14:textId="77777777" w:rsidR="00EB7699" w:rsidRPr="004C6E5C" w:rsidRDefault="00EB7699" w:rsidP="00EB7699">
      <w:pPr>
        <w:spacing w:after="0" w:line="240" w:lineRule="auto"/>
        <w:rPr>
          <w:rFonts w:ascii="Times New Roman" w:hAnsi="Times New Roman"/>
        </w:rPr>
      </w:pPr>
    </w:p>
    <w:p w14:paraId="75221003" w14:textId="77777777" w:rsidR="00EB7699" w:rsidRPr="004C6E5C" w:rsidRDefault="00EB7699" w:rsidP="00EB7699">
      <w:pPr>
        <w:spacing w:after="0" w:line="240" w:lineRule="auto"/>
        <w:rPr>
          <w:rFonts w:ascii="Times New Roman" w:hAnsi="Times New Roman"/>
        </w:rPr>
      </w:pPr>
    </w:p>
    <w:p w14:paraId="36CD3EA6" w14:textId="77777777" w:rsidR="00EB7699" w:rsidRPr="004C6E5C" w:rsidRDefault="00EB7699" w:rsidP="00EB7699">
      <w:pPr>
        <w:spacing w:after="0" w:line="240" w:lineRule="auto"/>
        <w:ind w:left="540" w:hanging="540"/>
        <w:rPr>
          <w:rFonts w:ascii="Times New Roman" w:hAnsi="Times New Roman"/>
          <w:b/>
        </w:rPr>
      </w:pPr>
      <w:bookmarkStart w:id="42" w:name="_Toc129243240"/>
      <w:bookmarkStart w:id="43" w:name="_Toc129243115"/>
      <w:r w:rsidRPr="004C6E5C">
        <w:rPr>
          <w:rFonts w:ascii="Times New Roman" w:hAnsi="Times New Roman"/>
          <w:b/>
        </w:rPr>
        <w:t>6.</w:t>
      </w:r>
      <w:r w:rsidRPr="004C6E5C">
        <w:rPr>
          <w:rFonts w:ascii="Times New Roman" w:hAnsi="Times New Roman"/>
          <w:b/>
        </w:rPr>
        <w:tab/>
        <w:t>FARMACINĖ INFORMACIJA</w:t>
      </w:r>
      <w:bookmarkEnd w:id="42"/>
      <w:bookmarkEnd w:id="43"/>
    </w:p>
    <w:p w14:paraId="7AE92E02" w14:textId="77777777" w:rsidR="00EB7699" w:rsidRPr="004C6E5C" w:rsidRDefault="00EB7699" w:rsidP="00EB7699">
      <w:pPr>
        <w:spacing w:after="0" w:line="240" w:lineRule="auto"/>
        <w:rPr>
          <w:rFonts w:ascii="Times New Roman" w:hAnsi="Times New Roman"/>
        </w:rPr>
      </w:pPr>
    </w:p>
    <w:p w14:paraId="5E96FC69" w14:textId="77777777" w:rsidR="00EB7699" w:rsidRPr="004C6E5C" w:rsidRDefault="00EB7699" w:rsidP="00EB7699">
      <w:pPr>
        <w:spacing w:after="0" w:line="240" w:lineRule="auto"/>
        <w:ind w:left="540" w:hanging="540"/>
        <w:rPr>
          <w:rFonts w:ascii="Times New Roman" w:hAnsi="Times New Roman"/>
          <w:b/>
        </w:rPr>
      </w:pPr>
      <w:bookmarkStart w:id="44" w:name="_Toc129243241"/>
      <w:bookmarkStart w:id="45" w:name="_Toc129243116"/>
      <w:r w:rsidRPr="004C6E5C">
        <w:rPr>
          <w:rFonts w:ascii="Times New Roman" w:hAnsi="Times New Roman"/>
          <w:b/>
        </w:rPr>
        <w:t>6.1</w:t>
      </w:r>
      <w:r w:rsidRPr="004C6E5C">
        <w:rPr>
          <w:rFonts w:ascii="Times New Roman" w:hAnsi="Times New Roman"/>
          <w:b/>
        </w:rPr>
        <w:tab/>
        <w:t>Pagalbinių medžiagų sąrašas</w:t>
      </w:r>
      <w:bookmarkEnd w:id="44"/>
      <w:bookmarkEnd w:id="45"/>
    </w:p>
    <w:p w14:paraId="615E2162" w14:textId="77777777" w:rsidR="00EB7699" w:rsidRPr="004C6E5C" w:rsidRDefault="00EB7699" w:rsidP="00EB7699">
      <w:pPr>
        <w:spacing w:after="0" w:line="240" w:lineRule="auto"/>
        <w:rPr>
          <w:rFonts w:ascii="Times New Roman" w:hAnsi="Times New Roman"/>
        </w:rPr>
      </w:pPr>
    </w:p>
    <w:p w14:paraId="73339340" w14:textId="77777777" w:rsidR="00EB7699" w:rsidRPr="004C6E5C" w:rsidRDefault="00EB7699" w:rsidP="00EB7699">
      <w:pPr>
        <w:spacing w:after="0" w:line="240" w:lineRule="auto"/>
        <w:rPr>
          <w:rFonts w:ascii="Times New Roman" w:hAnsi="Times New Roman"/>
          <w:i/>
        </w:rPr>
      </w:pPr>
      <w:r w:rsidRPr="004C6E5C">
        <w:rPr>
          <w:rFonts w:ascii="Times New Roman" w:hAnsi="Times New Roman"/>
          <w:i/>
        </w:rPr>
        <w:t>Tabletės branduolys</w:t>
      </w:r>
    </w:p>
    <w:p w14:paraId="1CA4F89C"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Mikrokristalinė celiuliozė</w:t>
      </w:r>
    </w:p>
    <w:p w14:paraId="7FE243F9"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Kukurūzų krakmolas</w:t>
      </w:r>
    </w:p>
    <w:p w14:paraId="2656965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Koloidinis bevandenis silicio dioksidas</w:t>
      </w:r>
    </w:p>
    <w:p w14:paraId="62D2CDF0"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Stearino rūgštis</w:t>
      </w:r>
    </w:p>
    <w:p w14:paraId="4C3368D2" w14:textId="77777777" w:rsidR="00EB7699" w:rsidRPr="004C6E5C" w:rsidRDefault="00EB7699" w:rsidP="00EB7699">
      <w:pPr>
        <w:spacing w:after="0" w:line="240" w:lineRule="auto"/>
        <w:rPr>
          <w:rFonts w:ascii="Times New Roman" w:hAnsi="Times New Roman"/>
        </w:rPr>
      </w:pPr>
    </w:p>
    <w:p w14:paraId="6B492B0F" w14:textId="77777777" w:rsidR="00EB7699" w:rsidRPr="004C6E5C" w:rsidRDefault="00EB7699" w:rsidP="00EB7699">
      <w:pPr>
        <w:spacing w:after="0" w:line="240" w:lineRule="auto"/>
        <w:rPr>
          <w:rFonts w:ascii="Times New Roman" w:hAnsi="Times New Roman"/>
          <w:i/>
        </w:rPr>
      </w:pPr>
      <w:r w:rsidRPr="004C6E5C">
        <w:rPr>
          <w:rFonts w:ascii="Times New Roman" w:hAnsi="Times New Roman"/>
          <w:i/>
        </w:rPr>
        <w:t>Tabletės plėvelė</w:t>
      </w:r>
    </w:p>
    <w:p w14:paraId="7105D86E"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Metakrilo rūgšties ir etilakrilato 1:1 kopolimero 30 </w:t>
      </w:r>
      <w:r w:rsidRPr="00EB7699">
        <w:rPr>
          <w:rFonts w:ascii="Times New Roman" w:eastAsia="Calibri" w:hAnsi="Times New Roman" w:cs="Times New Roman"/>
          <w:noProof w:val="0"/>
          <w:lang w:val="pt-PT"/>
        </w:rPr>
        <w:t>%</w:t>
      </w:r>
      <w:r w:rsidRPr="004C6E5C">
        <w:rPr>
          <w:rFonts w:ascii="Times New Roman" w:hAnsi="Times New Roman"/>
        </w:rPr>
        <w:t xml:space="preserve"> dispersija</w:t>
      </w:r>
    </w:p>
    <w:p w14:paraId="084CE914"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Polisorbatas 80</w:t>
      </w:r>
    </w:p>
    <w:p w14:paraId="0996542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Natrio laurilsulfatas</w:t>
      </w:r>
    </w:p>
    <w:p w14:paraId="6726EBE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Trietilo citratas</w:t>
      </w:r>
    </w:p>
    <w:p w14:paraId="5B34DC4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Talkas </w:t>
      </w:r>
    </w:p>
    <w:p w14:paraId="15F45895" w14:textId="77777777" w:rsidR="00EB7699" w:rsidRPr="004C6E5C" w:rsidRDefault="00EB7699" w:rsidP="00EB7699">
      <w:pPr>
        <w:spacing w:after="0" w:line="240" w:lineRule="auto"/>
        <w:rPr>
          <w:rFonts w:ascii="Times New Roman" w:hAnsi="Times New Roman"/>
        </w:rPr>
      </w:pPr>
    </w:p>
    <w:p w14:paraId="59F7011A" w14:textId="77777777" w:rsidR="00EB7699" w:rsidRPr="004C6E5C" w:rsidRDefault="00EB7699" w:rsidP="00EB7699">
      <w:pPr>
        <w:spacing w:after="0" w:line="240" w:lineRule="auto"/>
        <w:ind w:left="540" w:hanging="540"/>
        <w:rPr>
          <w:rFonts w:ascii="Times New Roman" w:hAnsi="Times New Roman"/>
          <w:b/>
        </w:rPr>
      </w:pPr>
      <w:bookmarkStart w:id="46" w:name="_Toc129243242"/>
      <w:bookmarkStart w:id="47" w:name="_Toc129243117"/>
      <w:r w:rsidRPr="004C6E5C">
        <w:rPr>
          <w:rFonts w:ascii="Times New Roman" w:hAnsi="Times New Roman"/>
          <w:b/>
        </w:rPr>
        <w:t>6.2</w:t>
      </w:r>
      <w:r w:rsidRPr="004C6E5C">
        <w:rPr>
          <w:rFonts w:ascii="Times New Roman" w:hAnsi="Times New Roman"/>
          <w:b/>
        </w:rPr>
        <w:tab/>
        <w:t>Nesuderinamumas</w:t>
      </w:r>
      <w:bookmarkEnd w:id="46"/>
      <w:bookmarkEnd w:id="47"/>
    </w:p>
    <w:p w14:paraId="73F22C64" w14:textId="77777777" w:rsidR="00EB7699" w:rsidRPr="004C6E5C" w:rsidRDefault="00EB7699" w:rsidP="00EB7699">
      <w:pPr>
        <w:spacing w:after="0" w:line="240" w:lineRule="auto"/>
        <w:rPr>
          <w:rFonts w:ascii="Times New Roman" w:hAnsi="Times New Roman"/>
        </w:rPr>
      </w:pPr>
    </w:p>
    <w:p w14:paraId="2C9DF26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Duomenys nebūtini.</w:t>
      </w:r>
    </w:p>
    <w:p w14:paraId="426895C2" w14:textId="77777777" w:rsidR="00EB7699" w:rsidRPr="004C6E5C" w:rsidRDefault="00EB7699" w:rsidP="00EB7699">
      <w:pPr>
        <w:spacing w:after="0" w:line="240" w:lineRule="auto"/>
        <w:rPr>
          <w:rFonts w:ascii="Times New Roman" w:hAnsi="Times New Roman"/>
        </w:rPr>
      </w:pPr>
    </w:p>
    <w:p w14:paraId="41460C7E" w14:textId="77777777" w:rsidR="00EB7699" w:rsidRPr="004C6E5C" w:rsidRDefault="00EB7699" w:rsidP="00EB7699">
      <w:pPr>
        <w:spacing w:after="0" w:line="240" w:lineRule="auto"/>
        <w:ind w:left="540" w:hanging="540"/>
        <w:rPr>
          <w:rFonts w:ascii="Times New Roman" w:hAnsi="Times New Roman"/>
          <w:b/>
        </w:rPr>
      </w:pPr>
      <w:bookmarkStart w:id="48" w:name="_Toc129243243"/>
      <w:bookmarkStart w:id="49" w:name="_Toc129243118"/>
      <w:r w:rsidRPr="004C6E5C">
        <w:rPr>
          <w:rFonts w:ascii="Times New Roman" w:hAnsi="Times New Roman"/>
          <w:b/>
        </w:rPr>
        <w:t>6.3</w:t>
      </w:r>
      <w:r w:rsidRPr="004C6E5C">
        <w:rPr>
          <w:rFonts w:ascii="Times New Roman" w:hAnsi="Times New Roman"/>
          <w:b/>
        </w:rPr>
        <w:tab/>
        <w:t>Tinkamumo laikas</w:t>
      </w:r>
      <w:bookmarkEnd w:id="48"/>
      <w:bookmarkEnd w:id="49"/>
    </w:p>
    <w:p w14:paraId="375A0F85" w14:textId="77777777" w:rsidR="00EB7699" w:rsidRPr="004C6E5C" w:rsidRDefault="00EB7699" w:rsidP="00EB7699">
      <w:pPr>
        <w:spacing w:after="0" w:line="240" w:lineRule="auto"/>
        <w:rPr>
          <w:rFonts w:ascii="Times New Roman" w:hAnsi="Times New Roman"/>
        </w:rPr>
      </w:pPr>
    </w:p>
    <w:p w14:paraId="151241AD" w14:textId="1006A068" w:rsidR="00EB7699" w:rsidRPr="004C6E5C" w:rsidRDefault="008B396D" w:rsidP="00EB7699">
      <w:pPr>
        <w:spacing w:after="0" w:line="240" w:lineRule="auto"/>
        <w:rPr>
          <w:rFonts w:ascii="Times New Roman" w:hAnsi="Times New Roman"/>
        </w:rPr>
      </w:pPr>
      <w:r>
        <w:rPr>
          <w:rFonts w:ascii="Times New Roman" w:eastAsia="Calibri" w:hAnsi="Times New Roman" w:cs="Times New Roman"/>
          <w:noProof w:val="0"/>
        </w:rPr>
        <w:t>3</w:t>
      </w:r>
      <w:r w:rsidR="00EB7699" w:rsidRPr="004C6E5C">
        <w:rPr>
          <w:rFonts w:ascii="Times New Roman" w:hAnsi="Times New Roman"/>
        </w:rPr>
        <w:t xml:space="preserve"> metai.</w:t>
      </w:r>
    </w:p>
    <w:p w14:paraId="786E53F3" w14:textId="77777777" w:rsidR="00EB7699" w:rsidRPr="004C6E5C" w:rsidRDefault="00EB7699" w:rsidP="00EB7699">
      <w:pPr>
        <w:spacing w:after="0" w:line="240" w:lineRule="auto"/>
        <w:rPr>
          <w:rFonts w:ascii="Times New Roman" w:hAnsi="Times New Roman"/>
        </w:rPr>
      </w:pPr>
    </w:p>
    <w:p w14:paraId="3B9783C5" w14:textId="77777777" w:rsidR="00EB7699" w:rsidRPr="004C6E5C" w:rsidRDefault="00EB7699" w:rsidP="00EB7699">
      <w:pPr>
        <w:spacing w:after="0" w:line="240" w:lineRule="auto"/>
        <w:ind w:left="540" w:hanging="540"/>
        <w:rPr>
          <w:rFonts w:ascii="Times New Roman" w:hAnsi="Times New Roman"/>
          <w:b/>
        </w:rPr>
      </w:pPr>
      <w:bookmarkStart w:id="50" w:name="_Toc129243244"/>
      <w:bookmarkStart w:id="51" w:name="_Toc129243119"/>
      <w:r w:rsidRPr="004C6E5C">
        <w:rPr>
          <w:rFonts w:ascii="Times New Roman" w:hAnsi="Times New Roman"/>
          <w:b/>
        </w:rPr>
        <w:t>6.4</w:t>
      </w:r>
      <w:r w:rsidRPr="004C6E5C">
        <w:rPr>
          <w:rFonts w:ascii="Times New Roman" w:hAnsi="Times New Roman"/>
          <w:b/>
        </w:rPr>
        <w:tab/>
        <w:t>Specialios laikymo sąlygos</w:t>
      </w:r>
      <w:bookmarkEnd w:id="50"/>
      <w:bookmarkEnd w:id="51"/>
    </w:p>
    <w:p w14:paraId="3EA6E506" w14:textId="77777777" w:rsidR="00EB7699" w:rsidRPr="004C6E5C" w:rsidRDefault="00EB7699" w:rsidP="00EB7699">
      <w:pPr>
        <w:spacing w:after="0" w:line="240" w:lineRule="auto"/>
        <w:rPr>
          <w:rFonts w:ascii="Times New Roman" w:hAnsi="Times New Roman"/>
        </w:rPr>
      </w:pPr>
    </w:p>
    <w:p w14:paraId="23ACE37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Laikyti žemesnėje kaip 25°C temperatūroje.</w:t>
      </w:r>
    </w:p>
    <w:p w14:paraId="3A9ED5E6" w14:textId="77777777" w:rsidR="00EB7699" w:rsidRPr="004C6E5C" w:rsidRDefault="00EB7699" w:rsidP="00EB7699">
      <w:pPr>
        <w:spacing w:after="0" w:line="240" w:lineRule="auto"/>
        <w:rPr>
          <w:rFonts w:ascii="Times New Roman" w:hAnsi="Times New Roman"/>
        </w:rPr>
      </w:pPr>
    </w:p>
    <w:p w14:paraId="7A809C96" w14:textId="69447F49" w:rsidR="00EB7699" w:rsidRPr="004C6E5C" w:rsidRDefault="0096302A" w:rsidP="00EB7699">
      <w:pPr>
        <w:spacing w:after="0" w:line="240" w:lineRule="auto"/>
        <w:rPr>
          <w:rFonts w:ascii="Times New Roman" w:hAnsi="Times New Roman"/>
        </w:rPr>
      </w:pPr>
      <w:r>
        <w:rPr>
          <w:rFonts w:ascii="Times New Roman" w:eastAsia="Calibri" w:hAnsi="Times New Roman" w:cs="Times New Roman"/>
          <w:noProof w:val="0"/>
        </w:rPr>
        <w:t>L</w:t>
      </w:r>
      <w:r w:rsidR="00EB7699" w:rsidRPr="00EB7699">
        <w:rPr>
          <w:rFonts w:ascii="Times New Roman" w:eastAsia="Calibri" w:hAnsi="Times New Roman" w:cs="Times New Roman"/>
          <w:noProof w:val="0"/>
        </w:rPr>
        <w:t>aikyti</w:t>
      </w:r>
      <w:r w:rsidR="00EB7699" w:rsidRPr="004C6E5C">
        <w:rPr>
          <w:rFonts w:ascii="Times New Roman" w:hAnsi="Times New Roman"/>
        </w:rPr>
        <w:t xml:space="preserve"> gamintojo pakuotėje, kad preparatas būtų apsaugotas nuo drėgmės.</w:t>
      </w:r>
    </w:p>
    <w:p w14:paraId="33042400" w14:textId="3C2EC782" w:rsidR="00EB7699" w:rsidRPr="00EB7699" w:rsidRDefault="00EB7699" w:rsidP="00EB7699">
      <w:pPr>
        <w:spacing w:after="0" w:line="240" w:lineRule="auto"/>
        <w:rPr>
          <w:rFonts w:ascii="Times New Roman" w:eastAsia="Calibri" w:hAnsi="Times New Roman" w:cs="Times New Roman"/>
          <w:noProof w:val="0"/>
        </w:rPr>
      </w:pPr>
    </w:p>
    <w:p w14:paraId="40E5D111" w14:textId="77777777" w:rsidR="00EB7699" w:rsidRPr="004C6E5C" w:rsidRDefault="00EB7699" w:rsidP="00EB7699">
      <w:pPr>
        <w:spacing w:after="0" w:line="240" w:lineRule="auto"/>
        <w:rPr>
          <w:rFonts w:ascii="Times New Roman" w:hAnsi="Times New Roman"/>
        </w:rPr>
      </w:pPr>
    </w:p>
    <w:p w14:paraId="4B925470" w14:textId="77777777" w:rsidR="00EB7699" w:rsidRPr="004C6E5C" w:rsidRDefault="00EB7699" w:rsidP="00EB7699">
      <w:pPr>
        <w:spacing w:after="0" w:line="240" w:lineRule="auto"/>
        <w:ind w:left="540" w:hanging="540"/>
        <w:rPr>
          <w:rFonts w:ascii="Times New Roman" w:hAnsi="Times New Roman"/>
          <w:b/>
        </w:rPr>
      </w:pPr>
      <w:bookmarkStart w:id="52" w:name="_Toc129243245"/>
      <w:bookmarkStart w:id="53" w:name="_Toc129243120"/>
      <w:r w:rsidRPr="004C6E5C">
        <w:rPr>
          <w:rFonts w:ascii="Times New Roman" w:hAnsi="Times New Roman"/>
          <w:b/>
        </w:rPr>
        <w:t>6.5</w:t>
      </w:r>
      <w:r w:rsidRPr="004C6E5C">
        <w:rPr>
          <w:rFonts w:ascii="Times New Roman" w:hAnsi="Times New Roman"/>
          <w:b/>
        </w:rPr>
        <w:tab/>
        <w:t>Talpyklės pobūdis ir jos turinys</w:t>
      </w:r>
      <w:bookmarkEnd w:id="52"/>
      <w:bookmarkEnd w:id="53"/>
    </w:p>
    <w:p w14:paraId="47BE2FAB" w14:textId="77777777" w:rsidR="00EB7699" w:rsidRPr="004C6E5C" w:rsidRDefault="00EB7699" w:rsidP="00EB7699">
      <w:pPr>
        <w:spacing w:after="0" w:line="240" w:lineRule="auto"/>
        <w:rPr>
          <w:rFonts w:ascii="Times New Roman" w:hAnsi="Times New Roman"/>
        </w:rPr>
      </w:pPr>
    </w:p>
    <w:p w14:paraId="66378AEF"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Lizdinė plokštelė (PVC/aliuminio).</w:t>
      </w:r>
    </w:p>
    <w:p w14:paraId="1918B715" w14:textId="77777777" w:rsidR="00EB7699" w:rsidRPr="004C6E5C" w:rsidRDefault="00EB7699" w:rsidP="00EB7699">
      <w:pPr>
        <w:spacing w:after="0" w:line="240" w:lineRule="auto"/>
        <w:rPr>
          <w:rFonts w:ascii="Times New Roman" w:hAnsi="Times New Roman"/>
        </w:rPr>
      </w:pPr>
    </w:p>
    <w:p w14:paraId="6434666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Pakuotės dydžiai:</w:t>
      </w:r>
    </w:p>
    <w:p w14:paraId="4948C1ED" w14:textId="2D7F2237" w:rsidR="00EB7699" w:rsidRPr="004C6E5C" w:rsidRDefault="00EB7699" w:rsidP="00EB7699">
      <w:pPr>
        <w:spacing w:after="0" w:line="240" w:lineRule="auto"/>
        <w:rPr>
          <w:rFonts w:ascii="Times New Roman" w:hAnsi="Times New Roman"/>
        </w:rPr>
      </w:pPr>
      <w:r w:rsidRPr="004C6E5C">
        <w:rPr>
          <w:rFonts w:ascii="Times New Roman" w:hAnsi="Times New Roman"/>
        </w:rPr>
        <w:t>10, 20, 28, 30, 50, 56, 60, 90, 100 skrandyje neirių tablečių.</w:t>
      </w:r>
    </w:p>
    <w:p w14:paraId="67E5699A" w14:textId="77777777" w:rsidR="00EB7699" w:rsidRPr="004C6E5C" w:rsidRDefault="00EB7699" w:rsidP="00EB7699">
      <w:pPr>
        <w:spacing w:after="0" w:line="240" w:lineRule="auto"/>
        <w:rPr>
          <w:rFonts w:ascii="Times New Roman" w:hAnsi="Times New Roman"/>
        </w:rPr>
      </w:pPr>
    </w:p>
    <w:p w14:paraId="67111BC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Gali būti tiekiamos ne visų dydžių pakuotės.</w:t>
      </w:r>
    </w:p>
    <w:p w14:paraId="16636B2D" w14:textId="77777777" w:rsidR="00EB7699" w:rsidRPr="00CD0380" w:rsidRDefault="00EB7699" w:rsidP="00EB7699">
      <w:pPr>
        <w:spacing w:after="0" w:line="240" w:lineRule="auto"/>
        <w:rPr>
          <w:rFonts w:ascii="Times New Roman" w:hAnsi="Times New Roman" w:cs="Times New Roman"/>
        </w:rPr>
      </w:pPr>
    </w:p>
    <w:p w14:paraId="7F135491" w14:textId="77777777" w:rsidR="00EB7699" w:rsidRPr="00CD0380" w:rsidRDefault="00EB7699" w:rsidP="00EB7699">
      <w:pPr>
        <w:keepNext/>
        <w:keepLines/>
        <w:tabs>
          <w:tab w:val="left" w:pos="567"/>
        </w:tabs>
        <w:spacing w:after="0" w:line="240" w:lineRule="auto"/>
        <w:ind w:left="567" w:hanging="567"/>
        <w:outlineLvl w:val="2"/>
        <w:rPr>
          <w:rFonts w:ascii="Times New Roman" w:hAnsi="Times New Roman" w:cs="Times New Roman"/>
          <w:b/>
          <w:kern w:val="28"/>
        </w:rPr>
      </w:pPr>
      <w:bookmarkStart w:id="54" w:name="_Toc129243246"/>
      <w:bookmarkStart w:id="55" w:name="_Toc129243121"/>
      <w:r w:rsidRPr="00DA39F2">
        <w:rPr>
          <w:rFonts w:ascii="Times New Roman" w:hAnsi="Times New Roman" w:cs="Times New Roman"/>
          <w:b/>
          <w:kern w:val="28"/>
        </w:rPr>
        <w:t>6.6</w:t>
      </w:r>
      <w:r w:rsidRPr="00DA39F2">
        <w:rPr>
          <w:rFonts w:ascii="Times New Roman" w:hAnsi="Times New Roman" w:cs="Times New Roman"/>
          <w:b/>
          <w:kern w:val="28"/>
        </w:rPr>
        <w:tab/>
      </w:r>
      <w:r w:rsidRPr="00CF10CF">
        <w:t>Specialūs reikalavimai atliekoms tvarkyti</w:t>
      </w:r>
      <w:bookmarkEnd w:id="54"/>
      <w:bookmarkEnd w:id="55"/>
    </w:p>
    <w:p w14:paraId="23A039DC" w14:textId="77777777" w:rsidR="00EB7699" w:rsidRPr="004C6E5C" w:rsidRDefault="00EB7699" w:rsidP="00EB7699">
      <w:pPr>
        <w:spacing w:after="0" w:line="240" w:lineRule="auto"/>
        <w:rPr>
          <w:rFonts w:ascii="Times New Roman" w:hAnsi="Times New Roman"/>
        </w:rPr>
      </w:pPr>
    </w:p>
    <w:p w14:paraId="54D8781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Specialių reikalavimų nėra.</w:t>
      </w:r>
    </w:p>
    <w:p w14:paraId="0F8351DD" w14:textId="77777777" w:rsidR="00EB7699" w:rsidRPr="004C6E5C" w:rsidRDefault="00EB7699" w:rsidP="00EB7699">
      <w:pPr>
        <w:spacing w:after="0" w:line="240" w:lineRule="auto"/>
        <w:rPr>
          <w:rFonts w:ascii="Times New Roman" w:hAnsi="Times New Roman"/>
        </w:rPr>
      </w:pPr>
    </w:p>
    <w:p w14:paraId="3BE84069" w14:textId="77777777" w:rsidR="00EB7699" w:rsidRPr="004C6E5C" w:rsidRDefault="00EB7699" w:rsidP="00EB7699">
      <w:pPr>
        <w:spacing w:after="0" w:line="240" w:lineRule="auto"/>
        <w:rPr>
          <w:rFonts w:ascii="Times New Roman" w:hAnsi="Times New Roman"/>
        </w:rPr>
      </w:pPr>
    </w:p>
    <w:p w14:paraId="57FBCDAA"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56" w:name="_Toc129243247"/>
      <w:bookmarkStart w:id="57" w:name="_Toc129243122"/>
      <w:r w:rsidRPr="004C6E5C">
        <w:rPr>
          <w:rFonts w:ascii="Times New Roman" w:hAnsi="Times New Roman"/>
          <w:b/>
        </w:rPr>
        <w:t>7.</w:t>
      </w:r>
      <w:r w:rsidRPr="004C6E5C">
        <w:rPr>
          <w:rFonts w:ascii="Times New Roman" w:hAnsi="Times New Roman"/>
          <w:b/>
        </w:rPr>
        <w:tab/>
      </w:r>
      <w:bookmarkEnd w:id="56"/>
      <w:bookmarkEnd w:id="57"/>
      <w:r w:rsidRPr="004C6E5C">
        <w:rPr>
          <w:rFonts w:ascii="Times New Roman" w:hAnsi="Times New Roman"/>
          <w:b/>
        </w:rPr>
        <w:t>REGISTRUOTOJAS</w:t>
      </w:r>
    </w:p>
    <w:p w14:paraId="720DE492" w14:textId="77777777" w:rsidR="00EB7699" w:rsidRPr="004C6E5C" w:rsidRDefault="00EB7699" w:rsidP="00EB7699">
      <w:pPr>
        <w:spacing w:after="0" w:line="240" w:lineRule="auto"/>
        <w:rPr>
          <w:rFonts w:ascii="Times New Roman" w:hAnsi="Times New Roman"/>
        </w:rPr>
      </w:pPr>
    </w:p>
    <w:p w14:paraId="1A06B1DF"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PharmaSwiss Česká republika s.r.o.</w:t>
      </w:r>
    </w:p>
    <w:p w14:paraId="0DE2832B"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Jankovcova 1569/2c</w:t>
      </w:r>
    </w:p>
    <w:p w14:paraId="45CEC337"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170 00 Praha 7</w:t>
      </w:r>
    </w:p>
    <w:p w14:paraId="2823F078"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Čekija</w:t>
      </w:r>
    </w:p>
    <w:p w14:paraId="05CCFD1F" w14:textId="77777777" w:rsidR="00EB7699" w:rsidRPr="004C6E5C" w:rsidRDefault="00EB7699" w:rsidP="00EB7699">
      <w:pPr>
        <w:spacing w:after="0" w:line="240" w:lineRule="auto"/>
        <w:rPr>
          <w:rFonts w:ascii="Times New Roman" w:hAnsi="Times New Roman"/>
        </w:rPr>
      </w:pPr>
    </w:p>
    <w:p w14:paraId="2417335A" w14:textId="77777777" w:rsidR="00EB7699" w:rsidRPr="004C6E5C" w:rsidRDefault="00EB7699" w:rsidP="00EB7699">
      <w:pPr>
        <w:spacing w:after="0" w:line="240" w:lineRule="auto"/>
        <w:rPr>
          <w:rFonts w:ascii="Times New Roman" w:hAnsi="Times New Roman"/>
        </w:rPr>
      </w:pPr>
    </w:p>
    <w:p w14:paraId="2919DA2A"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58" w:name="_Toc129243248"/>
      <w:bookmarkStart w:id="59" w:name="_Toc129243123"/>
      <w:r w:rsidRPr="004C6E5C">
        <w:rPr>
          <w:rFonts w:ascii="Times New Roman" w:hAnsi="Times New Roman"/>
          <w:b/>
        </w:rPr>
        <w:t>8.</w:t>
      </w:r>
      <w:r w:rsidRPr="004C6E5C">
        <w:rPr>
          <w:rFonts w:ascii="Times New Roman" w:hAnsi="Times New Roman"/>
          <w:b/>
        </w:rPr>
        <w:tab/>
        <w:t>REGISTRACIJOS PAŽYMĖJIMO NUMERIS</w:t>
      </w:r>
      <w:bookmarkEnd w:id="58"/>
      <w:bookmarkEnd w:id="59"/>
      <w:r w:rsidRPr="004C6E5C">
        <w:rPr>
          <w:rFonts w:ascii="Times New Roman" w:hAnsi="Times New Roman"/>
          <w:b/>
        </w:rPr>
        <w:t xml:space="preserve"> (-IAI)</w:t>
      </w:r>
    </w:p>
    <w:p w14:paraId="5FD34842" w14:textId="77777777" w:rsidR="00EB7699" w:rsidRPr="004C6E5C" w:rsidRDefault="00EB7699" w:rsidP="00EB7699">
      <w:pPr>
        <w:spacing w:after="0" w:line="240" w:lineRule="auto"/>
        <w:rPr>
          <w:rFonts w:ascii="Times New Roman" w:hAnsi="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B7699" w:rsidRPr="00EB7699" w14:paraId="39EE6EF1" w14:textId="77777777" w:rsidTr="00EB7699">
        <w:tc>
          <w:tcPr>
            <w:tcW w:w="4530" w:type="dxa"/>
            <w:hideMark/>
          </w:tcPr>
          <w:p w14:paraId="4788055C" w14:textId="77777777" w:rsidR="00EB7699" w:rsidRPr="00CF10CF" w:rsidRDefault="00EB7699" w:rsidP="004C6E5C">
            <w:pPr>
              <w:rPr>
                <w:rFonts w:eastAsia="Calibri"/>
              </w:rPr>
            </w:pPr>
          </w:p>
        </w:tc>
        <w:tc>
          <w:tcPr>
            <w:tcW w:w="4530" w:type="dxa"/>
            <w:hideMark/>
          </w:tcPr>
          <w:p w14:paraId="48427E27" w14:textId="77777777" w:rsidR="00EB7699" w:rsidRPr="00CF10CF" w:rsidRDefault="00EB7699" w:rsidP="004C6E5C">
            <w:pPr>
              <w:rPr>
                <w:rFonts w:ascii="Calibri" w:eastAsia="Calibri" w:hAnsi="Calibri"/>
              </w:rPr>
            </w:pPr>
          </w:p>
        </w:tc>
      </w:tr>
    </w:tbl>
    <w:p w14:paraId="0B22E60D" w14:textId="77777777" w:rsidR="00EB7699" w:rsidRPr="004C6E5C" w:rsidRDefault="00EB7699" w:rsidP="00EB7699">
      <w:pPr>
        <w:spacing w:after="0"/>
        <w:rPr>
          <w:rFonts w:ascii="Times New Roman" w:hAnsi="Times New Roman"/>
          <w:u w:val="single"/>
        </w:rPr>
      </w:pPr>
      <w:r w:rsidRPr="004C6E5C">
        <w:rPr>
          <w:rFonts w:ascii="Times New Roman" w:hAnsi="Times New Roman"/>
          <w:u w:val="single"/>
        </w:rPr>
        <w:t>Lizdinė plokštelė:</w:t>
      </w:r>
    </w:p>
    <w:p w14:paraId="54E033AC" w14:textId="77777777" w:rsidR="00EB7699" w:rsidRPr="004C6E5C" w:rsidRDefault="00EB7699" w:rsidP="00EB7699">
      <w:pPr>
        <w:spacing w:after="0"/>
        <w:rPr>
          <w:rFonts w:ascii="Times New Roman" w:hAnsi="Times New Roman"/>
        </w:rPr>
      </w:pPr>
      <w:r w:rsidRPr="004C6E5C">
        <w:rPr>
          <w:rFonts w:ascii="Times New Roman" w:hAnsi="Times New Roman"/>
        </w:rPr>
        <w:t>N10 – LT/1/12/3079/015</w:t>
      </w:r>
    </w:p>
    <w:p w14:paraId="382B3B1B" w14:textId="77777777" w:rsidR="00EB7699" w:rsidRPr="004C6E5C" w:rsidRDefault="00EB7699" w:rsidP="00EB7699">
      <w:pPr>
        <w:spacing w:after="0"/>
        <w:rPr>
          <w:rFonts w:ascii="Times New Roman" w:hAnsi="Times New Roman"/>
        </w:rPr>
      </w:pPr>
      <w:r w:rsidRPr="004C6E5C">
        <w:rPr>
          <w:rFonts w:ascii="Times New Roman" w:hAnsi="Times New Roman"/>
        </w:rPr>
        <w:t>N20 – LT/1/12/3079/016</w:t>
      </w:r>
    </w:p>
    <w:p w14:paraId="6D874AAE" w14:textId="77777777" w:rsidR="00EB7699" w:rsidRPr="004C6E5C" w:rsidRDefault="00EB7699" w:rsidP="00EB7699">
      <w:pPr>
        <w:spacing w:after="0"/>
        <w:rPr>
          <w:rFonts w:ascii="Times New Roman" w:hAnsi="Times New Roman"/>
        </w:rPr>
      </w:pPr>
      <w:r w:rsidRPr="004C6E5C">
        <w:rPr>
          <w:rFonts w:ascii="Times New Roman" w:hAnsi="Times New Roman"/>
        </w:rPr>
        <w:t>N28 – LT/1/12/3079/017</w:t>
      </w:r>
    </w:p>
    <w:p w14:paraId="7A48E72C" w14:textId="77777777" w:rsidR="00EB7699" w:rsidRPr="004C6E5C" w:rsidRDefault="00EB7699" w:rsidP="00EB7699">
      <w:pPr>
        <w:spacing w:after="0"/>
        <w:rPr>
          <w:rFonts w:ascii="Times New Roman" w:hAnsi="Times New Roman"/>
        </w:rPr>
      </w:pPr>
      <w:r w:rsidRPr="004C6E5C">
        <w:rPr>
          <w:rFonts w:ascii="Times New Roman" w:hAnsi="Times New Roman"/>
        </w:rPr>
        <w:t>N30 – LT/1/12/3079/018</w:t>
      </w:r>
    </w:p>
    <w:p w14:paraId="59D98DD3" w14:textId="77777777" w:rsidR="00EB7699" w:rsidRPr="004C6E5C" w:rsidRDefault="00EB7699" w:rsidP="00EB7699">
      <w:pPr>
        <w:spacing w:after="0"/>
        <w:rPr>
          <w:rFonts w:ascii="Times New Roman" w:hAnsi="Times New Roman"/>
        </w:rPr>
      </w:pPr>
      <w:r w:rsidRPr="004C6E5C">
        <w:rPr>
          <w:rFonts w:ascii="Times New Roman" w:hAnsi="Times New Roman"/>
        </w:rPr>
        <w:t>N50 – LT/1/12/3079/019</w:t>
      </w:r>
    </w:p>
    <w:p w14:paraId="0A22C7D3" w14:textId="77777777" w:rsidR="00EB7699" w:rsidRPr="004C6E5C" w:rsidRDefault="00EB7699" w:rsidP="00EB7699">
      <w:pPr>
        <w:spacing w:after="0"/>
        <w:rPr>
          <w:rFonts w:ascii="Times New Roman" w:hAnsi="Times New Roman"/>
        </w:rPr>
      </w:pPr>
      <w:r w:rsidRPr="004C6E5C">
        <w:rPr>
          <w:rFonts w:ascii="Times New Roman" w:hAnsi="Times New Roman"/>
        </w:rPr>
        <w:t>N56 – LT/1/12/3079/020</w:t>
      </w:r>
    </w:p>
    <w:p w14:paraId="735899E7" w14:textId="77777777" w:rsidR="00EB7699" w:rsidRPr="004C6E5C" w:rsidRDefault="00EB7699" w:rsidP="00EB7699">
      <w:pPr>
        <w:spacing w:after="0"/>
        <w:rPr>
          <w:rFonts w:ascii="Times New Roman" w:hAnsi="Times New Roman"/>
        </w:rPr>
      </w:pPr>
      <w:r w:rsidRPr="004C6E5C">
        <w:rPr>
          <w:rFonts w:ascii="Times New Roman" w:hAnsi="Times New Roman"/>
        </w:rPr>
        <w:t>N60 – LT/1/12/3079/021</w:t>
      </w:r>
    </w:p>
    <w:p w14:paraId="29153239" w14:textId="77777777" w:rsidR="00EB7699" w:rsidRPr="004C6E5C" w:rsidRDefault="00EB7699" w:rsidP="00EB7699">
      <w:pPr>
        <w:spacing w:after="0"/>
        <w:rPr>
          <w:rFonts w:ascii="Times New Roman" w:hAnsi="Times New Roman"/>
        </w:rPr>
      </w:pPr>
      <w:r w:rsidRPr="004C6E5C">
        <w:rPr>
          <w:rFonts w:ascii="Times New Roman" w:hAnsi="Times New Roman"/>
        </w:rPr>
        <w:t>N90 – LT/1/12/3079/022</w:t>
      </w:r>
    </w:p>
    <w:p w14:paraId="2D347F90" w14:textId="77777777" w:rsidR="00EB7699" w:rsidRPr="004C6E5C" w:rsidRDefault="00EB7699" w:rsidP="00EB7699">
      <w:pPr>
        <w:spacing w:after="0"/>
        <w:rPr>
          <w:rFonts w:ascii="Times New Roman" w:hAnsi="Times New Roman"/>
        </w:rPr>
      </w:pPr>
      <w:r w:rsidRPr="004C6E5C">
        <w:rPr>
          <w:rFonts w:ascii="Times New Roman" w:hAnsi="Times New Roman"/>
        </w:rPr>
        <w:t>N100 – LT/1/12/3079/023</w:t>
      </w:r>
    </w:p>
    <w:p w14:paraId="54FDFA45" w14:textId="77777777" w:rsidR="00EB7699" w:rsidRPr="004C6E5C" w:rsidRDefault="00EB7699" w:rsidP="00EB7699">
      <w:pPr>
        <w:spacing w:after="0" w:line="240" w:lineRule="auto"/>
        <w:rPr>
          <w:rFonts w:ascii="Times New Roman" w:hAnsi="Times New Roman"/>
        </w:rPr>
      </w:pPr>
    </w:p>
    <w:p w14:paraId="2E7702E8" w14:textId="77777777" w:rsidR="00EB7699" w:rsidRPr="004C6E5C" w:rsidRDefault="00EB7699" w:rsidP="00EB7699">
      <w:pPr>
        <w:spacing w:after="0" w:line="240" w:lineRule="auto"/>
        <w:rPr>
          <w:rFonts w:ascii="Times New Roman" w:hAnsi="Times New Roman"/>
        </w:rPr>
      </w:pPr>
    </w:p>
    <w:p w14:paraId="26B74FF4"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60" w:name="_Toc129243249"/>
      <w:bookmarkStart w:id="61" w:name="_Toc129243124"/>
      <w:r w:rsidRPr="004C6E5C">
        <w:rPr>
          <w:rFonts w:ascii="Times New Roman" w:hAnsi="Times New Roman"/>
          <w:b/>
        </w:rPr>
        <w:t>9.</w:t>
      </w:r>
      <w:r w:rsidRPr="004C6E5C">
        <w:rPr>
          <w:rFonts w:ascii="Times New Roman" w:hAnsi="Times New Roman"/>
          <w:b/>
        </w:rPr>
        <w:tab/>
        <w:t xml:space="preserve">REGISTRAVIMO / </w:t>
      </w:r>
      <w:bookmarkEnd w:id="60"/>
      <w:bookmarkEnd w:id="61"/>
      <w:r w:rsidRPr="004C6E5C">
        <w:rPr>
          <w:rFonts w:ascii="Times New Roman" w:hAnsi="Times New Roman"/>
          <w:b/>
        </w:rPr>
        <w:t>PERREGISTRAVIMO DATA</w:t>
      </w:r>
    </w:p>
    <w:p w14:paraId="61831D07" w14:textId="77777777" w:rsidR="00EB7699" w:rsidRPr="004C6E5C" w:rsidRDefault="00EB7699" w:rsidP="00EB7699">
      <w:pPr>
        <w:spacing w:after="0" w:line="240" w:lineRule="auto"/>
        <w:rPr>
          <w:rFonts w:ascii="Times New Roman" w:hAnsi="Times New Roman"/>
        </w:rPr>
      </w:pPr>
    </w:p>
    <w:p w14:paraId="7DFD8A2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Registravimo data 2012 m. rugsėjo 27 d.</w:t>
      </w:r>
    </w:p>
    <w:p w14:paraId="02A9061C"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Paskutinio perregistravimo data 2017 m. sausio 3 d.</w:t>
      </w:r>
    </w:p>
    <w:p w14:paraId="295C05DD" w14:textId="77777777" w:rsidR="00EB7699" w:rsidRPr="004C6E5C" w:rsidRDefault="00EB7699" w:rsidP="00EB7699">
      <w:pPr>
        <w:spacing w:after="0" w:line="240" w:lineRule="auto"/>
        <w:rPr>
          <w:rFonts w:ascii="Times New Roman" w:hAnsi="Times New Roman"/>
        </w:rPr>
      </w:pPr>
    </w:p>
    <w:p w14:paraId="4A59B0C6" w14:textId="77777777" w:rsidR="00EB7699" w:rsidRPr="004C6E5C" w:rsidRDefault="00EB7699" w:rsidP="00EB7699">
      <w:pPr>
        <w:spacing w:after="0" w:line="240" w:lineRule="auto"/>
        <w:rPr>
          <w:rFonts w:ascii="Times New Roman" w:hAnsi="Times New Roman"/>
        </w:rPr>
      </w:pPr>
    </w:p>
    <w:p w14:paraId="6DDF8354"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62" w:name="_Toc129243250"/>
      <w:bookmarkStart w:id="63" w:name="_Toc129243125"/>
      <w:r w:rsidRPr="004C6E5C">
        <w:rPr>
          <w:rFonts w:ascii="Times New Roman" w:hAnsi="Times New Roman"/>
          <w:b/>
        </w:rPr>
        <w:t>10.</w:t>
      </w:r>
      <w:r w:rsidRPr="004C6E5C">
        <w:rPr>
          <w:rFonts w:ascii="Times New Roman" w:hAnsi="Times New Roman"/>
          <w:b/>
        </w:rPr>
        <w:tab/>
        <w:t>TEKSTO PERŽIŪROS DATA</w:t>
      </w:r>
      <w:bookmarkEnd w:id="62"/>
      <w:bookmarkEnd w:id="63"/>
    </w:p>
    <w:p w14:paraId="32BE20D5" w14:textId="77777777" w:rsidR="00EB7699" w:rsidRPr="004C6E5C" w:rsidRDefault="00EB7699" w:rsidP="00EB7699">
      <w:pPr>
        <w:spacing w:after="0" w:line="240" w:lineRule="auto"/>
        <w:rPr>
          <w:rFonts w:ascii="Times New Roman" w:hAnsi="Times New Roman"/>
        </w:rPr>
      </w:pPr>
    </w:p>
    <w:p w14:paraId="0E09B041" w14:textId="77777777" w:rsidR="00CF10CF" w:rsidRDefault="00CF10CF" w:rsidP="00EB7699">
      <w:pPr>
        <w:spacing w:after="0" w:line="240" w:lineRule="auto"/>
        <w:rPr>
          <w:rFonts w:ascii="Times New Roman" w:eastAsia="SimSun" w:hAnsi="Times New Roman"/>
        </w:rPr>
      </w:pPr>
      <w:r>
        <w:rPr>
          <w:rFonts w:ascii="Times New Roman" w:eastAsia="SimSun" w:hAnsi="Times New Roman"/>
        </w:rPr>
        <w:lastRenderedPageBreak/>
        <w:t>2020 m. sausio 7 d.</w:t>
      </w:r>
    </w:p>
    <w:p w14:paraId="42FE53D6" w14:textId="0FF77314" w:rsidR="00EB7699" w:rsidRPr="004C6E5C" w:rsidRDefault="00EB7699" w:rsidP="00EB7699">
      <w:pPr>
        <w:spacing w:after="0" w:line="240" w:lineRule="auto"/>
        <w:rPr>
          <w:rFonts w:ascii="Times New Roman" w:hAnsi="Times New Roman"/>
        </w:rPr>
      </w:pPr>
    </w:p>
    <w:p w14:paraId="31E30505" w14:textId="77777777" w:rsidR="00EB7699" w:rsidRPr="004C6E5C" w:rsidRDefault="00EB7699" w:rsidP="00EB7699">
      <w:pPr>
        <w:spacing w:after="0" w:line="240" w:lineRule="auto"/>
        <w:rPr>
          <w:rFonts w:ascii="Times New Roman" w:hAnsi="Times New Roman"/>
        </w:rPr>
      </w:pPr>
    </w:p>
    <w:p w14:paraId="6D446735" w14:textId="77777777" w:rsidR="00EB7699" w:rsidRPr="004C6E5C" w:rsidRDefault="00EB7699" w:rsidP="00EB7699">
      <w:pPr>
        <w:spacing w:after="0" w:line="240" w:lineRule="auto"/>
        <w:rPr>
          <w:rFonts w:ascii="Times New Roman" w:hAnsi="Times New Roman"/>
        </w:rPr>
      </w:pPr>
    </w:p>
    <w:p w14:paraId="743846A6" w14:textId="77777777" w:rsidR="00EB7699" w:rsidRPr="004C6E5C" w:rsidRDefault="00EB7699" w:rsidP="00EB7699">
      <w:pPr>
        <w:spacing w:after="0" w:line="240" w:lineRule="auto"/>
        <w:rPr>
          <w:rFonts w:ascii="Times New Roman" w:hAnsi="Times New Roman"/>
          <w:color w:val="0000FF"/>
        </w:rPr>
      </w:pPr>
      <w:r w:rsidRPr="004C6E5C">
        <w:rPr>
          <w:rFonts w:ascii="Times New Roman" w:hAnsi="Times New Roman"/>
        </w:rPr>
        <w:t xml:space="preserve">Išsami informacija apie šį vaistinį preparatą pateikiama Valstybinės vaistų kontrolės tarnybos prie Lietuvos Respublikos sveikatos apsaugos ministerijos tinklalapyje </w:t>
      </w:r>
      <w:hyperlink r:id="rId9" w:history="1">
        <w:r w:rsidRPr="00CF10CF">
          <w:t>http://www.vvkt.lt/</w:t>
        </w:r>
      </w:hyperlink>
    </w:p>
    <w:p w14:paraId="2DFB4BD0"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br w:type="page"/>
      </w:r>
    </w:p>
    <w:p w14:paraId="1C9827A2" w14:textId="77777777" w:rsidR="00EB7699" w:rsidRPr="004C6E5C" w:rsidRDefault="00EB7699" w:rsidP="00EB7699">
      <w:pPr>
        <w:spacing w:after="0" w:line="240" w:lineRule="auto"/>
        <w:rPr>
          <w:rFonts w:ascii="Times New Roman" w:hAnsi="Times New Roman"/>
        </w:rPr>
      </w:pPr>
    </w:p>
    <w:p w14:paraId="143526C1" w14:textId="77777777" w:rsidR="00EB7699" w:rsidRPr="004C6E5C" w:rsidRDefault="00EB7699" w:rsidP="00EB7699">
      <w:pPr>
        <w:spacing w:after="0" w:line="240" w:lineRule="auto"/>
        <w:rPr>
          <w:rFonts w:ascii="Times New Roman" w:hAnsi="Times New Roman"/>
        </w:rPr>
      </w:pPr>
    </w:p>
    <w:p w14:paraId="561C76BB" w14:textId="77777777" w:rsidR="00EB7699" w:rsidRPr="004C6E5C" w:rsidRDefault="00EB7699" w:rsidP="00EB7699">
      <w:pPr>
        <w:spacing w:after="0" w:line="240" w:lineRule="auto"/>
        <w:jc w:val="center"/>
        <w:rPr>
          <w:rFonts w:ascii="Times New Roman" w:hAnsi="Times New Roman"/>
        </w:rPr>
      </w:pPr>
      <w:bookmarkStart w:id="64" w:name="_Toc129243263"/>
      <w:bookmarkStart w:id="65" w:name="_Toc129243138"/>
    </w:p>
    <w:p w14:paraId="1D03BBC1" w14:textId="77777777" w:rsidR="00EB7699" w:rsidRPr="004C6E5C" w:rsidRDefault="00EB7699" w:rsidP="00EB7699">
      <w:pPr>
        <w:spacing w:after="0" w:line="240" w:lineRule="auto"/>
        <w:jc w:val="center"/>
        <w:rPr>
          <w:rFonts w:ascii="Times New Roman" w:hAnsi="Times New Roman"/>
        </w:rPr>
      </w:pPr>
    </w:p>
    <w:p w14:paraId="33468A18" w14:textId="77777777" w:rsidR="00EB7699" w:rsidRPr="004C6E5C" w:rsidRDefault="00EB7699" w:rsidP="00EB7699">
      <w:pPr>
        <w:spacing w:after="0" w:line="240" w:lineRule="auto"/>
        <w:jc w:val="center"/>
        <w:rPr>
          <w:rFonts w:ascii="Times New Roman" w:hAnsi="Times New Roman"/>
        </w:rPr>
      </w:pPr>
    </w:p>
    <w:p w14:paraId="342C904A" w14:textId="77777777" w:rsidR="00EB7699" w:rsidRPr="004C6E5C" w:rsidRDefault="00EB7699" w:rsidP="00EB7699">
      <w:pPr>
        <w:spacing w:after="0" w:line="240" w:lineRule="auto"/>
        <w:jc w:val="center"/>
        <w:rPr>
          <w:rFonts w:ascii="Times New Roman" w:hAnsi="Times New Roman"/>
        </w:rPr>
      </w:pPr>
    </w:p>
    <w:p w14:paraId="2CA82AFE" w14:textId="77777777" w:rsidR="00EB7699" w:rsidRPr="004C6E5C" w:rsidRDefault="00EB7699" w:rsidP="00EB7699">
      <w:pPr>
        <w:spacing w:after="0" w:line="240" w:lineRule="auto"/>
        <w:jc w:val="center"/>
        <w:rPr>
          <w:rFonts w:ascii="Times New Roman" w:hAnsi="Times New Roman"/>
        </w:rPr>
      </w:pPr>
    </w:p>
    <w:p w14:paraId="4A863062"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bookmarkStart w:id="66" w:name="_Toc129243253"/>
      <w:bookmarkStart w:id="67" w:name="_Toc129243128"/>
    </w:p>
    <w:p w14:paraId="18FAFED7"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700F2C69"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11279BBA"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378DF17B"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5B75DD64"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53BB19C5"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4BD88F9B"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4E09FC82"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7028E0D7"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6B467B3C"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9F292A1"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39EFD845"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4148A83B"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1B6ABF1F" w14:textId="77777777" w:rsidR="00EB7699" w:rsidRPr="004C6E5C" w:rsidRDefault="00EB7699" w:rsidP="00EB7699">
      <w:pPr>
        <w:tabs>
          <w:tab w:val="left" w:pos="567"/>
        </w:tabs>
        <w:spacing w:after="0" w:line="240" w:lineRule="auto"/>
        <w:outlineLvl w:val="0"/>
        <w:rPr>
          <w:rFonts w:ascii="Times New Roman" w:hAnsi="Times New Roman"/>
          <w:b/>
          <w:caps/>
        </w:rPr>
      </w:pPr>
    </w:p>
    <w:p w14:paraId="6932BA03"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5A16F64E"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r w:rsidRPr="004C6E5C">
        <w:rPr>
          <w:rFonts w:ascii="Times New Roman" w:hAnsi="Times New Roman"/>
          <w:b/>
          <w:caps/>
        </w:rPr>
        <w:t>II PRIEDAS</w:t>
      </w:r>
      <w:bookmarkEnd w:id="66"/>
      <w:bookmarkEnd w:id="67"/>
    </w:p>
    <w:p w14:paraId="3DF3F9C9"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53C259A1"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r w:rsidRPr="004C6E5C">
        <w:rPr>
          <w:rFonts w:ascii="Times New Roman" w:hAnsi="Times New Roman"/>
          <w:b/>
          <w:caps/>
        </w:rPr>
        <w:t>REGISTRACIJOS SĄLYGOS</w:t>
      </w:r>
    </w:p>
    <w:p w14:paraId="61F54583" w14:textId="77777777" w:rsidR="00EB7699" w:rsidRPr="004C6E5C" w:rsidRDefault="00EB7699" w:rsidP="00EB7699">
      <w:pPr>
        <w:spacing w:after="0" w:line="240" w:lineRule="auto"/>
        <w:rPr>
          <w:rFonts w:ascii="Times New Roman" w:hAnsi="Times New Roman"/>
          <w:highlight w:val="yellow"/>
        </w:rPr>
      </w:pPr>
    </w:p>
    <w:p w14:paraId="19788C22" w14:textId="77777777" w:rsidR="00EB7699" w:rsidRPr="004C6E5C" w:rsidRDefault="00EB7699" w:rsidP="00EB7699">
      <w:pPr>
        <w:tabs>
          <w:tab w:val="left" w:pos="1701"/>
        </w:tabs>
        <w:spacing w:after="0" w:line="240" w:lineRule="auto"/>
        <w:ind w:left="1701" w:hanging="567"/>
        <w:rPr>
          <w:rFonts w:ascii="Times New Roman" w:hAnsi="Times New Roman"/>
          <w:b/>
          <w:highlight w:val="yellow"/>
        </w:rPr>
      </w:pPr>
      <w:r w:rsidRPr="004C6E5C">
        <w:rPr>
          <w:rFonts w:ascii="Times New Roman" w:hAnsi="Times New Roman"/>
          <w:b/>
        </w:rPr>
        <w:t>A.</w:t>
      </w:r>
      <w:r w:rsidRPr="004C6E5C">
        <w:rPr>
          <w:rFonts w:ascii="Times New Roman" w:hAnsi="Times New Roman"/>
          <w:b/>
        </w:rPr>
        <w:tab/>
        <w:t>GAMINTOJAS (-AI), ATSAKINGAS (-I) UŽ SERIJŲ IŠLEIDIMĄ</w:t>
      </w:r>
    </w:p>
    <w:p w14:paraId="40A4AA26" w14:textId="77777777" w:rsidR="00EB7699" w:rsidRPr="004C6E5C" w:rsidRDefault="00EB7699" w:rsidP="00EB7699">
      <w:pPr>
        <w:spacing w:after="0" w:line="240" w:lineRule="auto"/>
        <w:rPr>
          <w:rFonts w:ascii="Times New Roman" w:hAnsi="Times New Roman"/>
          <w:highlight w:val="yellow"/>
        </w:rPr>
      </w:pPr>
    </w:p>
    <w:p w14:paraId="08205DAF" w14:textId="77777777" w:rsidR="00EB7699" w:rsidRPr="004C6E5C" w:rsidRDefault="00EB7699" w:rsidP="00EB7699">
      <w:pPr>
        <w:tabs>
          <w:tab w:val="left" w:pos="1701"/>
        </w:tabs>
        <w:spacing w:after="0" w:line="240" w:lineRule="auto"/>
        <w:ind w:left="1701" w:hanging="567"/>
        <w:rPr>
          <w:rFonts w:ascii="Times New Roman" w:hAnsi="Times New Roman"/>
          <w:b/>
        </w:rPr>
      </w:pPr>
      <w:r w:rsidRPr="004C6E5C">
        <w:rPr>
          <w:rFonts w:ascii="Times New Roman" w:hAnsi="Times New Roman"/>
          <w:b/>
        </w:rPr>
        <w:t>B.</w:t>
      </w:r>
      <w:r w:rsidRPr="004C6E5C">
        <w:rPr>
          <w:rFonts w:ascii="Times New Roman" w:hAnsi="Times New Roman"/>
          <w:b/>
        </w:rPr>
        <w:tab/>
        <w:t>TIEKIMO IR VARTOJIMO SĄLYGOS AR APRIBOJIMAI</w:t>
      </w:r>
    </w:p>
    <w:p w14:paraId="5CB6A8F0" w14:textId="77777777" w:rsidR="00EB7699" w:rsidRPr="004C6E5C" w:rsidRDefault="00EB7699" w:rsidP="00EB7699">
      <w:pPr>
        <w:spacing w:after="0" w:line="240" w:lineRule="auto"/>
        <w:rPr>
          <w:rFonts w:ascii="Times New Roman" w:hAnsi="Times New Roman"/>
          <w:highlight w:val="yellow"/>
        </w:rPr>
      </w:pPr>
    </w:p>
    <w:p w14:paraId="667BD906"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r w:rsidRPr="004C6E5C">
        <w:rPr>
          <w:rFonts w:ascii="Times New Roman" w:hAnsi="Times New Roman"/>
          <w:b/>
        </w:rPr>
        <w:br w:type="page"/>
      </w:r>
      <w:r w:rsidRPr="004C6E5C">
        <w:rPr>
          <w:rFonts w:ascii="Times New Roman" w:hAnsi="Times New Roman"/>
          <w:b/>
        </w:rPr>
        <w:lastRenderedPageBreak/>
        <w:t>A.</w:t>
      </w:r>
      <w:r w:rsidRPr="004C6E5C">
        <w:rPr>
          <w:rFonts w:ascii="Times New Roman" w:hAnsi="Times New Roman"/>
          <w:b/>
        </w:rPr>
        <w:tab/>
        <w:t>GAMINTOJAS (-AI), ATSAKINGAS (-I) UŽ SERIJŲ IŠLEIDIMĄ</w:t>
      </w:r>
    </w:p>
    <w:p w14:paraId="3841B337" w14:textId="77777777" w:rsidR="00EB7699" w:rsidRPr="004C6E5C" w:rsidRDefault="00EB7699" w:rsidP="00EB7699">
      <w:pPr>
        <w:spacing w:after="0" w:line="240" w:lineRule="auto"/>
        <w:rPr>
          <w:rFonts w:ascii="Times New Roman" w:hAnsi="Times New Roman"/>
          <w:highlight w:val="yellow"/>
        </w:rPr>
      </w:pPr>
    </w:p>
    <w:p w14:paraId="4B851E5F" w14:textId="77777777" w:rsidR="00EB7699" w:rsidRPr="004C6E5C" w:rsidRDefault="00EB7699" w:rsidP="00EB7699">
      <w:pPr>
        <w:spacing w:after="0" w:line="240" w:lineRule="auto"/>
        <w:rPr>
          <w:rFonts w:ascii="Times New Roman" w:hAnsi="Times New Roman"/>
          <w:u w:val="single"/>
        </w:rPr>
      </w:pPr>
      <w:r w:rsidRPr="004C6E5C">
        <w:rPr>
          <w:rFonts w:ascii="Times New Roman" w:hAnsi="Times New Roman"/>
          <w:u w:val="single"/>
        </w:rPr>
        <w:t>Gamintojo (-ų), atsakingo (-ų) už serijų išleidimą, pavadinimas (-ai) ir adresas (-ai)</w:t>
      </w:r>
    </w:p>
    <w:p w14:paraId="4CEAF0BD" w14:textId="77777777" w:rsidR="00EB7699" w:rsidRPr="004C6E5C" w:rsidRDefault="00EB7699" w:rsidP="00EB7699">
      <w:pPr>
        <w:spacing w:after="0" w:line="240" w:lineRule="auto"/>
        <w:rPr>
          <w:rFonts w:ascii="Times New Roman" w:hAnsi="Times New Roman"/>
        </w:rPr>
      </w:pPr>
    </w:p>
    <w:p w14:paraId="105E398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ICN Polfa Rzeszów S.A.</w:t>
      </w:r>
    </w:p>
    <w:p w14:paraId="09D173CB"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ul. Przemysłowa 2 </w:t>
      </w:r>
    </w:p>
    <w:p w14:paraId="4353E95E"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35-959 Rzeszów  </w:t>
      </w:r>
    </w:p>
    <w:p w14:paraId="052CA4F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Lenkija</w:t>
      </w:r>
    </w:p>
    <w:p w14:paraId="1CC0C40A" w14:textId="77777777" w:rsidR="00EB7699" w:rsidRPr="004C6E5C" w:rsidRDefault="00EB7699" w:rsidP="00EB7699">
      <w:pPr>
        <w:spacing w:after="0" w:line="240" w:lineRule="auto"/>
        <w:rPr>
          <w:rFonts w:ascii="Times New Roman" w:hAnsi="Times New Roman"/>
        </w:rPr>
      </w:pPr>
    </w:p>
    <w:p w14:paraId="239EEDD9" w14:textId="77777777" w:rsidR="00EB7699" w:rsidRPr="004C6E5C" w:rsidRDefault="00EB7699" w:rsidP="00EB7699">
      <w:pPr>
        <w:spacing w:after="0" w:line="240" w:lineRule="auto"/>
        <w:rPr>
          <w:rFonts w:ascii="Times New Roman" w:hAnsi="Times New Roman"/>
          <w:highlight w:val="yellow"/>
        </w:rPr>
      </w:pPr>
    </w:p>
    <w:p w14:paraId="23175A4D"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kern w:val="28"/>
        </w:rPr>
      </w:pPr>
      <w:bookmarkStart w:id="68" w:name="_Toc129243254"/>
      <w:bookmarkStart w:id="69" w:name="_Toc129243129"/>
      <w:r w:rsidRPr="004C6E5C">
        <w:rPr>
          <w:rFonts w:ascii="Times New Roman" w:hAnsi="Times New Roman"/>
          <w:b/>
        </w:rPr>
        <w:t>B.</w:t>
      </w:r>
      <w:r w:rsidRPr="004C6E5C">
        <w:rPr>
          <w:rFonts w:ascii="Times New Roman" w:hAnsi="Times New Roman"/>
          <w:b/>
        </w:rPr>
        <w:tab/>
        <w:t>TIEKIMO IR VARTOJIMO SĄLYGOS</w:t>
      </w:r>
      <w:bookmarkEnd w:id="68"/>
      <w:bookmarkEnd w:id="69"/>
      <w:r w:rsidRPr="004C6E5C">
        <w:rPr>
          <w:rFonts w:ascii="Times New Roman" w:hAnsi="Times New Roman"/>
          <w:b/>
        </w:rPr>
        <w:t xml:space="preserve"> AR APRIBOJIMAI</w:t>
      </w:r>
    </w:p>
    <w:p w14:paraId="51F005DA" w14:textId="77777777" w:rsidR="00EB7699" w:rsidRPr="004C6E5C" w:rsidRDefault="00EB7699" w:rsidP="00EB7699">
      <w:pPr>
        <w:spacing w:after="0" w:line="240" w:lineRule="auto"/>
        <w:rPr>
          <w:rFonts w:ascii="Times New Roman" w:hAnsi="Times New Roman"/>
        </w:rPr>
      </w:pPr>
    </w:p>
    <w:p w14:paraId="001D59C9"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Nereceptinis vaistinis preparatas.</w:t>
      </w:r>
    </w:p>
    <w:p w14:paraId="010A227B" w14:textId="77777777" w:rsidR="00EB7699" w:rsidRPr="004C6E5C" w:rsidRDefault="00EB7699" w:rsidP="00EB7699">
      <w:pPr>
        <w:spacing w:after="0" w:line="240" w:lineRule="auto"/>
        <w:rPr>
          <w:rFonts w:ascii="Times New Roman" w:hAnsi="Times New Roman"/>
          <w:highlight w:val="yellow"/>
        </w:rPr>
      </w:pPr>
    </w:p>
    <w:p w14:paraId="7CD96D79" w14:textId="77777777" w:rsidR="00EB7699" w:rsidRPr="004C6E5C" w:rsidRDefault="00EB7699" w:rsidP="00EB7699">
      <w:pPr>
        <w:spacing w:after="0" w:line="240" w:lineRule="auto"/>
        <w:ind w:right="-8"/>
        <w:jc w:val="both"/>
        <w:rPr>
          <w:rFonts w:ascii="Times New Roman" w:hAnsi="Times New Roman"/>
        </w:rPr>
      </w:pPr>
      <w:r w:rsidRPr="004C6E5C">
        <w:rPr>
          <w:rFonts w:ascii="Times New Roman" w:hAnsi="Times New Roman"/>
        </w:rPr>
        <w:br w:type="page"/>
      </w:r>
    </w:p>
    <w:p w14:paraId="3C49AA4A" w14:textId="77777777" w:rsidR="00EB7699" w:rsidRPr="004C6E5C" w:rsidRDefault="00EB7699" w:rsidP="00EB7699">
      <w:pPr>
        <w:spacing w:after="0" w:line="240" w:lineRule="auto"/>
        <w:rPr>
          <w:rFonts w:ascii="Times New Roman" w:hAnsi="Times New Roman"/>
        </w:rPr>
      </w:pPr>
    </w:p>
    <w:p w14:paraId="7116A455" w14:textId="77777777" w:rsidR="00EB7699" w:rsidRPr="004C6E5C" w:rsidRDefault="00EB7699" w:rsidP="00EB7699">
      <w:pPr>
        <w:spacing w:after="0" w:line="240" w:lineRule="auto"/>
        <w:rPr>
          <w:rFonts w:ascii="Times New Roman" w:hAnsi="Times New Roman"/>
        </w:rPr>
      </w:pPr>
    </w:p>
    <w:p w14:paraId="0CAB4DB7" w14:textId="77777777" w:rsidR="00EB7699" w:rsidRPr="004C6E5C" w:rsidRDefault="00EB7699" w:rsidP="00EB7699">
      <w:pPr>
        <w:spacing w:after="0" w:line="240" w:lineRule="auto"/>
        <w:rPr>
          <w:rFonts w:ascii="Times New Roman" w:hAnsi="Times New Roman"/>
        </w:rPr>
      </w:pPr>
    </w:p>
    <w:p w14:paraId="22D10A46" w14:textId="77777777" w:rsidR="00EB7699" w:rsidRPr="004C6E5C" w:rsidRDefault="00EB7699" w:rsidP="00EB7699">
      <w:pPr>
        <w:spacing w:after="0" w:line="240" w:lineRule="auto"/>
        <w:rPr>
          <w:rFonts w:ascii="Times New Roman" w:hAnsi="Times New Roman"/>
        </w:rPr>
      </w:pPr>
    </w:p>
    <w:p w14:paraId="4883DA06" w14:textId="77777777" w:rsidR="00EB7699" w:rsidRPr="004C6E5C" w:rsidRDefault="00EB7699" w:rsidP="00EB7699">
      <w:pPr>
        <w:spacing w:after="0" w:line="240" w:lineRule="auto"/>
        <w:rPr>
          <w:rFonts w:ascii="Times New Roman" w:hAnsi="Times New Roman"/>
        </w:rPr>
      </w:pPr>
    </w:p>
    <w:p w14:paraId="054FF3AC" w14:textId="77777777" w:rsidR="00EB7699" w:rsidRPr="004C6E5C" w:rsidRDefault="00EB7699" w:rsidP="00EB7699">
      <w:pPr>
        <w:spacing w:after="0" w:line="240" w:lineRule="auto"/>
        <w:rPr>
          <w:rFonts w:ascii="Times New Roman" w:hAnsi="Times New Roman"/>
        </w:rPr>
      </w:pPr>
    </w:p>
    <w:p w14:paraId="6743B8A4" w14:textId="77777777" w:rsidR="00EB7699" w:rsidRPr="004C6E5C" w:rsidRDefault="00EB7699" w:rsidP="00EB7699">
      <w:pPr>
        <w:spacing w:after="0" w:line="240" w:lineRule="auto"/>
        <w:rPr>
          <w:rFonts w:ascii="Times New Roman" w:hAnsi="Times New Roman"/>
        </w:rPr>
      </w:pPr>
    </w:p>
    <w:p w14:paraId="2C0F5D65" w14:textId="77777777" w:rsidR="00EB7699" w:rsidRPr="004C6E5C" w:rsidRDefault="00EB7699" w:rsidP="00EB7699">
      <w:pPr>
        <w:spacing w:after="0" w:line="240" w:lineRule="auto"/>
        <w:rPr>
          <w:rFonts w:ascii="Times New Roman" w:hAnsi="Times New Roman"/>
        </w:rPr>
      </w:pPr>
    </w:p>
    <w:p w14:paraId="647EC228" w14:textId="77777777" w:rsidR="00EB7699" w:rsidRPr="004C6E5C" w:rsidRDefault="00EB7699" w:rsidP="00EB7699">
      <w:pPr>
        <w:spacing w:after="0" w:line="240" w:lineRule="auto"/>
        <w:rPr>
          <w:rFonts w:ascii="Times New Roman" w:hAnsi="Times New Roman"/>
        </w:rPr>
      </w:pPr>
    </w:p>
    <w:p w14:paraId="6DEB69E5" w14:textId="77777777" w:rsidR="00EB7699" w:rsidRPr="004C6E5C" w:rsidRDefault="00EB7699" w:rsidP="00EB7699">
      <w:pPr>
        <w:spacing w:after="0" w:line="240" w:lineRule="auto"/>
        <w:rPr>
          <w:rFonts w:ascii="Times New Roman" w:hAnsi="Times New Roman"/>
        </w:rPr>
      </w:pPr>
    </w:p>
    <w:p w14:paraId="7B4A6F92" w14:textId="77777777" w:rsidR="00EB7699" w:rsidRPr="004C6E5C" w:rsidRDefault="00EB7699" w:rsidP="00EB7699">
      <w:pPr>
        <w:spacing w:after="0" w:line="240" w:lineRule="auto"/>
        <w:rPr>
          <w:rFonts w:ascii="Times New Roman" w:hAnsi="Times New Roman"/>
        </w:rPr>
      </w:pPr>
    </w:p>
    <w:p w14:paraId="71A73E21" w14:textId="77777777" w:rsidR="00EB7699" w:rsidRPr="004C6E5C" w:rsidRDefault="00EB7699" w:rsidP="00EB7699">
      <w:pPr>
        <w:spacing w:after="0" w:line="240" w:lineRule="auto"/>
        <w:rPr>
          <w:rFonts w:ascii="Times New Roman" w:hAnsi="Times New Roman"/>
        </w:rPr>
      </w:pPr>
    </w:p>
    <w:p w14:paraId="38076F33" w14:textId="77777777" w:rsidR="00EB7699" w:rsidRPr="004C6E5C" w:rsidRDefault="00EB7699" w:rsidP="00EB7699">
      <w:pPr>
        <w:spacing w:after="0" w:line="240" w:lineRule="auto"/>
        <w:rPr>
          <w:rFonts w:ascii="Times New Roman" w:hAnsi="Times New Roman"/>
        </w:rPr>
      </w:pPr>
    </w:p>
    <w:p w14:paraId="1041D112" w14:textId="77777777" w:rsidR="00EB7699" w:rsidRPr="004C6E5C" w:rsidRDefault="00EB7699" w:rsidP="00EB7699">
      <w:pPr>
        <w:spacing w:after="0" w:line="240" w:lineRule="auto"/>
        <w:rPr>
          <w:rFonts w:ascii="Times New Roman" w:hAnsi="Times New Roman"/>
        </w:rPr>
      </w:pPr>
    </w:p>
    <w:p w14:paraId="47FE5556" w14:textId="77777777" w:rsidR="00EB7699" w:rsidRPr="004C6E5C" w:rsidRDefault="00EB7699" w:rsidP="00EB7699">
      <w:pPr>
        <w:spacing w:after="0" w:line="240" w:lineRule="auto"/>
        <w:rPr>
          <w:rFonts w:ascii="Times New Roman" w:hAnsi="Times New Roman"/>
        </w:rPr>
      </w:pPr>
    </w:p>
    <w:p w14:paraId="031CAE1F" w14:textId="77777777" w:rsidR="00EB7699" w:rsidRPr="004C6E5C" w:rsidRDefault="00EB7699" w:rsidP="00EB7699">
      <w:pPr>
        <w:spacing w:after="0" w:line="240" w:lineRule="auto"/>
        <w:rPr>
          <w:rFonts w:ascii="Times New Roman" w:hAnsi="Times New Roman"/>
        </w:rPr>
      </w:pPr>
    </w:p>
    <w:p w14:paraId="7E50819F" w14:textId="77777777" w:rsidR="00EB7699" w:rsidRPr="004C6E5C" w:rsidRDefault="00EB7699" w:rsidP="00EB7699">
      <w:pPr>
        <w:spacing w:after="0" w:line="240" w:lineRule="auto"/>
        <w:rPr>
          <w:rFonts w:ascii="Times New Roman" w:hAnsi="Times New Roman"/>
        </w:rPr>
      </w:pPr>
    </w:p>
    <w:p w14:paraId="7189B0F7" w14:textId="77777777" w:rsidR="00EB7699" w:rsidRPr="004C6E5C" w:rsidRDefault="00EB7699" w:rsidP="00EB7699">
      <w:pPr>
        <w:spacing w:after="0" w:line="240" w:lineRule="auto"/>
        <w:rPr>
          <w:rFonts w:ascii="Times New Roman" w:hAnsi="Times New Roman"/>
        </w:rPr>
      </w:pPr>
    </w:p>
    <w:p w14:paraId="4A56DC68" w14:textId="77777777" w:rsidR="00EB7699" w:rsidRPr="004C6E5C" w:rsidRDefault="00EB7699" w:rsidP="00EB7699">
      <w:pPr>
        <w:spacing w:after="0" w:line="240" w:lineRule="auto"/>
        <w:rPr>
          <w:rFonts w:ascii="Times New Roman" w:hAnsi="Times New Roman"/>
        </w:rPr>
      </w:pPr>
    </w:p>
    <w:p w14:paraId="0152522F" w14:textId="77777777" w:rsidR="00EB7699" w:rsidRPr="004C6E5C" w:rsidRDefault="00EB7699" w:rsidP="00EB7699">
      <w:pPr>
        <w:spacing w:after="0" w:line="240" w:lineRule="auto"/>
        <w:rPr>
          <w:rFonts w:ascii="Times New Roman" w:hAnsi="Times New Roman"/>
        </w:rPr>
      </w:pPr>
    </w:p>
    <w:p w14:paraId="4E2784BA" w14:textId="77777777" w:rsidR="00EB7699" w:rsidRPr="004C6E5C" w:rsidRDefault="00EB7699" w:rsidP="00EB7699">
      <w:pPr>
        <w:spacing w:after="0" w:line="240" w:lineRule="auto"/>
        <w:jc w:val="center"/>
        <w:outlineLvl w:val="0"/>
        <w:rPr>
          <w:rFonts w:ascii="Times New Roman" w:hAnsi="Times New Roman"/>
          <w:b/>
        </w:rPr>
      </w:pPr>
    </w:p>
    <w:p w14:paraId="5D1BC17D" w14:textId="77777777" w:rsidR="00EB7699" w:rsidRPr="004C6E5C" w:rsidRDefault="00EB7699" w:rsidP="00EB7699">
      <w:pPr>
        <w:spacing w:after="0" w:line="240" w:lineRule="auto"/>
        <w:jc w:val="center"/>
        <w:outlineLvl w:val="0"/>
        <w:rPr>
          <w:rFonts w:ascii="Times New Roman" w:hAnsi="Times New Roman"/>
          <w:b/>
        </w:rPr>
      </w:pPr>
    </w:p>
    <w:p w14:paraId="0CDACFA0"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bookmarkStart w:id="70" w:name="_Toc129243259"/>
      <w:bookmarkStart w:id="71" w:name="_Toc129243134"/>
    </w:p>
    <w:p w14:paraId="415BE03A"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r w:rsidRPr="004C6E5C">
        <w:rPr>
          <w:rFonts w:ascii="Times New Roman" w:hAnsi="Times New Roman"/>
          <w:b/>
          <w:caps/>
        </w:rPr>
        <w:t>III PRIEDAS</w:t>
      </w:r>
      <w:bookmarkEnd w:id="70"/>
      <w:bookmarkEnd w:id="71"/>
    </w:p>
    <w:p w14:paraId="7CB5E643" w14:textId="77777777" w:rsidR="00EB7699" w:rsidRPr="004C6E5C" w:rsidRDefault="00EB7699" w:rsidP="00EB7699">
      <w:pPr>
        <w:spacing w:after="0" w:line="240" w:lineRule="auto"/>
        <w:rPr>
          <w:rFonts w:ascii="Times New Roman" w:hAnsi="Times New Roman"/>
        </w:rPr>
      </w:pPr>
    </w:p>
    <w:p w14:paraId="694F8655"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bookmarkStart w:id="72" w:name="_Toc129243260"/>
      <w:bookmarkStart w:id="73" w:name="_Toc129243135"/>
      <w:r w:rsidRPr="004C6E5C">
        <w:rPr>
          <w:rFonts w:ascii="Times New Roman" w:hAnsi="Times New Roman"/>
          <w:b/>
          <w:caps/>
        </w:rPr>
        <w:t>ŽENKLINIMAS IR PAKUOTĖS LAPELIS</w:t>
      </w:r>
      <w:bookmarkEnd w:id="72"/>
      <w:bookmarkEnd w:id="73"/>
    </w:p>
    <w:p w14:paraId="2AE15D99"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br w:type="page"/>
      </w:r>
    </w:p>
    <w:p w14:paraId="22D06D95" w14:textId="77777777" w:rsidR="00EB7699" w:rsidRPr="004C6E5C" w:rsidRDefault="00EB7699" w:rsidP="00EB7699">
      <w:pPr>
        <w:spacing w:after="0" w:line="240" w:lineRule="auto"/>
        <w:rPr>
          <w:rFonts w:ascii="Times New Roman" w:hAnsi="Times New Roman"/>
        </w:rPr>
      </w:pPr>
    </w:p>
    <w:p w14:paraId="3108AD0B" w14:textId="77777777" w:rsidR="00EB7699" w:rsidRPr="004C6E5C" w:rsidRDefault="00EB7699" w:rsidP="00EB7699">
      <w:pPr>
        <w:spacing w:after="0" w:line="240" w:lineRule="auto"/>
        <w:rPr>
          <w:rFonts w:ascii="Times New Roman" w:hAnsi="Times New Roman"/>
        </w:rPr>
      </w:pPr>
    </w:p>
    <w:p w14:paraId="34E35683" w14:textId="77777777" w:rsidR="00EB7699" w:rsidRPr="004C6E5C" w:rsidRDefault="00EB7699" w:rsidP="00EB7699">
      <w:pPr>
        <w:spacing w:after="0" w:line="240" w:lineRule="auto"/>
        <w:rPr>
          <w:rFonts w:ascii="Times New Roman" w:hAnsi="Times New Roman"/>
        </w:rPr>
      </w:pPr>
    </w:p>
    <w:p w14:paraId="107ABF6D" w14:textId="77777777" w:rsidR="00EB7699" w:rsidRPr="004C6E5C" w:rsidRDefault="00EB7699" w:rsidP="00EB7699">
      <w:pPr>
        <w:spacing w:after="0" w:line="240" w:lineRule="auto"/>
        <w:rPr>
          <w:rFonts w:ascii="Times New Roman" w:hAnsi="Times New Roman"/>
        </w:rPr>
      </w:pPr>
    </w:p>
    <w:p w14:paraId="500E7849" w14:textId="77777777" w:rsidR="00EB7699" w:rsidRPr="004C6E5C" w:rsidRDefault="00EB7699" w:rsidP="00EB7699">
      <w:pPr>
        <w:spacing w:after="0" w:line="240" w:lineRule="auto"/>
        <w:rPr>
          <w:rFonts w:ascii="Times New Roman" w:hAnsi="Times New Roman"/>
        </w:rPr>
      </w:pPr>
    </w:p>
    <w:p w14:paraId="5629717E" w14:textId="77777777" w:rsidR="00EB7699" w:rsidRPr="004C6E5C" w:rsidRDefault="00EB7699" w:rsidP="00EB7699">
      <w:pPr>
        <w:spacing w:after="0" w:line="240" w:lineRule="auto"/>
        <w:rPr>
          <w:rFonts w:ascii="Times New Roman" w:hAnsi="Times New Roman"/>
        </w:rPr>
      </w:pPr>
    </w:p>
    <w:p w14:paraId="0EF3DAF9" w14:textId="77777777" w:rsidR="00EB7699" w:rsidRPr="004C6E5C" w:rsidRDefault="00EB7699" w:rsidP="00EB7699">
      <w:pPr>
        <w:spacing w:after="0" w:line="240" w:lineRule="auto"/>
        <w:rPr>
          <w:rFonts w:ascii="Times New Roman" w:hAnsi="Times New Roman"/>
        </w:rPr>
      </w:pPr>
    </w:p>
    <w:p w14:paraId="3C244106" w14:textId="77777777" w:rsidR="00EB7699" w:rsidRPr="004C6E5C" w:rsidRDefault="00EB7699" w:rsidP="00EB7699">
      <w:pPr>
        <w:spacing w:after="0" w:line="240" w:lineRule="auto"/>
        <w:rPr>
          <w:rFonts w:ascii="Times New Roman" w:hAnsi="Times New Roman"/>
        </w:rPr>
      </w:pPr>
    </w:p>
    <w:p w14:paraId="55DF505B" w14:textId="77777777" w:rsidR="00EB7699" w:rsidRPr="004C6E5C" w:rsidRDefault="00EB7699" w:rsidP="00EB7699">
      <w:pPr>
        <w:spacing w:after="0" w:line="240" w:lineRule="auto"/>
        <w:rPr>
          <w:rFonts w:ascii="Times New Roman" w:hAnsi="Times New Roman"/>
        </w:rPr>
      </w:pPr>
    </w:p>
    <w:p w14:paraId="731A9057" w14:textId="77777777" w:rsidR="00EB7699" w:rsidRPr="004C6E5C" w:rsidRDefault="00EB7699" w:rsidP="00EB7699">
      <w:pPr>
        <w:spacing w:after="0" w:line="240" w:lineRule="auto"/>
        <w:rPr>
          <w:rFonts w:ascii="Times New Roman" w:hAnsi="Times New Roman"/>
        </w:rPr>
      </w:pPr>
    </w:p>
    <w:p w14:paraId="5D205F47" w14:textId="77777777" w:rsidR="00EB7699" w:rsidRPr="004C6E5C" w:rsidRDefault="00EB7699" w:rsidP="00EB7699">
      <w:pPr>
        <w:spacing w:after="0" w:line="240" w:lineRule="auto"/>
        <w:rPr>
          <w:rFonts w:ascii="Times New Roman" w:hAnsi="Times New Roman"/>
        </w:rPr>
      </w:pPr>
    </w:p>
    <w:p w14:paraId="3DF4026E" w14:textId="77777777" w:rsidR="00EB7699" w:rsidRPr="004C6E5C" w:rsidRDefault="00EB7699" w:rsidP="00EB7699">
      <w:pPr>
        <w:spacing w:after="0" w:line="240" w:lineRule="auto"/>
        <w:rPr>
          <w:rFonts w:ascii="Times New Roman" w:hAnsi="Times New Roman"/>
        </w:rPr>
      </w:pPr>
    </w:p>
    <w:p w14:paraId="550E156B" w14:textId="77777777" w:rsidR="00EB7699" w:rsidRPr="004C6E5C" w:rsidRDefault="00EB7699" w:rsidP="00EB7699">
      <w:pPr>
        <w:spacing w:after="0" w:line="240" w:lineRule="auto"/>
        <w:rPr>
          <w:rFonts w:ascii="Times New Roman" w:hAnsi="Times New Roman"/>
        </w:rPr>
      </w:pPr>
    </w:p>
    <w:p w14:paraId="18589373" w14:textId="77777777" w:rsidR="00EB7699" w:rsidRPr="004C6E5C" w:rsidRDefault="00EB7699" w:rsidP="00EB7699">
      <w:pPr>
        <w:spacing w:after="0" w:line="240" w:lineRule="auto"/>
        <w:rPr>
          <w:rFonts w:ascii="Times New Roman" w:hAnsi="Times New Roman"/>
        </w:rPr>
      </w:pPr>
    </w:p>
    <w:p w14:paraId="191D53A2" w14:textId="77777777" w:rsidR="00EB7699" w:rsidRPr="004C6E5C" w:rsidRDefault="00EB7699" w:rsidP="00EB7699">
      <w:pPr>
        <w:spacing w:after="0" w:line="240" w:lineRule="auto"/>
        <w:rPr>
          <w:rFonts w:ascii="Times New Roman" w:hAnsi="Times New Roman"/>
        </w:rPr>
      </w:pPr>
    </w:p>
    <w:p w14:paraId="151E31D1" w14:textId="77777777" w:rsidR="00EB7699" w:rsidRPr="004C6E5C" w:rsidRDefault="00EB7699" w:rsidP="00EB7699">
      <w:pPr>
        <w:spacing w:after="0" w:line="240" w:lineRule="auto"/>
        <w:rPr>
          <w:rFonts w:ascii="Times New Roman" w:hAnsi="Times New Roman"/>
        </w:rPr>
      </w:pPr>
    </w:p>
    <w:p w14:paraId="4269C8BC" w14:textId="77777777" w:rsidR="00EB7699" w:rsidRPr="004C6E5C" w:rsidRDefault="00EB7699" w:rsidP="00EB7699">
      <w:pPr>
        <w:spacing w:after="0" w:line="240" w:lineRule="auto"/>
        <w:rPr>
          <w:rFonts w:ascii="Times New Roman" w:hAnsi="Times New Roman"/>
        </w:rPr>
      </w:pPr>
    </w:p>
    <w:p w14:paraId="6F46BBC5" w14:textId="77777777" w:rsidR="00EB7699" w:rsidRPr="004C6E5C" w:rsidRDefault="00EB7699" w:rsidP="00EB7699">
      <w:pPr>
        <w:spacing w:after="0" w:line="240" w:lineRule="auto"/>
        <w:rPr>
          <w:rFonts w:ascii="Times New Roman" w:hAnsi="Times New Roman"/>
        </w:rPr>
      </w:pPr>
    </w:p>
    <w:p w14:paraId="079E6EDA" w14:textId="77777777" w:rsidR="00EB7699" w:rsidRPr="004C6E5C" w:rsidRDefault="00EB7699" w:rsidP="00EB7699">
      <w:pPr>
        <w:spacing w:after="0" w:line="240" w:lineRule="auto"/>
        <w:rPr>
          <w:rFonts w:ascii="Times New Roman" w:hAnsi="Times New Roman"/>
        </w:rPr>
      </w:pPr>
    </w:p>
    <w:p w14:paraId="640F6574" w14:textId="77777777" w:rsidR="00EB7699" w:rsidRPr="004C6E5C" w:rsidRDefault="00EB7699" w:rsidP="00EB7699">
      <w:pPr>
        <w:spacing w:after="0" w:line="240" w:lineRule="auto"/>
        <w:rPr>
          <w:rFonts w:ascii="Times New Roman" w:hAnsi="Times New Roman"/>
        </w:rPr>
      </w:pPr>
    </w:p>
    <w:p w14:paraId="3DB3FF30" w14:textId="77777777" w:rsidR="00EB7699" w:rsidRPr="004C6E5C" w:rsidRDefault="00EB7699" w:rsidP="00EB7699">
      <w:pPr>
        <w:spacing w:after="0" w:line="240" w:lineRule="auto"/>
        <w:rPr>
          <w:rFonts w:ascii="Times New Roman" w:hAnsi="Times New Roman"/>
        </w:rPr>
      </w:pPr>
    </w:p>
    <w:p w14:paraId="3D51AB6E" w14:textId="77777777" w:rsidR="00EB7699" w:rsidRPr="004C6E5C" w:rsidRDefault="00EB7699" w:rsidP="00EB7699">
      <w:pPr>
        <w:spacing w:after="0" w:line="240" w:lineRule="auto"/>
        <w:rPr>
          <w:rFonts w:ascii="Times New Roman" w:hAnsi="Times New Roman"/>
        </w:rPr>
      </w:pPr>
    </w:p>
    <w:p w14:paraId="012A7062" w14:textId="77777777" w:rsidR="00EB7699" w:rsidRPr="004C6E5C" w:rsidRDefault="00EB7699" w:rsidP="00EB7699">
      <w:pPr>
        <w:spacing w:after="0" w:line="240" w:lineRule="auto"/>
        <w:jc w:val="center"/>
        <w:outlineLvl w:val="0"/>
        <w:rPr>
          <w:rFonts w:ascii="Times New Roman" w:hAnsi="Times New Roman"/>
          <w:b/>
        </w:rPr>
      </w:pPr>
    </w:p>
    <w:p w14:paraId="542615C6" w14:textId="77777777" w:rsidR="00EB7699" w:rsidRPr="004C6E5C" w:rsidRDefault="00EB7699" w:rsidP="00EB7699">
      <w:pPr>
        <w:spacing w:after="0" w:line="240" w:lineRule="auto"/>
        <w:jc w:val="center"/>
        <w:outlineLvl w:val="0"/>
        <w:rPr>
          <w:rFonts w:ascii="Times New Roman" w:hAnsi="Times New Roman"/>
        </w:rPr>
      </w:pPr>
      <w:r w:rsidRPr="004C6E5C">
        <w:rPr>
          <w:rFonts w:ascii="Times New Roman" w:hAnsi="Times New Roman"/>
          <w:b/>
        </w:rPr>
        <w:t>A. ŽENKLINIMAS</w:t>
      </w:r>
    </w:p>
    <w:p w14:paraId="541E3348" w14:textId="77777777" w:rsidR="00EB7699" w:rsidRPr="004C6E5C" w:rsidRDefault="00EB7699" w:rsidP="00EB7699">
      <w:pPr>
        <w:shd w:val="clear" w:color="auto" w:fill="FFFFFF"/>
        <w:spacing w:after="0" w:line="240" w:lineRule="auto"/>
        <w:rPr>
          <w:rFonts w:ascii="Times New Roman" w:hAnsi="Times New Roman"/>
        </w:rPr>
      </w:pPr>
      <w:r w:rsidRPr="004C6E5C">
        <w:rPr>
          <w:rFonts w:ascii="Times New Roman" w:hAnsi="Times New Roman"/>
        </w:rPr>
        <w:br w:type="page"/>
      </w:r>
    </w:p>
    <w:p w14:paraId="25A23B1B" w14:textId="77777777" w:rsidR="00EB7699" w:rsidRPr="004C6E5C" w:rsidRDefault="00EB7699" w:rsidP="00EB7699">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rPr>
      </w:pPr>
      <w:r w:rsidRPr="004C6E5C">
        <w:rPr>
          <w:rFonts w:ascii="Times New Roman" w:hAnsi="Times New Roman"/>
          <w:b/>
        </w:rPr>
        <w:lastRenderedPageBreak/>
        <w:t>INFORMACIJA ANT IŠORINĖS PAKUOTĖS</w:t>
      </w:r>
    </w:p>
    <w:p w14:paraId="5BC24E81" w14:textId="77777777" w:rsidR="00EB7699" w:rsidRPr="004C6E5C" w:rsidRDefault="00EB7699" w:rsidP="00EB7699">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rPr>
      </w:pPr>
    </w:p>
    <w:p w14:paraId="484A8095" w14:textId="77777777" w:rsidR="00EB7699" w:rsidRPr="004C6E5C" w:rsidRDefault="00EB7699" w:rsidP="00EB7699">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rsidRPr="004C6E5C">
        <w:rPr>
          <w:rFonts w:ascii="Times New Roman" w:hAnsi="Times New Roman"/>
          <w:b/>
        </w:rPr>
        <w:t>LIZDINIŲ PLOKŠTELIŲ KARTONO DĖŽUTĖ</w:t>
      </w:r>
    </w:p>
    <w:p w14:paraId="6D33A62C" w14:textId="77777777" w:rsidR="00EB7699" w:rsidRPr="004C6E5C" w:rsidRDefault="00EB7699" w:rsidP="00EB7699">
      <w:pPr>
        <w:spacing w:after="0" w:line="240" w:lineRule="auto"/>
        <w:rPr>
          <w:rFonts w:ascii="Times New Roman" w:hAnsi="Times New Roman"/>
        </w:rPr>
      </w:pPr>
    </w:p>
    <w:p w14:paraId="717AE236" w14:textId="77777777" w:rsidR="00EB7699" w:rsidRPr="004C6E5C" w:rsidRDefault="00EB7699" w:rsidP="00EB7699">
      <w:pPr>
        <w:spacing w:after="0" w:line="240" w:lineRule="auto"/>
        <w:rPr>
          <w:rFonts w:ascii="Times New Roman" w:hAnsi="Times New Roman"/>
        </w:rPr>
      </w:pPr>
    </w:p>
    <w:p w14:paraId="1245381E"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w:t>
      </w:r>
      <w:r w:rsidRPr="004C6E5C">
        <w:rPr>
          <w:rFonts w:ascii="Times New Roman" w:hAnsi="Times New Roman"/>
          <w:b/>
        </w:rPr>
        <w:tab/>
        <w:t>VAISTINIO PREPARATO PAVADINIMAS</w:t>
      </w:r>
    </w:p>
    <w:p w14:paraId="04868C2D" w14:textId="77777777" w:rsidR="00EB7699" w:rsidRPr="004C6E5C" w:rsidRDefault="00EB7699" w:rsidP="00EB7699">
      <w:pPr>
        <w:spacing w:after="0" w:line="240" w:lineRule="auto"/>
        <w:rPr>
          <w:rFonts w:ascii="Times New Roman" w:hAnsi="Times New Roman"/>
        </w:rPr>
      </w:pPr>
    </w:p>
    <w:p w14:paraId="38BC537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100 mg skrandyje neirios tabletės</w:t>
      </w:r>
    </w:p>
    <w:p w14:paraId="2BD9FFA0" w14:textId="77777777" w:rsidR="00EB7699" w:rsidRPr="004C6E5C" w:rsidRDefault="00EB7699" w:rsidP="00EB7699">
      <w:pPr>
        <w:spacing w:after="0" w:line="240" w:lineRule="auto"/>
        <w:rPr>
          <w:rFonts w:ascii="Times New Roman" w:hAnsi="Times New Roman"/>
        </w:rPr>
      </w:pPr>
    </w:p>
    <w:p w14:paraId="6530745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Acetilsalicilo rūgštis</w:t>
      </w:r>
    </w:p>
    <w:p w14:paraId="0EEC17EF" w14:textId="77777777" w:rsidR="00EB7699" w:rsidRPr="004C6E5C" w:rsidRDefault="00EB7699" w:rsidP="00EB7699">
      <w:pPr>
        <w:spacing w:after="0" w:line="240" w:lineRule="auto"/>
        <w:rPr>
          <w:rFonts w:ascii="Times New Roman" w:hAnsi="Times New Roman"/>
        </w:rPr>
      </w:pPr>
    </w:p>
    <w:p w14:paraId="125ED5A3" w14:textId="77777777" w:rsidR="00EB7699" w:rsidRPr="004C6E5C" w:rsidRDefault="00EB7699" w:rsidP="00EB7699">
      <w:pPr>
        <w:spacing w:after="0" w:line="240" w:lineRule="auto"/>
        <w:rPr>
          <w:rFonts w:ascii="Times New Roman" w:hAnsi="Times New Roman"/>
        </w:rPr>
      </w:pPr>
    </w:p>
    <w:p w14:paraId="5B368F54"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2.</w:t>
      </w:r>
      <w:r w:rsidRPr="004C6E5C">
        <w:rPr>
          <w:rFonts w:ascii="Times New Roman" w:hAnsi="Times New Roman"/>
          <w:b/>
        </w:rPr>
        <w:tab/>
        <w:t>VEIKLIOJI (-IOS) MEDŽIAGA (-OS) IR JOS (-Ų) KIEKIS (-IAI)</w:t>
      </w:r>
    </w:p>
    <w:p w14:paraId="57255D6F" w14:textId="77777777" w:rsidR="00EB7699" w:rsidRPr="004C6E5C" w:rsidRDefault="00EB7699" w:rsidP="00EB7699">
      <w:pPr>
        <w:spacing w:after="0" w:line="240" w:lineRule="auto"/>
        <w:rPr>
          <w:rFonts w:ascii="Times New Roman" w:hAnsi="Times New Roman"/>
        </w:rPr>
      </w:pPr>
    </w:p>
    <w:p w14:paraId="4F7E55F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Vienoje skrandyje neirioje tabletėje yra 100 mg acetilsalicilo rūgšties.</w:t>
      </w:r>
    </w:p>
    <w:p w14:paraId="3CB410F6" w14:textId="77777777" w:rsidR="00EB7699" w:rsidRPr="004C6E5C" w:rsidRDefault="00EB7699" w:rsidP="00EB7699">
      <w:pPr>
        <w:spacing w:after="0" w:line="240" w:lineRule="auto"/>
        <w:rPr>
          <w:rFonts w:ascii="Times New Roman" w:hAnsi="Times New Roman"/>
        </w:rPr>
      </w:pPr>
    </w:p>
    <w:p w14:paraId="62FB845B" w14:textId="77777777" w:rsidR="00EB7699" w:rsidRPr="004C6E5C" w:rsidRDefault="00EB7699" w:rsidP="00EB7699">
      <w:pPr>
        <w:spacing w:after="0" w:line="240" w:lineRule="auto"/>
        <w:rPr>
          <w:rFonts w:ascii="Times New Roman" w:hAnsi="Times New Roman"/>
        </w:rPr>
      </w:pPr>
    </w:p>
    <w:p w14:paraId="661192D7"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C6E5C">
        <w:rPr>
          <w:rFonts w:ascii="Times New Roman" w:hAnsi="Times New Roman"/>
          <w:b/>
        </w:rPr>
        <w:t>3.</w:t>
      </w:r>
      <w:r w:rsidRPr="004C6E5C">
        <w:rPr>
          <w:rFonts w:ascii="Times New Roman" w:hAnsi="Times New Roman"/>
          <w:b/>
        </w:rPr>
        <w:tab/>
        <w:t>PAGALBINIŲ MEDŽIAGŲ SĄRAŠAS</w:t>
      </w:r>
    </w:p>
    <w:p w14:paraId="4B3B1EA4" w14:textId="77777777" w:rsidR="00EB7699" w:rsidRPr="004C6E5C" w:rsidRDefault="00EB7699" w:rsidP="00EB7699">
      <w:pPr>
        <w:spacing w:after="0" w:line="240" w:lineRule="auto"/>
        <w:rPr>
          <w:rFonts w:ascii="Times New Roman" w:hAnsi="Times New Roman"/>
        </w:rPr>
      </w:pPr>
    </w:p>
    <w:p w14:paraId="36135FEE" w14:textId="77777777" w:rsidR="00EB7699" w:rsidRPr="004C6E5C" w:rsidRDefault="00EB7699" w:rsidP="00EB7699">
      <w:pPr>
        <w:spacing w:after="0" w:line="240" w:lineRule="auto"/>
        <w:rPr>
          <w:rFonts w:ascii="Times New Roman" w:hAnsi="Times New Roman"/>
        </w:rPr>
      </w:pPr>
    </w:p>
    <w:p w14:paraId="20540BF3"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4.</w:t>
      </w:r>
      <w:r w:rsidRPr="004C6E5C">
        <w:rPr>
          <w:rFonts w:ascii="Times New Roman" w:hAnsi="Times New Roman"/>
          <w:b/>
        </w:rPr>
        <w:tab/>
        <w:t>FARMACINĖ FORMA IR KIEKIS PAKUOTĖJE</w:t>
      </w:r>
    </w:p>
    <w:p w14:paraId="535B1EA0" w14:textId="77777777" w:rsidR="00EB7699" w:rsidRPr="004C6E5C" w:rsidRDefault="00EB7699" w:rsidP="00EB7699">
      <w:pPr>
        <w:spacing w:after="0" w:line="240" w:lineRule="auto"/>
        <w:rPr>
          <w:rFonts w:ascii="Times New Roman" w:hAnsi="Times New Roman"/>
        </w:rPr>
      </w:pPr>
    </w:p>
    <w:p w14:paraId="69B2C68D" w14:textId="77777777" w:rsidR="00EB7699" w:rsidRPr="004C6E5C" w:rsidRDefault="00EB7699" w:rsidP="00EB7699">
      <w:pPr>
        <w:spacing w:after="0" w:line="240" w:lineRule="auto"/>
        <w:rPr>
          <w:rFonts w:ascii="Times New Roman" w:hAnsi="Times New Roman"/>
        </w:rPr>
      </w:pPr>
      <w:r w:rsidRPr="004C6E5C">
        <w:rPr>
          <w:rFonts w:ascii="Times New Roman" w:hAnsi="Times New Roman"/>
          <w:highlight w:val="lightGray"/>
        </w:rPr>
        <w:t>Skrandyje neirios tabletės</w:t>
      </w:r>
    </w:p>
    <w:p w14:paraId="0A77F4AE" w14:textId="77777777" w:rsidR="00EB7699" w:rsidRPr="004C6E5C" w:rsidRDefault="00EB7699" w:rsidP="00EB7699">
      <w:pPr>
        <w:spacing w:after="0" w:line="240" w:lineRule="auto"/>
        <w:rPr>
          <w:rFonts w:ascii="Times New Roman" w:hAnsi="Times New Roman"/>
        </w:rPr>
      </w:pPr>
    </w:p>
    <w:p w14:paraId="36F2687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10 skrandyje neirių tablečių</w:t>
      </w:r>
    </w:p>
    <w:p w14:paraId="0C9D777E"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20 skrandyje neirių tablečių</w:t>
      </w:r>
    </w:p>
    <w:p w14:paraId="0FFDD858"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28 skrandyje neirios tabletės</w:t>
      </w:r>
    </w:p>
    <w:p w14:paraId="18616AF5"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30 skrandyje neirių tablečių</w:t>
      </w:r>
    </w:p>
    <w:p w14:paraId="6C50FB50"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50 skrandyje neirių tablečių</w:t>
      </w:r>
    </w:p>
    <w:p w14:paraId="79C622BF"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56 skrandyje neirios tabletės</w:t>
      </w:r>
    </w:p>
    <w:p w14:paraId="412FEECD"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60 skrandyje neirių tablečių</w:t>
      </w:r>
    </w:p>
    <w:p w14:paraId="66E8FA39"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90 skrandyje neirių tablečių</w:t>
      </w:r>
    </w:p>
    <w:p w14:paraId="12D44F0D" w14:textId="77777777" w:rsidR="00EB7699" w:rsidRPr="004C6E5C" w:rsidRDefault="00EB7699" w:rsidP="00EB7699">
      <w:pPr>
        <w:spacing w:after="0" w:line="240" w:lineRule="auto"/>
        <w:rPr>
          <w:rFonts w:ascii="Times New Roman" w:hAnsi="Times New Roman"/>
        </w:rPr>
      </w:pPr>
      <w:r w:rsidRPr="004C6E5C">
        <w:rPr>
          <w:rFonts w:ascii="Times New Roman" w:hAnsi="Times New Roman"/>
          <w:highlight w:val="lightGray"/>
        </w:rPr>
        <w:t>100 skrandyje neirių tablečių</w:t>
      </w:r>
    </w:p>
    <w:p w14:paraId="75E9603D" w14:textId="77777777" w:rsidR="00EB7699" w:rsidRPr="004C6E5C" w:rsidRDefault="00EB7699" w:rsidP="00EB7699">
      <w:pPr>
        <w:spacing w:after="0" w:line="240" w:lineRule="auto"/>
        <w:rPr>
          <w:rFonts w:ascii="Times New Roman" w:hAnsi="Times New Roman"/>
        </w:rPr>
      </w:pPr>
    </w:p>
    <w:p w14:paraId="151DFF0C" w14:textId="77777777" w:rsidR="00EB7699" w:rsidRPr="004C6E5C" w:rsidRDefault="00EB7699" w:rsidP="00EB7699">
      <w:pPr>
        <w:spacing w:after="0" w:line="240" w:lineRule="auto"/>
        <w:rPr>
          <w:rFonts w:ascii="Times New Roman" w:hAnsi="Times New Roman"/>
        </w:rPr>
      </w:pPr>
    </w:p>
    <w:p w14:paraId="3ACE1EA4"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C6E5C">
        <w:rPr>
          <w:rFonts w:ascii="Times New Roman" w:hAnsi="Times New Roman"/>
          <w:b/>
        </w:rPr>
        <w:t>5.</w:t>
      </w:r>
      <w:r w:rsidRPr="004C6E5C">
        <w:rPr>
          <w:rFonts w:ascii="Times New Roman" w:hAnsi="Times New Roman"/>
          <w:b/>
        </w:rPr>
        <w:tab/>
        <w:t>VARTOJIMO METODAS IR BŪDAS (-AI)</w:t>
      </w:r>
    </w:p>
    <w:p w14:paraId="107A44A9" w14:textId="77777777" w:rsidR="00EB7699" w:rsidRPr="004C6E5C" w:rsidRDefault="00EB7699" w:rsidP="00EB7699">
      <w:pPr>
        <w:spacing w:after="0" w:line="240" w:lineRule="auto"/>
        <w:rPr>
          <w:rFonts w:ascii="Times New Roman" w:hAnsi="Times New Roman"/>
        </w:rPr>
      </w:pPr>
    </w:p>
    <w:p w14:paraId="3DA8BB0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Vartoti per burną.</w:t>
      </w:r>
    </w:p>
    <w:p w14:paraId="0D1B8E6E" w14:textId="77777777" w:rsidR="00EB7699" w:rsidRPr="004C6E5C" w:rsidRDefault="00EB7699" w:rsidP="00EB7699">
      <w:pPr>
        <w:spacing w:after="0" w:line="240" w:lineRule="auto"/>
        <w:ind w:left="567" w:hanging="567"/>
        <w:rPr>
          <w:rFonts w:ascii="Times New Roman" w:hAnsi="Times New Roman"/>
        </w:rPr>
      </w:pPr>
      <w:r w:rsidRPr="004C6E5C">
        <w:rPr>
          <w:rFonts w:ascii="Times New Roman" w:hAnsi="Times New Roman"/>
        </w:rPr>
        <w:t>Tabletes reikia nuryti sveikas. Jų negalima traiškyti, smulkinti arba kramtyti.</w:t>
      </w:r>
    </w:p>
    <w:p w14:paraId="7533BCBE" w14:textId="77777777" w:rsidR="00EB7699" w:rsidRPr="004C6E5C" w:rsidRDefault="00EB7699" w:rsidP="00EB7699">
      <w:pPr>
        <w:spacing w:after="0" w:line="240" w:lineRule="auto"/>
        <w:ind w:left="567" w:hanging="567"/>
        <w:rPr>
          <w:rFonts w:ascii="Times New Roman" w:hAnsi="Times New Roman"/>
        </w:rPr>
      </w:pPr>
      <w:r w:rsidRPr="004C6E5C">
        <w:rPr>
          <w:rFonts w:ascii="Times New Roman" w:hAnsi="Times New Roman"/>
        </w:rPr>
        <w:t>Prieš vartojimą perskaitykite pakuotės lapelį.</w:t>
      </w:r>
    </w:p>
    <w:p w14:paraId="5CDCBA5C" w14:textId="77777777" w:rsidR="00EB7699" w:rsidRPr="004C6E5C" w:rsidRDefault="00EB7699" w:rsidP="00EB7699">
      <w:pPr>
        <w:spacing w:after="0" w:line="240" w:lineRule="auto"/>
        <w:rPr>
          <w:rFonts w:ascii="Times New Roman" w:hAnsi="Times New Roman"/>
        </w:rPr>
      </w:pPr>
    </w:p>
    <w:p w14:paraId="1AE646A6" w14:textId="77777777" w:rsidR="00EB7699" w:rsidRPr="004C6E5C" w:rsidRDefault="00EB7699" w:rsidP="00EB7699">
      <w:pPr>
        <w:spacing w:after="0" w:line="240" w:lineRule="auto"/>
        <w:rPr>
          <w:rFonts w:ascii="Times New Roman" w:hAnsi="Times New Roman"/>
        </w:rPr>
      </w:pPr>
    </w:p>
    <w:p w14:paraId="0F30FF03"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6.</w:t>
      </w:r>
      <w:r w:rsidRPr="004C6E5C">
        <w:rPr>
          <w:rFonts w:ascii="Times New Roman" w:hAnsi="Times New Roman"/>
          <w:b/>
        </w:rPr>
        <w:tab/>
        <w:t>SPECIALUS ĮSPĖJIMAS, KAD VAISTINĮ PREPARATĄ BŪTINA LAIKYTI VAIKAMS NEPASTEBIMOJE IR NEPASIEKIAMOJE VIETOJE</w:t>
      </w:r>
    </w:p>
    <w:p w14:paraId="65B3CC1C" w14:textId="77777777" w:rsidR="00EB7699" w:rsidRPr="004C6E5C" w:rsidRDefault="00EB7699" w:rsidP="00EB7699">
      <w:pPr>
        <w:spacing w:after="0" w:line="240" w:lineRule="auto"/>
        <w:rPr>
          <w:rFonts w:ascii="Times New Roman" w:hAnsi="Times New Roman"/>
        </w:rPr>
      </w:pPr>
    </w:p>
    <w:p w14:paraId="3DAA4CF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Laikyti vaikams nepastebimoje ir nepasiekiamoje vietoje.</w:t>
      </w:r>
    </w:p>
    <w:p w14:paraId="4956ED01" w14:textId="77777777" w:rsidR="00EB7699" w:rsidRPr="004C6E5C" w:rsidRDefault="00EB7699" w:rsidP="00EB7699">
      <w:pPr>
        <w:spacing w:after="0" w:line="240" w:lineRule="auto"/>
        <w:rPr>
          <w:rFonts w:ascii="Times New Roman" w:hAnsi="Times New Roman"/>
        </w:rPr>
      </w:pPr>
    </w:p>
    <w:p w14:paraId="26CF1A54" w14:textId="77777777" w:rsidR="00EB7699" w:rsidRPr="004C6E5C" w:rsidRDefault="00EB7699" w:rsidP="00EB7699">
      <w:pPr>
        <w:spacing w:after="0" w:line="240" w:lineRule="auto"/>
        <w:rPr>
          <w:rFonts w:ascii="Times New Roman" w:hAnsi="Times New Roman"/>
        </w:rPr>
      </w:pPr>
    </w:p>
    <w:p w14:paraId="7231CF9F"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C6E5C">
        <w:rPr>
          <w:rFonts w:ascii="Times New Roman" w:hAnsi="Times New Roman"/>
          <w:b/>
        </w:rPr>
        <w:t>7.</w:t>
      </w:r>
      <w:r w:rsidRPr="004C6E5C">
        <w:rPr>
          <w:rFonts w:ascii="Times New Roman" w:hAnsi="Times New Roman"/>
          <w:b/>
        </w:rPr>
        <w:tab/>
        <w:t>KITAS (-I) SPECIALUS (-ŪS) ĮSPĖJIMAS (-AI) (JEI REIKIA)</w:t>
      </w:r>
    </w:p>
    <w:p w14:paraId="7BF6EF0F" w14:textId="77777777" w:rsidR="00EB7699" w:rsidRPr="004C6E5C" w:rsidRDefault="00EB7699" w:rsidP="00EB7699">
      <w:pPr>
        <w:spacing w:after="0" w:line="240" w:lineRule="auto"/>
        <w:rPr>
          <w:rFonts w:ascii="Times New Roman" w:hAnsi="Times New Roman"/>
        </w:rPr>
      </w:pPr>
    </w:p>
    <w:p w14:paraId="4B3E0CA8" w14:textId="77777777" w:rsidR="00EB7699" w:rsidRPr="004C6E5C" w:rsidRDefault="00EB7699" w:rsidP="00EB7699">
      <w:pPr>
        <w:spacing w:after="0" w:line="240" w:lineRule="auto"/>
        <w:rPr>
          <w:rFonts w:ascii="Times New Roman" w:hAnsi="Times New Roman"/>
        </w:rPr>
      </w:pPr>
    </w:p>
    <w:p w14:paraId="26786CC3"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C6E5C">
        <w:rPr>
          <w:rFonts w:ascii="Times New Roman" w:hAnsi="Times New Roman"/>
          <w:b/>
        </w:rPr>
        <w:t>8.</w:t>
      </w:r>
      <w:r w:rsidRPr="004C6E5C">
        <w:rPr>
          <w:rFonts w:ascii="Times New Roman" w:hAnsi="Times New Roman"/>
          <w:b/>
        </w:rPr>
        <w:tab/>
        <w:t>TINKAMUMO LAIKAS</w:t>
      </w:r>
    </w:p>
    <w:p w14:paraId="74F1459C" w14:textId="77777777" w:rsidR="00EB7699" w:rsidRPr="004C6E5C" w:rsidRDefault="00EB7699" w:rsidP="00EB7699">
      <w:pPr>
        <w:spacing w:after="0" w:line="240" w:lineRule="auto"/>
        <w:rPr>
          <w:rFonts w:ascii="Times New Roman" w:hAnsi="Times New Roman"/>
        </w:rPr>
      </w:pPr>
    </w:p>
    <w:p w14:paraId="67086A8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Tinka iki {mm/MMMM}</w:t>
      </w:r>
    </w:p>
    <w:p w14:paraId="48EBBCCC" w14:textId="77777777" w:rsidR="00EB7699" w:rsidRPr="004C6E5C" w:rsidRDefault="00EB7699" w:rsidP="00EB7699">
      <w:pPr>
        <w:spacing w:after="0" w:line="240" w:lineRule="auto"/>
        <w:rPr>
          <w:rFonts w:ascii="Times New Roman" w:hAnsi="Times New Roman"/>
        </w:rPr>
      </w:pPr>
    </w:p>
    <w:p w14:paraId="16B6AC56" w14:textId="77777777" w:rsidR="00EB7699" w:rsidRPr="004C6E5C" w:rsidRDefault="00EB7699" w:rsidP="00EB7699">
      <w:pPr>
        <w:spacing w:after="0" w:line="240" w:lineRule="auto"/>
        <w:rPr>
          <w:rFonts w:ascii="Times New Roman" w:hAnsi="Times New Roman"/>
        </w:rPr>
      </w:pPr>
    </w:p>
    <w:p w14:paraId="78FE2AFE"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9.</w:t>
      </w:r>
      <w:r w:rsidRPr="004C6E5C">
        <w:rPr>
          <w:rFonts w:ascii="Times New Roman" w:hAnsi="Times New Roman"/>
          <w:b/>
        </w:rPr>
        <w:tab/>
        <w:t>SPECIALIOS LAIKYMO SĄLYGOS</w:t>
      </w:r>
    </w:p>
    <w:p w14:paraId="49C4449D" w14:textId="77777777" w:rsidR="00EB7699" w:rsidRPr="004C6E5C" w:rsidRDefault="00EB7699" w:rsidP="00EB7699">
      <w:pPr>
        <w:spacing w:after="0" w:line="240" w:lineRule="auto"/>
        <w:rPr>
          <w:rFonts w:ascii="Times New Roman" w:hAnsi="Times New Roman"/>
        </w:rPr>
      </w:pPr>
    </w:p>
    <w:p w14:paraId="09891C1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Laikyti žemesnėje kaip 25°C temperatūroje.</w:t>
      </w:r>
    </w:p>
    <w:p w14:paraId="6C069AA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Laikyti gamintojo pakuotėje, kad vaistas būtų apsaugotas nuo drėgmės.</w:t>
      </w:r>
    </w:p>
    <w:p w14:paraId="54670640" w14:textId="77777777" w:rsidR="00EB7699" w:rsidRPr="004C6E5C" w:rsidRDefault="00EB7699" w:rsidP="00EB7699">
      <w:pPr>
        <w:spacing w:after="0" w:line="240" w:lineRule="auto"/>
        <w:rPr>
          <w:rFonts w:ascii="Times New Roman" w:hAnsi="Times New Roman"/>
        </w:rPr>
      </w:pPr>
    </w:p>
    <w:p w14:paraId="0F67B785" w14:textId="77777777" w:rsidR="00EB7699" w:rsidRPr="004C6E5C" w:rsidRDefault="00EB7699" w:rsidP="00EB7699">
      <w:pPr>
        <w:spacing w:after="0" w:line="240" w:lineRule="auto"/>
        <w:rPr>
          <w:rFonts w:ascii="Times New Roman" w:hAnsi="Times New Roman"/>
        </w:rPr>
      </w:pPr>
    </w:p>
    <w:p w14:paraId="18F81CDF"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10.</w:t>
      </w:r>
      <w:r w:rsidRPr="004C6E5C">
        <w:rPr>
          <w:rFonts w:ascii="Times New Roman" w:hAnsi="Times New Roman"/>
          <w:b/>
        </w:rPr>
        <w:tab/>
        <w:t>SPECIALIOS ATSARGUMO PRIEMONĖS DĖL NESUVARTOTO VAISTINIO PREPARATO AR JO ATLIEKŲ TVARKYMO (JEI REIKIA)</w:t>
      </w:r>
    </w:p>
    <w:p w14:paraId="0178494B" w14:textId="77777777" w:rsidR="00EB7699" w:rsidRPr="004C6E5C" w:rsidRDefault="00EB7699" w:rsidP="00EB7699">
      <w:pPr>
        <w:spacing w:after="0" w:line="240" w:lineRule="auto"/>
        <w:rPr>
          <w:rFonts w:ascii="Times New Roman" w:hAnsi="Times New Roman"/>
        </w:rPr>
      </w:pPr>
    </w:p>
    <w:p w14:paraId="7EA07126" w14:textId="77777777" w:rsidR="00EB7699" w:rsidRPr="004C6E5C" w:rsidRDefault="00EB7699" w:rsidP="00EB7699">
      <w:pPr>
        <w:spacing w:after="0" w:line="240" w:lineRule="auto"/>
        <w:rPr>
          <w:rFonts w:ascii="Times New Roman" w:hAnsi="Times New Roman"/>
        </w:rPr>
      </w:pPr>
    </w:p>
    <w:p w14:paraId="6C21B3C4"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11.</w:t>
      </w:r>
      <w:r w:rsidRPr="004C6E5C">
        <w:rPr>
          <w:rFonts w:ascii="Times New Roman" w:hAnsi="Times New Roman"/>
          <w:b/>
        </w:rPr>
        <w:tab/>
        <w:t xml:space="preserve">REGISTRUOTOJO PAVADINIMAS IR ADRESAS  </w:t>
      </w:r>
    </w:p>
    <w:p w14:paraId="63FA6069" w14:textId="77777777" w:rsidR="00EB7699" w:rsidRPr="004C6E5C" w:rsidRDefault="00EB7699" w:rsidP="00EB7699">
      <w:pPr>
        <w:spacing w:after="0" w:line="240" w:lineRule="auto"/>
        <w:rPr>
          <w:rFonts w:ascii="Times New Roman" w:hAnsi="Times New Roman"/>
        </w:rPr>
      </w:pPr>
    </w:p>
    <w:p w14:paraId="17517FE0"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PharmaSwiss Česká republika s.r.o.</w:t>
      </w:r>
    </w:p>
    <w:p w14:paraId="2CA38526"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Jankovcova 1569/2c</w:t>
      </w:r>
    </w:p>
    <w:p w14:paraId="1837D54E"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170 00 Praha 7</w:t>
      </w:r>
    </w:p>
    <w:p w14:paraId="30FEC44A"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Čekija</w:t>
      </w:r>
    </w:p>
    <w:p w14:paraId="38BD1224" w14:textId="77777777" w:rsidR="00EB7699" w:rsidRPr="004C6E5C" w:rsidRDefault="00EB7699" w:rsidP="00EB7699">
      <w:pPr>
        <w:spacing w:after="0" w:line="240" w:lineRule="auto"/>
        <w:rPr>
          <w:rFonts w:ascii="Times New Roman" w:hAnsi="Times New Roman"/>
        </w:rPr>
      </w:pPr>
    </w:p>
    <w:p w14:paraId="486DBEF4" w14:textId="77777777" w:rsidR="00EB7699" w:rsidRPr="004C6E5C" w:rsidRDefault="00EB7699" w:rsidP="00EB7699">
      <w:pPr>
        <w:spacing w:after="0" w:line="240" w:lineRule="auto"/>
        <w:rPr>
          <w:rFonts w:ascii="Times New Roman" w:hAnsi="Times New Roman"/>
        </w:rPr>
      </w:pPr>
    </w:p>
    <w:p w14:paraId="3543623F"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12.</w:t>
      </w:r>
      <w:r w:rsidRPr="004C6E5C">
        <w:rPr>
          <w:rFonts w:ascii="Times New Roman" w:hAnsi="Times New Roman"/>
          <w:b/>
        </w:rPr>
        <w:tab/>
        <w:t>REGISTRACIJOS PAŽYMĖJIMO NUMERIS (-IAI)</w:t>
      </w:r>
    </w:p>
    <w:p w14:paraId="751CC8ED" w14:textId="77777777" w:rsidR="00EB7699" w:rsidRPr="004C6E5C" w:rsidRDefault="00EB7699" w:rsidP="00EB7699">
      <w:pPr>
        <w:spacing w:after="0" w:line="240" w:lineRule="auto"/>
        <w:rPr>
          <w:rFonts w:ascii="Times New Roman" w:hAnsi="Times New Roman"/>
        </w:rPr>
      </w:pPr>
    </w:p>
    <w:p w14:paraId="6C551538" w14:textId="77777777" w:rsidR="00EB7699" w:rsidRPr="004C6E5C" w:rsidRDefault="00EB7699" w:rsidP="00EB7699">
      <w:pPr>
        <w:spacing w:after="0" w:line="240" w:lineRule="auto"/>
        <w:rPr>
          <w:rFonts w:ascii="Times New Roman" w:hAnsi="Times New Roman"/>
        </w:rPr>
      </w:pPr>
      <w:r w:rsidRPr="004C6E5C">
        <w:rPr>
          <w:rFonts w:ascii="Times New Roman" w:hAnsi="Times New Roman"/>
          <w:highlight w:val="lightGray"/>
        </w:rPr>
        <w:t>N10 –</w:t>
      </w:r>
      <w:r w:rsidRPr="004C6E5C">
        <w:rPr>
          <w:rFonts w:ascii="Times New Roman" w:hAnsi="Times New Roman"/>
        </w:rPr>
        <w:t xml:space="preserve"> LT/1/12/3079/015</w:t>
      </w:r>
    </w:p>
    <w:p w14:paraId="171BFF8E"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N20 – LT/1/12/3079/016</w:t>
      </w:r>
    </w:p>
    <w:p w14:paraId="2827A7F4"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N28 – LT/1/12/3079/017</w:t>
      </w:r>
    </w:p>
    <w:p w14:paraId="14630C6B"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N30 – LT/1/12/3079/018</w:t>
      </w:r>
    </w:p>
    <w:p w14:paraId="36E01101"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N50 – LT/1/12/3079/019</w:t>
      </w:r>
    </w:p>
    <w:p w14:paraId="4CF92CAD"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N56 – LT/1/12/3079/020</w:t>
      </w:r>
    </w:p>
    <w:p w14:paraId="0E33D679"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N60 – LT/1/12/3079/021</w:t>
      </w:r>
    </w:p>
    <w:p w14:paraId="75B78977" w14:textId="77777777" w:rsidR="00EB7699" w:rsidRPr="004C6E5C" w:rsidRDefault="00EB7699" w:rsidP="00EB7699">
      <w:pPr>
        <w:spacing w:after="0" w:line="240" w:lineRule="auto"/>
        <w:rPr>
          <w:rFonts w:ascii="Times New Roman" w:hAnsi="Times New Roman"/>
          <w:highlight w:val="lightGray"/>
        </w:rPr>
      </w:pPr>
      <w:r w:rsidRPr="004C6E5C">
        <w:rPr>
          <w:rFonts w:ascii="Times New Roman" w:hAnsi="Times New Roman"/>
          <w:highlight w:val="lightGray"/>
        </w:rPr>
        <w:t>N90 – LT/1/12/3079/022</w:t>
      </w:r>
    </w:p>
    <w:p w14:paraId="1D218C33" w14:textId="77777777" w:rsidR="00EB7699" w:rsidRPr="004C6E5C" w:rsidRDefault="00EB7699" w:rsidP="00EB7699">
      <w:pPr>
        <w:spacing w:after="0" w:line="240" w:lineRule="auto"/>
        <w:rPr>
          <w:rFonts w:ascii="Times New Roman" w:hAnsi="Times New Roman"/>
        </w:rPr>
      </w:pPr>
      <w:r w:rsidRPr="004C6E5C">
        <w:rPr>
          <w:rFonts w:ascii="Times New Roman" w:hAnsi="Times New Roman"/>
          <w:highlight w:val="lightGray"/>
        </w:rPr>
        <w:t>N100 – LT/1/12/3079/023</w:t>
      </w:r>
    </w:p>
    <w:p w14:paraId="2B0C3EA5" w14:textId="77777777" w:rsidR="00EB7699" w:rsidRPr="004C6E5C" w:rsidRDefault="00EB7699" w:rsidP="00EB7699">
      <w:pPr>
        <w:spacing w:after="0" w:line="240" w:lineRule="auto"/>
        <w:rPr>
          <w:rFonts w:ascii="Times New Roman" w:hAnsi="Times New Roman"/>
        </w:rPr>
      </w:pPr>
    </w:p>
    <w:p w14:paraId="0FCC09AD" w14:textId="77777777" w:rsidR="00EB7699" w:rsidRPr="004C6E5C" w:rsidRDefault="00EB7699" w:rsidP="00EB7699">
      <w:pPr>
        <w:spacing w:after="0" w:line="240" w:lineRule="auto"/>
        <w:rPr>
          <w:rFonts w:ascii="Times New Roman" w:hAnsi="Times New Roman"/>
        </w:rPr>
      </w:pPr>
    </w:p>
    <w:p w14:paraId="219BDB23"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13.</w:t>
      </w:r>
      <w:r w:rsidRPr="004C6E5C">
        <w:rPr>
          <w:rFonts w:ascii="Times New Roman" w:hAnsi="Times New Roman"/>
          <w:b/>
        </w:rPr>
        <w:tab/>
        <w:t>SERIJOS NUMERIS</w:t>
      </w:r>
    </w:p>
    <w:p w14:paraId="73328469" w14:textId="77777777" w:rsidR="00EB7699" w:rsidRPr="004C6E5C" w:rsidRDefault="00EB7699" w:rsidP="00EB7699">
      <w:pPr>
        <w:spacing w:after="0" w:line="240" w:lineRule="auto"/>
        <w:rPr>
          <w:rFonts w:ascii="Times New Roman" w:hAnsi="Times New Roman"/>
        </w:rPr>
      </w:pPr>
    </w:p>
    <w:p w14:paraId="740EA0E9"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Serija {numeris} </w:t>
      </w:r>
    </w:p>
    <w:p w14:paraId="703FF2B8" w14:textId="77777777" w:rsidR="00EB7699" w:rsidRPr="004C6E5C" w:rsidRDefault="00EB7699" w:rsidP="00EB7699">
      <w:pPr>
        <w:spacing w:after="0" w:line="240" w:lineRule="auto"/>
        <w:rPr>
          <w:rFonts w:ascii="Times New Roman" w:hAnsi="Times New Roman"/>
        </w:rPr>
      </w:pPr>
    </w:p>
    <w:p w14:paraId="604F6238" w14:textId="77777777" w:rsidR="00EB7699" w:rsidRPr="004C6E5C" w:rsidRDefault="00EB7699" w:rsidP="00EB7699">
      <w:pPr>
        <w:spacing w:after="0" w:line="240" w:lineRule="auto"/>
        <w:rPr>
          <w:rFonts w:ascii="Times New Roman" w:hAnsi="Times New Roman"/>
        </w:rPr>
      </w:pPr>
    </w:p>
    <w:p w14:paraId="6077F567"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14.</w:t>
      </w:r>
      <w:r w:rsidRPr="004C6E5C">
        <w:rPr>
          <w:rFonts w:ascii="Times New Roman" w:hAnsi="Times New Roman"/>
          <w:b/>
        </w:rPr>
        <w:tab/>
        <w:t>PARDAVIMO (IŠDAVIMO) TVARKA</w:t>
      </w:r>
    </w:p>
    <w:p w14:paraId="750E624E" w14:textId="77777777" w:rsidR="00EB7699" w:rsidRPr="004C6E5C" w:rsidRDefault="00EB7699" w:rsidP="00EB7699">
      <w:pPr>
        <w:spacing w:after="0" w:line="240" w:lineRule="auto"/>
        <w:rPr>
          <w:rFonts w:ascii="Times New Roman" w:hAnsi="Times New Roman"/>
        </w:rPr>
      </w:pPr>
    </w:p>
    <w:p w14:paraId="43DE4E2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Nereceptinis vaistas</w:t>
      </w:r>
    </w:p>
    <w:p w14:paraId="42685BAC" w14:textId="77777777" w:rsidR="00EB7699" w:rsidRPr="004C6E5C" w:rsidRDefault="00EB7699" w:rsidP="00EB7699">
      <w:pPr>
        <w:spacing w:after="0" w:line="240" w:lineRule="auto"/>
        <w:rPr>
          <w:rFonts w:ascii="Times New Roman" w:hAnsi="Times New Roman"/>
        </w:rPr>
      </w:pPr>
    </w:p>
    <w:p w14:paraId="3891AFD9" w14:textId="77777777" w:rsidR="00EB7699" w:rsidRPr="004C6E5C" w:rsidRDefault="00EB7699" w:rsidP="00EB7699">
      <w:pPr>
        <w:spacing w:after="0" w:line="240" w:lineRule="auto"/>
        <w:rPr>
          <w:rFonts w:ascii="Times New Roman" w:hAnsi="Times New Roman"/>
        </w:rPr>
      </w:pPr>
    </w:p>
    <w:p w14:paraId="4813F3EB"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15.</w:t>
      </w:r>
      <w:r w:rsidRPr="004C6E5C">
        <w:rPr>
          <w:rFonts w:ascii="Times New Roman" w:hAnsi="Times New Roman"/>
          <w:b/>
        </w:rPr>
        <w:tab/>
        <w:t>VARTOJIMO INSTRUKCIJA</w:t>
      </w:r>
    </w:p>
    <w:p w14:paraId="40816147" w14:textId="77777777" w:rsidR="00EB7699" w:rsidRPr="004C6E5C" w:rsidRDefault="00EB7699" w:rsidP="00EB7699">
      <w:pPr>
        <w:spacing w:after="0" w:line="240" w:lineRule="auto"/>
        <w:rPr>
          <w:rFonts w:ascii="Times New Roman" w:hAnsi="Times New Roman"/>
        </w:rPr>
      </w:pPr>
    </w:p>
    <w:p w14:paraId="3E7DB1A4"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Kito širdies priepuolio, insulto ar kraujo krešulio susidarymo po tam tikrų širdies operacijų profilaktikai.</w:t>
      </w:r>
    </w:p>
    <w:p w14:paraId="7714BA0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Jei gydytojas nenurodė kitaip, kartą per parą vartojama viena tabletė.</w:t>
      </w:r>
    </w:p>
    <w:p w14:paraId="71320D30" w14:textId="77777777" w:rsidR="00EB7699" w:rsidRPr="004C6E5C" w:rsidRDefault="00EB7699" w:rsidP="00EB7699">
      <w:pPr>
        <w:spacing w:after="0" w:line="240" w:lineRule="auto"/>
        <w:rPr>
          <w:rFonts w:ascii="Times New Roman" w:hAnsi="Times New Roman"/>
        </w:rPr>
      </w:pPr>
    </w:p>
    <w:p w14:paraId="2830D882" w14:textId="77777777" w:rsidR="00EB7699" w:rsidRPr="004C6E5C" w:rsidRDefault="00EB7699" w:rsidP="00EB7699">
      <w:pPr>
        <w:spacing w:after="0" w:line="240" w:lineRule="auto"/>
        <w:rPr>
          <w:rFonts w:ascii="Times New Roman" w:hAnsi="Times New Roman"/>
        </w:rPr>
      </w:pPr>
    </w:p>
    <w:p w14:paraId="74EEC69E"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16.</w:t>
      </w:r>
      <w:r w:rsidRPr="004C6E5C">
        <w:rPr>
          <w:rFonts w:ascii="Times New Roman" w:hAnsi="Times New Roman"/>
          <w:b/>
        </w:rPr>
        <w:tab/>
        <w:t>INFORMACIJA BRAILIO RAŠTU</w:t>
      </w:r>
    </w:p>
    <w:p w14:paraId="0746A1F9" w14:textId="77777777" w:rsidR="00EB7699" w:rsidRPr="004C6E5C" w:rsidRDefault="00EB7699" w:rsidP="00EB7699">
      <w:pPr>
        <w:spacing w:after="0" w:line="240" w:lineRule="auto"/>
        <w:rPr>
          <w:rFonts w:ascii="Times New Roman" w:hAnsi="Times New Roman"/>
        </w:rPr>
      </w:pPr>
    </w:p>
    <w:p w14:paraId="3BC089A0"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Provapirin 100 mg </w:t>
      </w:r>
    </w:p>
    <w:p w14:paraId="646C937E" w14:textId="77777777" w:rsidR="00EB7699" w:rsidRPr="004C6E5C" w:rsidRDefault="00EB7699" w:rsidP="00EB7699">
      <w:pPr>
        <w:rPr>
          <w:rFonts w:ascii="Times New Roman" w:hAnsi="Times New Roman"/>
          <w:highlight w:val="lightGray"/>
        </w:rPr>
      </w:pPr>
    </w:p>
    <w:p w14:paraId="346336D8"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4C6E5C">
        <w:rPr>
          <w:rFonts w:ascii="Times New Roman" w:hAnsi="Times New Roman"/>
        </w:rPr>
        <w:t xml:space="preserve"> </w:t>
      </w:r>
      <w:r w:rsidRPr="004C6E5C">
        <w:rPr>
          <w:rFonts w:ascii="Times New Roman" w:hAnsi="Times New Roman"/>
          <w:b/>
        </w:rPr>
        <w:t>17.</w:t>
      </w:r>
      <w:r w:rsidRPr="004C6E5C">
        <w:rPr>
          <w:rFonts w:ascii="Times New Roman" w:hAnsi="Times New Roman"/>
          <w:b/>
        </w:rPr>
        <w:tab/>
        <w:t>UNIKALUS IDENTIFIKATORIUS – 2D BRŪKŠNINIS KODAS</w:t>
      </w:r>
    </w:p>
    <w:p w14:paraId="5D3BCFCA" w14:textId="77777777" w:rsidR="00EB7699" w:rsidRPr="004C6E5C" w:rsidRDefault="00EB7699" w:rsidP="00EB7699">
      <w:pPr>
        <w:spacing w:after="0"/>
        <w:rPr>
          <w:rFonts w:ascii="Times New Roman" w:hAnsi="Times New Roman"/>
        </w:rPr>
      </w:pPr>
    </w:p>
    <w:p w14:paraId="5A9F519F" w14:textId="77777777" w:rsidR="00EB7699" w:rsidRPr="004C6E5C" w:rsidRDefault="00EB7699" w:rsidP="00EB7699">
      <w:pPr>
        <w:spacing w:after="0"/>
        <w:rPr>
          <w:rFonts w:ascii="Times New Roman" w:hAnsi="Times New Roman"/>
          <w:shd w:val="clear" w:color="auto" w:fill="CCCCCC"/>
        </w:rPr>
      </w:pPr>
      <w:r w:rsidRPr="004C6E5C">
        <w:rPr>
          <w:rFonts w:ascii="Times New Roman" w:hAnsi="Times New Roman"/>
          <w:highlight w:val="lightGray"/>
        </w:rPr>
        <w:t>Duomenys nebūtini</w:t>
      </w:r>
    </w:p>
    <w:p w14:paraId="2D0B276A" w14:textId="77777777" w:rsidR="00EB7699" w:rsidRPr="004C6E5C" w:rsidRDefault="00EB7699" w:rsidP="00EB7699">
      <w:pPr>
        <w:spacing w:after="0"/>
        <w:rPr>
          <w:rFonts w:ascii="Times New Roman" w:hAnsi="Times New Roman"/>
        </w:rPr>
      </w:pPr>
    </w:p>
    <w:p w14:paraId="1FF3E181" w14:textId="77777777" w:rsidR="00EB7699" w:rsidRPr="004C6E5C" w:rsidRDefault="00EB7699" w:rsidP="00EB7699">
      <w:pPr>
        <w:spacing w:after="0"/>
        <w:rPr>
          <w:rFonts w:ascii="Times New Roman" w:hAnsi="Times New Roman"/>
        </w:rPr>
      </w:pPr>
    </w:p>
    <w:p w14:paraId="6A1EDD17"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4C6E5C">
        <w:rPr>
          <w:rFonts w:ascii="Times New Roman" w:hAnsi="Times New Roman"/>
          <w:b/>
        </w:rPr>
        <w:t>18.</w:t>
      </w:r>
      <w:r w:rsidRPr="004C6E5C">
        <w:rPr>
          <w:rFonts w:ascii="Times New Roman" w:hAnsi="Times New Roman"/>
          <w:b/>
        </w:rPr>
        <w:tab/>
        <w:t>UNIKALUS IDENTIFIKATORIUS – ŽMONĖMS SUPRANTAMI DUOMENYS</w:t>
      </w:r>
    </w:p>
    <w:p w14:paraId="3D14A348" w14:textId="77777777" w:rsidR="00EB7699" w:rsidRPr="004C6E5C" w:rsidRDefault="00EB7699" w:rsidP="00EB7699">
      <w:pPr>
        <w:spacing w:after="0"/>
        <w:rPr>
          <w:rFonts w:ascii="Times New Roman" w:hAnsi="Times New Roman"/>
        </w:rPr>
      </w:pPr>
    </w:p>
    <w:p w14:paraId="5BC8D885" w14:textId="77777777" w:rsidR="00EB7699" w:rsidRPr="004C6E5C" w:rsidRDefault="00EB7699" w:rsidP="00EB7699">
      <w:pPr>
        <w:spacing w:after="0" w:line="240" w:lineRule="auto"/>
        <w:rPr>
          <w:rFonts w:ascii="Times New Roman" w:hAnsi="Times New Roman"/>
        </w:rPr>
      </w:pPr>
      <w:r w:rsidRPr="004C6E5C">
        <w:rPr>
          <w:rFonts w:ascii="Times New Roman" w:hAnsi="Times New Roman"/>
          <w:highlight w:val="lightGray"/>
        </w:rPr>
        <w:t>Duomenys nebūtini</w:t>
      </w:r>
      <w:r w:rsidRPr="004C6E5C">
        <w:rPr>
          <w:rFonts w:ascii="Times New Roman" w:hAnsi="Times New Roman"/>
        </w:rPr>
        <w:t xml:space="preserve"> </w:t>
      </w:r>
      <w:r w:rsidRPr="004C6E5C">
        <w:rPr>
          <w:rFonts w:ascii="Times New Roman" w:hAnsi="Times New Roman"/>
        </w:rPr>
        <w:br w:type="page"/>
      </w:r>
    </w:p>
    <w:p w14:paraId="7313EADC" w14:textId="7AA2B8DC" w:rsidR="00EB7699" w:rsidRPr="004C6E5C" w:rsidRDefault="00EB7699" w:rsidP="00EB7699">
      <w:pPr>
        <w:rPr>
          <w:rFonts w:ascii="Times New Roman" w:hAnsi="Times New Roman"/>
        </w:rPr>
      </w:pPr>
    </w:p>
    <w:p w14:paraId="5E25F2C8" w14:textId="77777777" w:rsidR="00EB7699" w:rsidRPr="004C6E5C" w:rsidRDefault="00EB7699" w:rsidP="00EB7699">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rPr>
      </w:pPr>
      <w:r w:rsidRPr="004C6E5C">
        <w:rPr>
          <w:rFonts w:ascii="Times New Roman" w:hAnsi="Times New Roman"/>
          <w:b/>
        </w:rPr>
        <w:t xml:space="preserve">MINIMALI </w:t>
      </w:r>
      <w:r w:rsidRPr="004C6E5C">
        <w:rPr>
          <w:rFonts w:ascii="Times New Roman" w:hAnsi="Times New Roman"/>
          <w:b/>
          <w:caps/>
        </w:rPr>
        <w:t xml:space="preserve">informacija ant </w:t>
      </w:r>
      <w:r w:rsidRPr="004C6E5C">
        <w:rPr>
          <w:rFonts w:ascii="Times New Roman" w:hAnsi="Times New Roman"/>
          <w:b/>
        </w:rPr>
        <w:t>LIZDINIŲ PLOKŠTELIŲ ARBA DVISLUOKSNIŲ JUOSTELIŲ</w:t>
      </w:r>
    </w:p>
    <w:p w14:paraId="70DFBC0B" w14:textId="77777777" w:rsidR="00EB7699" w:rsidRPr="004C6E5C" w:rsidRDefault="00EB7699" w:rsidP="00EB7699">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hAnsi="Times New Roman"/>
          <w:b/>
        </w:rPr>
      </w:pPr>
    </w:p>
    <w:p w14:paraId="523DE695" w14:textId="77777777" w:rsidR="00EB7699" w:rsidRPr="004C6E5C" w:rsidRDefault="00EB7699" w:rsidP="00EB7699">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rsidRPr="004C6E5C">
        <w:rPr>
          <w:rFonts w:ascii="Times New Roman" w:hAnsi="Times New Roman"/>
          <w:b/>
        </w:rPr>
        <w:t>LIZDINĖ PLOKŠTELĖ</w:t>
      </w:r>
    </w:p>
    <w:p w14:paraId="2BC3D43F" w14:textId="77777777" w:rsidR="00EB7699" w:rsidRPr="004C6E5C" w:rsidRDefault="00EB7699" w:rsidP="00EB7699">
      <w:pPr>
        <w:spacing w:after="0" w:line="240" w:lineRule="auto"/>
        <w:rPr>
          <w:rFonts w:ascii="Times New Roman" w:hAnsi="Times New Roman"/>
        </w:rPr>
      </w:pPr>
    </w:p>
    <w:p w14:paraId="12B240DE" w14:textId="77777777" w:rsidR="00EB7699" w:rsidRPr="004C6E5C" w:rsidRDefault="00EB7699" w:rsidP="00EB7699">
      <w:pPr>
        <w:spacing w:after="0" w:line="240" w:lineRule="auto"/>
        <w:rPr>
          <w:rFonts w:ascii="Times New Roman" w:hAnsi="Times New Roman"/>
        </w:rPr>
      </w:pPr>
    </w:p>
    <w:p w14:paraId="5B6F3F2B"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1.</w:t>
      </w:r>
      <w:r w:rsidRPr="004C6E5C">
        <w:rPr>
          <w:rFonts w:ascii="Times New Roman" w:hAnsi="Times New Roman"/>
          <w:b/>
        </w:rPr>
        <w:tab/>
        <w:t>VAISTINIO PREPARATO PAVADINIMAS</w:t>
      </w:r>
    </w:p>
    <w:p w14:paraId="55D72924" w14:textId="77777777" w:rsidR="00EB7699" w:rsidRPr="004C6E5C" w:rsidRDefault="00EB7699" w:rsidP="00EB7699">
      <w:pPr>
        <w:spacing w:after="0" w:line="240" w:lineRule="auto"/>
        <w:rPr>
          <w:rFonts w:ascii="Times New Roman" w:hAnsi="Times New Roman"/>
        </w:rPr>
      </w:pPr>
    </w:p>
    <w:p w14:paraId="3A521FB9"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100 mg skrandyje neirios tabletės</w:t>
      </w:r>
    </w:p>
    <w:p w14:paraId="7B97C748" w14:textId="77777777" w:rsidR="00EB7699" w:rsidRPr="004C6E5C" w:rsidRDefault="00EB7699" w:rsidP="00EB7699">
      <w:pPr>
        <w:spacing w:after="0" w:line="240" w:lineRule="auto"/>
        <w:rPr>
          <w:rFonts w:ascii="Times New Roman" w:hAnsi="Times New Roman"/>
        </w:rPr>
      </w:pPr>
    </w:p>
    <w:p w14:paraId="08C5158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Acetilsalicilo rūgštis</w:t>
      </w:r>
    </w:p>
    <w:p w14:paraId="0BD6FBEA" w14:textId="77777777" w:rsidR="00EB7699" w:rsidRPr="004C6E5C" w:rsidRDefault="00EB7699" w:rsidP="00EB7699">
      <w:pPr>
        <w:spacing w:after="0" w:line="240" w:lineRule="auto"/>
        <w:rPr>
          <w:rFonts w:ascii="Times New Roman" w:hAnsi="Times New Roman"/>
        </w:rPr>
      </w:pPr>
    </w:p>
    <w:p w14:paraId="518AF1C2" w14:textId="77777777" w:rsidR="00EB7699" w:rsidRPr="004C6E5C" w:rsidRDefault="00EB7699" w:rsidP="00EB7699">
      <w:pPr>
        <w:spacing w:after="0" w:line="240" w:lineRule="auto"/>
        <w:rPr>
          <w:rFonts w:ascii="Times New Roman" w:hAnsi="Times New Roman"/>
        </w:rPr>
      </w:pPr>
    </w:p>
    <w:p w14:paraId="5A6990B1"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2.</w:t>
      </w:r>
      <w:r w:rsidRPr="004C6E5C">
        <w:rPr>
          <w:rFonts w:ascii="Times New Roman" w:hAnsi="Times New Roman"/>
          <w:b/>
        </w:rPr>
        <w:tab/>
        <w:t>REGISTRUOTOJO PAVADINIMAS</w:t>
      </w:r>
    </w:p>
    <w:p w14:paraId="1EE0C1C0" w14:textId="77777777" w:rsidR="00EB7699" w:rsidRPr="004C6E5C" w:rsidRDefault="00EB7699" w:rsidP="00EB7699">
      <w:pPr>
        <w:spacing w:after="0" w:line="240" w:lineRule="auto"/>
        <w:rPr>
          <w:rFonts w:ascii="Times New Roman" w:hAnsi="Times New Roman"/>
        </w:rPr>
      </w:pPr>
    </w:p>
    <w:p w14:paraId="2F75A85C" w14:textId="77777777" w:rsidR="00EB7699" w:rsidRPr="004C6E5C" w:rsidRDefault="00EB7699" w:rsidP="00EB7699">
      <w:pPr>
        <w:spacing w:after="0"/>
        <w:rPr>
          <w:rFonts w:ascii="Times New Roman" w:hAnsi="Times New Roman"/>
        </w:rPr>
      </w:pPr>
      <w:r w:rsidRPr="004C6E5C">
        <w:rPr>
          <w:rFonts w:ascii="Times New Roman" w:hAnsi="Times New Roman"/>
        </w:rPr>
        <w:t xml:space="preserve">PharmaSwiss </w:t>
      </w:r>
      <w:r w:rsidRPr="004C6E5C">
        <w:rPr>
          <w:rFonts w:ascii="Times New Roman" w:hAnsi="Times New Roman"/>
          <w:highlight w:val="lightGray"/>
        </w:rPr>
        <w:t>Česká republika s.r.o.</w:t>
      </w:r>
    </w:p>
    <w:p w14:paraId="4FC8A172" w14:textId="77777777" w:rsidR="00EB7699" w:rsidRPr="004C6E5C" w:rsidRDefault="00EB7699" w:rsidP="00EB7699">
      <w:pPr>
        <w:spacing w:after="0" w:line="240" w:lineRule="auto"/>
        <w:rPr>
          <w:rFonts w:ascii="Times New Roman" w:hAnsi="Times New Roman"/>
        </w:rPr>
      </w:pPr>
    </w:p>
    <w:p w14:paraId="5EE66BF4" w14:textId="77777777" w:rsidR="00EB7699" w:rsidRPr="004C6E5C" w:rsidRDefault="00EB7699" w:rsidP="00EB7699">
      <w:pPr>
        <w:spacing w:after="0" w:line="240" w:lineRule="auto"/>
        <w:rPr>
          <w:rFonts w:ascii="Times New Roman" w:hAnsi="Times New Roman"/>
        </w:rPr>
      </w:pPr>
    </w:p>
    <w:p w14:paraId="48C84BCD"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3.</w:t>
      </w:r>
      <w:r w:rsidRPr="004C6E5C">
        <w:rPr>
          <w:rFonts w:ascii="Times New Roman" w:hAnsi="Times New Roman"/>
          <w:b/>
        </w:rPr>
        <w:tab/>
        <w:t>TINKAMUMO LAIKAS</w:t>
      </w:r>
    </w:p>
    <w:p w14:paraId="4710E159" w14:textId="77777777" w:rsidR="00EB7699" w:rsidRPr="004C6E5C" w:rsidRDefault="00EB7699" w:rsidP="00EB7699">
      <w:pPr>
        <w:spacing w:after="0" w:line="240" w:lineRule="auto"/>
        <w:rPr>
          <w:rFonts w:ascii="Times New Roman" w:hAnsi="Times New Roman"/>
        </w:rPr>
      </w:pPr>
    </w:p>
    <w:p w14:paraId="6DA1E00E"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EXP{mm/MMMM}</w:t>
      </w:r>
    </w:p>
    <w:p w14:paraId="761D7949" w14:textId="77777777" w:rsidR="00EB7699" w:rsidRPr="004C6E5C" w:rsidRDefault="00EB7699" w:rsidP="00EB7699">
      <w:pPr>
        <w:spacing w:after="0" w:line="240" w:lineRule="auto"/>
        <w:rPr>
          <w:rFonts w:ascii="Times New Roman" w:hAnsi="Times New Roman"/>
        </w:rPr>
      </w:pPr>
    </w:p>
    <w:p w14:paraId="63C2DDA1" w14:textId="77777777" w:rsidR="00EB7699" w:rsidRPr="004C6E5C" w:rsidRDefault="00EB7699" w:rsidP="00EB7699">
      <w:pPr>
        <w:spacing w:after="0" w:line="240" w:lineRule="auto"/>
        <w:rPr>
          <w:rFonts w:ascii="Times New Roman" w:hAnsi="Times New Roman"/>
        </w:rPr>
      </w:pPr>
    </w:p>
    <w:p w14:paraId="45BD49EC"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4.</w:t>
      </w:r>
      <w:r w:rsidRPr="004C6E5C">
        <w:rPr>
          <w:rFonts w:ascii="Times New Roman" w:hAnsi="Times New Roman"/>
          <w:b/>
        </w:rPr>
        <w:tab/>
        <w:t>SERIJOS NUMERIS</w:t>
      </w:r>
    </w:p>
    <w:p w14:paraId="09C9B3CF" w14:textId="77777777" w:rsidR="00EB7699" w:rsidRPr="004C6E5C" w:rsidRDefault="00EB7699" w:rsidP="00EB7699">
      <w:pPr>
        <w:spacing w:after="0" w:line="240" w:lineRule="auto"/>
        <w:rPr>
          <w:rFonts w:ascii="Times New Roman" w:hAnsi="Times New Roman"/>
        </w:rPr>
      </w:pPr>
    </w:p>
    <w:p w14:paraId="1A03D43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Lot {numeris} </w:t>
      </w:r>
    </w:p>
    <w:p w14:paraId="1FF0BE16" w14:textId="77777777" w:rsidR="00EB7699" w:rsidRPr="004C6E5C" w:rsidRDefault="00EB7699" w:rsidP="00EB7699">
      <w:pPr>
        <w:spacing w:after="0" w:line="240" w:lineRule="auto"/>
        <w:rPr>
          <w:rFonts w:ascii="Times New Roman" w:hAnsi="Times New Roman"/>
        </w:rPr>
      </w:pPr>
    </w:p>
    <w:p w14:paraId="71B91ABF" w14:textId="77777777" w:rsidR="00EB7699" w:rsidRPr="004C6E5C" w:rsidRDefault="00EB7699" w:rsidP="00EB7699">
      <w:pPr>
        <w:spacing w:after="0" w:line="240" w:lineRule="auto"/>
        <w:rPr>
          <w:rFonts w:ascii="Times New Roman" w:hAnsi="Times New Roman"/>
        </w:rPr>
      </w:pPr>
    </w:p>
    <w:p w14:paraId="6543F989" w14:textId="77777777" w:rsidR="00EB7699" w:rsidRPr="004C6E5C" w:rsidRDefault="00EB7699" w:rsidP="00EB76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C6E5C">
        <w:rPr>
          <w:rFonts w:ascii="Times New Roman" w:hAnsi="Times New Roman"/>
          <w:b/>
        </w:rPr>
        <w:t>5.</w:t>
      </w:r>
      <w:r w:rsidRPr="004C6E5C">
        <w:rPr>
          <w:rFonts w:ascii="Times New Roman" w:hAnsi="Times New Roman"/>
          <w:b/>
        </w:rPr>
        <w:tab/>
        <w:t>KITA</w:t>
      </w:r>
    </w:p>
    <w:p w14:paraId="7BC8E930" w14:textId="77777777" w:rsidR="00EB7699" w:rsidRPr="004C6E5C" w:rsidRDefault="00EB7699" w:rsidP="00EB7699">
      <w:pPr>
        <w:spacing w:after="0" w:line="240" w:lineRule="auto"/>
        <w:rPr>
          <w:rFonts w:ascii="Times New Roman" w:hAnsi="Times New Roman"/>
        </w:rPr>
      </w:pPr>
    </w:p>
    <w:p w14:paraId="65A6D045"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r w:rsidRPr="004C6E5C">
        <w:rPr>
          <w:rFonts w:ascii="Times New Roman" w:hAnsi="Times New Roman"/>
          <w:b/>
          <w:caps/>
        </w:rPr>
        <w:br w:type="page"/>
      </w:r>
      <w:bookmarkStart w:id="74" w:name="_Toc129243262"/>
      <w:bookmarkStart w:id="75" w:name="_Toc129243137"/>
      <w:bookmarkEnd w:id="64"/>
      <w:bookmarkEnd w:id="65"/>
    </w:p>
    <w:p w14:paraId="4B90CE64"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D4ABEAE"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781BF5A"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1796A4A2"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9369287"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D9FF6F3"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4CD17AB4"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1B5D2E99"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60D169F0"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5CDA0B88"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33F93719"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7AC399FD"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3CF76BEE"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7AF46E63"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E3BBF82"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252E954D"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72271DC"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4F76B1F4"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1795BDDA"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66A1105C"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4BFD9427"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5A298A3D"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06A9197C"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p>
    <w:p w14:paraId="20435CED" w14:textId="77777777" w:rsidR="00EB7699" w:rsidRPr="004C6E5C" w:rsidRDefault="00EB7699" w:rsidP="00EB7699">
      <w:pPr>
        <w:tabs>
          <w:tab w:val="left" w:pos="567"/>
        </w:tabs>
        <w:spacing w:after="0" w:line="240" w:lineRule="auto"/>
        <w:ind w:left="567" w:hanging="567"/>
        <w:jc w:val="center"/>
        <w:outlineLvl w:val="0"/>
        <w:rPr>
          <w:rFonts w:ascii="Times New Roman" w:hAnsi="Times New Roman"/>
          <w:b/>
          <w:caps/>
        </w:rPr>
      </w:pPr>
      <w:r w:rsidRPr="004C6E5C">
        <w:rPr>
          <w:rFonts w:ascii="Times New Roman" w:hAnsi="Times New Roman"/>
          <w:b/>
          <w:caps/>
        </w:rPr>
        <w:t>B. PAKUOTĖS LAPELIS</w:t>
      </w:r>
      <w:bookmarkEnd w:id="74"/>
      <w:bookmarkEnd w:id="75"/>
    </w:p>
    <w:p w14:paraId="5350B063" w14:textId="77777777" w:rsidR="00EB7699" w:rsidRPr="004C6E5C" w:rsidRDefault="00EB7699" w:rsidP="00EB7699">
      <w:pPr>
        <w:spacing w:after="0" w:line="240" w:lineRule="auto"/>
        <w:jc w:val="center"/>
        <w:rPr>
          <w:rFonts w:ascii="Times New Roman" w:hAnsi="Times New Roman"/>
          <w:b/>
        </w:rPr>
      </w:pPr>
      <w:r w:rsidRPr="004C6E5C">
        <w:rPr>
          <w:rFonts w:ascii="Times New Roman" w:hAnsi="Times New Roman"/>
        </w:rPr>
        <w:br w:type="page"/>
      </w:r>
      <w:r w:rsidRPr="004C6E5C">
        <w:rPr>
          <w:rFonts w:ascii="Times New Roman" w:hAnsi="Times New Roman"/>
          <w:b/>
        </w:rPr>
        <w:lastRenderedPageBreak/>
        <w:t>Pakuotės lapelis: informacija pacientui</w:t>
      </w:r>
    </w:p>
    <w:p w14:paraId="598B99F5" w14:textId="77777777" w:rsidR="00EB7699" w:rsidRPr="004C6E5C" w:rsidRDefault="00EB7699" w:rsidP="00EB7699">
      <w:pPr>
        <w:spacing w:after="0" w:line="240" w:lineRule="auto"/>
        <w:jc w:val="center"/>
        <w:rPr>
          <w:rFonts w:ascii="Times New Roman" w:hAnsi="Times New Roman"/>
        </w:rPr>
      </w:pPr>
    </w:p>
    <w:p w14:paraId="5B9E3D98" w14:textId="77777777" w:rsidR="00EB7699" w:rsidRPr="004C6E5C" w:rsidRDefault="00EB7699" w:rsidP="00EB7699">
      <w:pPr>
        <w:spacing w:after="0" w:line="240" w:lineRule="auto"/>
        <w:jc w:val="center"/>
        <w:rPr>
          <w:rFonts w:ascii="Times New Roman" w:hAnsi="Times New Roman"/>
          <w:b/>
        </w:rPr>
      </w:pPr>
      <w:r w:rsidRPr="004C6E5C">
        <w:rPr>
          <w:rFonts w:ascii="Times New Roman" w:hAnsi="Times New Roman"/>
          <w:b/>
        </w:rPr>
        <w:t>Provapirin 100 mg skrandyje neirios tabletės</w:t>
      </w:r>
    </w:p>
    <w:p w14:paraId="60ADD825" w14:textId="77777777" w:rsidR="00EB7699" w:rsidRPr="004C6E5C" w:rsidRDefault="00EB7699" w:rsidP="00EB7699">
      <w:pPr>
        <w:spacing w:after="0" w:line="240" w:lineRule="auto"/>
        <w:jc w:val="center"/>
        <w:rPr>
          <w:rFonts w:ascii="Times New Roman" w:hAnsi="Times New Roman"/>
        </w:rPr>
      </w:pPr>
      <w:r w:rsidRPr="004C6E5C">
        <w:rPr>
          <w:rFonts w:ascii="Times New Roman" w:hAnsi="Times New Roman"/>
        </w:rPr>
        <w:t>Acetilsalicilo rūgštis</w:t>
      </w:r>
    </w:p>
    <w:p w14:paraId="0849DAD0" w14:textId="77777777" w:rsidR="00EB7699" w:rsidRPr="004C6E5C" w:rsidRDefault="00EB7699" w:rsidP="00EB7699">
      <w:pPr>
        <w:spacing w:after="0" w:line="240" w:lineRule="auto"/>
        <w:jc w:val="center"/>
        <w:rPr>
          <w:rFonts w:ascii="Times New Roman" w:hAnsi="Times New Roman"/>
        </w:rPr>
      </w:pPr>
    </w:p>
    <w:p w14:paraId="145C0919" w14:textId="77777777" w:rsidR="00EB7699" w:rsidRPr="004C6E5C" w:rsidRDefault="00EB7699" w:rsidP="00EB7699">
      <w:pPr>
        <w:spacing w:after="0" w:line="240" w:lineRule="auto"/>
        <w:rPr>
          <w:rFonts w:ascii="Times New Roman" w:hAnsi="Times New Roman"/>
        </w:rPr>
      </w:pPr>
    </w:p>
    <w:p w14:paraId="29D5CC04"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Atidžiai perskaitykite visą šį lapelį, prieš pradėdami vartoti šį vaistą, nes jame pateikiama Jums svarbi informacija.</w:t>
      </w:r>
    </w:p>
    <w:p w14:paraId="0A007752" w14:textId="77777777" w:rsidR="00EB7699" w:rsidRPr="004C6E5C" w:rsidRDefault="00EB7699" w:rsidP="00CF10CF">
      <w:pPr>
        <w:numPr>
          <w:ilvl w:val="0"/>
          <w:numId w:val="10"/>
        </w:numPr>
        <w:tabs>
          <w:tab w:val="num" w:pos="567"/>
        </w:tabs>
        <w:spacing w:after="0" w:line="240" w:lineRule="auto"/>
        <w:ind w:left="567" w:hanging="567"/>
        <w:contextualSpacing/>
        <w:rPr>
          <w:rFonts w:ascii="Times New Roman" w:hAnsi="Times New Roman"/>
        </w:rPr>
      </w:pPr>
      <w:r w:rsidRPr="004C6E5C">
        <w:rPr>
          <w:rFonts w:ascii="Times New Roman" w:hAnsi="Times New Roman"/>
        </w:rPr>
        <w:t>Visada vartokite šį vaistą tiksliai kaip aprašyta šiame lapelyje arba kaip nurodė gydytojas arba vaistininkas.</w:t>
      </w:r>
    </w:p>
    <w:p w14:paraId="4EEE2B4D" w14:textId="77777777" w:rsidR="00EB7699" w:rsidRPr="004C6E5C" w:rsidRDefault="00EB7699" w:rsidP="00CF10CF">
      <w:pPr>
        <w:numPr>
          <w:ilvl w:val="0"/>
          <w:numId w:val="10"/>
        </w:numPr>
        <w:tabs>
          <w:tab w:val="num" w:pos="567"/>
        </w:tabs>
        <w:spacing w:after="0" w:line="240" w:lineRule="auto"/>
        <w:ind w:left="567" w:hanging="567"/>
        <w:contextualSpacing/>
        <w:rPr>
          <w:rFonts w:ascii="Times New Roman" w:hAnsi="Times New Roman"/>
        </w:rPr>
      </w:pPr>
      <w:r w:rsidRPr="004C6E5C">
        <w:rPr>
          <w:rFonts w:ascii="Times New Roman" w:hAnsi="Times New Roman"/>
        </w:rPr>
        <w:t xml:space="preserve">Neišmeskite šio lapelio, nes vėl gali prireikti jį perskaityti. </w:t>
      </w:r>
    </w:p>
    <w:p w14:paraId="220010C0" w14:textId="77777777" w:rsidR="00EB7699" w:rsidRPr="004C6E5C" w:rsidRDefault="00EB7699" w:rsidP="00CF10CF">
      <w:pPr>
        <w:numPr>
          <w:ilvl w:val="0"/>
          <w:numId w:val="10"/>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norite sužinoti daugiau arba pasitarti, kreipkitės į gydytoją ar vaistininką.</w:t>
      </w:r>
    </w:p>
    <w:p w14:paraId="778F5F2D" w14:textId="77777777" w:rsidR="00EB7699" w:rsidRPr="004C6E5C" w:rsidRDefault="00EB7699" w:rsidP="00CF10CF">
      <w:pPr>
        <w:numPr>
          <w:ilvl w:val="0"/>
          <w:numId w:val="10"/>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pasireiškė šalutinis poveikis (net jeigu jis šiame lapelyje nenurodytas), kreipkitės į gydytoją arba vaistininką. Žr. 4 skyrių.</w:t>
      </w:r>
    </w:p>
    <w:p w14:paraId="524341D9" w14:textId="77777777" w:rsidR="00EB7699" w:rsidRPr="004C6E5C" w:rsidRDefault="00EB7699" w:rsidP="00EB7699">
      <w:pPr>
        <w:spacing w:after="0" w:line="240" w:lineRule="auto"/>
        <w:rPr>
          <w:rFonts w:ascii="Times New Roman" w:hAnsi="Times New Roman"/>
        </w:rPr>
      </w:pPr>
    </w:p>
    <w:p w14:paraId="79420F73"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Apie ką rašoma šiame lapelyje?</w:t>
      </w:r>
    </w:p>
    <w:p w14:paraId="7657A503"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1.</w:t>
      </w:r>
      <w:r w:rsidRPr="004C6E5C">
        <w:rPr>
          <w:rFonts w:ascii="Times New Roman" w:hAnsi="Times New Roman"/>
        </w:rPr>
        <w:tab/>
        <w:t>Kas yra Provapirin ir kam jis vartojamas</w:t>
      </w:r>
    </w:p>
    <w:p w14:paraId="1B625635"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2.</w:t>
      </w:r>
      <w:r w:rsidRPr="004C6E5C">
        <w:rPr>
          <w:rFonts w:ascii="Times New Roman" w:hAnsi="Times New Roman"/>
        </w:rPr>
        <w:tab/>
        <w:t xml:space="preserve">Kas žinotina prieš vartojant Provapirin  </w:t>
      </w:r>
    </w:p>
    <w:p w14:paraId="2691FB4F"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3.</w:t>
      </w:r>
      <w:r w:rsidRPr="004C6E5C">
        <w:rPr>
          <w:rFonts w:ascii="Times New Roman" w:hAnsi="Times New Roman"/>
        </w:rPr>
        <w:tab/>
        <w:t xml:space="preserve">Kaip vartoti Provapirin </w:t>
      </w:r>
    </w:p>
    <w:p w14:paraId="4962C730"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4.</w:t>
      </w:r>
      <w:r w:rsidRPr="004C6E5C">
        <w:rPr>
          <w:rFonts w:ascii="Times New Roman" w:hAnsi="Times New Roman"/>
        </w:rPr>
        <w:tab/>
        <w:t>Galimas šalutinis poveikis</w:t>
      </w:r>
    </w:p>
    <w:p w14:paraId="6D804CD5"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5.</w:t>
      </w:r>
      <w:r w:rsidRPr="004C6E5C">
        <w:rPr>
          <w:rFonts w:ascii="Times New Roman" w:hAnsi="Times New Roman"/>
        </w:rPr>
        <w:tab/>
        <w:t xml:space="preserve">Kaip laikyti Provapirin  </w:t>
      </w:r>
    </w:p>
    <w:p w14:paraId="6E1083C2" w14:textId="77777777" w:rsidR="00EB7699" w:rsidRPr="004C6E5C" w:rsidRDefault="00EB7699" w:rsidP="00EB7699">
      <w:pPr>
        <w:spacing w:after="0" w:line="240" w:lineRule="auto"/>
        <w:ind w:left="540" w:hanging="540"/>
        <w:rPr>
          <w:rFonts w:ascii="Times New Roman" w:hAnsi="Times New Roman"/>
        </w:rPr>
      </w:pPr>
      <w:r w:rsidRPr="004C6E5C">
        <w:rPr>
          <w:rFonts w:ascii="Times New Roman" w:hAnsi="Times New Roman"/>
        </w:rPr>
        <w:t>6.</w:t>
      </w:r>
      <w:r w:rsidRPr="004C6E5C">
        <w:rPr>
          <w:rFonts w:ascii="Times New Roman" w:hAnsi="Times New Roman"/>
        </w:rPr>
        <w:tab/>
        <w:t>Pakuotės turinys ir kita informacija</w:t>
      </w:r>
    </w:p>
    <w:p w14:paraId="0A9B9766" w14:textId="77777777" w:rsidR="00EB7699" w:rsidRPr="004C6E5C" w:rsidRDefault="00EB7699" w:rsidP="00EB7699">
      <w:pPr>
        <w:spacing w:after="0" w:line="240" w:lineRule="auto"/>
        <w:rPr>
          <w:rFonts w:ascii="Times New Roman" w:hAnsi="Times New Roman"/>
        </w:rPr>
      </w:pPr>
    </w:p>
    <w:p w14:paraId="0E0BE984" w14:textId="77777777" w:rsidR="00EB7699" w:rsidRPr="004C6E5C" w:rsidRDefault="00EB7699" w:rsidP="00EB7699">
      <w:pPr>
        <w:spacing w:after="0" w:line="240" w:lineRule="auto"/>
        <w:rPr>
          <w:rFonts w:ascii="Times New Roman" w:hAnsi="Times New Roman"/>
        </w:rPr>
      </w:pPr>
    </w:p>
    <w:p w14:paraId="7A0A2F09"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76" w:name="_Toc129243264"/>
      <w:bookmarkStart w:id="77" w:name="_Toc129243139"/>
      <w:r w:rsidRPr="004C6E5C">
        <w:rPr>
          <w:rFonts w:ascii="Times New Roman" w:hAnsi="Times New Roman"/>
          <w:b/>
        </w:rPr>
        <w:t>1.</w:t>
      </w:r>
      <w:r w:rsidRPr="004C6E5C">
        <w:rPr>
          <w:rFonts w:ascii="Times New Roman" w:hAnsi="Times New Roman"/>
          <w:b/>
        </w:rPr>
        <w:tab/>
        <w:t>Kas yra Provapirin ir kam jis vartojamas</w:t>
      </w:r>
      <w:bookmarkEnd w:id="76"/>
      <w:bookmarkEnd w:id="77"/>
    </w:p>
    <w:p w14:paraId="73BB7469" w14:textId="77777777" w:rsidR="00EB7699" w:rsidRPr="004C6E5C" w:rsidRDefault="00EB7699" w:rsidP="00EB7699">
      <w:pPr>
        <w:spacing w:after="0" w:line="240" w:lineRule="auto"/>
        <w:rPr>
          <w:rFonts w:ascii="Times New Roman" w:hAnsi="Times New Roman"/>
        </w:rPr>
      </w:pPr>
    </w:p>
    <w:p w14:paraId="796DE1FE"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sudėtyje yra acetilsalicilo rūgšties, kuri, vartojama mažomis dozėmis, priklauso vaistų, vadinamų trombocitus slopinančiais preparatais, grupei. Trombocitai yra mažos kraujo plokštelės,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14:paraId="0783C53D" w14:textId="77777777" w:rsidR="00EB7699" w:rsidRPr="004C6E5C" w:rsidRDefault="00EB7699" w:rsidP="00EB7699">
      <w:pPr>
        <w:spacing w:after="0" w:line="240" w:lineRule="auto"/>
        <w:rPr>
          <w:rFonts w:ascii="Times New Roman" w:hAnsi="Times New Roman"/>
        </w:rPr>
      </w:pPr>
    </w:p>
    <w:p w14:paraId="6532614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vartojama kraujo krešulių susidarymo rizikai mažinti, siekiant išvengti:</w:t>
      </w:r>
    </w:p>
    <w:p w14:paraId="58CB538F" w14:textId="77777777" w:rsidR="00EB7699" w:rsidRPr="004C6E5C" w:rsidRDefault="00EB7699" w:rsidP="00EB7699">
      <w:pPr>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širdies priepuolio;</w:t>
      </w:r>
    </w:p>
    <w:p w14:paraId="0B518293" w14:textId="77777777" w:rsidR="00EB7699" w:rsidRPr="004C6E5C" w:rsidRDefault="00EB7699" w:rsidP="00EB7699">
      <w:pPr>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insulto;</w:t>
      </w:r>
    </w:p>
    <w:p w14:paraId="510AEAE9" w14:textId="77777777" w:rsidR="00EB7699" w:rsidRPr="004C6E5C" w:rsidRDefault="00EB7699" w:rsidP="00EB7699">
      <w:pPr>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širdies ir kraujagyslių sutrikimų pacientams, kurie serga stabiliąja ar nestabiliąja krūtinės angina (pasireiškia tam tikras krūtinės skausmas). </w:t>
      </w:r>
    </w:p>
    <w:p w14:paraId="2AE2DE9D" w14:textId="77777777" w:rsidR="00EB7699" w:rsidRPr="004C6E5C" w:rsidRDefault="00EB7699" w:rsidP="00EB7699">
      <w:pPr>
        <w:spacing w:after="0" w:line="240" w:lineRule="auto"/>
        <w:rPr>
          <w:rFonts w:ascii="Times New Roman" w:hAnsi="Times New Roman"/>
        </w:rPr>
      </w:pPr>
    </w:p>
    <w:p w14:paraId="5C82EB13"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Be to, Provapirin vartojama kraujo krešulių susidarymui slopinti po tam tikrų širdies operacijų, siekiant praplėsti ar atkimšti kraujagysles.</w:t>
      </w:r>
    </w:p>
    <w:p w14:paraId="25812107" w14:textId="77777777" w:rsidR="00EB7699" w:rsidRPr="004C6E5C" w:rsidRDefault="00EB7699" w:rsidP="00EB7699">
      <w:pPr>
        <w:spacing w:after="0" w:line="240" w:lineRule="auto"/>
        <w:rPr>
          <w:rFonts w:ascii="Times New Roman" w:hAnsi="Times New Roman"/>
        </w:rPr>
      </w:pPr>
    </w:p>
    <w:p w14:paraId="65DCDD50"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Šio vaisto nerekomenduojama vartoti skubiais atvejais. Jo galima vartoti tik profilaktikai.</w:t>
      </w:r>
    </w:p>
    <w:p w14:paraId="652322BF" w14:textId="77777777" w:rsidR="00EB7699" w:rsidRPr="004C6E5C" w:rsidRDefault="00EB7699" w:rsidP="00EB7699">
      <w:pPr>
        <w:spacing w:after="0" w:line="240" w:lineRule="auto"/>
        <w:rPr>
          <w:rFonts w:ascii="Times New Roman" w:hAnsi="Times New Roman"/>
        </w:rPr>
      </w:pPr>
    </w:p>
    <w:p w14:paraId="0FF8EDAE" w14:textId="77777777" w:rsidR="00EB7699" w:rsidRPr="004C6E5C" w:rsidRDefault="00EB7699" w:rsidP="00EB7699">
      <w:pPr>
        <w:spacing w:after="0" w:line="240" w:lineRule="auto"/>
        <w:rPr>
          <w:rFonts w:ascii="Times New Roman" w:hAnsi="Times New Roman"/>
        </w:rPr>
      </w:pPr>
    </w:p>
    <w:p w14:paraId="5BC2DC17" w14:textId="77777777" w:rsidR="00EB7699" w:rsidRPr="004C6E5C" w:rsidRDefault="00EB7699" w:rsidP="004C6E5C">
      <w:pPr>
        <w:numPr>
          <w:ilvl w:val="0"/>
          <w:numId w:val="12"/>
        </w:numPr>
        <w:tabs>
          <w:tab w:val="num" w:pos="540"/>
        </w:tabs>
        <w:spacing w:after="0" w:line="240" w:lineRule="auto"/>
        <w:rPr>
          <w:rFonts w:ascii="Times New Roman" w:hAnsi="Times New Roman"/>
          <w:b/>
        </w:rPr>
      </w:pPr>
      <w:bookmarkStart w:id="78" w:name="_Toc129243265"/>
      <w:bookmarkStart w:id="79" w:name="_Toc129243140"/>
      <w:r w:rsidRPr="004C6E5C">
        <w:rPr>
          <w:rFonts w:ascii="Times New Roman" w:hAnsi="Times New Roman"/>
          <w:b/>
        </w:rPr>
        <w:t xml:space="preserve">Kas žinotina prieš vartojant </w:t>
      </w:r>
      <w:bookmarkEnd w:id="78"/>
      <w:bookmarkEnd w:id="79"/>
      <w:r w:rsidRPr="004C6E5C">
        <w:rPr>
          <w:rFonts w:ascii="Times New Roman" w:hAnsi="Times New Roman"/>
          <w:b/>
        </w:rPr>
        <w:t>Provapirin</w:t>
      </w:r>
    </w:p>
    <w:p w14:paraId="5D823AD1" w14:textId="77777777" w:rsidR="00EB7699" w:rsidRPr="004C6E5C" w:rsidRDefault="00EB7699" w:rsidP="00EB7699">
      <w:pPr>
        <w:spacing w:after="0" w:line="240" w:lineRule="auto"/>
        <w:rPr>
          <w:rFonts w:ascii="Times New Roman" w:hAnsi="Times New Roman"/>
          <w:b/>
        </w:rPr>
      </w:pPr>
    </w:p>
    <w:p w14:paraId="6817434F" w14:textId="77777777" w:rsidR="00EB7699" w:rsidRPr="004C6E5C" w:rsidRDefault="00EB7699" w:rsidP="00EB7699">
      <w:pPr>
        <w:spacing w:after="0" w:line="220" w:lineRule="exact"/>
        <w:rPr>
          <w:rFonts w:ascii="Times New Roman" w:hAnsi="Times New Roman"/>
          <w:b/>
        </w:rPr>
      </w:pPr>
      <w:r w:rsidRPr="004C6E5C">
        <w:rPr>
          <w:rFonts w:ascii="Times New Roman" w:hAnsi="Times New Roman"/>
          <w:b/>
        </w:rPr>
        <w:t>Provapirin vartoti negalima:</w:t>
      </w:r>
    </w:p>
    <w:p w14:paraId="5F7E104E"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 xml:space="preserve">jeigu yra alergija acetilsalicilo rūgščiai arba bet kuriai pagalbinei šio vaisto medžiagai (jos išvardytos 6 skyriuje); </w:t>
      </w:r>
    </w:p>
    <w:p w14:paraId="02445BAD"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yra ar buvo skrandžio ar plonosios žarnos opa arba bet kokio tipo kraujavimas, pvz., insultas;</w:t>
      </w:r>
    </w:p>
    <w:p w14:paraId="137DBF70"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kada nors yra buvę kraujo krešėjimo sutrikimų;</w:t>
      </w:r>
    </w:p>
    <w:p w14:paraId="5A25D905"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yra sunkių kepenų ar inkstų sutrikimų;</w:t>
      </w:r>
    </w:p>
    <w:p w14:paraId="79038189"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yra paskutiniai 3 nėštumo mėnesiai, negalima vartoti didesnės kaip 100 mg paros dozės (žr. poskyrį „Nėštumas ir žindymo laikotarpis“);</w:t>
      </w:r>
    </w:p>
    <w:p w14:paraId="168D541E"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vartojate didesnę nei 15 mg metotreksato savaitės dozę (pvz., nuo vėžio ar reumatoidinio artrito).</w:t>
      </w:r>
    </w:p>
    <w:p w14:paraId="46E0B360" w14:textId="77777777" w:rsidR="00EB7699" w:rsidRPr="004C6E5C" w:rsidRDefault="00EB7699" w:rsidP="00EB7699">
      <w:pPr>
        <w:spacing w:after="0" w:line="240" w:lineRule="auto"/>
        <w:ind w:left="567" w:hanging="567"/>
        <w:rPr>
          <w:rFonts w:ascii="Times New Roman" w:hAnsi="Times New Roman"/>
        </w:rPr>
      </w:pPr>
    </w:p>
    <w:p w14:paraId="354E57B9" w14:textId="77777777" w:rsidR="00EB7699" w:rsidRPr="004C6E5C" w:rsidRDefault="00EB7699" w:rsidP="00EB7699">
      <w:pPr>
        <w:spacing w:after="0" w:line="220" w:lineRule="exact"/>
        <w:rPr>
          <w:rFonts w:ascii="Times New Roman" w:hAnsi="Times New Roman"/>
          <w:b/>
        </w:rPr>
      </w:pPr>
      <w:r w:rsidRPr="004C6E5C">
        <w:rPr>
          <w:rFonts w:ascii="Times New Roman" w:hAnsi="Times New Roman"/>
          <w:b/>
        </w:rPr>
        <w:t>Įspėjimai ir atsargumo priemonės</w:t>
      </w:r>
    </w:p>
    <w:p w14:paraId="198812A0"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Pasitarkite su gydytoju arba vaistininku, prieš pradėdami vartoti Provapirin, jeigu:</w:t>
      </w:r>
    </w:p>
    <w:p w14:paraId="143F435E"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yra inkstų, kepenų ar širdies sutrikimų;</w:t>
      </w:r>
    </w:p>
    <w:p w14:paraId="5A082C50"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yra ar kada nors buvo skrandžio ar plonosios žarnos sutrikimų;</w:t>
      </w:r>
    </w:p>
    <w:p w14:paraId="0698D7A0"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yra didelis kraujospūdis;</w:t>
      </w:r>
    </w:p>
    <w:p w14:paraId="3094D172"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sergate astma, alergija kitiems vaistams, ypač salicilatams ar nesteroidiniams vaistams nuo uždegimo (NVNU), šienlige, nosies polipoze arba bet kokia lėtine kvėpavimo takų liga (acetilsalicilo rūgštis gali sukelti astmos priepuolį);</w:t>
      </w:r>
    </w:p>
    <w:p w14:paraId="5833BE5B"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buvo pasireiškusi podagra;</w:t>
      </w:r>
    </w:p>
    <w:p w14:paraId="541A8EE3"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būna gausios menstruacijos.</w:t>
      </w:r>
    </w:p>
    <w:p w14:paraId="19E86E89" w14:textId="77777777" w:rsidR="00EB7699" w:rsidRPr="004C6E5C" w:rsidRDefault="00EB7699" w:rsidP="00EB7699">
      <w:pPr>
        <w:spacing w:after="0" w:line="240" w:lineRule="auto"/>
        <w:rPr>
          <w:rFonts w:ascii="Times New Roman" w:hAnsi="Times New Roman"/>
        </w:rPr>
      </w:pPr>
    </w:p>
    <w:p w14:paraId="04E54FF8"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Turite nedelsdami kreiptis į medikus, jeigu Jūsų simptomai pasunkėja arba jei pasireiškia sunkus ar netikėtas šalutinis poveikis, pvz., neįprasti kraujavimo simptomai, sunki odos reakcija arba bet koks kitoks sunkios alergijos požymis (žr. poskyrį „Galimas šalutinis poveikis“).</w:t>
      </w:r>
    </w:p>
    <w:p w14:paraId="6C399A88" w14:textId="77777777" w:rsidR="00EB7699" w:rsidRPr="004C6E5C" w:rsidRDefault="00EB7699" w:rsidP="00EB7699">
      <w:pPr>
        <w:spacing w:after="0" w:line="240" w:lineRule="auto"/>
        <w:rPr>
          <w:rFonts w:ascii="Times New Roman" w:hAnsi="Times New Roman"/>
        </w:rPr>
      </w:pPr>
    </w:p>
    <w:p w14:paraId="78EA518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Pasakykite savo gydytojui, jeigu Jums planuojama operacija (netgi nedidelė, pvz., danties ištraukimas), kadangi acetilsalicilo rūgštis skystina kraują ir gali padidėti kraujavimo rizika. </w:t>
      </w:r>
    </w:p>
    <w:p w14:paraId="5045DD0A" w14:textId="77777777" w:rsidR="00EB7699" w:rsidRPr="004C6E5C" w:rsidRDefault="00EB7699" w:rsidP="00EB7699">
      <w:pPr>
        <w:spacing w:after="0" w:line="240" w:lineRule="auto"/>
        <w:rPr>
          <w:rFonts w:ascii="Times New Roman" w:hAnsi="Times New Roman"/>
        </w:rPr>
      </w:pPr>
    </w:p>
    <w:p w14:paraId="233DA95E"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Vartojimas vaikams ir paaugliams</w:t>
      </w:r>
    </w:p>
    <w:p w14:paraId="0F9741BC"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Acetilsalicilo rūgštis vaikams gali sukelti Reye sindromą. Reye sindromas yra labai reta liga, kuri pažeidžia smegenis ir kepenis bei gali būti pavojinga gyvybei. Dėl šios priežasties Provapirin negalima vartoti jaunesniems kaip 16 metų vaikams, nebent taip nurodė gydytojas.</w:t>
      </w:r>
    </w:p>
    <w:p w14:paraId="38C180D2" w14:textId="77777777" w:rsidR="00EB7699" w:rsidRPr="004C6E5C" w:rsidRDefault="00EB7699" w:rsidP="00EB7699">
      <w:pPr>
        <w:spacing w:after="0" w:line="240" w:lineRule="auto"/>
        <w:rPr>
          <w:rFonts w:ascii="Times New Roman" w:hAnsi="Times New Roman"/>
        </w:rPr>
      </w:pPr>
    </w:p>
    <w:p w14:paraId="7277C29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Turite stengtis, kad Jūsų organizme skysčių netaptų per mažai (tokiu atveju galite pajusti troškulį ir burnos džiūvimą), kadangi tokiu atveju acetilsalicilo rūgštis gali bloginti inkstų funkciją.</w:t>
      </w:r>
    </w:p>
    <w:p w14:paraId="7772086D" w14:textId="77777777" w:rsidR="00EB7699" w:rsidRPr="004C6E5C" w:rsidRDefault="00EB7699" w:rsidP="00EB7699">
      <w:pPr>
        <w:spacing w:after="0" w:line="240" w:lineRule="auto"/>
        <w:rPr>
          <w:rFonts w:ascii="Times New Roman" w:hAnsi="Times New Roman"/>
        </w:rPr>
      </w:pPr>
    </w:p>
    <w:p w14:paraId="6CBA467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Šio vaisto netinka vartoti skausmui malšinti ar karščiavimui mažinti.</w:t>
      </w:r>
    </w:p>
    <w:p w14:paraId="412F2438" w14:textId="77777777" w:rsidR="00EB7699" w:rsidRPr="004C6E5C" w:rsidRDefault="00EB7699" w:rsidP="00EB7699">
      <w:pPr>
        <w:spacing w:after="0" w:line="240" w:lineRule="auto"/>
        <w:rPr>
          <w:rFonts w:ascii="Times New Roman" w:hAnsi="Times New Roman"/>
        </w:rPr>
      </w:pPr>
    </w:p>
    <w:p w14:paraId="488D4718"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Jei bet kuri minėta būklė Jums tinka arba nesate tikras, pasitarkite su gydytoju arba vaistininku.</w:t>
      </w:r>
    </w:p>
    <w:p w14:paraId="6EED39E2" w14:textId="77777777" w:rsidR="00EB7699" w:rsidRPr="004C6E5C" w:rsidRDefault="00EB7699" w:rsidP="00EB7699">
      <w:pPr>
        <w:spacing w:after="0" w:line="240" w:lineRule="auto"/>
        <w:rPr>
          <w:rFonts w:ascii="Times New Roman" w:hAnsi="Times New Roman"/>
        </w:rPr>
      </w:pPr>
    </w:p>
    <w:p w14:paraId="1DD28EF6"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Kiti vaistai ir Provapirin</w:t>
      </w:r>
    </w:p>
    <w:p w14:paraId="31C33096"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rPr>
        <w:t>Jeigu vartojate ar neseniai vartojote kitų vaistų arba dėl to nesate tikri, apie tai pasakykite gydytojui arba vaistininkui.</w:t>
      </w:r>
    </w:p>
    <w:p w14:paraId="282BAD54" w14:textId="77777777" w:rsidR="00EB7699" w:rsidRPr="004C6E5C" w:rsidRDefault="00EB7699" w:rsidP="00EB7699">
      <w:pPr>
        <w:spacing w:after="0" w:line="240" w:lineRule="auto"/>
        <w:rPr>
          <w:rFonts w:ascii="Times New Roman" w:hAnsi="Times New Roman"/>
          <w:b/>
        </w:rPr>
      </w:pPr>
    </w:p>
    <w:p w14:paraId="2EA54A4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Gydymo poveikis gali pakisti, jei acetilsalicilo rūgšties vartojama kartu su kai kuriais kitais vaistais:</w:t>
      </w:r>
    </w:p>
    <w:p w14:paraId="161E782E"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skystinančiais kraują ar neleidžiančiais susidaryti krešuliams (pvz., varfarinu, heparinu, klopidogreliu);</w:t>
      </w:r>
    </w:p>
    <w:p w14:paraId="29F54B03"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vartojamais persodinto organo atmetimui išvengti (ciklosporinu, takrolimuzu);</w:t>
      </w:r>
    </w:p>
    <w:p w14:paraId="424B84D0"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dideliam kraujospūdžiui mažinti (pvz., diuretikais ir AKF inhibitoriais);</w:t>
      </w:r>
    </w:p>
    <w:p w14:paraId="6632E76B"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širdies ritmui kontroliuoti (digoksinu);</w:t>
      </w:r>
    </w:p>
    <w:p w14:paraId="49E4D521"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maniakiniam depresiniam sutrikimui gydyti (ličiu);</w:t>
      </w:r>
    </w:p>
    <w:p w14:paraId="6AD123FC"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skausmui ar uždegimui malšinti (pvz., NVNU, tokių kaip ibuprofenas, metamizolas ar steroidais);</w:t>
      </w:r>
    </w:p>
    <w:p w14:paraId="745E61F2"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podagros (pvz., probenecidu);</w:t>
      </w:r>
    </w:p>
    <w:p w14:paraId="63E0743A"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epilepsijos (valproatu, fenitoinu);</w:t>
      </w:r>
    </w:p>
    <w:p w14:paraId="34D7C3E4"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glaukomos (acetazolamidu);</w:t>
      </w:r>
    </w:p>
    <w:p w14:paraId="5482CE1B"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vėžio ar reumatoidinio artrito (metotreksato, kai vartojama mažesnė kaip 15 mg savaitės dozė);</w:t>
      </w:r>
    </w:p>
    <w:p w14:paraId="3929B834"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cukrinio diabeto (pvz., glibenklamido);</w:t>
      </w:r>
    </w:p>
    <w:p w14:paraId="108C66EE"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depresijos (selektyvaus poveikio serotonino reabsorbcijos inhibitoriais (SSRI), pvz., sertralinu ar paroksetinu);</w:t>
      </w:r>
    </w:p>
    <w:p w14:paraId="7555693D"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vartojamais pakeičiamajai hormonų terapijai, kai antinksčių liauka ar hipofizė yra pažeista ar pašalinta, arba uždegimui, įskaitant reumatines ligas ir žarnų uždegimą, slopinti (kortikosteroidais).</w:t>
      </w:r>
    </w:p>
    <w:p w14:paraId="68B32C83" w14:textId="77777777" w:rsidR="00EB7699" w:rsidRPr="004C6E5C" w:rsidRDefault="00EB7699" w:rsidP="00EB7699">
      <w:pPr>
        <w:spacing w:after="0" w:line="240" w:lineRule="auto"/>
        <w:rPr>
          <w:rFonts w:ascii="Times New Roman" w:hAnsi="Times New Roman"/>
        </w:rPr>
      </w:pPr>
    </w:p>
    <w:p w14:paraId="3CBF9866"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Provapirin vartojimas su maistu, gėrimais ir alkoholiu</w:t>
      </w:r>
    </w:p>
    <w:p w14:paraId="1D464FBB"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lastRenderedPageBreak/>
        <w:t>Šias skrandyje neirias tabletes galima vartoti valgant arba kitu laiku.</w:t>
      </w:r>
    </w:p>
    <w:p w14:paraId="2D6D8822"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Alkoholis gali didinti virškinimo trakto kraujavimo riziką ir ilginti kraujavimo laiką.</w:t>
      </w:r>
    </w:p>
    <w:p w14:paraId="5E0C59F7" w14:textId="77777777" w:rsidR="00EB7699" w:rsidRPr="004C6E5C" w:rsidRDefault="00EB7699" w:rsidP="00EB7699">
      <w:pPr>
        <w:spacing w:after="0" w:line="240" w:lineRule="auto"/>
        <w:rPr>
          <w:rFonts w:ascii="Times New Roman" w:hAnsi="Times New Roman"/>
          <w:b/>
        </w:rPr>
      </w:pPr>
    </w:p>
    <w:p w14:paraId="1AE43BDD"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Nėštumas, žindymo laikotarpis</w:t>
      </w:r>
      <w:r w:rsidRPr="004C6E5C">
        <w:rPr>
          <w:rFonts w:ascii="Times New Roman" w:hAnsi="Times New Roman"/>
        </w:rPr>
        <w:t xml:space="preserve"> </w:t>
      </w:r>
      <w:r w:rsidRPr="004C6E5C">
        <w:rPr>
          <w:rFonts w:ascii="Times New Roman" w:hAnsi="Times New Roman"/>
          <w:b/>
        </w:rPr>
        <w:t>ir vaisingumas</w:t>
      </w:r>
    </w:p>
    <w:p w14:paraId="40D94CA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Jeigu esate nėščia, žindote kūdikį, manote, kad galbūt esate nėščia arba planuojate pastoti, tai prieš vartodama šį vaistą pasitarkite su gydytoju arba vaistininku.</w:t>
      </w:r>
    </w:p>
    <w:p w14:paraId="6B5F55F2" w14:textId="77777777" w:rsidR="00EB7699" w:rsidRPr="004C6E5C" w:rsidRDefault="00EB7699" w:rsidP="00EB7699">
      <w:pPr>
        <w:spacing w:after="0" w:line="240" w:lineRule="auto"/>
        <w:rPr>
          <w:rFonts w:ascii="Times New Roman" w:hAnsi="Times New Roman"/>
        </w:rPr>
      </w:pPr>
    </w:p>
    <w:p w14:paraId="43712198"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Nėščioms moterims acetilsalicilo rūgšties vartoti negalima, nebent taip nurodė gydytojas.</w:t>
      </w:r>
    </w:p>
    <w:p w14:paraId="6622A7A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Paskutiniais 3 nėštumo mėnesiais Provapirin vartoti negalima, nebent taip nurodė gydytojas; tokiu atveju dozė negali būti didesnė kaip 100 mg (žr. poskyrį „Provapirin vartoti negalima“). Jei šis vaistinis preparatas vėlyvuoju nėštumo laikotarpiu vartojamas reguliariai arba didelėmis dozėmis, gali atsirasti sunkių komplikacijų moteriai ar vaikui.</w:t>
      </w:r>
    </w:p>
    <w:p w14:paraId="5A866691" w14:textId="77777777" w:rsidR="00EB7699" w:rsidRPr="004C6E5C" w:rsidRDefault="00EB7699" w:rsidP="00EB7699">
      <w:pPr>
        <w:spacing w:after="0" w:line="240" w:lineRule="auto"/>
        <w:rPr>
          <w:rFonts w:ascii="Times New Roman" w:hAnsi="Times New Roman"/>
        </w:rPr>
      </w:pPr>
    </w:p>
    <w:p w14:paraId="7119ABA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Krūtimi maitinančioms moterims acetilsalicilo rūgšties vartoti negalima, nebent taip nurodė gydytojas.</w:t>
      </w:r>
    </w:p>
    <w:p w14:paraId="00DB23DA" w14:textId="77777777" w:rsidR="00EB7699" w:rsidRPr="004C6E5C" w:rsidRDefault="00EB7699" w:rsidP="00EB7699">
      <w:pPr>
        <w:spacing w:after="0" w:line="240" w:lineRule="auto"/>
        <w:rPr>
          <w:rFonts w:ascii="Times New Roman" w:hAnsi="Times New Roman"/>
        </w:rPr>
      </w:pPr>
    </w:p>
    <w:p w14:paraId="71FB112C"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 xml:space="preserve">Vairavimas ir mechanizmų valdymas </w:t>
      </w:r>
    </w:p>
    <w:p w14:paraId="47CEC0EB"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neturėtų sukelti poveikio gebėjimui vairuoti ir valdyti mechanizmus.</w:t>
      </w:r>
    </w:p>
    <w:p w14:paraId="61CBC705" w14:textId="77777777" w:rsidR="00EB7699" w:rsidRPr="004C6E5C" w:rsidRDefault="00EB7699" w:rsidP="00EB7699">
      <w:pPr>
        <w:spacing w:after="0" w:line="240" w:lineRule="auto"/>
        <w:rPr>
          <w:rFonts w:ascii="Times New Roman" w:hAnsi="Times New Roman"/>
        </w:rPr>
      </w:pPr>
    </w:p>
    <w:p w14:paraId="619EE7E0" w14:textId="77777777" w:rsidR="00EB7699" w:rsidRPr="004C6E5C" w:rsidRDefault="00EB7699" w:rsidP="00EB7699">
      <w:pPr>
        <w:spacing w:after="0" w:line="240" w:lineRule="auto"/>
        <w:rPr>
          <w:rFonts w:ascii="Times New Roman" w:hAnsi="Times New Roman"/>
        </w:rPr>
      </w:pPr>
    </w:p>
    <w:p w14:paraId="28326D25" w14:textId="77777777" w:rsidR="00EB7699" w:rsidRPr="004C6E5C" w:rsidRDefault="00EB7699" w:rsidP="00EB7699">
      <w:pPr>
        <w:tabs>
          <w:tab w:val="left" w:pos="567"/>
        </w:tabs>
        <w:spacing w:after="0" w:line="240" w:lineRule="auto"/>
        <w:rPr>
          <w:rFonts w:ascii="Times New Roman" w:hAnsi="Times New Roman"/>
          <w:b/>
        </w:rPr>
      </w:pPr>
      <w:r w:rsidRPr="004C6E5C">
        <w:rPr>
          <w:rFonts w:ascii="Times New Roman" w:hAnsi="Times New Roman"/>
          <w:b/>
        </w:rPr>
        <w:t>3.</w:t>
      </w:r>
      <w:r w:rsidRPr="004C6E5C">
        <w:rPr>
          <w:rFonts w:ascii="Times New Roman" w:hAnsi="Times New Roman"/>
          <w:b/>
        </w:rPr>
        <w:tab/>
        <w:t xml:space="preserve">Kaip vartoti Provapirin </w:t>
      </w:r>
    </w:p>
    <w:p w14:paraId="3191E614" w14:textId="77777777" w:rsidR="00EB7699" w:rsidRPr="004C6E5C" w:rsidRDefault="00EB7699" w:rsidP="00EB7699">
      <w:pPr>
        <w:spacing w:after="0" w:line="240" w:lineRule="auto"/>
        <w:rPr>
          <w:rFonts w:ascii="Times New Roman" w:hAnsi="Times New Roman"/>
        </w:rPr>
      </w:pPr>
    </w:p>
    <w:p w14:paraId="45346B9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Visada vartokite šį vaistą tiksliai kaip nurodė gydytojas arba vaistininkas. Jei abejojate, kreipkitės į gydytoją arba vaistininką.</w:t>
      </w:r>
    </w:p>
    <w:p w14:paraId="0710C0BA" w14:textId="77777777" w:rsidR="00EB7699" w:rsidRPr="004C6E5C" w:rsidRDefault="00EB7699" w:rsidP="00EB7699">
      <w:pPr>
        <w:spacing w:after="0" w:line="240" w:lineRule="auto"/>
        <w:rPr>
          <w:rFonts w:ascii="Times New Roman" w:hAnsi="Times New Roman"/>
        </w:rPr>
      </w:pPr>
    </w:p>
    <w:p w14:paraId="28BE4184" w14:textId="77777777" w:rsidR="00EB7699" w:rsidRPr="004C6E5C" w:rsidRDefault="00EB7699" w:rsidP="00EB7699">
      <w:pPr>
        <w:numPr>
          <w:ilvl w:val="12"/>
          <w:numId w:val="0"/>
        </w:numPr>
        <w:spacing w:after="0" w:line="240" w:lineRule="auto"/>
        <w:ind w:right="-2"/>
        <w:rPr>
          <w:rFonts w:ascii="Times New Roman" w:hAnsi="Times New Roman"/>
          <w:u w:val="single"/>
        </w:rPr>
      </w:pPr>
      <w:r w:rsidRPr="004C6E5C">
        <w:rPr>
          <w:rFonts w:ascii="Times New Roman" w:hAnsi="Times New Roman"/>
          <w:u w:val="single"/>
        </w:rPr>
        <w:t>Suaugę žmonės</w:t>
      </w:r>
    </w:p>
    <w:p w14:paraId="25E4234C" w14:textId="77777777" w:rsidR="00EB7699" w:rsidRPr="004C6E5C" w:rsidRDefault="00EB7699" w:rsidP="00EB7699">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Širdies priepuolio profilaktika</w:t>
      </w:r>
      <w:r w:rsidRPr="004C6E5C">
        <w:rPr>
          <w:rFonts w:ascii="Times New Roman" w:hAnsi="Times New Roman"/>
        </w:rPr>
        <w:t xml:space="preserve"> </w:t>
      </w:r>
    </w:p>
    <w:p w14:paraId="3C2AD2E2"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75-150 mg.</w:t>
      </w:r>
    </w:p>
    <w:p w14:paraId="51E8EB63" w14:textId="77777777" w:rsidR="00EB7699" w:rsidRPr="004C6E5C" w:rsidRDefault="00EB7699" w:rsidP="00EB7699">
      <w:pPr>
        <w:tabs>
          <w:tab w:val="left" w:pos="567"/>
        </w:tabs>
        <w:spacing w:after="0" w:line="260" w:lineRule="exact"/>
        <w:ind w:right="-2"/>
        <w:rPr>
          <w:rFonts w:ascii="Times New Roman" w:hAnsi="Times New Roman"/>
          <w:i/>
        </w:rPr>
      </w:pPr>
    </w:p>
    <w:p w14:paraId="6F9B1326" w14:textId="77777777" w:rsidR="00EB7699" w:rsidRPr="004C6E5C" w:rsidRDefault="00EB7699" w:rsidP="00EB7699">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Insulto profilaktika</w:t>
      </w:r>
    </w:p>
    <w:p w14:paraId="2B3A7F02"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75-300 mg.</w:t>
      </w:r>
    </w:p>
    <w:p w14:paraId="7E274045" w14:textId="77777777" w:rsidR="00EB7699" w:rsidRPr="004C6E5C" w:rsidRDefault="00EB7699" w:rsidP="00EB7699">
      <w:pPr>
        <w:tabs>
          <w:tab w:val="left" w:pos="567"/>
        </w:tabs>
        <w:spacing w:after="0" w:line="260" w:lineRule="exact"/>
        <w:ind w:right="-2"/>
        <w:rPr>
          <w:rFonts w:ascii="Times New Roman" w:hAnsi="Times New Roman"/>
          <w:i/>
        </w:rPr>
      </w:pPr>
    </w:p>
    <w:p w14:paraId="42D9A162" w14:textId="77777777" w:rsidR="00EB7699" w:rsidRPr="004C6E5C" w:rsidRDefault="00EB7699" w:rsidP="00EB7699">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Širdies ir kraujagyslių sutrikimų profilaktika pacientams, kurie serga stabiliąja ar nestabiliąja krūtinės angina (pasireiškia tam tikras krūtinės skausmas)</w:t>
      </w:r>
    </w:p>
    <w:p w14:paraId="3211126E"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75-150 mg.</w:t>
      </w:r>
    </w:p>
    <w:p w14:paraId="53FCDA08" w14:textId="77777777" w:rsidR="00EB7699" w:rsidRPr="004C6E5C" w:rsidRDefault="00EB7699" w:rsidP="00EB7699">
      <w:pPr>
        <w:tabs>
          <w:tab w:val="left" w:pos="567"/>
        </w:tabs>
        <w:spacing w:after="0" w:line="260" w:lineRule="exact"/>
        <w:ind w:right="-2"/>
        <w:rPr>
          <w:rFonts w:ascii="Times New Roman" w:hAnsi="Times New Roman"/>
          <w:i/>
        </w:rPr>
      </w:pPr>
    </w:p>
    <w:p w14:paraId="2645371B" w14:textId="77777777" w:rsidR="00EB7699" w:rsidRPr="004C6E5C" w:rsidRDefault="00EB7699" w:rsidP="00EB7699">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Kraujo krešulių susidarymo profilaktika po tam tikrų širdies operacijų</w:t>
      </w:r>
    </w:p>
    <w:p w14:paraId="485FC440" w14:textId="77777777" w:rsidR="00EB7699" w:rsidRPr="004C6E5C" w:rsidRDefault="00EB7699" w:rsidP="00CF10CF">
      <w:pPr>
        <w:numPr>
          <w:ilvl w:val="0"/>
          <w:numId w:val="14"/>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75-150 mg.</w:t>
      </w:r>
    </w:p>
    <w:p w14:paraId="1CF8A2FE" w14:textId="77777777" w:rsidR="00EB7699" w:rsidRPr="004C6E5C" w:rsidRDefault="00EB7699" w:rsidP="00EB7699">
      <w:pPr>
        <w:tabs>
          <w:tab w:val="left" w:pos="567"/>
        </w:tabs>
        <w:spacing w:after="0" w:line="260" w:lineRule="exact"/>
        <w:ind w:right="-2"/>
        <w:rPr>
          <w:rFonts w:ascii="Times New Roman" w:hAnsi="Times New Roman"/>
        </w:rPr>
      </w:pPr>
    </w:p>
    <w:p w14:paraId="0991B8A7"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Senyvi žmonės</w:t>
      </w:r>
    </w:p>
    <w:p w14:paraId="366591FF" w14:textId="77777777" w:rsidR="00EB7699" w:rsidRPr="004C6E5C" w:rsidRDefault="00EB7699" w:rsidP="00EB7699">
      <w:pPr>
        <w:tabs>
          <w:tab w:val="left" w:pos="567"/>
        </w:tabs>
        <w:spacing w:after="0" w:line="260" w:lineRule="exact"/>
        <w:rPr>
          <w:rFonts w:ascii="Times New Roman" w:hAnsi="Times New Roman"/>
          <w:spacing w:val="-5"/>
        </w:rPr>
      </w:pPr>
      <w:r w:rsidRPr="004C6E5C">
        <w:rPr>
          <w:rFonts w:ascii="Times New Roman" w:hAnsi="Times New Roman"/>
          <w:spacing w:val="-5"/>
        </w:rPr>
        <w:t>Vartojamos suaugusiems žmonėms skiriamos dozės. Senyviems žmonėms acetilsalicilo rūgštį reikia vartoti atsargiai, kadangi jiems yra didesnė šalutinio poveikio rizika. Gydymą būtina reguliariai įvertinti.</w:t>
      </w:r>
    </w:p>
    <w:p w14:paraId="719EA75F" w14:textId="77777777" w:rsidR="00EB7699" w:rsidRPr="004C6E5C" w:rsidRDefault="00EB7699" w:rsidP="00EB7699">
      <w:pPr>
        <w:tabs>
          <w:tab w:val="left" w:pos="567"/>
        </w:tabs>
        <w:spacing w:after="0" w:line="260" w:lineRule="exact"/>
        <w:rPr>
          <w:rFonts w:ascii="Times New Roman" w:hAnsi="Times New Roman"/>
          <w:spacing w:val="-5"/>
        </w:rPr>
      </w:pPr>
    </w:p>
    <w:p w14:paraId="6E87C924" w14:textId="77777777" w:rsidR="00EB7699" w:rsidRPr="004C6E5C" w:rsidRDefault="00EB7699" w:rsidP="00EB7699">
      <w:pPr>
        <w:tabs>
          <w:tab w:val="left" w:pos="567"/>
        </w:tabs>
        <w:spacing w:after="0" w:line="260" w:lineRule="exact"/>
        <w:rPr>
          <w:rFonts w:ascii="Times New Roman" w:hAnsi="Times New Roman"/>
          <w:b/>
          <w:spacing w:val="-5"/>
        </w:rPr>
      </w:pPr>
      <w:r w:rsidRPr="004C6E5C">
        <w:rPr>
          <w:rFonts w:ascii="Times New Roman" w:hAnsi="Times New Roman"/>
          <w:b/>
          <w:spacing w:val="-5"/>
        </w:rPr>
        <w:t>Vartojimas vaikams ir paaugliams</w:t>
      </w:r>
    </w:p>
    <w:p w14:paraId="6A3C5DFD" w14:textId="77777777" w:rsidR="00EB7699" w:rsidRPr="004C6E5C" w:rsidRDefault="00EB7699" w:rsidP="00EB7699">
      <w:pPr>
        <w:tabs>
          <w:tab w:val="left" w:pos="567"/>
        </w:tabs>
        <w:spacing w:after="0" w:line="260" w:lineRule="exact"/>
        <w:rPr>
          <w:rFonts w:ascii="Times New Roman" w:hAnsi="Times New Roman"/>
          <w:spacing w:val="-5"/>
        </w:rPr>
      </w:pPr>
      <w:r w:rsidRPr="004C6E5C">
        <w:rPr>
          <w:rFonts w:ascii="Times New Roman" w:hAnsi="Times New Roman"/>
          <w:spacing w:val="-5"/>
        </w:rPr>
        <w:t>Acetilsalicilo rūgšties vaikams ir jaunesniems kaip 16 metų paaugliams vartoti negalima, nebent taip nurodė gydytojas (žr. skyrių „Įspėjimai ir atsargumo priemonės“).</w:t>
      </w:r>
    </w:p>
    <w:p w14:paraId="28EEB31D" w14:textId="77777777" w:rsidR="00EB7699" w:rsidRPr="004C6E5C" w:rsidRDefault="00EB7699" w:rsidP="00EB7699">
      <w:pPr>
        <w:tabs>
          <w:tab w:val="left" w:pos="567"/>
        </w:tabs>
        <w:spacing w:after="0" w:line="260" w:lineRule="exact"/>
        <w:rPr>
          <w:rFonts w:ascii="Times New Roman" w:hAnsi="Times New Roman"/>
          <w:spacing w:val="-5"/>
        </w:rPr>
      </w:pPr>
    </w:p>
    <w:p w14:paraId="685A3134" w14:textId="77777777" w:rsidR="00EB7699" w:rsidRPr="004C6E5C" w:rsidRDefault="00EB7699" w:rsidP="00EB7699">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Vartojimo metodas</w:t>
      </w:r>
    </w:p>
    <w:p w14:paraId="671E97A4" w14:textId="77777777" w:rsidR="00EB7699" w:rsidRPr="004C6E5C" w:rsidRDefault="00EB7699" w:rsidP="00EB7699">
      <w:pPr>
        <w:tabs>
          <w:tab w:val="left" w:pos="567"/>
        </w:tabs>
        <w:spacing w:after="0" w:line="260" w:lineRule="exact"/>
        <w:rPr>
          <w:rFonts w:ascii="Times New Roman" w:hAnsi="Times New Roman"/>
          <w:spacing w:val="-5"/>
        </w:rPr>
      </w:pPr>
      <w:r w:rsidRPr="004C6E5C">
        <w:rPr>
          <w:rFonts w:ascii="Times New Roman" w:hAnsi="Times New Roman"/>
          <w:spacing w:val="-5"/>
        </w:rPr>
        <w:t>Vartoti per burną.</w:t>
      </w:r>
    </w:p>
    <w:p w14:paraId="1BAC632B" w14:textId="77777777" w:rsidR="00EB7699" w:rsidRPr="004C6E5C" w:rsidRDefault="00EB7699" w:rsidP="00EB7699">
      <w:pPr>
        <w:tabs>
          <w:tab w:val="left" w:pos="567"/>
        </w:tabs>
        <w:spacing w:after="0" w:line="260" w:lineRule="exact"/>
        <w:rPr>
          <w:rFonts w:ascii="Times New Roman" w:hAnsi="Times New Roman"/>
        </w:rPr>
      </w:pPr>
      <w:r w:rsidRPr="004C6E5C">
        <w:rPr>
          <w:rFonts w:ascii="Times New Roman" w:hAnsi="Times New Roman"/>
          <w:spacing w:val="-5"/>
        </w:rPr>
        <w:t xml:space="preserve">Tabletes reikia nuryti sveikas, užgeriant pakankamu kiekiu skysčio (puse stiklinės vandens). </w:t>
      </w:r>
      <w:r w:rsidRPr="004C6E5C">
        <w:rPr>
          <w:rFonts w:ascii="Times New Roman" w:hAnsi="Times New Roman"/>
        </w:rPr>
        <w:t>Kadangi tabletė turi skrandyje neirią dangą, jos negalima traiškyti, laužyti ar kramtyti, kadangi danga apsaugo nuo dirginamojo poveikio žarnyne.</w:t>
      </w:r>
    </w:p>
    <w:p w14:paraId="3F653460" w14:textId="77777777" w:rsidR="00EB7699" w:rsidRPr="004C6E5C" w:rsidRDefault="00EB7699" w:rsidP="00EB7699">
      <w:pPr>
        <w:spacing w:after="0" w:line="240" w:lineRule="auto"/>
        <w:rPr>
          <w:rFonts w:ascii="Times New Roman" w:hAnsi="Times New Roman"/>
        </w:rPr>
      </w:pPr>
    </w:p>
    <w:p w14:paraId="289712DB"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Ką daryti pavartojus per didelę Provapirin dozę?</w:t>
      </w:r>
    </w:p>
    <w:p w14:paraId="46BB1614"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Jeigu Jūs (arba kas nors kitas) netyčia išgersite per daug tablečių, turite nedelsdami pasakyti gydytojui ar kreiptis į artimiausią skubios pagalbos ligoninę. Gydytojui parodykite likusias tabletes ar tuščią pakuotę.</w:t>
      </w:r>
    </w:p>
    <w:p w14:paraId="124AD1CA"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lastRenderedPageBreak/>
        <w:t>Galimi perdozavimo simptomai yra spengimas ausyse, klausos sutrikimai, galvos skausmas, svaigulys, sumišimas, pykinimas, vėmimas ir pilvo skausmas. Didelis perdozavimas gali sukelti dažnesnį nei įprasta kvėpavimą (hiperventiliaciją), karščiavimą, smarkų prakaitavimą, neramumą, traukulius, haliucinacijas, mažą cukraus kiekį kraujyje, komą ir šoką.</w:t>
      </w:r>
    </w:p>
    <w:p w14:paraId="5B5EE1A9" w14:textId="77777777" w:rsidR="00EB7699" w:rsidRPr="004C6E5C" w:rsidRDefault="00EB7699" w:rsidP="00EB7699">
      <w:pPr>
        <w:spacing w:after="0" w:line="240" w:lineRule="auto"/>
        <w:rPr>
          <w:rFonts w:ascii="Times New Roman" w:hAnsi="Times New Roman"/>
        </w:rPr>
      </w:pPr>
    </w:p>
    <w:p w14:paraId="620401D6" w14:textId="77777777" w:rsidR="00EB7699" w:rsidRPr="004C6E5C" w:rsidRDefault="00EB7699" w:rsidP="00EB7699">
      <w:pPr>
        <w:spacing w:after="0" w:line="220" w:lineRule="exact"/>
        <w:rPr>
          <w:rFonts w:ascii="Times New Roman" w:hAnsi="Times New Roman"/>
          <w:b/>
        </w:rPr>
      </w:pPr>
      <w:r w:rsidRPr="004C6E5C">
        <w:rPr>
          <w:rFonts w:ascii="Times New Roman" w:hAnsi="Times New Roman"/>
          <w:b/>
        </w:rPr>
        <w:t>Pamiršus pavartoti Provapirin</w:t>
      </w:r>
    </w:p>
    <w:p w14:paraId="4EC748BB"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Jeigu praleidote dozę, palaukite, kol ateis laikas gerti kitą dozę, ir toliau vaistą vartokite įprastai. Negalima vartoti dvigubos dozės norint kompensuoti praleistą tabletę.</w:t>
      </w:r>
    </w:p>
    <w:p w14:paraId="4E3E0D8B" w14:textId="77777777" w:rsidR="00EB7699" w:rsidRPr="004C6E5C" w:rsidRDefault="00EB7699" w:rsidP="00EB7699">
      <w:pPr>
        <w:spacing w:after="0" w:line="240" w:lineRule="auto"/>
        <w:rPr>
          <w:rFonts w:ascii="Times New Roman" w:hAnsi="Times New Roman"/>
        </w:rPr>
      </w:pPr>
    </w:p>
    <w:p w14:paraId="3D9A5EA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Jeigu kiltų daugiau klausimų dėl šio vaisto vartojimo, kreipkitės į gydytoją arba vaistininką.</w:t>
      </w:r>
    </w:p>
    <w:p w14:paraId="662DAEEA" w14:textId="77777777" w:rsidR="00EB7699" w:rsidRPr="004C6E5C" w:rsidRDefault="00EB7699" w:rsidP="00EB7699">
      <w:pPr>
        <w:spacing w:after="0" w:line="240" w:lineRule="auto"/>
        <w:rPr>
          <w:rFonts w:ascii="Times New Roman" w:hAnsi="Times New Roman"/>
        </w:rPr>
      </w:pPr>
    </w:p>
    <w:p w14:paraId="019C3216" w14:textId="77777777" w:rsidR="00EB7699" w:rsidRPr="004C6E5C" w:rsidRDefault="00EB7699" w:rsidP="00EB7699">
      <w:pPr>
        <w:spacing w:after="0" w:line="240" w:lineRule="auto"/>
        <w:rPr>
          <w:rFonts w:ascii="Times New Roman" w:hAnsi="Times New Roman"/>
        </w:rPr>
      </w:pPr>
    </w:p>
    <w:p w14:paraId="603A18C2"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80" w:name="_Toc129243267"/>
      <w:bookmarkStart w:id="81" w:name="_Toc129243142"/>
      <w:r w:rsidRPr="004C6E5C">
        <w:rPr>
          <w:rFonts w:ascii="Times New Roman" w:hAnsi="Times New Roman"/>
          <w:b/>
        </w:rPr>
        <w:t>4.</w:t>
      </w:r>
      <w:r w:rsidRPr="004C6E5C">
        <w:rPr>
          <w:rFonts w:ascii="Times New Roman" w:hAnsi="Times New Roman"/>
          <w:b/>
        </w:rPr>
        <w:tab/>
        <w:t>Galimas šalutinis poveikis</w:t>
      </w:r>
      <w:bookmarkEnd w:id="80"/>
      <w:bookmarkEnd w:id="81"/>
    </w:p>
    <w:p w14:paraId="2FD4AF1C" w14:textId="77777777" w:rsidR="00EB7699" w:rsidRPr="004C6E5C" w:rsidRDefault="00EB7699" w:rsidP="00EB7699">
      <w:pPr>
        <w:spacing w:after="0" w:line="240" w:lineRule="auto"/>
        <w:rPr>
          <w:rFonts w:ascii="Times New Roman" w:hAnsi="Times New Roman"/>
        </w:rPr>
      </w:pPr>
    </w:p>
    <w:p w14:paraId="0D4E81F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Šis vaistas, kaip ir visi kiti, gali sukelti šalutinį poveikį, nors jis pasireiškia ne visiems žmonėms.</w:t>
      </w:r>
    </w:p>
    <w:p w14:paraId="17DBB9F1" w14:textId="77777777" w:rsidR="00EB7699" w:rsidRPr="004C6E5C" w:rsidRDefault="00EB7699" w:rsidP="00EB7699">
      <w:pPr>
        <w:spacing w:after="0" w:line="240" w:lineRule="auto"/>
        <w:rPr>
          <w:rFonts w:ascii="Times New Roman" w:hAnsi="Times New Roman"/>
        </w:rPr>
      </w:pPr>
    </w:p>
    <w:p w14:paraId="63791FA6" w14:textId="77777777" w:rsidR="00EB7699" w:rsidRPr="004C6E5C" w:rsidRDefault="00EB7699" w:rsidP="00EB7699">
      <w:pPr>
        <w:tabs>
          <w:tab w:val="left" w:pos="567"/>
        </w:tabs>
        <w:spacing w:after="0" w:line="260" w:lineRule="exact"/>
        <w:rPr>
          <w:rFonts w:ascii="Times New Roman" w:hAnsi="Times New Roman"/>
          <w:b/>
        </w:rPr>
      </w:pPr>
      <w:r w:rsidRPr="004C6E5C">
        <w:rPr>
          <w:rFonts w:ascii="Times New Roman" w:hAnsi="Times New Roman"/>
          <w:b/>
        </w:rPr>
        <w:t>Jei pastebėsite bet kurį toliau išvardytą sunkų šalutinį poveikį, nutraukite Provapirin vartojimą ir nedelsdami kreipkitės į gydytoją.</w:t>
      </w:r>
    </w:p>
    <w:p w14:paraId="38C01FFC" w14:textId="77777777" w:rsidR="00EB7699" w:rsidRPr="004C6E5C" w:rsidRDefault="00EB7699" w:rsidP="00EB7699">
      <w:pPr>
        <w:numPr>
          <w:ilvl w:val="12"/>
          <w:numId w:val="0"/>
        </w:numPr>
        <w:spacing w:after="0" w:line="240" w:lineRule="auto"/>
        <w:ind w:left="567" w:right="-2" w:hanging="567"/>
        <w:rPr>
          <w:rFonts w:ascii="Times New Roman" w:hAnsi="Times New Roman"/>
        </w:rPr>
      </w:pPr>
      <w:r w:rsidRPr="004C6E5C">
        <w:rPr>
          <w:rFonts w:ascii="Times New Roman" w:hAnsi="Times New Roman"/>
        </w:rPr>
        <w:t>-</w:t>
      </w:r>
      <w:r w:rsidRPr="004C6E5C">
        <w:rPr>
          <w:rFonts w:ascii="Times New Roman" w:hAnsi="Times New Roman"/>
        </w:rPr>
        <w:tab/>
        <w:t xml:space="preserve">Staiga atsiradęs švokštimas, lūpų, veido ar kūno patinimas, išbėrimas, alpulys ar kvėpavimo pasunkėjimas (sunki alerginė reakcija) (retai). </w:t>
      </w:r>
    </w:p>
    <w:p w14:paraId="3D97E9FA" w14:textId="77777777" w:rsidR="00EB7699" w:rsidRPr="004C6E5C" w:rsidRDefault="00EB7699" w:rsidP="00EB7699">
      <w:pPr>
        <w:tabs>
          <w:tab w:val="left" w:pos="0"/>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Odos paraudimas, pūslių atsiradimas ar lupimasis; kartu gali pasireikšti karščiavimas ir sąnarių skausmas. Tai gali būti daugiaformė eritema, Stivenso–Džonsono (</w:t>
      </w:r>
      <w:r w:rsidRPr="00CF10CF">
        <w:rPr>
          <w:rFonts w:ascii="Times New Roman" w:hAnsi="Times New Roman"/>
          <w:i/>
          <w:lang w:val="en-US"/>
        </w:rPr>
        <w:t>Stevens-Johnson</w:t>
      </w:r>
      <w:r w:rsidRPr="004C6E5C">
        <w:rPr>
          <w:rFonts w:ascii="Times New Roman" w:hAnsi="Times New Roman"/>
        </w:rPr>
        <w:t>) sindromas ar Lajelio (</w:t>
      </w:r>
      <w:r w:rsidRPr="00EB7699">
        <w:rPr>
          <w:rFonts w:ascii="Times New Roman" w:hAnsi="Times New Roman"/>
          <w:i/>
        </w:rPr>
        <w:t>Lyell</w:t>
      </w:r>
      <w:r w:rsidRPr="004C6E5C">
        <w:rPr>
          <w:rFonts w:ascii="Times New Roman" w:hAnsi="Times New Roman"/>
        </w:rPr>
        <w:t xml:space="preserve">) sindromas (retai). </w:t>
      </w:r>
    </w:p>
    <w:p w14:paraId="07F7F716" w14:textId="77777777" w:rsidR="00EB7699" w:rsidRPr="004C6E5C" w:rsidRDefault="00EB7699" w:rsidP="00EB7699">
      <w:pPr>
        <w:autoSpaceDE w:val="0"/>
        <w:autoSpaceDN w:val="0"/>
        <w:adjustRightInd w:val="0"/>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Neįprastas kraujavimas, pvz., kosėjimas krauju, vėmimas krauju, kraujo atsiradimas šlapime ar juodų išmatų atsiradimas (dažnis nežinomas).</w:t>
      </w:r>
    </w:p>
    <w:p w14:paraId="4ECEC39C" w14:textId="77777777" w:rsidR="00EB7699" w:rsidRPr="004C6E5C" w:rsidRDefault="00EB7699" w:rsidP="00EB7699">
      <w:pPr>
        <w:autoSpaceDE w:val="0"/>
        <w:autoSpaceDN w:val="0"/>
        <w:adjustRightInd w:val="0"/>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Opelės burnoje, karščiavimas ir infekcija (dėl agranulocitozės, t.y. labai sumažėjusio baltųjų kraujo kūnelių kiekio) (retai).</w:t>
      </w:r>
    </w:p>
    <w:p w14:paraId="6D330F7C" w14:textId="77777777" w:rsidR="00EB7699" w:rsidRPr="004C6E5C" w:rsidRDefault="00EB7699" w:rsidP="00EB7699">
      <w:pPr>
        <w:autoSpaceDE w:val="0"/>
        <w:autoSpaceDN w:val="0"/>
        <w:adjustRightInd w:val="0"/>
        <w:spacing w:after="0" w:line="240" w:lineRule="auto"/>
        <w:rPr>
          <w:rFonts w:ascii="Times New Roman" w:hAnsi="Times New Roman"/>
          <w:highlight w:val="yellow"/>
        </w:rPr>
      </w:pPr>
    </w:p>
    <w:p w14:paraId="5AE603C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Galimas šalutinis poveikis žemiau sugrupuotas pagal dažnį.</w:t>
      </w:r>
    </w:p>
    <w:p w14:paraId="452AD8C2" w14:textId="77777777" w:rsidR="00EB7699" w:rsidRPr="004C6E5C" w:rsidRDefault="00EB7699" w:rsidP="00EB7699">
      <w:pPr>
        <w:autoSpaceDE w:val="0"/>
        <w:autoSpaceDN w:val="0"/>
        <w:adjustRightInd w:val="0"/>
        <w:spacing w:after="0" w:line="240" w:lineRule="auto"/>
        <w:rPr>
          <w:rFonts w:ascii="Times New Roman" w:hAnsi="Times New Roman"/>
          <w:highlight w:val="yellow"/>
        </w:rPr>
      </w:pPr>
    </w:p>
    <w:p w14:paraId="17CA558F"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Dažnas šalutinis poveikis (pasireiškia 1</w:t>
      </w:r>
      <w:r w:rsidRPr="004C6E5C">
        <w:rPr>
          <w:rFonts w:ascii="Times New Roman" w:hAnsi="Times New Roman"/>
          <w:u w:val="single"/>
        </w:rPr>
        <w:noBreakHyphen/>
        <w:t>10 pacientų iš 100)</w:t>
      </w:r>
    </w:p>
    <w:p w14:paraId="48410293"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Nevirškinimas.</w:t>
      </w:r>
    </w:p>
    <w:p w14:paraId="010CA104"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Padidėjęs polinkis kraujuoti.</w:t>
      </w:r>
    </w:p>
    <w:p w14:paraId="5C89C13C" w14:textId="77777777" w:rsidR="00EB7699" w:rsidRPr="004C6E5C" w:rsidRDefault="00EB7699" w:rsidP="00EB7699">
      <w:pPr>
        <w:tabs>
          <w:tab w:val="left" w:pos="567"/>
        </w:tabs>
        <w:spacing w:after="0" w:line="260" w:lineRule="exact"/>
        <w:rPr>
          <w:rFonts w:ascii="Times New Roman" w:hAnsi="Times New Roman"/>
        </w:rPr>
      </w:pPr>
    </w:p>
    <w:p w14:paraId="2BC71023"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Nedažnas šalutinis poveikis (pasireiškia 1</w:t>
      </w:r>
      <w:r w:rsidRPr="004C6E5C">
        <w:rPr>
          <w:rFonts w:ascii="Times New Roman" w:hAnsi="Times New Roman"/>
          <w:u w:val="single"/>
        </w:rPr>
        <w:noBreakHyphen/>
        <w:t>10 pacientų iš 1000)</w:t>
      </w:r>
    </w:p>
    <w:p w14:paraId="0EC2DEE4"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Dilgėlinė. </w:t>
      </w:r>
    </w:p>
    <w:p w14:paraId="64ED91F0"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Sloga.</w:t>
      </w:r>
    </w:p>
    <w:p w14:paraId="09049E79"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Kvėpavimo pasunkėjimas.</w:t>
      </w:r>
    </w:p>
    <w:p w14:paraId="11404C38" w14:textId="77777777" w:rsidR="00EB7699" w:rsidRPr="004C6E5C" w:rsidRDefault="00EB7699" w:rsidP="00EB7699">
      <w:pPr>
        <w:tabs>
          <w:tab w:val="left" w:pos="567"/>
        </w:tabs>
        <w:spacing w:after="0" w:line="260" w:lineRule="exact"/>
        <w:ind w:left="426" w:hanging="426"/>
        <w:rPr>
          <w:rFonts w:ascii="Times New Roman" w:hAnsi="Times New Roman"/>
        </w:rPr>
      </w:pPr>
    </w:p>
    <w:p w14:paraId="6AB8C606"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Retas šalutinis poveikis (pasireiškia 1</w:t>
      </w:r>
      <w:r w:rsidRPr="004C6E5C">
        <w:rPr>
          <w:rFonts w:ascii="Times New Roman" w:hAnsi="Times New Roman"/>
          <w:u w:val="single"/>
        </w:rPr>
        <w:noBreakHyphen/>
        <w:t>10 pacientų iš 10000)</w:t>
      </w:r>
    </w:p>
    <w:p w14:paraId="4D91D189"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Sunkus skrandžio ar žarnyno kraujavimas, kraujosruva smegenyse, kraujo ląstelių kiekio pokytis.</w:t>
      </w:r>
    </w:p>
    <w:p w14:paraId="6E204A2F"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Pykinimas ir vėmimas. </w:t>
      </w:r>
    </w:p>
    <w:p w14:paraId="67CAEFF9"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Apatinių kvėpavimo takų spazmas, astmos priepuolis.</w:t>
      </w:r>
    </w:p>
    <w:p w14:paraId="6F6509E2"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Kraujagyslių uždegimas.</w:t>
      </w:r>
    </w:p>
    <w:p w14:paraId="1239088F"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Kraujosruvos su violetinėmis dėmėmis (odos kraujavimas). </w:t>
      </w:r>
    </w:p>
    <w:p w14:paraId="310A0754"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Sunkios odos reakcijos, pvz., išbėrimas (daugiaformė eritema) ir gyvybei pavojingos jo formos (Stivenso–Džonsono (</w:t>
      </w:r>
      <w:r w:rsidRPr="004C6E5C">
        <w:rPr>
          <w:rFonts w:ascii="Times New Roman" w:hAnsi="Times New Roman"/>
          <w:i/>
        </w:rPr>
        <w:t>Stevens-Johnson</w:t>
      </w:r>
      <w:r w:rsidRPr="004C6E5C">
        <w:rPr>
          <w:rFonts w:ascii="Times New Roman" w:hAnsi="Times New Roman"/>
        </w:rPr>
        <w:t>) sindromas ir Lajelio (</w:t>
      </w:r>
      <w:r w:rsidRPr="004C6E5C">
        <w:rPr>
          <w:rFonts w:ascii="Times New Roman" w:hAnsi="Times New Roman"/>
          <w:i/>
        </w:rPr>
        <w:t>Lyell</w:t>
      </w:r>
      <w:r w:rsidRPr="004C6E5C">
        <w:rPr>
          <w:rFonts w:ascii="Times New Roman" w:hAnsi="Times New Roman"/>
        </w:rPr>
        <w:t>) sindromas).</w:t>
      </w:r>
    </w:p>
    <w:p w14:paraId="68C7EFE3"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Padidėjusio jautrumo reakcijos, pvz., lūpų, veido ar kūno patinimas, šokas.</w:t>
      </w:r>
    </w:p>
    <w:p w14:paraId="594AD784" w14:textId="77777777" w:rsidR="00EB7699" w:rsidRPr="004C6E5C" w:rsidRDefault="00EB7699" w:rsidP="00EB7699">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Neįprastai gausios ar ilgos menstruacijos. </w:t>
      </w:r>
    </w:p>
    <w:p w14:paraId="273ACD0E" w14:textId="77777777" w:rsidR="00EB7699" w:rsidRPr="004C6E5C" w:rsidRDefault="00EB7699" w:rsidP="00EB7699">
      <w:pPr>
        <w:tabs>
          <w:tab w:val="left" w:pos="567"/>
        </w:tabs>
        <w:spacing w:after="0" w:line="260" w:lineRule="exact"/>
        <w:rPr>
          <w:rFonts w:ascii="Times New Roman" w:hAnsi="Times New Roman"/>
          <w:sz w:val="24"/>
        </w:rPr>
      </w:pPr>
    </w:p>
    <w:p w14:paraId="15D94D5B" w14:textId="77777777" w:rsidR="00EB7699" w:rsidRPr="004C6E5C" w:rsidRDefault="00EB7699" w:rsidP="00EB7699">
      <w:pPr>
        <w:tabs>
          <w:tab w:val="left" w:pos="567"/>
        </w:tabs>
        <w:spacing w:after="0" w:line="260" w:lineRule="exact"/>
        <w:rPr>
          <w:rFonts w:ascii="Times New Roman" w:hAnsi="Times New Roman"/>
          <w:u w:val="single"/>
        </w:rPr>
      </w:pPr>
      <w:r w:rsidRPr="004C6E5C">
        <w:rPr>
          <w:rFonts w:ascii="Times New Roman" w:hAnsi="Times New Roman"/>
          <w:u w:val="single"/>
        </w:rPr>
        <w:t>Nežinomo dažnio šalutinis poveikis (dažnio negalima apskaičiuoti pagal turimus duomenis)</w:t>
      </w:r>
    </w:p>
    <w:p w14:paraId="4C796989" w14:textId="77777777" w:rsidR="00EB7699" w:rsidRPr="004C6E5C" w:rsidRDefault="00EB7699" w:rsidP="00EB7699">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Spengimas ausyse ir klausos pablogėjimas.</w:t>
      </w:r>
    </w:p>
    <w:p w14:paraId="68D27F90" w14:textId="77777777" w:rsidR="00EB7699" w:rsidRPr="004C6E5C" w:rsidRDefault="00EB7699" w:rsidP="00EB7699">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Galvos skausmas.</w:t>
      </w:r>
    </w:p>
    <w:p w14:paraId="6E74AC7F" w14:textId="77777777" w:rsidR="00EB7699" w:rsidRPr="004C6E5C" w:rsidRDefault="00EB7699" w:rsidP="00EB7699">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Galvos svaigimas.</w:t>
      </w:r>
    </w:p>
    <w:p w14:paraId="0D0A87A4" w14:textId="77777777" w:rsidR="00EB7699" w:rsidRPr="004C6E5C" w:rsidRDefault="00EB7699" w:rsidP="00EB7699">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Skrandžio ir plonosios žarnos opos ir prakiurimas.</w:t>
      </w:r>
    </w:p>
    <w:p w14:paraId="680249A9" w14:textId="77777777" w:rsidR="00EB7699" w:rsidRPr="004C6E5C" w:rsidRDefault="00EB7699" w:rsidP="00EB7699">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lastRenderedPageBreak/>
        <w:t>-</w:t>
      </w:r>
      <w:r w:rsidRPr="004C6E5C">
        <w:rPr>
          <w:rFonts w:ascii="Times New Roman" w:hAnsi="Times New Roman"/>
        </w:rPr>
        <w:tab/>
        <w:t>Kraujavimo laiko pailgėjimas.</w:t>
      </w:r>
    </w:p>
    <w:p w14:paraId="3AD0C33E"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w:t>
      </w:r>
      <w:r w:rsidRPr="004C6E5C">
        <w:rPr>
          <w:rFonts w:ascii="Times New Roman" w:hAnsi="Times New Roman"/>
        </w:rPr>
        <w:tab/>
        <w:t>Inkstų funkcijos sutrikimas.</w:t>
      </w:r>
    </w:p>
    <w:p w14:paraId="75DEFC1C"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w:t>
      </w:r>
      <w:r w:rsidRPr="004C6E5C">
        <w:rPr>
          <w:rFonts w:ascii="Times New Roman" w:hAnsi="Times New Roman"/>
        </w:rPr>
        <w:tab/>
        <w:t>Kepenų funkcijos sutrikimas.</w:t>
      </w:r>
    </w:p>
    <w:p w14:paraId="067AAF2B" w14:textId="77777777" w:rsidR="00EB7699" w:rsidRPr="004C6E5C" w:rsidRDefault="00EB7699" w:rsidP="00EB7699">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w:t>
      </w:r>
      <w:r w:rsidRPr="004C6E5C">
        <w:rPr>
          <w:rFonts w:ascii="Times New Roman" w:hAnsi="Times New Roman"/>
        </w:rPr>
        <w:tab/>
        <w:t>Didelis šlapimo rūgšties kiekis kraujyje.</w:t>
      </w:r>
    </w:p>
    <w:p w14:paraId="2B9EB4CD" w14:textId="77777777" w:rsidR="00EB7699" w:rsidRPr="004C6E5C" w:rsidRDefault="00EB7699" w:rsidP="00EB7699">
      <w:pPr>
        <w:spacing w:after="0" w:line="240" w:lineRule="auto"/>
        <w:rPr>
          <w:rFonts w:ascii="Times New Roman" w:hAnsi="Times New Roman"/>
        </w:rPr>
      </w:pPr>
    </w:p>
    <w:p w14:paraId="028AEE73" w14:textId="77777777" w:rsidR="00EB7699" w:rsidRPr="004C6E5C" w:rsidRDefault="00EB7699" w:rsidP="00EB7699">
      <w:pPr>
        <w:spacing w:after="0" w:line="240" w:lineRule="auto"/>
        <w:rPr>
          <w:rFonts w:ascii="Times New Roman" w:hAnsi="Times New Roman"/>
          <w:b/>
        </w:rPr>
      </w:pPr>
      <w:r w:rsidRPr="004C6E5C">
        <w:rPr>
          <w:rFonts w:ascii="Times New Roman" w:hAnsi="Times New Roman"/>
          <w:b/>
        </w:rPr>
        <w:t>Pranešimas apie šalutinį poveikį</w:t>
      </w:r>
    </w:p>
    <w:p w14:paraId="26EA5A51"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CF10CF">
          <w:t>www.vvkt.lt</w:t>
        </w:r>
      </w:hyperlink>
      <w:r w:rsidRPr="004C6E5C">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CF10CF">
          <w:t>NepageidaujamaR@vvkt.lt</w:t>
        </w:r>
      </w:hyperlink>
      <w:r w:rsidRPr="004C6E5C">
        <w:rPr>
          <w:rFonts w:ascii="Times New Roman" w:hAnsi="Times New Roman"/>
        </w:rPr>
        <w:t xml:space="preserve">, taip pat per Valstybinės vaistų kontrolės tarnybos prie Lietuvos Respublikos sveikatos apsaugos ministerijos interneto svetainę (adresu </w:t>
      </w:r>
      <w:hyperlink r:id="rId12" w:history="1">
        <w:r w:rsidRPr="00CF10CF">
          <w:t>http://www.vvkt.lt</w:t>
        </w:r>
      </w:hyperlink>
      <w:r w:rsidRPr="004C6E5C">
        <w:rPr>
          <w:rFonts w:ascii="Times New Roman" w:hAnsi="Times New Roman"/>
        </w:rPr>
        <w:t>). Pranešdami apie šalutinį poveikį galite mums padėti gauti daugiau informacijos apie šio vaisto saugumą.</w:t>
      </w:r>
    </w:p>
    <w:p w14:paraId="0797932C" w14:textId="77777777" w:rsidR="00EB7699" w:rsidRPr="004C6E5C" w:rsidRDefault="00EB7699" w:rsidP="00EB7699">
      <w:pPr>
        <w:spacing w:after="0" w:line="240" w:lineRule="auto"/>
        <w:rPr>
          <w:rFonts w:ascii="Times New Roman" w:hAnsi="Times New Roman"/>
        </w:rPr>
      </w:pPr>
    </w:p>
    <w:p w14:paraId="5CF5BCE0" w14:textId="77777777" w:rsidR="00EB7699" w:rsidRPr="004C6E5C" w:rsidRDefault="00EB7699" w:rsidP="00EB7699">
      <w:pPr>
        <w:spacing w:after="0" w:line="240" w:lineRule="auto"/>
        <w:rPr>
          <w:rFonts w:ascii="Times New Roman" w:hAnsi="Times New Roman"/>
        </w:rPr>
      </w:pPr>
    </w:p>
    <w:p w14:paraId="5A5BB890"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82" w:name="_Toc129243268"/>
      <w:bookmarkStart w:id="83" w:name="_Toc129243143"/>
      <w:r w:rsidRPr="004C6E5C">
        <w:rPr>
          <w:rFonts w:ascii="Times New Roman" w:hAnsi="Times New Roman"/>
          <w:b/>
        </w:rPr>
        <w:t>5.</w:t>
      </w:r>
      <w:r w:rsidRPr="004C6E5C">
        <w:rPr>
          <w:rFonts w:ascii="Times New Roman" w:hAnsi="Times New Roman"/>
          <w:b/>
        </w:rPr>
        <w:tab/>
        <w:t xml:space="preserve">Kaip laikyti </w:t>
      </w:r>
      <w:bookmarkEnd w:id="82"/>
      <w:bookmarkEnd w:id="83"/>
      <w:r w:rsidRPr="004C6E5C">
        <w:rPr>
          <w:rFonts w:ascii="Times New Roman" w:hAnsi="Times New Roman"/>
          <w:b/>
        </w:rPr>
        <w:t>Provapirin</w:t>
      </w:r>
    </w:p>
    <w:p w14:paraId="0BC44854" w14:textId="77777777" w:rsidR="00EB7699" w:rsidRPr="004C6E5C" w:rsidRDefault="00EB7699" w:rsidP="00EB7699">
      <w:pPr>
        <w:spacing w:after="0" w:line="240" w:lineRule="auto"/>
        <w:rPr>
          <w:rFonts w:ascii="Times New Roman" w:hAnsi="Times New Roman"/>
        </w:rPr>
      </w:pPr>
    </w:p>
    <w:p w14:paraId="04177418"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Šį vaistą laikykite vaikams nepastebimoje ir nepasiekiamoje vietoje.</w:t>
      </w:r>
    </w:p>
    <w:p w14:paraId="12CD6B54" w14:textId="77777777" w:rsidR="00EB7699" w:rsidRPr="004C6E5C" w:rsidRDefault="00EB7699" w:rsidP="00EB7699">
      <w:pPr>
        <w:spacing w:after="0" w:line="240" w:lineRule="auto"/>
        <w:rPr>
          <w:rFonts w:ascii="Times New Roman" w:hAnsi="Times New Roman"/>
        </w:rPr>
      </w:pPr>
    </w:p>
    <w:p w14:paraId="6D9B283D"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Laikyti žemesnėje kaip 25 °C temperatūroje.</w:t>
      </w:r>
    </w:p>
    <w:p w14:paraId="2EAD1F66" w14:textId="7FBC5E20" w:rsidR="00EB7699" w:rsidRPr="004C6E5C" w:rsidRDefault="0096302A" w:rsidP="00EB7699">
      <w:pPr>
        <w:spacing w:after="0" w:line="240" w:lineRule="auto"/>
        <w:rPr>
          <w:rFonts w:ascii="Times New Roman" w:hAnsi="Times New Roman"/>
        </w:rPr>
      </w:pPr>
      <w:r>
        <w:rPr>
          <w:rFonts w:ascii="Times New Roman" w:eastAsia="Calibri" w:hAnsi="Times New Roman" w:cs="Times New Roman"/>
          <w:noProof w:val="0"/>
        </w:rPr>
        <w:t>L</w:t>
      </w:r>
      <w:r w:rsidR="00EB7699" w:rsidRPr="00EB7699">
        <w:rPr>
          <w:rFonts w:ascii="Times New Roman" w:eastAsia="Calibri" w:hAnsi="Times New Roman" w:cs="Times New Roman"/>
          <w:noProof w:val="0"/>
        </w:rPr>
        <w:t>aikyti</w:t>
      </w:r>
      <w:r w:rsidR="00EB7699" w:rsidRPr="004C6E5C">
        <w:rPr>
          <w:rFonts w:ascii="Times New Roman" w:hAnsi="Times New Roman"/>
        </w:rPr>
        <w:t xml:space="preserve"> gamintojo pakuotėje, kad preparatas būtų apsaugotas nuo drėgmės.</w:t>
      </w:r>
    </w:p>
    <w:p w14:paraId="429A569C" w14:textId="77777777" w:rsidR="00EB7699" w:rsidRPr="004C6E5C" w:rsidRDefault="00EB7699" w:rsidP="00EB7699">
      <w:pPr>
        <w:spacing w:after="0" w:line="240" w:lineRule="auto"/>
        <w:rPr>
          <w:rFonts w:ascii="Times New Roman" w:hAnsi="Times New Roman"/>
        </w:rPr>
      </w:pPr>
    </w:p>
    <w:p w14:paraId="35F96E3F" w14:textId="7873F9D7" w:rsidR="00EB7699" w:rsidRPr="004C6E5C" w:rsidRDefault="00EB7699" w:rsidP="00EB7699">
      <w:pPr>
        <w:spacing w:after="0" w:line="240" w:lineRule="auto"/>
        <w:rPr>
          <w:rFonts w:ascii="Times New Roman" w:hAnsi="Times New Roman"/>
        </w:rPr>
      </w:pPr>
      <w:r w:rsidRPr="004C6E5C">
        <w:rPr>
          <w:rFonts w:ascii="Times New Roman" w:hAnsi="Times New Roman"/>
        </w:rPr>
        <w:t>Ant lizdinės plokštelės ir dėžutės po „EXP“/„Tinka iki“ nurodytam tinkamumo laikui pasibaigus, šio vaisto vartoti negalima. Vaistas tinkamas vartoti iki paskutinės nurodyto mėnesio dienos.</w:t>
      </w:r>
    </w:p>
    <w:p w14:paraId="3D073CFB" w14:textId="77777777" w:rsidR="00EB7699" w:rsidRPr="004C6E5C" w:rsidRDefault="00EB7699" w:rsidP="00EB7699">
      <w:pPr>
        <w:spacing w:after="0" w:line="240" w:lineRule="auto"/>
        <w:rPr>
          <w:rFonts w:ascii="Times New Roman" w:hAnsi="Times New Roman"/>
        </w:rPr>
      </w:pPr>
    </w:p>
    <w:p w14:paraId="59BB37B5"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Vaistų negalima išmesti į kanalizaciją arba su buitinėmis atliekomis. Kaip išmesti nereikalingus vaistus, klauskite vaistininko. Šios priemonės padės apsaugoti aplinką.</w:t>
      </w:r>
    </w:p>
    <w:p w14:paraId="7E550260" w14:textId="77777777" w:rsidR="00EB7699" w:rsidRPr="004C6E5C" w:rsidRDefault="00EB7699" w:rsidP="00EB7699">
      <w:pPr>
        <w:spacing w:after="0" w:line="240" w:lineRule="auto"/>
        <w:rPr>
          <w:rFonts w:ascii="Times New Roman" w:hAnsi="Times New Roman"/>
        </w:rPr>
      </w:pPr>
    </w:p>
    <w:p w14:paraId="1E492519" w14:textId="77777777" w:rsidR="00EB7699" w:rsidRPr="004C6E5C" w:rsidRDefault="00EB7699" w:rsidP="00EB7699">
      <w:pPr>
        <w:spacing w:after="0" w:line="240" w:lineRule="auto"/>
        <w:rPr>
          <w:rFonts w:ascii="Times New Roman" w:hAnsi="Times New Roman"/>
        </w:rPr>
      </w:pPr>
    </w:p>
    <w:p w14:paraId="7720EC3F" w14:textId="77777777" w:rsidR="00EB7699" w:rsidRPr="004C6E5C" w:rsidRDefault="00EB7699" w:rsidP="00EB7699">
      <w:pPr>
        <w:keepNext/>
        <w:tabs>
          <w:tab w:val="left" w:pos="567"/>
        </w:tabs>
        <w:spacing w:after="0" w:line="240" w:lineRule="auto"/>
        <w:ind w:left="567" w:hanging="567"/>
        <w:outlineLvl w:val="1"/>
        <w:rPr>
          <w:rFonts w:ascii="Times New Roman" w:hAnsi="Times New Roman"/>
          <w:b/>
        </w:rPr>
      </w:pPr>
      <w:bookmarkStart w:id="84" w:name="_Toc129243269"/>
      <w:bookmarkStart w:id="85" w:name="_Toc129243144"/>
      <w:r w:rsidRPr="004C6E5C">
        <w:rPr>
          <w:rFonts w:ascii="Times New Roman" w:hAnsi="Times New Roman"/>
          <w:b/>
        </w:rPr>
        <w:t>6.</w:t>
      </w:r>
      <w:r w:rsidRPr="004C6E5C">
        <w:rPr>
          <w:rFonts w:ascii="Times New Roman" w:hAnsi="Times New Roman"/>
          <w:b/>
        </w:rPr>
        <w:tab/>
        <w:t>Pakuotės turinys ir kita informacija</w:t>
      </w:r>
      <w:bookmarkEnd w:id="84"/>
      <w:bookmarkEnd w:id="85"/>
    </w:p>
    <w:p w14:paraId="4514279F" w14:textId="77777777" w:rsidR="00EB7699" w:rsidRPr="004C6E5C" w:rsidRDefault="00EB7699" w:rsidP="00EB7699">
      <w:pPr>
        <w:spacing w:after="0" w:line="240" w:lineRule="auto"/>
        <w:rPr>
          <w:rFonts w:ascii="Times New Roman" w:hAnsi="Times New Roman"/>
        </w:rPr>
      </w:pPr>
    </w:p>
    <w:p w14:paraId="3140C69F" w14:textId="77777777" w:rsidR="00EB7699" w:rsidRPr="004C6E5C" w:rsidRDefault="00EB7699" w:rsidP="00EB7699">
      <w:pPr>
        <w:spacing w:after="0" w:line="220" w:lineRule="exact"/>
        <w:rPr>
          <w:rFonts w:ascii="Times New Roman" w:hAnsi="Times New Roman"/>
          <w:b/>
        </w:rPr>
      </w:pPr>
      <w:r w:rsidRPr="004C6E5C">
        <w:rPr>
          <w:rFonts w:ascii="Times New Roman" w:hAnsi="Times New Roman"/>
          <w:b/>
        </w:rPr>
        <w:t>Provapirin sudėtis</w:t>
      </w:r>
    </w:p>
    <w:p w14:paraId="1D107CA8" w14:textId="77777777" w:rsidR="00EB7699" w:rsidRPr="004C6E5C" w:rsidRDefault="00EB7699" w:rsidP="00EB7699">
      <w:pPr>
        <w:tabs>
          <w:tab w:val="num" w:pos="360"/>
        </w:tabs>
        <w:spacing w:after="0" w:line="240" w:lineRule="auto"/>
        <w:rPr>
          <w:rFonts w:ascii="Times New Roman" w:hAnsi="Times New Roman"/>
        </w:rPr>
      </w:pPr>
    </w:p>
    <w:p w14:paraId="1C8B0A08" w14:textId="77777777" w:rsidR="00EB7699" w:rsidRPr="004C6E5C" w:rsidRDefault="00EB7699" w:rsidP="00EB7699">
      <w:pPr>
        <w:tabs>
          <w:tab w:val="num" w:pos="360"/>
        </w:tabs>
        <w:spacing w:after="0" w:line="240" w:lineRule="auto"/>
        <w:rPr>
          <w:rFonts w:ascii="Times New Roman" w:hAnsi="Times New Roman"/>
        </w:rPr>
      </w:pPr>
      <w:r w:rsidRPr="004C6E5C">
        <w:rPr>
          <w:rFonts w:ascii="Times New Roman" w:hAnsi="Times New Roman"/>
        </w:rPr>
        <w:t xml:space="preserve">Veiklioji medžiaga yra acetilsalicilo rūgštis. </w:t>
      </w:r>
    </w:p>
    <w:p w14:paraId="1D0C95F2" w14:textId="77777777" w:rsidR="00EB7699" w:rsidRPr="004C6E5C" w:rsidRDefault="00EB7699" w:rsidP="00EB7699">
      <w:pPr>
        <w:tabs>
          <w:tab w:val="num" w:pos="360"/>
        </w:tabs>
        <w:spacing w:after="0" w:line="240" w:lineRule="auto"/>
        <w:rPr>
          <w:rFonts w:ascii="Times New Roman" w:hAnsi="Times New Roman"/>
        </w:rPr>
      </w:pPr>
      <w:r w:rsidRPr="004C6E5C">
        <w:rPr>
          <w:rFonts w:ascii="Times New Roman" w:hAnsi="Times New Roman"/>
        </w:rPr>
        <w:t>Kiekvienoje skrandyje neirioje tabletėje yra 100 mg acetilsalicilo rūgšties.</w:t>
      </w:r>
    </w:p>
    <w:p w14:paraId="06E131DF" w14:textId="77777777" w:rsidR="00EB7699" w:rsidRPr="004C6E5C" w:rsidRDefault="00EB7699" w:rsidP="00EB7699">
      <w:pPr>
        <w:tabs>
          <w:tab w:val="num" w:pos="360"/>
        </w:tabs>
        <w:spacing w:after="0" w:line="240" w:lineRule="auto"/>
        <w:rPr>
          <w:rFonts w:ascii="Times New Roman" w:hAnsi="Times New Roman"/>
        </w:rPr>
      </w:pPr>
    </w:p>
    <w:p w14:paraId="0842DA08" w14:textId="77777777" w:rsidR="00EB7699" w:rsidRPr="004C6E5C" w:rsidRDefault="00EB7699" w:rsidP="00EB7699">
      <w:pPr>
        <w:tabs>
          <w:tab w:val="num" w:pos="360"/>
        </w:tabs>
        <w:spacing w:after="0" w:line="240" w:lineRule="auto"/>
        <w:rPr>
          <w:rFonts w:ascii="Times New Roman" w:hAnsi="Times New Roman"/>
        </w:rPr>
      </w:pPr>
      <w:r w:rsidRPr="004C6E5C">
        <w:rPr>
          <w:rFonts w:ascii="Times New Roman" w:hAnsi="Times New Roman"/>
        </w:rPr>
        <w:t xml:space="preserve">Pagalbinės </w:t>
      </w:r>
      <w:r w:rsidRPr="004C6E5C">
        <w:rPr>
          <w:rFonts w:ascii="Times New Roman" w:hAnsi="Times New Roman"/>
          <w:i/>
        </w:rPr>
        <w:t>tabletės branduolio</w:t>
      </w:r>
      <w:r w:rsidRPr="004C6E5C">
        <w:rPr>
          <w:rFonts w:ascii="Times New Roman" w:hAnsi="Times New Roman"/>
        </w:rPr>
        <w:t xml:space="preserve"> medžiagos yra mikrokristalinė celiuliozė, kukurūzų krakmolas, bevandenis koloidinis silicio dioksidas, stearino rūgštis, </w:t>
      </w:r>
      <w:r w:rsidRPr="004C6E5C">
        <w:rPr>
          <w:rFonts w:ascii="Times New Roman" w:hAnsi="Times New Roman"/>
          <w:i/>
        </w:rPr>
        <w:t>plėvelės</w:t>
      </w:r>
      <w:r w:rsidRPr="004C6E5C">
        <w:rPr>
          <w:rFonts w:ascii="Times New Roman" w:hAnsi="Times New Roman"/>
        </w:rPr>
        <w:t xml:space="preserve"> - metakrilo rūgšties ir etilakrilato 1:1 kopolimero 30 % dispersija, polisorbatas 80, natrio laurilsulfatas, trietilo citratas ir talkas.</w:t>
      </w:r>
    </w:p>
    <w:p w14:paraId="07B32A38" w14:textId="77777777" w:rsidR="00EB7699" w:rsidRPr="004C6E5C" w:rsidRDefault="00EB7699" w:rsidP="00EB7699">
      <w:pPr>
        <w:tabs>
          <w:tab w:val="left" w:pos="567"/>
        </w:tabs>
        <w:spacing w:after="0" w:line="240" w:lineRule="auto"/>
        <w:rPr>
          <w:rFonts w:ascii="Times New Roman" w:hAnsi="Times New Roman"/>
        </w:rPr>
      </w:pPr>
    </w:p>
    <w:p w14:paraId="7F675A7E" w14:textId="77777777" w:rsidR="00EB7699" w:rsidRPr="004C6E5C" w:rsidRDefault="00EB7699" w:rsidP="00EB7699">
      <w:pPr>
        <w:tabs>
          <w:tab w:val="left" w:pos="567"/>
        </w:tabs>
        <w:spacing w:after="0" w:line="240" w:lineRule="auto"/>
        <w:rPr>
          <w:rFonts w:ascii="Times New Roman" w:hAnsi="Times New Roman"/>
          <w:b/>
        </w:rPr>
      </w:pPr>
      <w:r w:rsidRPr="004C6E5C">
        <w:rPr>
          <w:rFonts w:ascii="Times New Roman" w:hAnsi="Times New Roman"/>
          <w:b/>
        </w:rPr>
        <w:t>Provapirin išvaizda ir kiekis pakuotėje</w:t>
      </w:r>
    </w:p>
    <w:p w14:paraId="3B077DCC"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Provapirin 100 mg skrandyje neirios tabletės yra baltos, apvalios, abipus išgaubtos, 7,2 mm skersmens.</w:t>
      </w:r>
    </w:p>
    <w:p w14:paraId="2971D5D9" w14:textId="77777777" w:rsidR="00EB7699" w:rsidRPr="004C6E5C" w:rsidRDefault="00EB7699" w:rsidP="00EB7699">
      <w:pPr>
        <w:spacing w:after="0" w:line="240" w:lineRule="auto"/>
        <w:rPr>
          <w:rFonts w:ascii="Times New Roman" w:hAnsi="Times New Roman"/>
        </w:rPr>
      </w:pPr>
    </w:p>
    <w:p w14:paraId="0F25BE67" w14:textId="77777777" w:rsidR="00EB7699" w:rsidRPr="004C6E5C" w:rsidRDefault="00EB7699" w:rsidP="00EB7699">
      <w:pPr>
        <w:spacing w:after="0" w:line="240" w:lineRule="auto"/>
        <w:rPr>
          <w:rFonts w:ascii="Times New Roman" w:hAnsi="Times New Roman"/>
          <w:i/>
        </w:rPr>
      </w:pPr>
      <w:r w:rsidRPr="004C6E5C">
        <w:rPr>
          <w:rFonts w:ascii="Times New Roman" w:hAnsi="Times New Roman"/>
          <w:i/>
        </w:rPr>
        <w:t>Pakuotės dydis</w:t>
      </w:r>
    </w:p>
    <w:p w14:paraId="36061D5B" w14:textId="77777777" w:rsidR="00EB7699" w:rsidRPr="004C6E5C" w:rsidRDefault="00EB7699" w:rsidP="00EB7699">
      <w:pPr>
        <w:spacing w:after="0" w:line="240" w:lineRule="auto"/>
        <w:rPr>
          <w:rFonts w:ascii="Times New Roman" w:hAnsi="Times New Roman"/>
        </w:rPr>
      </w:pPr>
    </w:p>
    <w:p w14:paraId="23A0FEC8" w14:textId="1444B601" w:rsidR="00EB7699" w:rsidRPr="004C6E5C" w:rsidRDefault="00EB7699" w:rsidP="00EB7699">
      <w:pPr>
        <w:spacing w:after="0" w:line="240" w:lineRule="auto"/>
        <w:rPr>
          <w:rFonts w:ascii="Times New Roman" w:hAnsi="Times New Roman"/>
        </w:rPr>
      </w:pPr>
      <w:r w:rsidRPr="004C6E5C">
        <w:rPr>
          <w:rFonts w:ascii="Times New Roman" w:hAnsi="Times New Roman"/>
        </w:rPr>
        <w:t>10, 20, 28, 30, 50, 56, 60, 90, 100 skrandyje neirių tablečių.</w:t>
      </w:r>
    </w:p>
    <w:p w14:paraId="2915B0D9" w14:textId="77777777" w:rsidR="00EB7699" w:rsidRPr="004C6E5C" w:rsidRDefault="00EB7699" w:rsidP="00EB7699">
      <w:pPr>
        <w:spacing w:after="0" w:line="240" w:lineRule="auto"/>
        <w:rPr>
          <w:rFonts w:ascii="Times New Roman" w:hAnsi="Times New Roman"/>
        </w:rPr>
      </w:pPr>
    </w:p>
    <w:p w14:paraId="402E45FB"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Gali būti tiekiamos ne visų dydžių pakuotės.</w:t>
      </w:r>
    </w:p>
    <w:p w14:paraId="4A3F7D28" w14:textId="77777777" w:rsidR="00EB7699" w:rsidRPr="004C6E5C" w:rsidRDefault="00EB7699" w:rsidP="00EB7699">
      <w:pPr>
        <w:spacing w:after="0" w:line="240" w:lineRule="auto"/>
        <w:rPr>
          <w:rFonts w:ascii="Times New Roman" w:hAnsi="Times New Roman"/>
        </w:rPr>
      </w:pPr>
    </w:p>
    <w:p w14:paraId="00B1529C" w14:textId="77777777" w:rsidR="00EB7699" w:rsidRPr="004C6E5C" w:rsidRDefault="00EB7699" w:rsidP="00EB7699">
      <w:pPr>
        <w:spacing w:after="0" w:line="220" w:lineRule="exact"/>
        <w:rPr>
          <w:rFonts w:ascii="Times New Roman" w:hAnsi="Times New Roman"/>
          <w:b/>
        </w:rPr>
      </w:pPr>
      <w:r w:rsidRPr="004C6E5C">
        <w:rPr>
          <w:rFonts w:ascii="Times New Roman" w:hAnsi="Times New Roman"/>
          <w:b/>
        </w:rPr>
        <w:t>Registruotojas ir gamintojas</w:t>
      </w:r>
    </w:p>
    <w:p w14:paraId="2DBACD71" w14:textId="77777777" w:rsidR="00EB7699" w:rsidRPr="004C6E5C" w:rsidRDefault="00EB7699" w:rsidP="00EB7699">
      <w:pPr>
        <w:spacing w:after="0" w:line="240" w:lineRule="auto"/>
        <w:rPr>
          <w:rFonts w:ascii="Times New Roman" w:hAnsi="Times New Roman"/>
        </w:rPr>
      </w:pPr>
    </w:p>
    <w:p w14:paraId="72682651" w14:textId="77777777" w:rsidR="00EB7699" w:rsidRPr="004C6E5C" w:rsidRDefault="00EB7699" w:rsidP="00EB7699">
      <w:pPr>
        <w:spacing w:after="0" w:line="240" w:lineRule="auto"/>
        <w:rPr>
          <w:rFonts w:ascii="Times New Roman" w:hAnsi="Times New Roman"/>
          <w:i/>
        </w:rPr>
      </w:pPr>
      <w:r w:rsidRPr="004C6E5C">
        <w:rPr>
          <w:rFonts w:ascii="Times New Roman" w:hAnsi="Times New Roman"/>
          <w:i/>
        </w:rPr>
        <w:t>Registruotojas</w:t>
      </w:r>
    </w:p>
    <w:p w14:paraId="2092D498"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PharmaSwiss Česká republika s.r.o.</w:t>
      </w:r>
    </w:p>
    <w:p w14:paraId="3BF2A150"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lastRenderedPageBreak/>
        <w:t>Jankovcova 1569/2c</w:t>
      </w:r>
    </w:p>
    <w:p w14:paraId="66234896"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170 00 Praha 7</w:t>
      </w:r>
    </w:p>
    <w:p w14:paraId="72A48A1E" w14:textId="77777777" w:rsidR="00EB7699" w:rsidRPr="00EB7699" w:rsidRDefault="00EB7699" w:rsidP="00EB7699">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Čekija</w:t>
      </w:r>
    </w:p>
    <w:p w14:paraId="2D5382C2" w14:textId="77777777" w:rsidR="00EB7699" w:rsidRPr="004C6E5C" w:rsidRDefault="00EB7699" w:rsidP="00EB7699">
      <w:pPr>
        <w:spacing w:after="0" w:line="240" w:lineRule="auto"/>
        <w:rPr>
          <w:rFonts w:ascii="Times New Roman" w:hAnsi="Times New Roman"/>
        </w:rPr>
      </w:pPr>
    </w:p>
    <w:p w14:paraId="77CC08A4" w14:textId="77777777" w:rsidR="00EB7699" w:rsidRPr="004C6E5C" w:rsidRDefault="00EB7699" w:rsidP="00EB7699">
      <w:pPr>
        <w:spacing w:after="0" w:line="240" w:lineRule="auto"/>
        <w:rPr>
          <w:rFonts w:ascii="Times New Roman" w:hAnsi="Times New Roman"/>
          <w:i/>
        </w:rPr>
      </w:pPr>
      <w:r w:rsidRPr="004C6E5C">
        <w:rPr>
          <w:rFonts w:ascii="Times New Roman" w:hAnsi="Times New Roman"/>
          <w:i/>
        </w:rPr>
        <w:t>Gamintojas</w:t>
      </w:r>
    </w:p>
    <w:p w14:paraId="4FD7475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ICN Polfa Rzeszów S.A.</w:t>
      </w:r>
    </w:p>
    <w:p w14:paraId="10D880F7"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ul. Przemysłowa 2 </w:t>
      </w:r>
    </w:p>
    <w:p w14:paraId="5CD84B96"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 xml:space="preserve">35-959 Rzeszów  </w:t>
      </w:r>
    </w:p>
    <w:p w14:paraId="70D89ABF" w14:textId="77777777" w:rsidR="00EB7699" w:rsidRPr="004C6E5C" w:rsidRDefault="00EB7699" w:rsidP="00EB7699">
      <w:pPr>
        <w:spacing w:after="0" w:line="240" w:lineRule="auto"/>
        <w:rPr>
          <w:rFonts w:ascii="Times New Roman" w:hAnsi="Times New Roman"/>
        </w:rPr>
      </w:pPr>
      <w:r w:rsidRPr="004C6E5C">
        <w:rPr>
          <w:rFonts w:ascii="Times New Roman" w:hAnsi="Times New Roman"/>
        </w:rPr>
        <w:t>Lenkija</w:t>
      </w:r>
    </w:p>
    <w:p w14:paraId="40B588BF" w14:textId="77777777" w:rsidR="00EB7699" w:rsidRPr="004C6E5C" w:rsidRDefault="00EB7699" w:rsidP="00EB7699">
      <w:pPr>
        <w:numPr>
          <w:ilvl w:val="12"/>
          <w:numId w:val="0"/>
        </w:numPr>
        <w:spacing w:after="0" w:line="240" w:lineRule="auto"/>
        <w:ind w:right="-2"/>
        <w:rPr>
          <w:rFonts w:ascii="Times New Roman" w:hAnsi="Times New Roman"/>
        </w:rPr>
      </w:pPr>
    </w:p>
    <w:p w14:paraId="0F4BEEDE"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Jeigu apie šį vaistą norite sužinoti daugiau, kreipkitės į vietinį registruotojo atstovą.</w:t>
      </w:r>
    </w:p>
    <w:p w14:paraId="6F176834" w14:textId="77777777" w:rsidR="00EB7699" w:rsidRPr="004C6E5C" w:rsidRDefault="00EB7699" w:rsidP="00EB7699">
      <w:pPr>
        <w:numPr>
          <w:ilvl w:val="12"/>
          <w:numId w:val="0"/>
        </w:numPr>
        <w:spacing w:after="0" w:line="240" w:lineRule="auto"/>
        <w:ind w:right="-2"/>
        <w:rPr>
          <w:rFonts w:ascii="Times New Roman" w:hAnsi="Times New Roman"/>
        </w:rPr>
      </w:pPr>
    </w:p>
    <w:tbl>
      <w:tblPr>
        <w:tblW w:w="4680" w:type="dxa"/>
        <w:tblInd w:w="-34" w:type="dxa"/>
        <w:tblLayout w:type="fixed"/>
        <w:tblLook w:val="00A0" w:firstRow="1" w:lastRow="0" w:firstColumn="1" w:lastColumn="0" w:noHBand="0" w:noVBand="0"/>
      </w:tblPr>
      <w:tblGrid>
        <w:gridCol w:w="4680"/>
      </w:tblGrid>
      <w:tr w:rsidR="00EB7699" w:rsidRPr="00EB7699" w14:paraId="0F818228" w14:textId="77777777" w:rsidTr="00EB7699">
        <w:tc>
          <w:tcPr>
            <w:tcW w:w="4678" w:type="dxa"/>
            <w:hideMark/>
          </w:tcPr>
          <w:p w14:paraId="70057D83"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UAB „PharmaSwiss“</w:t>
            </w:r>
          </w:p>
          <w:p w14:paraId="1DACF6B7"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Tel. +370 (5)279 07 62</w:t>
            </w:r>
          </w:p>
        </w:tc>
      </w:tr>
    </w:tbl>
    <w:p w14:paraId="766AEA6E" w14:textId="77777777" w:rsidR="00EB7699" w:rsidRPr="004C6E5C" w:rsidRDefault="00EB7699" w:rsidP="00EB7699">
      <w:pPr>
        <w:tabs>
          <w:tab w:val="left" w:pos="567"/>
        </w:tabs>
        <w:spacing w:after="0" w:line="240" w:lineRule="auto"/>
        <w:rPr>
          <w:rFonts w:ascii="Times New Roman" w:hAnsi="Times New Roman"/>
        </w:rPr>
      </w:pPr>
    </w:p>
    <w:p w14:paraId="7EB07D1C" w14:textId="77777777" w:rsidR="00EB7699" w:rsidRPr="004C6E5C" w:rsidRDefault="00EB7699" w:rsidP="00EB7699">
      <w:pPr>
        <w:numPr>
          <w:ilvl w:val="12"/>
          <w:numId w:val="0"/>
        </w:numPr>
        <w:spacing w:after="0" w:line="240" w:lineRule="auto"/>
        <w:ind w:right="-2"/>
        <w:rPr>
          <w:rFonts w:ascii="Times New Roman" w:hAnsi="Times New Roman"/>
          <w:b/>
        </w:rPr>
      </w:pPr>
      <w:r w:rsidRPr="004C6E5C">
        <w:rPr>
          <w:rFonts w:ascii="Times New Roman" w:hAnsi="Times New Roman"/>
          <w:b/>
        </w:rPr>
        <w:t>Šis vaistas EEE valstybėse narėse registruotas tokiais pavadinimais:</w:t>
      </w:r>
    </w:p>
    <w:tbl>
      <w:tblPr>
        <w:tblW w:w="0" w:type="auto"/>
        <w:tblLook w:val="00A0" w:firstRow="1" w:lastRow="0" w:firstColumn="1" w:lastColumn="0" w:noHBand="0" w:noVBand="0"/>
      </w:tblPr>
      <w:tblGrid>
        <w:gridCol w:w="2694"/>
        <w:gridCol w:w="5759"/>
      </w:tblGrid>
      <w:tr w:rsidR="00EB7699" w:rsidRPr="00EB7699" w14:paraId="66EB6957" w14:textId="77777777" w:rsidTr="00EB7699">
        <w:tc>
          <w:tcPr>
            <w:tcW w:w="2694" w:type="dxa"/>
          </w:tcPr>
          <w:p w14:paraId="53BCA4D0" w14:textId="77777777" w:rsidR="00EB7699" w:rsidRPr="004C6E5C" w:rsidRDefault="00EB7699" w:rsidP="00EB7699">
            <w:pPr>
              <w:numPr>
                <w:ilvl w:val="12"/>
                <w:numId w:val="0"/>
              </w:numPr>
              <w:spacing w:after="0" w:line="240" w:lineRule="auto"/>
              <w:ind w:right="-2"/>
              <w:rPr>
                <w:rFonts w:ascii="Times New Roman" w:hAnsi="Times New Roman"/>
              </w:rPr>
            </w:pPr>
          </w:p>
        </w:tc>
        <w:tc>
          <w:tcPr>
            <w:tcW w:w="5759" w:type="dxa"/>
          </w:tcPr>
          <w:p w14:paraId="070BB355" w14:textId="77777777" w:rsidR="00EB7699" w:rsidRPr="004C6E5C" w:rsidRDefault="00EB7699" w:rsidP="00EB7699">
            <w:pPr>
              <w:numPr>
                <w:ilvl w:val="12"/>
                <w:numId w:val="0"/>
              </w:numPr>
              <w:spacing w:after="0" w:line="240" w:lineRule="auto"/>
              <w:ind w:right="-2"/>
              <w:rPr>
                <w:rFonts w:ascii="Times New Roman" w:hAnsi="Times New Roman"/>
              </w:rPr>
            </w:pPr>
          </w:p>
        </w:tc>
      </w:tr>
      <w:tr w:rsidR="00EB7699" w:rsidRPr="00EB7699" w14:paraId="0948129D" w14:textId="77777777" w:rsidTr="00EB7699">
        <w:tc>
          <w:tcPr>
            <w:tcW w:w="2694" w:type="dxa"/>
            <w:hideMark/>
          </w:tcPr>
          <w:p w14:paraId="703527E9"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Švedija</w:t>
            </w:r>
          </w:p>
        </w:tc>
        <w:tc>
          <w:tcPr>
            <w:tcW w:w="5759" w:type="dxa"/>
            <w:hideMark/>
          </w:tcPr>
          <w:p w14:paraId="424918C5"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Esteprin</w:t>
            </w:r>
          </w:p>
        </w:tc>
      </w:tr>
      <w:tr w:rsidR="00EB7699" w:rsidRPr="00EB7699" w14:paraId="2E82E3A8" w14:textId="77777777" w:rsidTr="00EB7699">
        <w:tc>
          <w:tcPr>
            <w:tcW w:w="2694" w:type="dxa"/>
            <w:hideMark/>
          </w:tcPr>
          <w:p w14:paraId="2CFECABB"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Bulgarija</w:t>
            </w:r>
          </w:p>
        </w:tc>
        <w:tc>
          <w:tcPr>
            <w:tcW w:w="5759" w:type="dxa"/>
            <w:hideMark/>
          </w:tcPr>
          <w:p w14:paraId="45B43C87"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Cardiopirin 100 mg cтoмaшнo-ycтoйчива тaблетĸа</w:t>
            </w:r>
          </w:p>
        </w:tc>
      </w:tr>
      <w:tr w:rsidR="00EB7699" w:rsidRPr="00EB7699" w14:paraId="6AB9C7AA" w14:textId="77777777" w:rsidTr="00EB7699">
        <w:tc>
          <w:tcPr>
            <w:tcW w:w="2694" w:type="dxa"/>
            <w:hideMark/>
          </w:tcPr>
          <w:p w14:paraId="6E646AFC"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Čekija</w:t>
            </w:r>
          </w:p>
        </w:tc>
        <w:tc>
          <w:tcPr>
            <w:tcW w:w="5759" w:type="dxa"/>
            <w:hideMark/>
          </w:tcPr>
          <w:p w14:paraId="1D694647"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Vasopirin 75 mg, 100 mg</w:t>
            </w:r>
          </w:p>
        </w:tc>
      </w:tr>
      <w:tr w:rsidR="00EB7699" w:rsidRPr="00EB7699" w14:paraId="4B550483" w14:textId="77777777" w:rsidTr="00EB7699">
        <w:tc>
          <w:tcPr>
            <w:tcW w:w="2694" w:type="dxa"/>
            <w:hideMark/>
          </w:tcPr>
          <w:p w14:paraId="742DB599"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Lietuva</w:t>
            </w:r>
          </w:p>
        </w:tc>
        <w:tc>
          <w:tcPr>
            <w:tcW w:w="5759" w:type="dxa"/>
            <w:hideMark/>
          </w:tcPr>
          <w:p w14:paraId="189C9D8E"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Provapirin 100 mg skrandyje neirios tabletės</w:t>
            </w:r>
          </w:p>
        </w:tc>
      </w:tr>
      <w:tr w:rsidR="00EB7699" w:rsidRPr="00EB7699" w14:paraId="66FCB121" w14:textId="77777777" w:rsidTr="00EB7699">
        <w:tc>
          <w:tcPr>
            <w:tcW w:w="2694" w:type="dxa"/>
            <w:hideMark/>
          </w:tcPr>
          <w:p w14:paraId="179AEAB6"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Latvija</w:t>
            </w:r>
          </w:p>
        </w:tc>
        <w:tc>
          <w:tcPr>
            <w:tcW w:w="5759" w:type="dxa"/>
            <w:hideMark/>
          </w:tcPr>
          <w:p w14:paraId="2D2B08C8"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Vasopirin 100 mg zarnās škīstošās tabletes</w:t>
            </w:r>
          </w:p>
        </w:tc>
      </w:tr>
      <w:tr w:rsidR="00EB7699" w:rsidRPr="00EB7699" w14:paraId="5939EEBC" w14:textId="77777777" w:rsidTr="00EB7699">
        <w:tc>
          <w:tcPr>
            <w:tcW w:w="2694" w:type="dxa"/>
            <w:hideMark/>
          </w:tcPr>
          <w:p w14:paraId="07241BFA"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Lenkija</w:t>
            </w:r>
          </w:p>
        </w:tc>
        <w:tc>
          <w:tcPr>
            <w:tcW w:w="5759" w:type="dxa"/>
            <w:hideMark/>
          </w:tcPr>
          <w:p w14:paraId="0F520942"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Cardiopirin</w:t>
            </w:r>
          </w:p>
        </w:tc>
      </w:tr>
      <w:tr w:rsidR="00EB7699" w:rsidRPr="00EB7699" w14:paraId="10E19B58" w14:textId="77777777" w:rsidTr="00EB7699">
        <w:tc>
          <w:tcPr>
            <w:tcW w:w="2694" w:type="dxa"/>
            <w:hideMark/>
          </w:tcPr>
          <w:p w14:paraId="1E888042"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Rumunija</w:t>
            </w:r>
          </w:p>
        </w:tc>
        <w:tc>
          <w:tcPr>
            <w:tcW w:w="5759" w:type="dxa"/>
            <w:hideMark/>
          </w:tcPr>
          <w:p w14:paraId="75AD3545"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Vasopirin 75 mg, 100 mg comprimate gastrorezistente</w:t>
            </w:r>
          </w:p>
        </w:tc>
      </w:tr>
      <w:tr w:rsidR="00EB7699" w:rsidRPr="00EB7699" w14:paraId="2DA2F543" w14:textId="77777777" w:rsidTr="00EB7699">
        <w:tc>
          <w:tcPr>
            <w:tcW w:w="2694" w:type="dxa"/>
            <w:hideMark/>
          </w:tcPr>
          <w:p w14:paraId="3A113B70"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Slovakija</w:t>
            </w:r>
          </w:p>
        </w:tc>
        <w:tc>
          <w:tcPr>
            <w:tcW w:w="5759" w:type="dxa"/>
            <w:hideMark/>
          </w:tcPr>
          <w:p w14:paraId="42220191" w14:textId="77777777" w:rsidR="00EB7699" w:rsidRPr="004C6E5C" w:rsidRDefault="00EB7699" w:rsidP="00EB7699">
            <w:pPr>
              <w:numPr>
                <w:ilvl w:val="12"/>
                <w:numId w:val="0"/>
              </w:numPr>
              <w:spacing w:after="0" w:line="240" w:lineRule="auto"/>
              <w:ind w:right="-2"/>
              <w:rPr>
                <w:rFonts w:ascii="Times New Roman" w:hAnsi="Times New Roman"/>
              </w:rPr>
            </w:pPr>
            <w:r w:rsidRPr="004C6E5C">
              <w:rPr>
                <w:rFonts w:ascii="Times New Roman" w:hAnsi="Times New Roman"/>
              </w:rPr>
              <w:t>Vasopirin 100 mg</w:t>
            </w:r>
          </w:p>
        </w:tc>
      </w:tr>
      <w:tr w:rsidR="006B5AE3" w14:paraId="78074445" w14:textId="77777777" w:rsidTr="006B5AE3">
        <w:tc>
          <w:tcPr>
            <w:tcW w:w="2694" w:type="dxa"/>
            <w:hideMark/>
          </w:tcPr>
          <w:p w14:paraId="2CD7B411" w14:textId="77777777" w:rsidR="006B5AE3" w:rsidRPr="006B5AE3" w:rsidRDefault="006B5AE3">
            <w:pPr>
              <w:numPr>
                <w:ilvl w:val="12"/>
                <w:numId w:val="0"/>
              </w:numPr>
              <w:spacing w:after="0" w:line="240" w:lineRule="auto"/>
              <w:ind w:right="-2"/>
              <w:rPr>
                <w:rFonts w:ascii="Times New Roman" w:eastAsia="Calibri" w:hAnsi="Times New Roman" w:cs="Times New Roman"/>
                <w:noProof w:val="0"/>
              </w:rPr>
            </w:pPr>
            <w:r w:rsidRPr="006B5AE3">
              <w:rPr>
                <w:rFonts w:ascii="Times New Roman" w:eastAsia="Calibri" w:hAnsi="Times New Roman" w:cs="Times New Roman"/>
                <w:noProof w:val="0"/>
              </w:rPr>
              <w:t>Slovėnija</w:t>
            </w:r>
          </w:p>
        </w:tc>
        <w:tc>
          <w:tcPr>
            <w:tcW w:w="5759" w:type="dxa"/>
            <w:hideMark/>
          </w:tcPr>
          <w:p w14:paraId="6A23BC9A" w14:textId="77777777" w:rsidR="006B5AE3" w:rsidRPr="006B5AE3" w:rsidRDefault="006B5AE3">
            <w:pPr>
              <w:numPr>
                <w:ilvl w:val="12"/>
                <w:numId w:val="0"/>
              </w:numPr>
              <w:spacing w:after="0" w:line="240" w:lineRule="auto"/>
              <w:ind w:right="-2"/>
              <w:rPr>
                <w:rFonts w:ascii="Times New Roman" w:eastAsia="Calibri" w:hAnsi="Times New Roman" w:cs="Times New Roman"/>
                <w:noProof w:val="0"/>
              </w:rPr>
            </w:pPr>
            <w:proofErr w:type="spellStart"/>
            <w:r w:rsidRPr="006B5AE3">
              <w:rPr>
                <w:rFonts w:ascii="Times New Roman" w:eastAsia="Calibri" w:hAnsi="Times New Roman" w:cs="Times New Roman"/>
                <w:noProof w:val="0"/>
              </w:rPr>
              <w:t>Provapirin</w:t>
            </w:r>
            <w:proofErr w:type="spellEnd"/>
            <w:r w:rsidRPr="006B5AE3">
              <w:rPr>
                <w:rFonts w:ascii="Times New Roman" w:eastAsia="Calibri" w:hAnsi="Times New Roman" w:cs="Times New Roman"/>
                <w:noProof w:val="0"/>
              </w:rPr>
              <w:t xml:space="preserve"> 100 mg </w:t>
            </w:r>
            <w:proofErr w:type="spellStart"/>
            <w:r w:rsidRPr="006B5AE3">
              <w:rPr>
                <w:rFonts w:ascii="Times New Roman" w:eastAsia="Calibri" w:hAnsi="Times New Roman" w:cs="Times New Roman"/>
                <w:noProof w:val="0"/>
              </w:rPr>
              <w:t>gastrorezistentne</w:t>
            </w:r>
            <w:proofErr w:type="spellEnd"/>
            <w:r w:rsidRPr="006B5AE3">
              <w:rPr>
                <w:rFonts w:ascii="Times New Roman" w:eastAsia="Calibri" w:hAnsi="Times New Roman" w:cs="Times New Roman"/>
                <w:noProof w:val="0"/>
              </w:rPr>
              <w:t xml:space="preserve"> tablete</w:t>
            </w:r>
          </w:p>
        </w:tc>
      </w:tr>
    </w:tbl>
    <w:p w14:paraId="5FA7E028" w14:textId="77777777" w:rsidR="00EB7699" w:rsidRPr="004C6E5C" w:rsidRDefault="00EB7699" w:rsidP="00EB7699">
      <w:pPr>
        <w:numPr>
          <w:ilvl w:val="12"/>
          <w:numId w:val="0"/>
        </w:numPr>
        <w:spacing w:after="0" w:line="240" w:lineRule="auto"/>
        <w:ind w:right="-2"/>
        <w:rPr>
          <w:rFonts w:ascii="Times New Roman" w:hAnsi="Times New Roman"/>
        </w:rPr>
      </w:pPr>
    </w:p>
    <w:p w14:paraId="464F500C" w14:textId="70A31F62" w:rsidR="00EB7699" w:rsidRPr="004C6E5C" w:rsidRDefault="00EB7699" w:rsidP="00EB7699">
      <w:pPr>
        <w:tabs>
          <w:tab w:val="left" w:pos="567"/>
        </w:tabs>
        <w:spacing w:after="0" w:line="240" w:lineRule="auto"/>
        <w:rPr>
          <w:rFonts w:ascii="Times New Roman" w:hAnsi="Times New Roman"/>
          <w:b/>
        </w:rPr>
      </w:pPr>
      <w:r w:rsidRPr="004C6E5C">
        <w:rPr>
          <w:rFonts w:ascii="Times New Roman" w:hAnsi="Times New Roman"/>
          <w:b/>
        </w:rPr>
        <w:t xml:space="preserve">Šis pakuotės lapelis paskutinį kartą peržiūrėtas </w:t>
      </w:r>
      <w:r w:rsidR="00CF10CF">
        <w:rPr>
          <w:rFonts w:ascii="Times New Roman" w:hAnsi="Times New Roman"/>
          <w:b/>
        </w:rPr>
        <w:t>2020-01-07.</w:t>
      </w:r>
    </w:p>
    <w:p w14:paraId="6BBEBD50" w14:textId="77777777" w:rsidR="00EB7699" w:rsidRPr="004C6E5C" w:rsidRDefault="00EB7699" w:rsidP="00EB7699">
      <w:pPr>
        <w:numPr>
          <w:ilvl w:val="12"/>
          <w:numId w:val="0"/>
        </w:numPr>
        <w:spacing w:after="0" w:line="240" w:lineRule="auto"/>
        <w:ind w:right="-2"/>
        <w:rPr>
          <w:rFonts w:ascii="Times New Roman" w:hAnsi="Times New Roman"/>
        </w:rPr>
      </w:pPr>
    </w:p>
    <w:p w14:paraId="0F71A7EB" w14:textId="77777777" w:rsidR="00EB7699" w:rsidRPr="00CF10CF" w:rsidRDefault="00EB7699" w:rsidP="00EB7699">
      <w:pPr>
        <w:spacing w:after="0" w:line="240" w:lineRule="auto"/>
        <w:rPr>
          <w:rFonts w:ascii="Calibri" w:hAnsi="Calibri"/>
        </w:rPr>
      </w:pPr>
      <w:r w:rsidRPr="004C6E5C">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CF10CF">
          <w:t>http://www.vvkt.lt/</w:t>
        </w:r>
      </w:hyperlink>
      <w:r w:rsidRPr="00CF10CF">
        <w:t xml:space="preserve">         </w:t>
      </w:r>
    </w:p>
    <w:p w14:paraId="16438D9C" w14:textId="77777777" w:rsidR="00EB7699" w:rsidRPr="00CF10CF" w:rsidRDefault="00EB7699" w:rsidP="00EB7699">
      <w:pPr>
        <w:rPr>
          <w:rFonts w:ascii="Calibri" w:hAnsi="Calibri"/>
        </w:rPr>
      </w:pPr>
    </w:p>
    <w:p w14:paraId="389C45BB" w14:textId="77777777" w:rsidR="00EB7699" w:rsidRPr="00CF10CF" w:rsidRDefault="00EB7699" w:rsidP="00EB7699">
      <w:pPr>
        <w:rPr>
          <w:rFonts w:ascii="Calibri" w:hAnsi="Calibri"/>
        </w:rPr>
      </w:pPr>
    </w:p>
    <w:p w14:paraId="40987477" w14:textId="77777777" w:rsidR="00B56DE1" w:rsidRDefault="00B56DE1"/>
    <w:sectPr w:rsidR="00B56DE1" w:rsidSect="000E714E">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97799" w14:textId="77777777" w:rsidR="00CD0380" w:rsidRDefault="00CD0380" w:rsidP="004C6E5C">
      <w:pPr>
        <w:spacing w:after="0" w:line="240" w:lineRule="auto"/>
      </w:pPr>
      <w:r>
        <w:separator/>
      </w:r>
    </w:p>
  </w:endnote>
  <w:endnote w:type="continuationSeparator" w:id="0">
    <w:p w14:paraId="5CCBC8FB" w14:textId="77777777" w:rsidR="00CD0380" w:rsidRDefault="00CD0380" w:rsidP="004C6E5C">
      <w:pPr>
        <w:spacing w:after="0" w:line="240" w:lineRule="auto"/>
      </w:pPr>
      <w:r>
        <w:continuationSeparator/>
      </w:r>
    </w:p>
  </w:endnote>
  <w:endnote w:type="continuationNotice" w:id="1">
    <w:p w14:paraId="6652058E" w14:textId="77777777" w:rsidR="00CD0380" w:rsidRDefault="00CD0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19A7" w14:textId="77777777" w:rsidR="00CD0380" w:rsidRDefault="00CD03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36F40" w14:textId="77777777" w:rsidR="00CD0380" w:rsidRDefault="00CD03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05687" w14:textId="77777777" w:rsidR="00CD0380" w:rsidRDefault="00CD0380" w:rsidP="004C6E5C">
      <w:pPr>
        <w:spacing w:after="0" w:line="240" w:lineRule="auto"/>
      </w:pPr>
      <w:r>
        <w:separator/>
      </w:r>
    </w:p>
  </w:footnote>
  <w:footnote w:type="continuationSeparator" w:id="0">
    <w:p w14:paraId="484A3F02" w14:textId="77777777" w:rsidR="00CD0380" w:rsidRDefault="00CD0380" w:rsidP="004C6E5C">
      <w:pPr>
        <w:spacing w:after="0" w:line="240" w:lineRule="auto"/>
      </w:pPr>
      <w:r>
        <w:continuationSeparator/>
      </w:r>
    </w:p>
  </w:footnote>
  <w:footnote w:type="continuationNotice" w:id="1">
    <w:p w14:paraId="44CEECBE" w14:textId="77777777" w:rsidR="00CD0380" w:rsidRDefault="00CD0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D5EF4" w14:textId="77777777" w:rsidR="00CD0380" w:rsidRDefault="00CD03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11290"/>
    <w:multiLevelType w:val="hybridMultilevel"/>
    <w:tmpl w:val="C7D6114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004A7A"/>
    <w:multiLevelType w:val="hybridMultilevel"/>
    <w:tmpl w:val="FDE612A0"/>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6A14EF3A">
      <w:start w:val="7"/>
      <w:numFmt w:val="bullet"/>
      <w:lvlText w:val="-"/>
      <w:lvlJc w:val="left"/>
      <w:pPr>
        <w:tabs>
          <w:tab w:val="num" w:pos="1290"/>
        </w:tabs>
        <w:ind w:left="1290" w:hanging="57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21139BA"/>
    <w:multiLevelType w:val="hybridMultilevel"/>
    <w:tmpl w:val="B5D07142"/>
    <w:lvl w:ilvl="0" w:tplc="97EA8F5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C7975"/>
    <w:multiLevelType w:val="hybridMultilevel"/>
    <w:tmpl w:val="BC12991C"/>
    <w:lvl w:ilvl="0" w:tplc="C100AFCE">
      <w:start w:val="1"/>
      <w:numFmt w:val="bullet"/>
      <w:lvlRestart w:val="0"/>
      <w:lvlText w:val="-"/>
      <w:lvlJc w:val="left"/>
      <w:pPr>
        <w:tabs>
          <w:tab w:val="num" w:pos="720"/>
        </w:tabs>
        <w:ind w:left="720" w:hanging="363"/>
      </w:pPr>
      <w:rPr>
        <w:rFonts w:ascii="Times New Roman" w:hAnsi="Times New Roman"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D3470"/>
    <w:multiLevelType w:val="hybridMultilevel"/>
    <w:tmpl w:val="E2E89570"/>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C85043"/>
    <w:multiLevelType w:val="hybridMultilevel"/>
    <w:tmpl w:val="B3566002"/>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C00466"/>
    <w:multiLevelType w:val="hybridMultilevel"/>
    <w:tmpl w:val="DC10ED54"/>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EE793E"/>
    <w:multiLevelType w:val="hybridMultilevel"/>
    <w:tmpl w:val="3AFC2550"/>
    <w:lvl w:ilvl="0" w:tplc="6966F62A">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F09DA"/>
    <w:multiLevelType w:val="hybridMultilevel"/>
    <w:tmpl w:val="1D0CDB30"/>
    <w:lvl w:ilvl="0" w:tplc="79761620">
      <w:start w:val="2"/>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6070A2"/>
    <w:multiLevelType w:val="hybridMultilevel"/>
    <w:tmpl w:val="9162D5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20644"/>
    <w:multiLevelType w:val="hybridMultilevel"/>
    <w:tmpl w:val="31B439A4"/>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E0FF0"/>
    <w:multiLevelType w:val="hybridMultilevel"/>
    <w:tmpl w:val="C09A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43504"/>
    <w:multiLevelType w:val="hybridMultilevel"/>
    <w:tmpl w:val="55A2A010"/>
    <w:lvl w:ilvl="0" w:tplc="5274A5A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6017F3"/>
    <w:multiLevelType w:val="multilevel"/>
    <w:tmpl w:val="F59CE31E"/>
    <w:lvl w:ilvl="0">
      <w:start w:val="4"/>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527B11A7"/>
    <w:multiLevelType w:val="hybridMultilevel"/>
    <w:tmpl w:val="EC32E098"/>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8B7FE7"/>
    <w:multiLevelType w:val="hybridMultilevel"/>
    <w:tmpl w:val="48D6C526"/>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48077A"/>
    <w:multiLevelType w:val="hybridMultilevel"/>
    <w:tmpl w:val="121C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6220E"/>
    <w:multiLevelType w:val="hybridMultilevel"/>
    <w:tmpl w:val="5040FC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36BD5"/>
    <w:multiLevelType w:val="hybridMultilevel"/>
    <w:tmpl w:val="3EAE2E5C"/>
    <w:lvl w:ilvl="0" w:tplc="6A14EF3A">
      <w:start w:val="7"/>
      <w:numFmt w:val="bullet"/>
      <w:lvlText w:val="-"/>
      <w:lvlJc w:val="left"/>
      <w:pPr>
        <w:tabs>
          <w:tab w:val="num" w:pos="570"/>
        </w:tabs>
        <w:ind w:left="570" w:hanging="57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122411"/>
    <w:multiLevelType w:val="hybridMultilevel"/>
    <w:tmpl w:val="BEE8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174B07"/>
    <w:multiLevelType w:val="multilevel"/>
    <w:tmpl w:val="3AFC2550"/>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num>
  <w:num w:numId="3">
    <w:abstractNumId w:val="23"/>
  </w:num>
  <w:num w:numId="4">
    <w:abstractNumId w:val="23"/>
  </w:num>
  <w:num w:numId="5">
    <w:abstractNumId w:val="17"/>
  </w:num>
  <w:num w:numId="6">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1"/>
  </w:num>
  <w:num w:numId="10">
    <w:abstractNumId w:val="11"/>
  </w:num>
  <w:num w:numId="11">
    <w:abstractNumId w:val="10"/>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4"/>
  </w:num>
  <w:num w:numId="16">
    <w:abstractNumId w:val="15"/>
  </w:num>
  <w:num w:numId="17">
    <w:abstractNumId w:val="21"/>
  </w:num>
  <w:num w:numId="18">
    <w:abstractNumId w:val="5"/>
  </w:num>
  <w:num w:numId="19">
    <w:abstractNumId w:val="8"/>
  </w:num>
  <w:num w:numId="20">
    <w:abstractNumId w:val="22"/>
  </w:num>
  <w:num w:numId="21">
    <w:abstractNumId w:val="6"/>
  </w:num>
  <w:num w:numId="22">
    <w:abstractNumId w:val="13"/>
  </w:num>
  <w:num w:numId="23">
    <w:abstractNumId w:val="2"/>
  </w:num>
  <w:num w:numId="24">
    <w:abstractNumId w:val="7"/>
  </w:num>
  <w:num w:numId="25">
    <w:abstractNumId w:val="18"/>
  </w:num>
  <w:num w:numId="26">
    <w:abstractNumId w:val="9"/>
  </w:num>
  <w:num w:numId="27">
    <w:abstractNumId w:val="24"/>
  </w:num>
  <w:num w:numId="28">
    <w:abstractNumId w:val="19"/>
  </w:num>
  <w:num w:numId="29">
    <w:abstractNumId w:val="3"/>
  </w:num>
  <w:num w:numId="30">
    <w:abstractNumId w:val="16"/>
  </w:num>
  <w:num w:numId="31">
    <w:abstractNumId w:val="20"/>
  </w:num>
  <w:num w:numId="3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43"/>
    <w:rsid w:val="000E714E"/>
    <w:rsid w:val="004C6E5C"/>
    <w:rsid w:val="006B5AE3"/>
    <w:rsid w:val="006D715B"/>
    <w:rsid w:val="0086359E"/>
    <w:rsid w:val="008B396D"/>
    <w:rsid w:val="009529F7"/>
    <w:rsid w:val="0096302A"/>
    <w:rsid w:val="00AA2949"/>
    <w:rsid w:val="00B56DE1"/>
    <w:rsid w:val="00B85243"/>
    <w:rsid w:val="00BF6954"/>
    <w:rsid w:val="00CD0380"/>
    <w:rsid w:val="00CF10CF"/>
    <w:rsid w:val="00DA39F2"/>
    <w:rsid w:val="00DB5D70"/>
    <w:rsid w:val="00EB7699"/>
    <w:rsid w:val="00FF0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C8F7"/>
  <w15:chartTrackingRefBased/>
  <w15:docId w15:val="{AFE17EF5-EF04-47E3-AAE1-F076138E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E5C"/>
    <w:rPr>
      <w:noProof/>
    </w:rPr>
  </w:style>
  <w:style w:type="paragraph" w:styleId="Antrat1">
    <w:name w:val="heading 1"/>
    <w:basedOn w:val="prastasis"/>
    <w:next w:val="prastasis"/>
    <w:link w:val="Antrat1Diagrama"/>
    <w:uiPriority w:val="99"/>
    <w:qFormat/>
    <w:rsid w:val="004C6E5C"/>
    <w:pPr>
      <w:keepNext/>
      <w:spacing w:before="240" w:after="60" w:line="240" w:lineRule="auto"/>
      <w:outlineLvl w:val="0"/>
    </w:pPr>
    <w:rPr>
      <w:rFonts w:ascii="Arial" w:eastAsia="Calibri" w:hAnsi="Arial" w:cs="Times New Roman"/>
      <w:b/>
      <w:bCs/>
      <w:noProof w:val="0"/>
      <w:kern w:val="32"/>
      <w:sz w:val="32"/>
      <w:szCs w:val="32"/>
      <w:lang w:eastAsia="lt-LT"/>
    </w:rPr>
  </w:style>
  <w:style w:type="paragraph" w:styleId="Antrat2">
    <w:name w:val="heading 2"/>
    <w:basedOn w:val="prastasis"/>
    <w:next w:val="prastasis"/>
    <w:link w:val="Antrat2Diagrama"/>
    <w:autoRedefine/>
    <w:uiPriority w:val="99"/>
    <w:unhideWhenUsed/>
    <w:qFormat/>
    <w:rsid w:val="004C6E5C"/>
    <w:pPr>
      <w:keepNext/>
      <w:tabs>
        <w:tab w:val="left" w:pos="709"/>
      </w:tabs>
      <w:spacing w:after="0" w:line="240" w:lineRule="auto"/>
      <w:outlineLvl w:val="1"/>
    </w:pPr>
    <w:rPr>
      <w:rFonts w:ascii="Times New Roman" w:eastAsia="Times New Roman" w:hAnsi="Times New Roman" w:cs="Times New Roman"/>
      <w:b/>
      <w:noProof w:val="0"/>
      <w:szCs w:val="20"/>
      <w:lang w:val="en-US" w:eastAsia="lt-LT"/>
    </w:rPr>
  </w:style>
  <w:style w:type="paragraph" w:styleId="Antrat3">
    <w:name w:val="heading 3"/>
    <w:basedOn w:val="prastasis"/>
    <w:next w:val="prastasis"/>
    <w:link w:val="Antrat3Diagrama"/>
    <w:autoRedefine/>
    <w:uiPriority w:val="99"/>
    <w:unhideWhenUsed/>
    <w:qFormat/>
    <w:rsid w:val="004C6E5C"/>
    <w:pPr>
      <w:keepNext/>
      <w:tabs>
        <w:tab w:val="left" w:pos="709"/>
      </w:tabs>
      <w:spacing w:after="0" w:line="240" w:lineRule="auto"/>
      <w:outlineLvl w:val="2"/>
    </w:pPr>
    <w:rPr>
      <w:rFonts w:ascii="Times New Roman" w:eastAsia="Times New Roman" w:hAnsi="Times New Roman" w:cs="Times New Roman"/>
      <w:b/>
      <w:noProof w:val="0"/>
      <w:szCs w:val="20"/>
      <w:lang w:val="en-US" w:eastAsia="lt-LT"/>
    </w:rPr>
  </w:style>
  <w:style w:type="paragraph" w:styleId="Antrat4">
    <w:name w:val="heading 4"/>
    <w:basedOn w:val="prastasis"/>
    <w:next w:val="prastasis"/>
    <w:link w:val="Antrat4Diagrama"/>
    <w:uiPriority w:val="99"/>
    <w:unhideWhenUsed/>
    <w:qFormat/>
    <w:rsid w:val="004C6E5C"/>
    <w:pPr>
      <w:keepNext/>
      <w:tabs>
        <w:tab w:val="left" w:pos="567"/>
      </w:tabs>
      <w:spacing w:after="0" w:line="260" w:lineRule="exact"/>
      <w:jc w:val="both"/>
      <w:outlineLvl w:val="3"/>
    </w:pPr>
    <w:rPr>
      <w:rFonts w:ascii="Times New Roman" w:eastAsia="Calibri" w:hAnsi="Times New Roman" w:cs="Times New Roman"/>
      <w:b/>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7699"/>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EB7699"/>
    <w:rPr>
      <w:rFonts w:ascii="Times New Roman" w:eastAsia="Times New Roman" w:hAnsi="Times New Roman" w:cs="Times New Roman"/>
      <w:b/>
      <w:szCs w:val="20"/>
      <w:lang w:val="en-US" w:eastAsia="lt-LT"/>
    </w:rPr>
  </w:style>
  <w:style w:type="character" w:customStyle="1" w:styleId="Antrat3Diagrama">
    <w:name w:val="Antraštė 3 Diagrama"/>
    <w:basedOn w:val="Numatytasispastraiposriftas"/>
    <w:link w:val="Antrat3"/>
    <w:uiPriority w:val="99"/>
    <w:rsid w:val="00EB7699"/>
    <w:rPr>
      <w:rFonts w:ascii="Times New Roman" w:eastAsia="Times New Roman" w:hAnsi="Times New Roman" w:cs="Times New Roman"/>
      <w:b/>
      <w:szCs w:val="20"/>
      <w:lang w:val="en-US" w:eastAsia="lt-LT"/>
    </w:rPr>
  </w:style>
  <w:style w:type="character" w:customStyle="1" w:styleId="Antrat4Diagrama">
    <w:name w:val="Antraštė 4 Diagrama"/>
    <w:basedOn w:val="Numatytasispastraiposriftas"/>
    <w:link w:val="Antrat4"/>
    <w:uiPriority w:val="99"/>
    <w:rsid w:val="00EB7699"/>
    <w:rPr>
      <w:rFonts w:ascii="Times New Roman" w:eastAsia="Calibri" w:hAnsi="Times New Roman" w:cs="Times New Roman"/>
      <w:b/>
      <w:noProof/>
      <w:sz w:val="20"/>
      <w:szCs w:val="20"/>
      <w:lang w:val="en-GB" w:eastAsia="lt-LT"/>
    </w:rPr>
  </w:style>
  <w:style w:type="numbering" w:customStyle="1" w:styleId="NoList1">
    <w:name w:val="No List1"/>
    <w:next w:val="Sraonra"/>
    <w:uiPriority w:val="99"/>
    <w:semiHidden/>
    <w:unhideWhenUsed/>
    <w:rsid w:val="00EB7699"/>
  </w:style>
  <w:style w:type="character" w:styleId="Hipersaitas">
    <w:name w:val="Hyperlink"/>
    <w:basedOn w:val="Numatytasispastraiposriftas"/>
    <w:uiPriority w:val="99"/>
    <w:unhideWhenUsed/>
    <w:rsid w:val="00EB7699"/>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EB7699"/>
    <w:rPr>
      <w:color w:val="800080" w:themeColor="followedHyperlink"/>
      <w:u w:val="single"/>
    </w:rPr>
  </w:style>
  <w:style w:type="character" w:styleId="Grietas">
    <w:name w:val="Strong"/>
    <w:basedOn w:val="Numatytasispastraiposriftas"/>
    <w:uiPriority w:val="99"/>
    <w:qFormat/>
    <w:rsid w:val="00EB7699"/>
    <w:rPr>
      <w:rFonts w:ascii="Times New Roman" w:hAnsi="Times New Roman" w:cs="Times New Roman" w:hint="default"/>
      <w:b/>
      <w:bCs w:val="0"/>
    </w:rPr>
  </w:style>
  <w:style w:type="paragraph" w:customStyle="1" w:styleId="msonormal0">
    <w:name w:val="msonormal"/>
    <w:basedOn w:val="prastasis"/>
    <w:rsid w:val="004C6E5C"/>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iPriority w:val="99"/>
    <w:semiHidden/>
    <w:unhideWhenUsed/>
    <w:rsid w:val="004C6E5C"/>
    <w:pPr>
      <w:spacing w:after="0" w:line="240" w:lineRule="auto"/>
    </w:pPr>
    <w:rPr>
      <w:rFonts w:ascii="Times New Roman" w:eastAsia="Calibri" w:hAnsi="Times New Roman" w:cs="Times New Roman"/>
      <w:noProof w:val="0"/>
      <w:sz w:val="20"/>
      <w:szCs w:val="20"/>
      <w:lang w:eastAsia="lt-LT"/>
    </w:rPr>
  </w:style>
  <w:style w:type="character" w:customStyle="1" w:styleId="KomentarotekstasDiagrama">
    <w:name w:val="Komentaro tekstas Diagrama"/>
    <w:basedOn w:val="Numatytasispastraiposriftas"/>
    <w:link w:val="Komentarotekstas"/>
    <w:uiPriority w:val="99"/>
    <w:semiHidden/>
    <w:rsid w:val="00EB7699"/>
    <w:rPr>
      <w:rFonts w:ascii="Times New Roman" w:eastAsia="Calibri" w:hAnsi="Times New Roman" w:cs="Times New Roman"/>
      <w:sz w:val="20"/>
      <w:szCs w:val="20"/>
      <w:lang w:eastAsia="lt-LT"/>
    </w:rPr>
  </w:style>
  <w:style w:type="paragraph" w:styleId="Antrats">
    <w:name w:val="header"/>
    <w:basedOn w:val="prastasis"/>
    <w:link w:val="AntratsDiagrama"/>
    <w:uiPriority w:val="99"/>
    <w:unhideWhenUsed/>
    <w:rsid w:val="004C6E5C"/>
    <w:pPr>
      <w:tabs>
        <w:tab w:val="center" w:pos="4819"/>
        <w:tab w:val="right" w:pos="9638"/>
      </w:tabs>
      <w:spacing w:after="0" w:line="240" w:lineRule="auto"/>
    </w:pPr>
    <w:rPr>
      <w:rFonts w:ascii="Times New Roman" w:eastAsia="Calibri" w:hAnsi="Times New Roman" w:cs="Times New Roman"/>
      <w:noProof w:val="0"/>
      <w:sz w:val="24"/>
      <w:szCs w:val="24"/>
      <w:lang w:eastAsia="lt-LT"/>
    </w:rPr>
  </w:style>
  <w:style w:type="character" w:customStyle="1" w:styleId="AntratsDiagrama">
    <w:name w:val="Antraštės Diagrama"/>
    <w:basedOn w:val="Numatytasispastraiposriftas"/>
    <w:link w:val="Antrats"/>
    <w:uiPriority w:val="99"/>
    <w:rsid w:val="00EB7699"/>
    <w:rPr>
      <w:rFonts w:ascii="Times New Roman" w:eastAsia="Calibri" w:hAnsi="Times New Roman" w:cs="Times New Roman"/>
      <w:sz w:val="24"/>
      <w:szCs w:val="24"/>
      <w:lang w:eastAsia="lt-LT"/>
    </w:rPr>
  </w:style>
  <w:style w:type="paragraph" w:styleId="Porat">
    <w:name w:val="footer"/>
    <w:basedOn w:val="prastasis"/>
    <w:link w:val="PoratDiagrama"/>
    <w:uiPriority w:val="99"/>
    <w:unhideWhenUsed/>
    <w:rsid w:val="004C6E5C"/>
    <w:pPr>
      <w:tabs>
        <w:tab w:val="center" w:pos="4986"/>
        <w:tab w:val="right" w:pos="9972"/>
      </w:tabs>
      <w:spacing w:after="0" w:line="240" w:lineRule="auto"/>
    </w:pPr>
    <w:rPr>
      <w:rFonts w:ascii="Times New Roman" w:eastAsia="Calibri" w:hAnsi="Times New Roman" w:cs="Times New Roman"/>
      <w:noProof w:val="0"/>
      <w:sz w:val="24"/>
      <w:szCs w:val="24"/>
      <w:lang w:eastAsia="lt-LT"/>
    </w:rPr>
  </w:style>
  <w:style w:type="character" w:customStyle="1" w:styleId="PoratDiagrama">
    <w:name w:val="Poraštė Diagrama"/>
    <w:basedOn w:val="Numatytasispastraiposriftas"/>
    <w:link w:val="Porat"/>
    <w:uiPriority w:val="99"/>
    <w:rsid w:val="00EB7699"/>
    <w:rPr>
      <w:rFonts w:ascii="Times New Roman" w:eastAsia="Calibri" w:hAnsi="Times New Roman" w:cs="Times New Roman"/>
      <w:sz w:val="24"/>
      <w:szCs w:val="24"/>
      <w:lang w:eastAsia="lt-LT"/>
    </w:rPr>
  </w:style>
  <w:style w:type="paragraph" w:styleId="Pavadinimas">
    <w:name w:val="Title"/>
    <w:basedOn w:val="prastasis"/>
    <w:link w:val="PavadinimasDiagrama"/>
    <w:autoRedefine/>
    <w:qFormat/>
    <w:rsid w:val="004C6E5C"/>
    <w:pPr>
      <w:spacing w:after="0" w:line="240" w:lineRule="auto"/>
      <w:jc w:val="center"/>
      <w:outlineLvl w:val="0"/>
    </w:pPr>
    <w:rPr>
      <w:rFonts w:ascii="Times New Roman" w:eastAsia="Times New Roman" w:hAnsi="Times New Roman" w:cs="Times New Roman"/>
      <w:b/>
      <w:noProof w:val="0"/>
      <w:kern w:val="28"/>
      <w:szCs w:val="20"/>
      <w:lang w:val="en-US" w:eastAsia="lt-LT"/>
    </w:rPr>
  </w:style>
  <w:style w:type="character" w:customStyle="1" w:styleId="PavadinimasDiagrama">
    <w:name w:val="Pavadinimas Diagrama"/>
    <w:basedOn w:val="Numatytasispastraiposriftas"/>
    <w:link w:val="Pavadinimas"/>
    <w:rsid w:val="00EB7699"/>
    <w:rPr>
      <w:rFonts w:ascii="Times New Roman" w:eastAsia="Times New Roman" w:hAnsi="Times New Roman" w:cs="Times New Roman"/>
      <w:b/>
      <w:kern w:val="28"/>
      <w:szCs w:val="20"/>
      <w:lang w:val="en-US" w:eastAsia="lt-LT"/>
    </w:rPr>
  </w:style>
  <w:style w:type="paragraph" w:styleId="Pagrindinistekstas">
    <w:name w:val="Body Text"/>
    <w:basedOn w:val="prastasis"/>
    <w:link w:val="PagrindinistekstasDiagrama"/>
    <w:uiPriority w:val="99"/>
    <w:unhideWhenUsed/>
    <w:rsid w:val="004C6E5C"/>
    <w:pPr>
      <w:spacing w:after="0" w:line="240" w:lineRule="auto"/>
    </w:pPr>
    <w:rPr>
      <w:rFonts w:ascii="Times New Roman" w:eastAsia="Calibri" w:hAnsi="Times New Roman" w:cs="Times New Roman"/>
      <w:i/>
      <w:noProof w:val="0"/>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EB7699"/>
    <w:rPr>
      <w:rFonts w:ascii="Times New Roman" w:eastAsia="Calibri" w:hAnsi="Times New Roman" w:cs="Times New Roman"/>
      <w:i/>
      <w:color w:val="008000"/>
      <w:sz w:val="20"/>
      <w:szCs w:val="20"/>
      <w:lang w:val="en-GB" w:eastAsia="lt-LT"/>
    </w:rPr>
  </w:style>
  <w:style w:type="paragraph" w:styleId="Dokumentostruktra">
    <w:name w:val="Document Map"/>
    <w:basedOn w:val="prastasis"/>
    <w:link w:val="DokumentostruktraDiagrama"/>
    <w:uiPriority w:val="99"/>
    <w:unhideWhenUsed/>
    <w:rsid w:val="004C6E5C"/>
    <w:pPr>
      <w:spacing w:after="0" w:line="240" w:lineRule="auto"/>
    </w:pPr>
    <w:rPr>
      <w:rFonts w:ascii="Tahoma" w:eastAsia="Calibri" w:hAnsi="Tahoma" w:cs="Times New Roman"/>
      <w:noProof w:val="0"/>
      <w:sz w:val="16"/>
      <w:szCs w:val="16"/>
      <w:lang w:eastAsia="lt-LT"/>
    </w:rPr>
  </w:style>
  <w:style w:type="character" w:customStyle="1" w:styleId="DokumentostruktraDiagrama">
    <w:name w:val="Dokumento struktūra Diagrama"/>
    <w:basedOn w:val="Numatytasispastraiposriftas"/>
    <w:link w:val="Dokumentostruktra"/>
    <w:uiPriority w:val="99"/>
    <w:rsid w:val="00EB7699"/>
    <w:rPr>
      <w:rFonts w:ascii="Tahoma" w:eastAsia="Calibri" w:hAnsi="Tahoma" w:cs="Times New Roman"/>
      <w:sz w:val="16"/>
      <w:szCs w:val="16"/>
      <w:lang w:eastAsia="lt-LT"/>
    </w:rPr>
  </w:style>
  <w:style w:type="paragraph" w:styleId="Komentarotema">
    <w:name w:val="annotation subject"/>
    <w:basedOn w:val="Komentarotekstas"/>
    <w:next w:val="Komentarotekstas"/>
    <w:link w:val="KomentarotemaDiagrama"/>
    <w:uiPriority w:val="99"/>
    <w:semiHidden/>
    <w:unhideWhenUsed/>
    <w:rsid w:val="00EB7699"/>
    <w:rPr>
      <w:b/>
      <w:bCs/>
    </w:rPr>
  </w:style>
  <w:style w:type="character" w:customStyle="1" w:styleId="KomentarotemaDiagrama">
    <w:name w:val="Komentaro tema Diagrama"/>
    <w:basedOn w:val="KomentarotekstasDiagrama"/>
    <w:link w:val="Komentarotema"/>
    <w:uiPriority w:val="99"/>
    <w:semiHidden/>
    <w:rsid w:val="00EB7699"/>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C6E5C"/>
    <w:pPr>
      <w:spacing w:after="0" w:line="240" w:lineRule="auto"/>
    </w:pPr>
    <w:rPr>
      <w:rFonts w:ascii="Tahoma" w:eastAsia="Calibri" w:hAnsi="Tahoma" w:cs="Times New Roman"/>
      <w:noProof w:val="0"/>
      <w:sz w:val="16"/>
      <w:szCs w:val="16"/>
      <w:lang w:eastAsia="lt-LT"/>
    </w:rPr>
  </w:style>
  <w:style w:type="character" w:customStyle="1" w:styleId="DebesliotekstasDiagrama">
    <w:name w:val="Debesėlio tekstas Diagrama"/>
    <w:basedOn w:val="Numatytasispastraiposriftas"/>
    <w:link w:val="Debesliotekstas"/>
    <w:uiPriority w:val="99"/>
    <w:semiHidden/>
    <w:rsid w:val="00EB7699"/>
    <w:rPr>
      <w:rFonts w:ascii="Tahoma" w:eastAsia="Calibri" w:hAnsi="Tahoma" w:cs="Times New Roman"/>
      <w:sz w:val="16"/>
      <w:szCs w:val="16"/>
      <w:lang w:eastAsia="lt-LT"/>
    </w:rPr>
  </w:style>
  <w:style w:type="paragraph" w:styleId="Pataisymai">
    <w:name w:val="Revision"/>
    <w:uiPriority w:val="99"/>
    <w:semiHidden/>
    <w:rsid w:val="00EB7699"/>
    <w:pPr>
      <w:spacing w:after="0" w:line="240" w:lineRule="auto"/>
    </w:pPr>
    <w:rPr>
      <w:rFonts w:ascii="Calibri" w:eastAsia="Calibri" w:hAnsi="Calibri" w:cs="Times New Roman"/>
      <w:lang w:val="en-US"/>
    </w:rPr>
  </w:style>
  <w:style w:type="paragraph" w:styleId="Sraopastraipa">
    <w:name w:val="List Paragraph"/>
    <w:basedOn w:val="prastasis"/>
    <w:uiPriority w:val="99"/>
    <w:qFormat/>
    <w:rsid w:val="004C6E5C"/>
    <w:pPr>
      <w:ind w:left="720"/>
      <w:contextualSpacing/>
    </w:pPr>
    <w:rPr>
      <w:rFonts w:ascii="Calibri" w:eastAsia="Calibri" w:hAnsi="Calibri" w:cs="Times New Roman"/>
      <w:noProof w:val="0"/>
      <w:lang w:val="en-US"/>
    </w:rPr>
  </w:style>
  <w:style w:type="paragraph" w:customStyle="1" w:styleId="PI-1EMEASMCA">
    <w:name w:val="PI-1 EMEA_SMCA"/>
    <w:basedOn w:val="Antrat2"/>
    <w:autoRedefine/>
    <w:uiPriority w:val="99"/>
    <w:rsid w:val="00EB7699"/>
    <w:pPr>
      <w:tabs>
        <w:tab w:val="clear" w:pos="709"/>
        <w:tab w:val="left" w:pos="567"/>
      </w:tabs>
      <w:ind w:left="567" w:hanging="567"/>
    </w:pPr>
    <w:rPr>
      <w:rFonts w:eastAsia="Calibri"/>
      <w:szCs w:val="22"/>
    </w:rPr>
  </w:style>
  <w:style w:type="character" w:customStyle="1" w:styleId="PI-1labEMEASMCAChar">
    <w:name w:val="PI-1_lab EMEA_SMCA Char"/>
    <w:link w:val="PI-1labEMEASMCA"/>
    <w:uiPriority w:val="99"/>
    <w:locked/>
    <w:rsid w:val="00EB7699"/>
    <w:rPr>
      <w:rFonts w:ascii="Times New Roman" w:eastAsia="Calibri" w:hAnsi="Times New Roman" w:cs="Times New Roman"/>
      <w:b/>
      <w:noProof/>
      <w:sz w:val="20"/>
      <w:szCs w:val="20"/>
      <w:lang w:val="x-none" w:eastAsia="x-none"/>
    </w:rPr>
  </w:style>
  <w:style w:type="paragraph" w:customStyle="1" w:styleId="PI-1labEMEASMCA">
    <w:name w:val="PI-1_lab EMEA_SMCA"/>
    <w:basedOn w:val="prastasis"/>
    <w:link w:val="PI-1labEMEASMCAChar"/>
    <w:autoRedefine/>
    <w:uiPriority w:val="99"/>
    <w:rsid w:val="004C6E5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sz w:val="20"/>
      <w:szCs w:val="20"/>
      <w:lang w:val="x-none" w:eastAsia="x-none"/>
    </w:rPr>
  </w:style>
  <w:style w:type="paragraph" w:customStyle="1" w:styleId="PI-2EMEASMCA">
    <w:name w:val="PI-2 EMEA_SMCA"/>
    <w:basedOn w:val="Antrat3"/>
    <w:autoRedefine/>
    <w:uiPriority w:val="99"/>
    <w:rsid w:val="00EB7699"/>
    <w:pPr>
      <w:keepLines/>
      <w:tabs>
        <w:tab w:val="clear" w:pos="709"/>
        <w:tab w:val="left" w:pos="567"/>
      </w:tabs>
      <w:ind w:left="567" w:hanging="567"/>
    </w:pPr>
    <w:rPr>
      <w:rFonts w:eastAsia="Calibri"/>
      <w:kern w:val="28"/>
      <w:szCs w:val="22"/>
    </w:rPr>
  </w:style>
  <w:style w:type="character" w:customStyle="1" w:styleId="BTEMEASMCAChar">
    <w:name w:val="BT EMEA_SMCA Char"/>
    <w:link w:val="BTEMEASMCA"/>
    <w:uiPriority w:val="99"/>
    <w:locked/>
    <w:rsid w:val="00EB7699"/>
    <w:rPr>
      <w:rFonts w:ascii="Times New Roman" w:eastAsia="Calibri" w:hAnsi="Times New Roman" w:cs="Times New Roman"/>
      <w:sz w:val="20"/>
      <w:szCs w:val="20"/>
      <w:lang w:val="x-none" w:eastAsia="x-none"/>
    </w:rPr>
  </w:style>
  <w:style w:type="paragraph" w:customStyle="1" w:styleId="BTEMEASMCA">
    <w:name w:val="BT EMEA_SMCA"/>
    <w:basedOn w:val="prastasis"/>
    <w:link w:val="BTEMEASMCAChar"/>
    <w:autoRedefine/>
    <w:uiPriority w:val="99"/>
    <w:rsid w:val="004C6E5C"/>
    <w:pPr>
      <w:spacing w:after="0" w:line="240" w:lineRule="auto"/>
    </w:pPr>
    <w:rPr>
      <w:rFonts w:ascii="Times New Roman" w:eastAsia="Calibri" w:hAnsi="Times New Roman" w:cs="Times New Roman"/>
      <w:noProof w:val="0"/>
      <w:sz w:val="20"/>
      <w:szCs w:val="20"/>
      <w:lang w:val="x-none" w:eastAsia="x-none"/>
    </w:rPr>
  </w:style>
  <w:style w:type="character" w:customStyle="1" w:styleId="TTEMEASMCAChar">
    <w:name w:val="TT EMEA_SMCA Char"/>
    <w:link w:val="TTEMEASMCA"/>
    <w:uiPriority w:val="99"/>
    <w:locked/>
    <w:rsid w:val="00EB7699"/>
    <w:rPr>
      <w:rFonts w:ascii="Times New Roman" w:eastAsia="Calibri" w:hAnsi="Times New Roman" w:cs="Times New Roman"/>
      <w:b/>
      <w:caps/>
      <w:sz w:val="20"/>
      <w:szCs w:val="20"/>
      <w:lang w:val="x-none" w:eastAsia="x-none"/>
    </w:rPr>
  </w:style>
  <w:style w:type="paragraph" w:customStyle="1" w:styleId="TTEMEASMCA">
    <w:name w:val="TT EMEA_SMCA"/>
    <w:basedOn w:val="Antrat1"/>
    <w:link w:val="TTEMEASMCAChar"/>
    <w:autoRedefine/>
    <w:uiPriority w:val="99"/>
    <w:rsid w:val="00EB7699"/>
    <w:pPr>
      <w:keepNext w:val="0"/>
      <w:tabs>
        <w:tab w:val="left" w:pos="567"/>
      </w:tabs>
      <w:spacing w:before="0" w:after="0"/>
      <w:ind w:left="567" w:hanging="567"/>
      <w:jc w:val="center"/>
    </w:pPr>
    <w:rPr>
      <w:rFonts w:ascii="Times New Roman" w:hAnsi="Times New Roman"/>
      <w:bCs w:val="0"/>
      <w:caps/>
      <w:kern w:val="0"/>
      <w:sz w:val="20"/>
      <w:szCs w:val="20"/>
      <w:lang w:val="x-none" w:eastAsia="x-none"/>
    </w:rPr>
  </w:style>
  <w:style w:type="paragraph" w:customStyle="1" w:styleId="BTAnIIEMEASMCA">
    <w:name w:val="BT(AnII) EMEA_SMCA"/>
    <w:basedOn w:val="Debesliotekstas"/>
    <w:autoRedefine/>
    <w:uiPriority w:val="99"/>
    <w:rsid w:val="00EB769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4C6E5C"/>
    <w:pPr>
      <w:numPr>
        <w:numId w:val="1"/>
      </w:numPr>
      <w:tabs>
        <w:tab w:val="clear" w:pos="720"/>
        <w:tab w:val="num" w:pos="360"/>
      </w:tabs>
      <w:ind w:left="0" w:firstLine="0"/>
    </w:pPr>
  </w:style>
  <w:style w:type="paragraph" w:customStyle="1" w:styleId="PI-3EMEASMCA">
    <w:name w:val="PI-3 EMEA_SMCA"/>
    <w:basedOn w:val="prastasis"/>
    <w:autoRedefine/>
    <w:uiPriority w:val="99"/>
    <w:rsid w:val="004C6E5C"/>
    <w:pPr>
      <w:spacing w:after="0" w:line="220" w:lineRule="exact"/>
    </w:pPr>
    <w:rPr>
      <w:rFonts w:ascii="Times New Roman" w:eastAsia="Times New Roman" w:hAnsi="Times New Roman" w:cs="Times New Roman"/>
      <w:b/>
      <w:bCs/>
      <w:noProof w:val="0"/>
    </w:rPr>
  </w:style>
  <w:style w:type="paragraph" w:customStyle="1" w:styleId="BTbEMEASMCA">
    <w:name w:val="BT(b) EMEA_SMCA"/>
    <w:basedOn w:val="BTEMEASMCA"/>
    <w:autoRedefine/>
    <w:uiPriority w:val="99"/>
    <w:rsid w:val="00EB7699"/>
    <w:rPr>
      <w:b/>
    </w:rPr>
  </w:style>
  <w:style w:type="paragraph" w:customStyle="1" w:styleId="BTbeEMEASMCA">
    <w:name w:val="BT(be) EMEA_SMCA"/>
    <w:basedOn w:val="BTEMEASMCA"/>
    <w:autoRedefine/>
    <w:uiPriority w:val="99"/>
    <w:rsid w:val="00EB7699"/>
    <w:pPr>
      <w:jc w:val="center"/>
    </w:pPr>
    <w:rPr>
      <w:b/>
    </w:rPr>
  </w:style>
  <w:style w:type="paragraph" w:customStyle="1" w:styleId="BTeEMEASMCA">
    <w:name w:val="BT(e) EMEA_SMCA"/>
    <w:basedOn w:val="BTEMEASMCA"/>
    <w:autoRedefine/>
    <w:uiPriority w:val="99"/>
    <w:rsid w:val="00EB7699"/>
    <w:pPr>
      <w:jc w:val="center"/>
    </w:pPr>
  </w:style>
  <w:style w:type="character" w:customStyle="1" w:styleId="BTgEMEASMCAChar">
    <w:name w:val="BT(g) EMEA_SMCA Char"/>
    <w:link w:val="BTgEMEASMCA"/>
    <w:uiPriority w:val="99"/>
    <w:locked/>
    <w:rsid w:val="00EB7699"/>
    <w:rPr>
      <w:rFonts w:ascii="Times New Roman" w:eastAsia="Calibri" w:hAnsi="Times New Roman" w:cs="Times New Roman"/>
      <w:i/>
      <w:color w:val="008000"/>
      <w:sz w:val="20"/>
      <w:szCs w:val="20"/>
      <w:lang w:val="x-none" w:eastAsia="x-none"/>
    </w:rPr>
  </w:style>
  <w:style w:type="paragraph" w:customStyle="1" w:styleId="BTgEMEASMCA">
    <w:name w:val="BT(g) EMEA_SMCA"/>
    <w:basedOn w:val="BTEMEASMCA"/>
    <w:link w:val="BTgEMEASMCAChar"/>
    <w:autoRedefine/>
    <w:uiPriority w:val="99"/>
    <w:rsid w:val="00EB7699"/>
    <w:rPr>
      <w:i/>
      <w:color w:val="008000"/>
    </w:rPr>
  </w:style>
  <w:style w:type="paragraph" w:customStyle="1" w:styleId="BTuEMEASMCA">
    <w:name w:val="BT(u) EMEA_SMCA"/>
    <w:basedOn w:val="BTEMEASMCA"/>
    <w:autoRedefine/>
    <w:uiPriority w:val="99"/>
    <w:rsid w:val="00EB7699"/>
    <w:rPr>
      <w:u w:val="single"/>
    </w:rPr>
  </w:style>
  <w:style w:type="paragraph" w:customStyle="1" w:styleId="Sraopastraipa1">
    <w:name w:val="Sąrašo pastraipa1"/>
    <w:basedOn w:val="prastasis"/>
    <w:uiPriority w:val="99"/>
    <w:qFormat/>
    <w:rsid w:val="004C6E5C"/>
    <w:pPr>
      <w:ind w:left="720"/>
      <w:contextualSpacing/>
    </w:pPr>
    <w:rPr>
      <w:rFonts w:ascii="Calibri" w:eastAsia="Calibri" w:hAnsi="Calibri" w:cs="Times New Roman"/>
      <w:noProof w:val="0"/>
      <w:lang w:val="en-US"/>
    </w:rPr>
  </w:style>
  <w:style w:type="character" w:styleId="Komentaronuoroda">
    <w:name w:val="annotation reference"/>
    <w:basedOn w:val="Numatytasispastraiposriftas"/>
    <w:uiPriority w:val="99"/>
    <w:semiHidden/>
    <w:unhideWhenUsed/>
    <w:rsid w:val="00EB7699"/>
    <w:rPr>
      <w:rFonts w:ascii="Times New Roman" w:hAnsi="Times New Roman" w:cs="Times New Roman" w:hint="default"/>
      <w:sz w:val="16"/>
    </w:rPr>
  </w:style>
  <w:style w:type="character" w:styleId="Puslapionumeris">
    <w:name w:val="page number"/>
    <w:basedOn w:val="Numatytasispastraiposriftas"/>
    <w:uiPriority w:val="99"/>
    <w:unhideWhenUsed/>
    <w:rsid w:val="00EB7699"/>
    <w:rPr>
      <w:rFonts w:ascii="Times New Roman" w:hAnsi="Times New Roman" w:cs="Times New Roman" w:hint="default"/>
    </w:rPr>
  </w:style>
  <w:style w:type="table" w:styleId="Lentelstinklelis">
    <w:name w:val="Table Grid"/>
    <w:basedOn w:val="prastojilentel"/>
    <w:uiPriority w:val="99"/>
    <w:rsid w:val="00EB7699"/>
    <w:pPr>
      <w:spacing w:after="220" w:line="240" w:lineRule="auto"/>
    </w:pPr>
    <w:rPr>
      <w:rFonts w:ascii="Times New Roman" w:eastAsia="Times New Roman" w:hAnsi="Times New Roman" w:cs="Times New Roman"/>
      <w:sz w:val="20"/>
      <w:szCs w:val="20"/>
      <w:lang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2923">
      <w:bodyDiv w:val="1"/>
      <w:marLeft w:val="0"/>
      <w:marRight w:val="0"/>
      <w:marTop w:val="0"/>
      <w:marBottom w:val="0"/>
      <w:divBdr>
        <w:top w:val="none" w:sz="0" w:space="0" w:color="auto"/>
        <w:left w:val="none" w:sz="0" w:space="0" w:color="auto"/>
        <w:bottom w:val="none" w:sz="0" w:space="0" w:color="auto"/>
        <w:right w:val="none" w:sz="0" w:space="0" w:color="auto"/>
      </w:divBdr>
    </w:div>
    <w:div w:id="514462039">
      <w:bodyDiv w:val="1"/>
      <w:marLeft w:val="0"/>
      <w:marRight w:val="0"/>
      <w:marTop w:val="0"/>
      <w:marBottom w:val="0"/>
      <w:divBdr>
        <w:top w:val="none" w:sz="0" w:space="0" w:color="auto"/>
        <w:left w:val="none" w:sz="0" w:space="0" w:color="auto"/>
        <w:bottom w:val="none" w:sz="0" w:space="0" w:color="auto"/>
        <w:right w:val="none" w:sz="0" w:space="0" w:color="auto"/>
      </w:divBdr>
    </w:div>
    <w:div w:id="21271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28147</Words>
  <Characters>16044</Characters>
  <Application>Microsoft Office Word</Application>
  <DocSecurity>4</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2020-01-08T07:11:00Z</dcterms:created>
  <dcterms:modified xsi:type="dcterms:W3CDTF">2020-01-08T07:11:00Z</dcterms:modified>
</cp:coreProperties>
</file>