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80B" w:rsidRPr="004C6E5C" w:rsidRDefault="000E780B" w:rsidP="000E780B">
      <w:pPr>
        <w:spacing w:after="0" w:line="240" w:lineRule="auto"/>
        <w:jc w:val="center"/>
        <w:rPr>
          <w:rFonts w:ascii="Times New Roman" w:hAnsi="Times New Roman"/>
          <w:b/>
        </w:rPr>
      </w:pPr>
      <w:r w:rsidRPr="004C6E5C">
        <w:rPr>
          <w:rFonts w:ascii="Times New Roman" w:hAnsi="Times New Roman"/>
          <w:b/>
        </w:rPr>
        <w:t>Pakuotės lapelis: informacija pacientui</w:t>
      </w:r>
    </w:p>
    <w:p w:rsidR="000E780B" w:rsidRPr="004C6E5C" w:rsidRDefault="000E780B" w:rsidP="000E780B">
      <w:pPr>
        <w:spacing w:after="0" w:line="240" w:lineRule="auto"/>
        <w:jc w:val="center"/>
        <w:rPr>
          <w:rFonts w:ascii="Times New Roman" w:hAnsi="Times New Roman"/>
        </w:rPr>
      </w:pPr>
    </w:p>
    <w:p w:rsidR="000E780B" w:rsidRPr="004C6E5C" w:rsidRDefault="000E780B" w:rsidP="000E780B">
      <w:pPr>
        <w:spacing w:after="0" w:line="240" w:lineRule="auto"/>
        <w:jc w:val="center"/>
        <w:rPr>
          <w:rFonts w:ascii="Times New Roman" w:hAnsi="Times New Roman"/>
          <w:b/>
        </w:rPr>
      </w:pPr>
      <w:r w:rsidRPr="004C6E5C">
        <w:rPr>
          <w:rFonts w:ascii="Times New Roman" w:hAnsi="Times New Roman"/>
          <w:b/>
        </w:rPr>
        <w:t>Provapirin 100 mg skrandyje neirios tabletės</w:t>
      </w:r>
    </w:p>
    <w:p w:rsidR="000E780B" w:rsidRPr="004C6E5C" w:rsidRDefault="000E780B" w:rsidP="000E780B">
      <w:pPr>
        <w:spacing w:after="0" w:line="240" w:lineRule="auto"/>
        <w:jc w:val="center"/>
        <w:rPr>
          <w:rFonts w:ascii="Times New Roman" w:hAnsi="Times New Roman"/>
        </w:rPr>
      </w:pPr>
      <w:r w:rsidRPr="004C6E5C">
        <w:rPr>
          <w:rFonts w:ascii="Times New Roman" w:hAnsi="Times New Roman"/>
        </w:rPr>
        <w:t>Acetilsalicilo rūgštis</w:t>
      </w:r>
    </w:p>
    <w:p w:rsidR="000E780B" w:rsidRPr="004C6E5C" w:rsidRDefault="000E780B" w:rsidP="000E780B">
      <w:pPr>
        <w:spacing w:after="0" w:line="240" w:lineRule="auto"/>
        <w:jc w:val="center"/>
        <w:rPr>
          <w:rFonts w:ascii="Times New Roman" w:hAnsi="Times New Roman"/>
        </w:rPr>
      </w:pP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b/>
        </w:rPr>
      </w:pPr>
      <w:r w:rsidRPr="004C6E5C">
        <w:rPr>
          <w:rFonts w:ascii="Times New Roman" w:hAnsi="Times New Roman"/>
          <w:b/>
        </w:rPr>
        <w:t>Atidžiai perskaitykite visą šį lapelį, prieš pradėdami vartoti šį vaistą, nes jame pateikiama Jums svarbi informacija.</w:t>
      </w:r>
    </w:p>
    <w:p w:rsidR="000E780B" w:rsidRPr="004C6E5C" w:rsidRDefault="000E780B" w:rsidP="000E780B">
      <w:pPr>
        <w:numPr>
          <w:ilvl w:val="0"/>
          <w:numId w:val="1"/>
        </w:numPr>
        <w:tabs>
          <w:tab w:val="num" w:pos="567"/>
        </w:tabs>
        <w:spacing w:after="0" w:line="240" w:lineRule="auto"/>
        <w:ind w:left="567" w:hanging="567"/>
        <w:contextualSpacing/>
        <w:rPr>
          <w:rFonts w:ascii="Times New Roman" w:hAnsi="Times New Roman"/>
        </w:rPr>
      </w:pPr>
      <w:r w:rsidRPr="004C6E5C">
        <w:rPr>
          <w:rFonts w:ascii="Times New Roman" w:hAnsi="Times New Roman"/>
        </w:rPr>
        <w:t>Visada vartokite šį vaistą tiksliai kaip aprašyta šiame lapelyje arba kaip nurodė gydytojas arba vaistininkas.</w:t>
      </w:r>
    </w:p>
    <w:p w:rsidR="000E780B" w:rsidRPr="004C6E5C" w:rsidRDefault="000E780B" w:rsidP="000E780B">
      <w:pPr>
        <w:numPr>
          <w:ilvl w:val="0"/>
          <w:numId w:val="1"/>
        </w:numPr>
        <w:tabs>
          <w:tab w:val="num" w:pos="567"/>
        </w:tabs>
        <w:spacing w:after="0" w:line="240" w:lineRule="auto"/>
        <w:ind w:left="567" w:hanging="567"/>
        <w:contextualSpacing/>
        <w:rPr>
          <w:rFonts w:ascii="Times New Roman" w:hAnsi="Times New Roman"/>
        </w:rPr>
      </w:pPr>
      <w:r w:rsidRPr="004C6E5C">
        <w:rPr>
          <w:rFonts w:ascii="Times New Roman" w:hAnsi="Times New Roman"/>
        </w:rPr>
        <w:t xml:space="preserve">Neišmeskite šio lapelio, nes vėl gali prireikti jį perskaityti. </w:t>
      </w:r>
    </w:p>
    <w:p w:rsidR="000E780B" w:rsidRPr="004C6E5C" w:rsidRDefault="000E780B" w:rsidP="000E780B">
      <w:pPr>
        <w:numPr>
          <w:ilvl w:val="0"/>
          <w:numId w:val="1"/>
        </w:numPr>
        <w:tabs>
          <w:tab w:val="num" w:pos="567"/>
        </w:tabs>
        <w:spacing w:after="0" w:line="240" w:lineRule="auto"/>
        <w:ind w:left="567" w:hanging="567"/>
        <w:contextualSpacing/>
        <w:rPr>
          <w:rFonts w:ascii="Times New Roman" w:hAnsi="Times New Roman"/>
        </w:rPr>
      </w:pPr>
      <w:r w:rsidRPr="004C6E5C">
        <w:rPr>
          <w:rFonts w:ascii="Times New Roman" w:hAnsi="Times New Roman"/>
        </w:rPr>
        <w:t>Jeigu norite sužinoti daugiau arba pasitarti, kreipkitės į gydytoją ar vaistininką.</w:t>
      </w:r>
    </w:p>
    <w:p w:rsidR="000E780B" w:rsidRPr="004C6E5C" w:rsidRDefault="000E780B" w:rsidP="000E780B">
      <w:pPr>
        <w:numPr>
          <w:ilvl w:val="0"/>
          <w:numId w:val="1"/>
        </w:numPr>
        <w:tabs>
          <w:tab w:val="num" w:pos="567"/>
        </w:tabs>
        <w:spacing w:after="0" w:line="240" w:lineRule="auto"/>
        <w:ind w:left="567" w:hanging="567"/>
        <w:contextualSpacing/>
        <w:rPr>
          <w:rFonts w:ascii="Times New Roman" w:hAnsi="Times New Roman"/>
        </w:rPr>
      </w:pPr>
      <w:r w:rsidRPr="004C6E5C">
        <w:rPr>
          <w:rFonts w:ascii="Times New Roman" w:hAnsi="Times New Roman"/>
        </w:rPr>
        <w:t>Jeigu pasireiškė šalutinis poveikis (net jeigu jis šiame lapelyje nenurodytas), kreipkitės į gydytoją arba vaistininką. Žr. 4 skyrių.</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b/>
        </w:rPr>
      </w:pPr>
      <w:r w:rsidRPr="004C6E5C">
        <w:rPr>
          <w:rFonts w:ascii="Times New Roman" w:hAnsi="Times New Roman"/>
          <w:b/>
        </w:rPr>
        <w:t>Apie ką rašoma šiame lapelyje?</w:t>
      </w:r>
    </w:p>
    <w:p w:rsidR="000E780B" w:rsidRPr="004C6E5C" w:rsidRDefault="000E780B" w:rsidP="000E780B">
      <w:pPr>
        <w:spacing w:after="0" w:line="240" w:lineRule="auto"/>
        <w:ind w:left="540" w:hanging="540"/>
        <w:rPr>
          <w:rFonts w:ascii="Times New Roman" w:hAnsi="Times New Roman"/>
        </w:rPr>
      </w:pPr>
      <w:r w:rsidRPr="004C6E5C">
        <w:rPr>
          <w:rFonts w:ascii="Times New Roman" w:hAnsi="Times New Roman"/>
        </w:rPr>
        <w:t>1.</w:t>
      </w:r>
      <w:r w:rsidRPr="004C6E5C">
        <w:rPr>
          <w:rFonts w:ascii="Times New Roman" w:hAnsi="Times New Roman"/>
        </w:rPr>
        <w:tab/>
        <w:t>Kas yra Provapirin ir kam jis vartojamas</w:t>
      </w:r>
    </w:p>
    <w:p w:rsidR="000E780B" w:rsidRPr="004C6E5C" w:rsidRDefault="000E780B" w:rsidP="000E780B">
      <w:pPr>
        <w:spacing w:after="0" w:line="240" w:lineRule="auto"/>
        <w:ind w:left="540" w:hanging="540"/>
        <w:rPr>
          <w:rFonts w:ascii="Times New Roman" w:hAnsi="Times New Roman"/>
        </w:rPr>
      </w:pPr>
      <w:r w:rsidRPr="004C6E5C">
        <w:rPr>
          <w:rFonts w:ascii="Times New Roman" w:hAnsi="Times New Roman"/>
        </w:rPr>
        <w:t>2.</w:t>
      </w:r>
      <w:r w:rsidRPr="004C6E5C">
        <w:rPr>
          <w:rFonts w:ascii="Times New Roman" w:hAnsi="Times New Roman"/>
        </w:rPr>
        <w:tab/>
        <w:t xml:space="preserve">Kas žinotina prieš vartojant Provapirin  </w:t>
      </w:r>
    </w:p>
    <w:p w:rsidR="000E780B" w:rsidRPr="004C6E5C" w:rsidRDefault="000E780B" w:rsidP="000E780B">
      <w:pPr>
        <w:spacing w:after="0" w:line="240" w:lineRule="auto"/>
        <w:ind w:left="540" w:hanging="540"/>
        <w:rPr>
          <w:rFonts w:ascii="Times New Roman" w:hAnsi="Times New Roman"/>
        </w:rPr>
      </w:pPr>
      <w:r w:rsidRPr="004C6E5C">
        <w:rPr>
          <w:rFonts w:ascii="Times New Roman" w:hAnsi="Times New Roman"/>
        </w:rPr>
        <w:t>3.</w:t>
      </w:r>
      <w:r w:rsidRPr="004C6E5C">
        <w:rPr>
          <w:rFonts w:ascii="Times New Roman" w:hAnsi="Times New Roman"/>
        </w:rPr>
        <w:tab/>
        <w:t xml:space="preserve">Kaip vartoti Provapirin </w:t>
      </w:r>
    </w:p>
    <w:p w:rsidR="000E780B" w:rsidRPr="004C6E5C" w:rsidRDefault="000E780B" w:rsidP="000E780B">
      <w:pPr>
        <w:spacing w:after="0" w:line="240" w:lineRule="auto"/>
        <w:ind w:left="540" w:hanging="540"/>
        <w:rPr>
          <w:rFonts w:ascii="Times New Roman" w:hAnsi="Times New Roman"/>
        </w:rPr>
      </w:pPr>
      <w:r w:rsidRPr="004C6E5C">
        <w:rPr>
          <w:rFonts w:ascii="Times New Roman" w:hAnsi="Times New Roman"/>
        </w:rPr>
        <w:t>4.</w:t>
      </w:r>
      <w:r w:rsidRPr="004C6E5C">
        <w:rPr>
          <w:rFonts w:ascii="Times New Roman" w:hAnsi="Times New Roman"/>
        </w:rPr>
        <w:tab/>
        <w:t>Galimas šalutinis poveikis</w:t>
      </w:r>
    </w:p>
    <w:p w:rsidR="000E780B" w:rsidRPr="004C6E5C" w:rsidRDefault="000E780B" w:rsidP="000E780B">
      <w:pPr>
        <w:spacing w:after="0" w:line="240" w:lineRule="auto"/>
        <w:ind w:left="540" w:hanging="540"/>
        <w:rPr>
          <w:rFonts w:ascii="Times New Roman" w:hAnsi="Times New Roman"/>
        </w:rPr>
      </w:pPr>
      <w:r w:rsidRPr="004C6E5C">
        <w:rPr>
          <w:rFonts w:ascii="Times New Roman" w:hAnsi="Times New Roman"/>
        </w:rPr>
        <w:t>5.</w:t>
      </w:r>
      <w:r w:rsidRPr="004C6E5C">
        <w:rPr>
          <w:rFonts w:ascii="Times New Roman" w:hAnsi="Times New Roman"/>
        </w:rPr>
        <w:tab/>
        <w:t xml:space="preserve">Kaip laikyti Provapirin  </w:t>
      </w:r>
    </w:p>
    <w:p w:rsidR="000E780B" w:rsidRPr="004C6E5C" w:rsidRDefault="000E780B" w:rsidP="000E780B">
      <w:pPr>
        <w:spacing w:after="0" w:line="240" w:lineRule="auto"/>
        <w:ind w:left="540" w:hanging="540"/>
        <w:rPr>
          <w:rFonts w:ascii="Times New Roman" w:hAnsi="Times New Roman"/>
        </w:rPr>
      </w:pPr>
      <w:r w:rsidRPr="004C6E5C">
        <w:rPr>
          <w:rFonts w:ascii="Times New Roman" w:hAnsi="Times New Roman"/>
        </w:rPr>
        <w:t>6.</w:t>
      </w:r>
      <w:r w:rsidRPr="004C6E5C">
        <w:rPr>
          <w:rFonts w:ascii="Times New Roman" w:hAnsi="Times New Roman"/>
        </w:rPr>
        <w:tab/>
        <w:t>Pakuotės turinys ir kita informacija</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p>
    <w:p w:rsidR="000E780B" w:rsidRPr="004C6E5C" w:rsidRDefault="000E780B" w:rsidP="000E780B">
      <w:pPr>
        <w:keepNext/>
        <w:tabs>
          <w:tab w:val="left" w:pos="567"/>
        </w:tabs>
        <w:spacing w:after="0" w:line="240" w:lineRule="auto"/>
        <w:ind w:left="567" w:hanging="567"/>
        <w:outlineLvl w:val="1"/>
        <w:rPr>
          <w:rFonts w:ascii="Times New Roman" w:hAnsi="Times New Roman"/>
          <w:b/>
        </w:rPr>
      </w:pPr>
      <w:bookmarkStart w:id="0" w:name="_Toc129243264"/>
      <w:bookmarkStart w:id="1" w:name="_Toc129243139"/>
      <w:r w:rsidRPr="004C6E5C">
        <w:rPr>
          <w:rFonts w:ascii="Times New Roman" w:hAnsi="Times New Roman"/>
          <w:b/>
        </w:rPr>
        <w:t>1.</w:t>
      </w:r>
      <w:r w:rsidRPr="004C6E5C">
        <w:rPr>
          <w:rFonts w:ascii="Times New Roman" w:hAnsi="Times New Roman"/>
          <w:b/>
        </w:rPr>
        <w:tab/>
        <w:t>Kas yra Provapirin ir kam jis vartojamas</w:t>
      </w:r>
      <w:bookmarkEnd w:id="0"/>
      <w:bookmarkEnd w:id="1"/>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Provapirin sudėtyje yra acetilsalicilo rūgšties, kuri, vartojama mažomis dozėmis, priklauso vaistų, vadinamų trombocitus slopinančiais preparatais, grupei. Trombocitai yra mažos kraujo plokštelės, kurios sukelia kraujo krešėjimą ir yra susijusios su trombozės atsiradimu. Kai arterijoje atsiranda kraujo krešulys, jis sustabdo kraujotaką ir nutraukia deguonies tiekimą. Jei taip atsitinka širdyje, gali pasireikšti širdies priepuolis ar krūtinės angina, o smegenyse gali pasireikšti insultas.</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Provapirin vartojama kraujo krešulių susidarymo rizikai mažinti, siekiant išvengti:</w:t>
      </w:r>
    </w:p>
    <w:p w:rsidR="000E780B" w:rsidRPr="004C6E5C" w:rsidRDefault="000E780B" w:rsidP="000E780B">
      <w:pPr>
        <w:spacing w:after="0" w:line="240" w:lineRule="auto"/>
        <w:ind w:left="567" w:hanging="567"/>
        <w:rPr>
          <w:rFonts w:ascii="Times New Roman" w:hAnsi="Times New Roman"/>
        </w:rPr>
      </w:pPr>
      <w:r w:rsidRPr="004C6E5C">
        <w:rPr>
          <w:rFonts w:ascii="Times New Roman" w:hAnsi="Times New Roman"/>
        </w:rPr>
        <w:t>-</w:t>
      </w:r>
      <w:r w:rsidRPr="004C6E5C">
        <w:rPr>
          <w:rFonts w:ascii="Times New Roman" w:hAnsi="Times New Roman"/>
        </w:rPr>
        <w:tab/>
        <w:t>širdies priepuolio;</w:t>
      </w:r>
    </w:p>
    <w:p w:rsidR="000E780B" w:rsidRPr="004C6E5C" w:rsidRDefault="000E780B" w:rsidP="000E780B">
      <w:pPr>
        <w:spacing w:after="0" w:line="240" w:lineRule="auto"/>
        <w:ind w:left="567" w:hanging="567"/>
        <w:rPr>
          <w:rFonts w:ascii="Times New Roman" w:hAnsi="Times New Roman"/>
        </w:rPr>
      </w:pPr>
      <w:r w:rsidRPr="004C6E5C">
        <w:rPr>
          <w:rFonts w:ascii="Times New Roman" w:hAnsi="Times New Roman"/>
        </w:rPr>
        <w:t>-</w:t>
      </w:r>
      <w:r w:rsidRPr="004C6E5C">
        <w:rPr>
          <w:rFonts w:ascii="Times New Roman" w:hAnsi="Times New Roman"/>
        </w:rPr>
        <w:tab/>
        <w:t>insulto;</w:t>
      </w:r>
    </w:p>
    <w:p w:rsidR="000E780B" w:rsidRPr="004C6E5C" w:rsidRDefault="000E780B" w:rsidP="000E780B">
      <w:pPr>
        <w:spacing w:after="0" w:line="240" w:lineRule="auto"/>
        <w:ind w:left="567" w:hanging="567"/>
        <w:rPr>
          <w:rFonts w:ascii="Times New Roman" w:hAnsi="Times New Roman"/>
        </w:rPr>
      </w:pPr>
      <w:r w:rsidRPr="004C6E5C">
        <w:rPr>
          <w:rFonts w:ascii="Times New Roman" w:hAnsi="Times New Roman"/>
        </w:rPr>
        <w:t>-</w:t>
      </w:r>
      <w:r w:rsidRPr="004C6E5C">
        <w:rPr>
          <w:rFonts w:ascii="Times New Roman" w:hAnsi="Times New Roman"/>
        </w:rPr>
        <w:tab/>
        <w:t xml:space="preserve">širdies ir kraujagyslių sutrikimų pacientams, kurie serga stabiliąja ar nestabiliąja krūtinės angina (pasireiškia tam tikras krūtinės skausmas). </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Be to, Provapirin vartojama kraujo krešulių susidarymui slopinti po tam tikrų širdies operacijų, siekiant praplėsti ar atkimšti kraujagysles.</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Šio vaisto nerekomenduojama vartoti skubiais atvejais. Jo galima vartoti tik profilaktikai.</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p>
    <w:p w:rsidR="000E780B" w:rsidRPr="004C6E5C" w:rsidRDefault="000E780B" w:rsidP="000E780B">
      <w:pPr>
        <w:numPr>
          <w:ilvl w:val="0"/>
          <w:numId w:val="2"/>
        </w:numPr>
        <w:tabs>
          <w:tab w:val="num" w:pos="540"/>
        </w:tabs>
        <w:spacing w:after="0" w:line="240" w:lineRule="auto"/>
        <w:rPr>
          <w:rFonts w:ascii="Times New Roman" w:hAnsi="Times New Roman"/>
          <w:b/>
        </w:rPr>
      </w:pPr>
      <w:bookmarkStart w:id="2" w:name="_Toc129243265"/>
      <w:bookmarkStart w:id="3" w:name="_Toc129243140"/>
      <w:r w:rsidRPr="004C6E5C">
        <w:rPr>
          <w:rFonts w:ascii="Times New Roman" w:hAnsi="Times New Roman"/>
          <w:b/>
        </w:rPr>
        <w:t xml:space="preserve">Kas žinotina prieš vartojant </w:t>
      </w:r>
      <w:bookmarkEnd w:id="2"/>
      <w:bookmarkEnd w:id="3"/>
      <w:r w:rsidRPr="004C6E5C">
        <w:rPr>
          <w:rFonts w:ascii="Times New Roman" w:hAnsi="Times New Roman"/>
          <w:b/>
        </w:rPr>
        <w:t>Provapirin</w:t>
      </w:r>
    </w:p>
    <w:p w:rsidR="000E780B" w:rsidRPr="004C6E5C" w:rsidRDefault="000E780B" w:rsidP="000E780B">
      <w:pPr>
        <w:spacing w:after="0" w:line="240" w:lineRule="auto"/>
        <w:rPr>
          <w:rFonts w:ascii="Times New Roman" w:hAnsi="Times New Roman"/>
          <w:b/>
        </w:rPr>
      </w:pPr>
    </w:p>
    <w:p w:rsidR="000E780B" w:rsidRPr="004C6E5C" w:rsidRDefault="000E780B" w:rsidP="000E780B">
      <w:pPr>
        <w:spacing w:after="0" w:line="220" w:lineRule="exact"/>
        <w:rPr>
          <w:rFonts w:ascii="Times New Roman" w:hAnsi="Times New Roman"/>
          <w:b/>
        </w:rPr>
      </w:pPr>
      <w:r w:rsidRPr="004C6E5C">
        <w:rPr>
          <w:rFonts w:ascii="Times New Roman" w:hAnsi="Times New Roman"/>
          <w:b/>
        </w:rPr>
        <w:t>Provapirin vartoti negalima:</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 xml:space="preserve">jeigu yra alergija acetilsalicilo rūgščiai arba bet kuriai pagalbinei šio vaisto medžiagai (jos išvardytos 6 skyriuje); </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jeigu yra ar buvo skrandžio ar plonosios žarnos opa arba bet kokio tipo kraujavimas, pvz., insultas;</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jeigu kada nors yra buvę kraujo krešėjimo sutrikimų;</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jeigu yra sunkių kepenų ar inkstų sutrikimų;</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jeigu yra paskutiniai 3 nėštumo mėnesiai, negalima vartoti didesnės kaip 100 mg paros dozės (žr. poskyrį „Nėštumas ir žindymo laikotarpis“);</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jeigu vartojate didesnę nei 15 mg metotreksato savaitės dozę (pvz., nuo vėžio ar reumatoidinio artrito).</w:t>
      </w:r>
    </w:p>
    <w:p w:rsidR="000E780B" w:rsidRPr="004C6E5C" w:rsidRDefault="000E780B" w:rsidP="000E780B">
      <w:pPr>
        <w:spacing w:after="0" w:line="240" w:lineRule="auto"/>
        <w:ind w:left="567" w:hanging="567"/>
        <w:rPr>
          <w:rFonts w:ascii="Times New Roman" w:hAnsi="Times New Roman"/>
        </w:rPr>
      </w:pPr>
    </w:p>
    <w:p w:rsidR="000E780B" w:rsidRPr="004C6E5C" w:rsidRDefault="000E780B" w:rsidP="000E780B">
      <w:pPr>
        <w:spacing w:after="0" w:line="220" w:lineRule="exact"/>
        <w:rPr>
          <w:rFonts w:ascii="Times New Roman" w:hAnsi="Times New Roman"/>
          <w:b/>
        </w:rPr>
      </w:pPr>
      <w:r w:rsidRPr="004C6E5C">
        <w:rPr>
          <w:rFonts w:ascii="Times New Roman" w:hAnsi="Times New Roman"/>
          <w:b/>
        </w:rPr>
        <w:t>Įspėjimai ir atsargumo priemonės</w:t>
      </w:r>
    </w:p>
    <w:p w:rsidR="000E780B" w:rsidRPr="004C6E5C" w:rsidRDefault="000E780B" w:rsidP="000E780B">
      <w:pPr>
        <w:spacing w:after="0" w:line="240" w:lineRule="auto"/>
        <w:rPr>
          <w:rFonts w:ascii="Times New Roman" w:hAnsi="Times New Roman"/>
        </w:rPr>
      </w:pPr>
      <w:r w:rsidRPr="004C6E5C">
        <w:rPr>
          <w:rFonts w:ascii="Times New Roman" w:hAnsi="Times New Roman"/>
        </w:rPr>
        <w:t>Pasitarkite su gydytoju arba vaistininku, prieš pradėdami vartoti Provapirin, jeigu:</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yra inkstų, kepenų ar širdies sutrikimų;</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yra ar kada nors buvo skrandžio ar plonosios žarnos sutrikimų;</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yra didelis kraujospūdis;</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sergate astma, alergija kitiems vaistams, ypač salicilatams ar nesteroidiniams vaistams nuo uždegimo (NVNU), šienlige, nosies polipoze arba bet kokia lėtine kvėpavimo takų liga (acetilsalicilo rūgštis gali sukelti astmos priepuolį);</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buvo pasireiškusi podagra;</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būna gausios menstruacijos.</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Turite nedelsdami kreiptis į medikus, jeigu Jūsų simptomai pasunkėja arba jei pasireiškia sunkus ar netikėtas šalutinis poveikis, pvz., neįprasti kraujavimo simptomai, sunki odos reakcija arba bet koks kitoks sunkios alergijos požymis (žr. poskyrį „Galimas šalutinis poveikis“).</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 xml:space="preserve">Pasakykite savo gydytojui, jeigu Jums planuojama operacija (netgi nedidelė, pvz., danties ištraukimas), kadangi acetilsalicilo rūgštis skystina kraują ir gali padidėti kraujavimo rizika. </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b/>
        </w:rPr>
      </w:pPr>
      <w:r w:rsidRPr="004C6E5C">
        <w:rPr>
          <w:rFonts w:ascii="Times New Roman" w:hAnsi="Times New Roman"/>
          <w:b/>
        </w:rPr>
        <w:t>Vartojimas vaikams ir paaugliams</w:t>
      </w:r>
    </w:p>
    <w:p w:rsidR="000E780B" w:rsidRPr="004C6E5C" w:rsidRDefault="000E780B" w:rsidP="000E780B">
      <w:pPr>
        <w:spacing w:after="0" w:line="240" w:lineRule="auto"/>
        <w:rPr>
          <w:rFonts w:ascii="Times New Roman" w:hAnsi="Times New Roman"/>
        </w:rPr>
      </w:pPr>
      <w:r w:rsidRPr="004C6E5C">
        <w:rPr>
          <w:rFonts w:ascii="Times New Roman" w:hAnsi="Times New Roman"/>
        </w:rPr>
        <w:t>Acetilsalicilo rūgštis vaikams gali sukelti Reye sindromą. Reye sindromas yra labai reta liga, kuri pažeidžia smegenis ir kepenis bei gali būti pavojinga gyvybei. Dėl šios priežasties Provapirin negalima vartoti jaunesniems kaip 16 metų vaikams, nebent taip nurodė gydytojas.</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Turite stengtis, kad Jūsų organizme skysčių netaptų per mažai (tokiu atveju galite pajusti troškulį ir burnos džiūvimą), kadangi tokiu atveju acetilsalicilo rūgštis gali bloginti inkstų funkciją.</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Šio vaisto netinka vartoti skausmui malšinti ar karščiavimui mažinti.</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Jei bet kuri minėta būklė Jums tinka arba nesate tikras, pasitarkite su gydytoju arba vaistininku.</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b/>
        </w:rPr>
      </w:pPr>
      <w:r w:rsidRPr="004C6E5C">
        <w:rPr>
          <w:rFonts w:ascii="Times New Roman" w:hAnsi="Times New Roman"/>
          <w:b/>
        </w:rPr>
        <w:t>Kiti vaistai ir Provapirin</w:t>
      </w:r>
    </w:p>
    <w:p w:rsidR="000E780B" w:rsidRPr="004C6E5C" w:rsidRDefault="000E780B" w:rsidP="000E780B">
      <w:pPr>
        <w:spacing w:after="0" w:line="240" w:lineRule="auto"/>
        <w:rPr>
          <w:rFonts w:ascii="Times New Roman" w:hAnsi="Times New Roman"/>
          <w:b/>
        </w:rPr>
      </w:pPr>
      <w:r w:rsidRPr="004C6E5C">
        <w:rPr>
          <w:rFonts w:ascii="Times New Roman" w:hAnsi="Times New Roman"/>
        </w:rPr>
        <w:t>Jeigu vartojate ar neseniai vartojote kitų vaistų arba dėl to nesate tikri, apie tai pasakykite gydytojui arba vaistininkui.</w:t>
      </w:r>
    </w:p>
    <w:p w:rsidR="000E780B" w:rsidRPr="004C6E5C" w:rsidRDefault="000E780B" w:rsidP="000E780B">
      <w:pPr>
        <w:spacing w:after="0" w:line="240" w:lineRule="auto"/>
        <w:rPr>
          <w:rFonts w:ascii="Times New Roman" w:hAnsi="Times New Roman"/>
          <w:b/>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Gydymo poveikis gali pakisti, jei acetilsalicilo rūgšties vartojama kartu su kai kuriais kitais vaistais:</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skystinančiais kraują ar neleidžiančiais susidaryti krešuliams (pvz., varfarinu, heparinu, klopidogreliu);</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vartojamais persodinto organo atmetimui išvengti (ciklosporinu, takrolimuzu);</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dideliam kraujospūdžiui mažinti (pvz., diuretikais ir AKF inhibitoriais);</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širdies ritmui kontroliuoti (digoksinu);</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maniakiniam depresiniam sutrikimui gydyti (ličiu);</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skausmui ar uždegimui malšinti (pvz., NVNU, tokių kaip ibuprofenas, metamizolas ar steroidais);</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nuo podagros (pvz., probenecidu);</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nuo epilepsijos (valproatu, fenitoinu);</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nuo glaukomos (acetazolamidu);</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nuo vėžio ar reumatoidinio artrito (metotreksato, kai vartojama mažesnė kaip 15 mg savaitės dozė);</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nuo cukrinio diabeto (pvz., glibenklamido);</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nuo depresijos (selektyvaus poveikio serotonino reabsorbcijos inhibitoriais (SSRI), pvz., sertralinu ar paroksetinu);</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vartojamais pakeičiamajai hormonų terapijai, kai antinksčių liauka ar hipofizė yra pažeista ar pašalinta, arba uždegimui, įskaitant reumatines ligas ir žarnų uždegimą, slopinti (kortikosteroidais).</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b/>
        </w:rPr>
      </w:pPr>
      <w:r w:rsidRPr="004C6E5C">
        <w:rPr>
          <w:rFonts w:ascii="Times New Roman" w:hAnsi="Times New Roman"/>
          <w:b/>
        </w:rPr>
        <w:t>Provapirin vartojimas su maistu, gėrimais ir alkoholiu</w:t>
      </w:r>
    </w:p>
    <w:p w:rsidR="000E780B" w:rsidRPr="004C6E5C" w:rsidRDefault="000E780B" w:rsidP="000E780B">
      <w:pPr>
        <w:spacing w:after="0" w:line="240" w:lineRule="auto"/>
        <w:rPr>
          <w:rFonts w:ascii="Times New Roman" w:hAnsi="Times New Roman"/>
        </w:rPr>
      </w:pPr>
      <w:r w:rsidRPr="004C6E5C">
        <w:rPr>
          <w:rFonts w:ascii="Times New Roman" w:hAnsi="Times New Roman"/>
        </w:rPr>
        <w:t>Šias skrandyje neirias tabletes galima vartoti valgant arba kitu laiku.</w:t>
      </w:r>
    </w:p>
    <w:p w:rsidR="000E780B" w:rsidRPr="004C6E5C" w:rsidRDefault="000E780B" w:rsidP="000E780B">
      <w:pPr>
        <w:spacing w:after="0" w:line="240" w:lineRule="auto"/>
        <w:rPr>
          <w:rFonts w:ascii="Times New Roman" w:hAnsi="Times New Roman"/>
        </w:rPr>
      </w:pPr>
      <w:r w:rsidRPr="004C6E5C">
        <w:rPr>
          <w:rFonts w:ascii="Times New Roman" w:hAnsi="Times New Roman"/>
        </w:rPr>
        <w:lastRenderedPageBreak/>
        <w:t>Alkoholis gali didinti virškinimo trakto kraujavimo riziką ir ilginti kraujavimo laiką.</w:t>
      </w:r>
    </w:p>
    <w:p w:rsidR="000E780B" w:rsidRPr="004C6E5C" w:rsidRDefault="000E780B" w:rsidP="000E780B">
      <w:pPr>
        <w:spacing w:after="0" w:line="240" w:lineRule="auto"/>
        <w:rPr>
          <w:rFonts w:ascii="Times New Roman" w:hAnsi="Times New Roman"/>
          <w:b/>
        </w:rPr>
      </w:pPr>
    </w:p>
    <w:p w:rsidR="000E780B" w:rsidRPr="004C6E5C" w:rsidRDefault="000E780B" w:rsidP="000E780B">
      <w:pPr>
        <w:spacing w:after="0" w:line="240" w:lineRule="auto"/>
        <w:rPr>
          <w:rFonts w:ascii="Times New Roman" w:hAnsi="Times New Roman"/>
          <w:b/>
        </w:rPr>
      </w:pPr>
      <w:r w:rsidRPr="004C6E5C">
        <w:rPr>
          <w:rFonts w:ascii="Times New Roman" w:hAnsi="Times New Roman"/>
          <w:b/>
        </w:rPr>
        <w:t>Nėštumas, žindymo laikotarpis</w:t>
      </w:r>
      <w:r w:rsidRPr="004C6E5C">
        <w:rPr>
          <w:rFonts w:ascii="Times New Roman" w:hAnsi="Times New Roman"/>
        </w:rPr>
        <w:t xml:space="preserve"> </w:t>
      </w:r>
      <w:r w:rsidRPr="004C6E5C">
        <w:rPr>
          <w:rFonts w:ascii="Times New Roman" w:hAnsi="Times New Roman"/>
          <w:b/>
        </w:rPr>
        <w:t>ir vaisingumas</w:t>
      </w:r>
    </w:p>
    <w:p w:rsidR="000E780B" w:rsidRPr="004C6E5C" w:rsidRDefault="000E780B" w:rsidP="000E780B">
      <w:pPr>
        <w:spacing w:after="0" w:line="240" w:lineRule="auto"/>
        <w:rPr>
          <w:rFonts w:ascii="Times New Roman" w:hAnsi="Times New Roman"/>
        </w:rPr>
      </w:pPr>
      <w:r w:rsidRPr="004C6E5C">
        <w:rPr>
          <w:rFonts w:ascii="Times New Roman" w:hAnsi="Times New Roman"/>
        </w:rPr>
        <w:t>Jeigu esate nėščia, žindote kūdikį, manote, kad galbūt esate nėščia arba planuojate pastoti, tai prieš vartodama šį vaistą pasitarkite su gydytoju arba vaistininku.</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Nėščioms moterims acetilsalicilo rūgšties vartoti negalima, nebent taip nurodė gydytojas.</w:t>
      </w:r>
    </w:p>
    <w:p w:rsidR="000E780B" w:rsidRPr="004C6E5C" w:rsidRDefault="000E780B" w:rsidP="000E780B">
      <w:pPr>
        <w:spacing w:after="0" w:line="240" w:lineRule="auto"/>
        <w:rPr>
          <w:rFonts w:ascii="Times New Roman" w:hAnsi="Times New Roman"/>
        </w:rPr>
      </w:pPr>
      <w:r w:rsidRPr="004C6E5C">
        <w:rPr>
          <w:rFonts w:ascii="Times New Roman" w:hAnsi="Times New Roman"/>
        </w:rPr>
        <w:t>Paskutiniais 3 nėštumo mėnesiais Provapirin vartoti negalima, nebent taip nurodė gydytojas; tokiu atveju dozė negali būti didesnė kaip 100 mg (žr. poskyrį „Provapirin vartoti negalima“). Jei šis vaistinis preparatas vėlyvuoju nėštumo laikotarpiu vartojamas reguliariai arba didelėmis dozėmis, gali atsirasti sunkių komplikacijų moteriai ar vaikui.</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Krūtimi maitinančioms moterims acetilsalicilo rūgšties vartoti negalima, nebent taip nurodė gydytojas.</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b/>
        </w:rPr>
      </w:pPr>
      <w:r w:rsidRPr="004C6E5C">
        <w:rPr>
          <w:rFonts w:ascii="Times New Roman" w:hAnsi="Times New Roman"/>
          <w:b/>
        </w:rPr>
        <w:t xml:space="preserve">Vairavimas ir mechanizmų valdymas </w:t>
      </w:r>
    </w:p>
    <w:p w:rsidR="000E780B" w:rsidRPr="004C6E5C" w:rsidRDefault="000E780B" w:rsidP="000E780B">
      <w:pPr>
        <w:spacing w:after="0" w:line="240" w:lineRule="auto"/>
        <w:rPr>
          <w:rFonts w:ascii="Times New Roman" w:hAnsi="Times New Roman"/>
        </w:rPr>
      </w:pPr>
      <w:r w:rsidRPr="004C6E5C">
        <w:rPr>
          <w:rFonts w:ascii="Times New Roman" w:hAnsi="Times New Roman"/>
        </w:rPr>
        <w:t>Provapirin neturėtų sukelti poveikio gebėjimui vairuoti ir valdyti mechanizmus.</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p>
    <w:p w:rsidR="000E780B" w:rsidRPr="004C6E5C" w:rsidRDefault="000E780B" w:rsidP="000E780B">
      <w:pPr>
        <w:tabs>
          <w:tab w:val="left" w:pos="567"/>
        </w:tabs>
        <w:spacing w:after="0" w:line="240" w:lineRule="auto"/>
        <w:rPr>
          <w:rFonts w:ascii="Times New Roman" w:hAnsi="Times New Roman"/>
          <w:b/>
        </w:rPr>
      </w:pPr>
      <w:r w:rsidRPr="004C6E5C">
        <w:rPr>
          <w:rFonts w:ascii="Times New Roman" w:hAnsi="Times New Roman"/>
          <w:b/>
        </w:rPr>
        <w:t>3.</w:t>
      </w:r>
      <w:r w:rsidRPr="004C6E5C">
        <w:rPr>
          <w:rFonts w:ascii="Times New Roman" w:hAnsi="Times New Roman"/>
          <w:b/>
        </w:rPr>
        <w:tab/>
        <w:t xml:space="preserve">Kaip vartoti Provapirin </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Visada vartokite šį vaistą tiksliai kaip nurodė gydytojas arba vaistininkas. Jei abejojate, kreipkitės į gydytoją arba vaistininką.</w:t>
      </w:r>
    </w:p>
    <w:p w:rsidR="000E780B" w:rsidRPr="004C6E5C" w:rsidRDefault="000E780B" w:rsidP="000E780B">
      <w:pPr>
        <w:spacing w:after="0" w:line="240" w:lineRule="auto"/>
        <w:rPr>
          <w:rFonts w:ascii="Times New Roman" w:hAnsi="Times New Roman"/>
        </w:rPr>
      </w:pPr>
    </w:p>
    <w:p w:rsidR="000E780B" w:rsidRPr="004C6E5C" w:rsidRDefault="000E780B" w:rsidP="000E780B">
      <w:pPr>
        <w:numPr>
          <w:ilvl w:val="12"/>
          <w:numId w:val="0"/>
        </w:numPr>
        <w:spacing w:after="0" w:line="240" w:lineRule="auto"/>
        <w:ind w:right="-2"/>
        <w:rPr>
          <w:rFonts w:ascii="Times New Roman" w:hAnsi="Times New Roman"/>
          <w:u w:val="single"/>
        </w:rPr>
      </w:pPr>
      <w:r w:rsidRPr="004C6E5C">
        <w:rPr>
          <w:rFonts w:ascii="Times New Roman" w:hAnsi="Times New Roman"/>
          <w:u w:val="single"/>
        </w:rPr>
        <w:t>Suaugę žmonės</w:t>
      </w:r>
    </w:p>
    <w:p w:rsidR="000E780B" w:rsidRPr="004C6E5C" w:rsidRDefault="000E780B" w:rsidP="000E780B">
      <w:pPr>
        <w:numPr>
          <w:ilvl w:val="12"/>
          <w:numId w:val="0"/>
        </w:numPr>
        <w:tabs>
          <w:tab w:val="left" w:pos="567"/>
        </w:tabs>
        <w:spacing w:after="0" w:line="260" w:lineRule="exact"/>
        <w:ind w:right="-2"/>
        <w:rPr>
          <w:rFonts w:ascii="Times New Roman" w:hAnsi="Times New Roman"/>
        </w:rPr>
      </w:pPr>
      <w:r w:rsidRPr="004C6E5C">
        <w:rPr>
          <w:rFonts w:ascii="Times New Roman" w:hAnsi="Times New Roman"/>
          <w:i/>
        </w:rPr>
        <w:t>Širdies priepuolio profilaktika</w:t>
      </w:r>
      <w:r w:rsidRPr="004C6E5C">
        <w:rPr>
          <w:rFonts w:ascii="Times New Roman" w:hAnsi="Times New Roman"/>
        </w:rPr>
        <w:t xml:space="preserve"> </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Rekomenduojama kartą per parą vartojama dozė yra 75-150 mg.</w:t>
      </w:r>
    </w:p>
    <w:p w:rsidR="000E780B" w:rsidRPr="004C6E5C" w:rsidRDefault="000E780B" w:rsidP="000E780B">
      <w:pPr>
        <w:tabs>
          <w:tab w:val="left" w:pos="567"/>
        </w:tabs>
        <w:spacing w:after="0" w:line="260" w:lineRule="exact"/>
        <w:ind w:right="-2"/>
        <w:rPr>
          <w:rFonts w:ascii="Times New Roman" w:hAnsi="Times New Roman"/>
          <w:i/>
        </w:rPr>
      </w:pPr>
    </w:p>
    <w:p w:rsidR="000E780B" w:rsidRPr="004C6E5C" w:rsidRDefault="000E780B" w:rsidP="000E780B">
      <w:pPr>
        <w:numPr>
          <w:ilvl w:val="12"/>
          <w:numId w:val="0"/>
        </w:numPr>
        <w:tabs>
          <w:tab w:val="left" w:pos="567"/>
        </w:tabs>
        <w:spacing w:after="0" w:line="260" w:lineRule="exact"/>
        <w:ind w:right="-2"/>
        <w:rPr>
          <w:rFonts w:ascii="Times New Roman" w:hAnsi="Times New Roman"/>
        </w:rPr>
      </w:pPr>
      <w:r w:rsidRPr="004C6E5C">
        <w:rPr>
          <w:rFonts w:ascii="Times New Roman" w:hAnsi="Times New Roman"/>
          <w:i/>
        </w:rPr>
        <w:t>Insulto profilaktika</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Rekomenduojama kartą per parą vartojama dozė yra 75-300 mg.</w:t>
      </w:r>
    </w:p>
    <w:p w:rsidR="000E780B" w:rsidRPr="004C6E5C" w:rsidRDefault="000E780B" w:rsidP="000E780B">
      <w:pPr>
        <w:tabs>
          <w:tab w:val="left" w:pos="567"/>
        </w:tabs>
        <w:spacing w:after="0" w:line="260" w:lineRule="exact"/>
        <w:ind w:right="-2"/>
        <w:rPr>
          <w:rFonts w:ascii="Times New Roman" w:hAnsi="Times New Roman"/>
          <w:i/>
        </w:rPr>
      </w:pPr>
    </w:p>
    <w:p w:rsidR="000E780B" w:rsidRPr="004C6E5C" w:rsidRDefault="000E780B" w:rsidP="000E780B">
      <w:pPr>
        <w:numPr>
          <w:ilvl w:val="12"/>
          <w:numId w:val="0"/>
        </w:numPr>
        <w:tabs>
          <w:tab w:val="left" w:pos="567"/>
        </w:tabs>
        <w:spacing w:after="0" w:line="260" w:lineRule="exact"/>
        <w:ind w:right="-2"/>
        <w:rPr>
          <w:rFonts w:ascii="Times New Roman" w:hAnsi="Times New Roman"/>
        </w:rPr>
      </w:pPr>
      <w:r w:rsidRPr="004C6E5C">
        <w:rPr>
          <w:rFonts w:ascii="Times New Roman" w:hAnsi="Times New Roman"/>
          <w:i/>
        </w:rPr>
        <w:t>Širdies ir kraujagyslių sutrikimų profilaktika pacientams, kurie serga stabiliąja ar nestabiliąja krūtinės angina (pasireiškia tam tikras krūtinės skausmas)</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Rekomenduojama kartą per parą vartojama dozė yra 75-150 mg.</w:t>
      </w:r>
    </w:p>
    <w:p w:rsidR="000E780B" w:rsidRPr="004C6E5C" w:rsidRDefault="000E780B" w:rsidP="000E780B">
      <w:pPr>
        <w:tabs>
          <w:tab w:val="left" w:pos="567"/>
        </w:tabs>
        <w:spacing w:after="0" w:line="260" w:lineRule="exact"/>
        <w:ind w:right="-2"/>
        <w:rPr>
          <w:rFonts w:ascii="Times New Roman" w:hAnsi="Times New Roman"/>
          <w:i/>
        </w:rPr>
      </w:pPr>
    </w:p>
    <w:p w:rsidR="000E780B" w:rsidRPr="004C6E5C" w:rsidRDefault="000E780B" w:rsidP="000E780B">
      <w:pPr>
        <w:numPr>
          <w:ilvl w:val="12"/>
          <w:numId w:val="0"/>
        </w:numPr>
        <w:tabs>
          <w:tab w:val="left" w:pos="567"/>
        </w:tabs>
        <w:spacing w:after="0" w:line="260" w:lineRule="exact"/>
        <w:ind w:right="-2"/>
        <w:rPr>
          <w:rFonts w:ascii="Times New Roman" w:hAnsi="Times New Roman"/>
        </w:rPr>
      </w:pPr>
      <w:r w:rsidRPr="004C6E5C">
        <w:rPr>
          <w:rFonts w:ascii="Times New Roman" w:hAnsi="Times New Roman"/>
          <w:i/>
        </w:rPr>
        <w:t>Kraujo krešulių susidarymo profilaktika po tam tikrų širdies operacijų</w:t>
      </w:r>
    </w:p>
    <w:p w:rsidR="000E780B" w:rsidRPr="004C6E5C" w:rsidRDefault="000E780B" w:rsidP="000E780B">
      <w:pPr>
        <w:numPr>
          <w:ilvl w:val="0"/>
          <w:numId w:val="3"/>
        </w:numPr>
        <w:tabs>
          <w:tab w:val="num" w:pos="567"/>
        </w:tabs>
        <w:spacing w:after="0" w:line="240" w:lineRule="auto"/>
        <w:ind w:left="567" w:hanging="567"/>
        <w:contextualSpacing/>
        <w:rPr>
          <w:rFonts w:ascii="Times New Roman" w:hAnsi="Times New Roman"/>
        </w:rPr>
      </w:pPr>
      <w:r w:rsidRPr="004C6E5C">
        <w:rPr>
          <w:rFonts w:ascii="Times New Roman" w:hAnsi="Times New Roman"/>
        </w:rPr>
        <w:t>Rekomenduojama kartą per parą vartojama dozė yra 75-150 mg.</w:t>
      </w:r>
    </w:p>
    <w:p w:rsidR="000E780B" w:rsidRPr="004C6E5C" w:rsidRDefault="000E780B" w:rsidP="000E780B">
      <w:pPr>
        <w:tabs>
          <w:tab w:val="left" w:pos="567"/>
        </w:tabs>
        <w:spacing w:after="0" w:line="260" w:lineRule="exact"/>
        <w:ind w:right="-2"/>
        <w:rPr>
          <w:rFonts w:ascii="Times New Roman" w:hAnsi="Times New Roman"/>
        </w:rPr>
      </w:pPr>
    </w:p>
    <w:p w:rsidR="000E780B" w:rsidRPr="004C6E5C" w:rsidRDefault="000E780B" w:rsidP="000E780B">
      <w:pPr>
        <w:tabs>
          <w:tab w:val="left" w:pos="567"/>
        </w:tabs>
        <w:spacing w:after="0" w:line="260" w:lineRule="exact"/>
        <w:rPr>
          <w:rFonts w:ascii="Times New Roman" w:hAnsi="Times New Roman"/>
          <w:spacing w:val="-5"/>
          <w:u w:val="single"/>
        </w:rPr>
      </w:pPr>
      <w:r w:rsidRPr="004C6E5C">
        <w:rPr>
          <w:rFonts w:ascii="Times New Roman" w:hAnsi="Times New Roman"/>
          <w:spacing w:val="-5"/>
          <w:u w:val="single"/>
        </w:rPr>
        <w:t>Senyvi žmonės</w:t>
      </w:r>
    </w:p>
    <w:p w:rsidR="000E780B" w:rsidRPr="004C6E5C" w:rsidRDefault="000E780B" w:rsidP="000E780B">
      <w:pPr>
        <w:tabs>
          <w:tab w:val="left" w:pos="567"/>
        </w:tabs>
        <w:spacing w:after="0" w:line="260" w:lineRule="exact"/>
        <w:rPr>
          <w:rFonts w:ascii="Times New Roman" w:hAnsi="Times New Roman"/>
          <w:spacing w:val="-5"/>
        </w:rPr>
      </w:pPr>
      <w:r w:rsidRPr="004C6E5C">
        <w:rPr>
          <w:rFonts w:ascii="Times New Roman" w:hAnsi="Times New Roman"/>
          <w:spacing w:val="-5"/>
        </w:rPr>
        <w:t>Vartojamos suaugusiems žmonėms skiriamos dozės. Senyviems žmonėms acetilsalicilo rūgštį reikia vartoti atsargiai, kadangi jiems yra didesnė šalutinio poveikio rizika. Gydymą būtina reguliariai įvertinti.</w:t>
      </w:r>
    </w:p>
    <w:p w:rsidR="000E780B" w:rsidRPr="004C6E5C" w:rsidRDefault="000E780B" w:rsidP="000E780B">
      <w:pPr>
        <w:tabs>
          <w:tab w:val="left" w:pos="567"/>
        </w:tabs>
        <w:spacing w:after="0" w:line="260" w:lineRule="exact"/>
        <w:rPr>
          <w:rFonts w:ascii="Times New Roman" w:hAnsi="Times New Roman"/>
          <w:spacing w:val="-5"/>
        </w:rPr>
      </w:pPr>
    </w:p>
    <w:p w:rsidR="000E780B" w:rsidRPr="004C6E5C" w:rsidRDefault="000E780B" w:rsidP="000E780B">
      <w:pPr>
        <w:tabs>
          <w:tab w:val="left" w:pos="567"/>
        </w:tabs>
        <w:spacing w:after="0" w:line="260" w:lineRule="exact"/>
        <w:rPr>
          <w:rFonts w:ascii="Times New Roman" w:hAnsi="Times New Roman"/>
          <w:b/>
          <w:spacing w:val="-5"/>
        </w:rPr>
      </w:pPr>
      <w:r w:rsidRPr="004C6E5C">
        <w:rPr>
          <w:rFonts w:ascii="Times New Roman" w:hAnsi="Times New Roman"/>
          <w:b/>
          <w:spacing w:val="-5"/>
        </w:rPr>
        <w:t>Vartojimas vaikams ir paaugliams</w:t>
      </w:r>
    </w:p>
    <w:p w:rsidR="000E780B" w:rsidRPr="004C6E5C" w:rsidRDefault="000E780B" w:rsidP="000E780B">
      <w:pPr>
        <w:tabs>
          <w:tab w:val="left" w:pos="567"/>
        </w:tabs>
        <w:spacing w:after="0" w:line="260" w:lineRule="exact"/>
        <w:rPr>
          <w:rFonts w:ascii="Times New Roman" w:hAnsi="Times New Roman"/>
          <w:spacing w:val="-5"/>
        </w:rPr>
      </w:pPr>
      <w:r w:rsidRPr="004C6E5C">
        <w:rPr>
          <w:rFonts w:ascii="Times New Roman" w:hAnsi="Times New Roman"/>
          <w:spacing w:val="-5"/>
        </w:rPr>
        <w:t>Acetilsalicilo rūgšties vaikams ir jaunesniems kaip 16 metų paaugliams vartoti negalima, nebent taip nurodė gydytojas (žr. skyrių „Įspėjimai ir atsargumo priemonės“).</w:t>
      </w:r>
    </w:p>
    <w:p w:rsidR="000E780B" w:rsidRPr="004C6E5C" w:rsidRDefault="000E780B" w:rsidP="000E780B">
      <w:pPr>
        <w:tabs>
          <w:tab w:val="left" w:pos="567"/>
        </w:tabs>
        <w:spacing w:after="0" w:line="260" w:lineRule="exact"/>
        <w:rPr>
          <w:rFonts w:ascii="Times New Roman" w:hAnsi="Times New Roman"/>
          <w:spacing w:val="-5"/>
        </w:rPr>
      </w:pPr>
    </w:p>
    <w:p w:rsidR="000E780B" w:rsidRPr="004C6E5C" w:rsidRDefault="000E780B" w:rsidP="000E780B">
      <w:pPr>
        <w:tabs>
          <w:tab w:val="left" w:pos="567"/>
        </w:tabs>
        <w:spacing w:after="0" w:line="260" w:lineRule="exact"/>
        <w:rPr>
          <w:rFonts w:ascii="Times New Roman" w:hAnsi="Times New Roman"/>
          <w:spacing w:val="-5"/>
          <w:u w:val="single"/>
        </w:rPr>
      </w:pPr>
      <w:r w:rsidRPr="004C6E5C">
        <w:rPr>
          <w:rFonts w:ascii="Times New Roman" w:hAnsi="Times New Roman"/>
          <w:spacing w:val="-5"/>
          <w:u w:val="single"/>
        </w:rPr>
        <w:t>Vartojimo metodas</w:t>
      </w:r>
    </w:p>
    <w:p w:rsidR="000E780B" w:rsidRPr="004C6E5C" w:rsidRDefault="000E780B" w:rsidP="000E780B">
      <w:pPr>
        <w:tabs>
          <w:tab w:val="left" w:pos="567"/>
        </w:tabs>
        <w:spacing w:after="0" w:line="260" w:lineRule="exact"/>
        <w:rPr>
          <w:rFonts w:ascii="Times New Roman" w:hAnsi="Times New Roman"/>
          <w:spacing w:val="-5"/>
        </w:rPr>
      </w:pPr>
      <w:r w:rsidRPr="004C6E5C">
        <w:rPr>
          <w:rFonts w:ascii="Times New Roman" w:hAnsi="Times New Roman"/>
          <w:spacing w:val="-5"/>
        </w:rPr>
        <w:t>Vartoti per burną.</w:t>
      </w:r>
    </w:p>
    <w:p w:rsidR="000E780B" w:rsidRPr="004C6E5C" w:rsidRDefault="000E780B" w:rsidP="000E780B">
      <w:pPr>
        <w:tabs>
          <w:tab w:val="left" w:pos="567"/>
        </w:tabs>
        <w:spacing w:after="0" w:line="260" w:lineRule="exact"/>
        <w:rPr>
          <w:rFonts w:ascii="Times New Roman" w:hAnsi="Times New Roman"/>
        </w:rPr>
      </w:pPr>
      <w:r w:rsidRPr="004C6E5C">
        <w:rPr>
          <w:rFonts w:ascii="Times New Roman" w:hAnsi="Times New Roman"/>
          <w:spacing w:val="-5"/>
        </w:rPr>
        <w:t xml:space="preserve">Tabletes reikia nuryti sveikas, užgeriant pakankamu kiekiu skysčio (puse stiklinės vandens). </w:t>
      </w:r>
      <w:r w:rsidRPr="004C6E5C">
        <w:rPr>
          <w:rFonts w:ascii="Times New Roman" w:hAnsi="Times New Roman"/>
        </w:rPr>
        <w:t>Kadangi tabletė turi skrandyje neirią dangą, jos negalima traiškyti, laužyti ar kramtyti, kadangi danga apsaugo nuo dirginamojo poveikio žarnyne.</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b/>
        </w:rPr>
      </w:pPr>
      <w:r w:rsidRPr="004C6E5C">
        <w:rPr>
          <w:rFonts w:ascii="Times New Roman" w:hAnsi="Times New Roman"/>
          <w:b/>
        </w:rPr>
        <w:t>Ką daryti pavartojus per didelę Provapirin dozę?</w:t>
      </w:r>
    </w:p>
    <w:p w:rsidR="000E780B" w:rsidRPr="004C6E5C" w:rsidRDefault="000E780B" w:rsidP="000E780B">
      <w:pPr>
        <w:spacing w:after="0" w:line="240" w:lineRule="auto"/>
        <w:rPr>
          <w:rFonts w:ascii="Times New Roman" w:hAnsi="Times New Roman"/>
        </w:rPr>
      </w:pPr>
      <w:r w:rsidRPr="004C6E5C">
        <w:rPr>
          <w:rFonts w:ascii="Times New Roman" w:hAnsi="Times New Roman"/>
        </w:rPr>
        <w:t>Jeigu Jūs (arba kas nors kitas) netyčia išgersite per daug tablečių, turite nedelsdami pasakyti gydytojui ar kreiptis į artimiausią skubios pagalbos ligoninę. Gydytojui parodykite likusias tabletes ar tuščią pakuotę.</w:t>
      </w:r>
    </w:p>
    <w:p w:rsidR="000E780B" w:rsidRPr="004C6E5C" w:rsidRDefault="000E780B" w:rsidP="000E780B">
      <w:pPr>
        <w:spacing w:after="0" w:line="240" w:lineRule="auto"/>
        <w:rPr>
          <w:rFonts w:ascii="Times New Roman" w:hAnsi="Times New Roman"/>
        </w:rPr>
      </w:pPr>
      <w:r w:rsidRPr="004C6E5C">
        <w:rPr>
          <w:rFonts w:ascii="Times New Roman" w:hAnsi="Times New Roman"/>
        </w:rPr>
        <w:lastRenderedPageBreak/>
        <w:t>Galimi perdozavimo simptomai yra spengimas ausyse, klausos sutrikimai, galvos skausmas, svaigulys, sumišimas, pykinimas, vėmimas ir pilvo skausmas. Didelis perdozavimas gali sukelti dažnesnį nei įprasta kvėpavimą (hiperventiliaciją), karščiavimą, smarkų prakaitavimą, neramumą, traukulius, haliucinacijas, mažą cukraus kiekį kraujyje, komą ir šoką.</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20" w:lineRule="exact"/>
        <w:rPr>
          <w:rFonts w:ascii="Times New Roman" w:hAnsi="Times New Roman"/>
          <w:b/>
        </w:rPr>
      </w:pPr>
      <w:r w:rsidRPr="004C6E5C">
        <w:rPr>
          <w:rFonts w:ascii="Times New Roman" w:hAnsi="Times New Roman"/>
          <w:b/>
        </w:rPr>
        <w:t>Pamiršus pavartoti Provapirin</w:t>
      </w:r>
    </w:p>
    <w:p w:rsidR="000E780B" w:rsidRPr="004C6E5C" w:rsidRDefault="000E780B" w:rsidP="000E780B">
      <w:pPr>
        <w:spacing w:after="0" w:line="240" w:lineRule="auto"/>
        <w:rPr>
          <w:rFonts w:ascii="Times New Roman" w:hAnsi="Times New Roman"/>
        </w:rPr>
      </w:pPr>
      <w:r w:rsidRPr="004C6E5C">
        <w:rPr>
          <w:rFonts w:ascii="Times New Roman" w:hAnsi="Times New Roman"/>
        </w:rPr>
        <w:t>Jeigu praleidote dozę, palaukite, kol ateis laikas gerti kitą dozę, ir toliau vaistą vartokite įprastai. Negalima vartoti dvigubos dozės norint kompensuoti praleistą tabletę.</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Jeigu kiltų daugiau klausimų dėl šio vaisto vartojimo, kreipkitės į gydytoją arba vaistininką.</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p>
    <w:p w:rsidR="000E780B" w:rsidRPr="004C6E5C" w:rsidRDefault="000E780B" w:rsidP="000E780B">
      <w:pPr>
        <w:keepNext/>
        <w:tabs>
          <w:tab w:val="left" w:pos="567"/>
        </w:tabs>
        <w:spacing w:after="0" w:line="240" w:lineRule="auto"/>
        <w:ind w:left="567" w:hanging="567"/>
        <w:outlineLvl w:val="1"/>
        <w:rPr>
          <w:rFonts w:ascii="Times New Roman" w:hAnsi="Times New Roman"/>
          <w:b/>
        </w:rPr>
      </w:pPr>
      <w:bookmarkStart w:id="4" w:name="_Toc129243267"/>
      <w:bookmarkStart w:id="5" w:name="_Toc129243142"/>
      <w:r w:rsidRPr="004C6E5C">
        <w:rPr>
          <w:rFonts w:ascii="Times New Roman" w:hAnsi="Times New Roman"/>
          <w:b/>
        </w:rPr>
        <w:t>4.</w:t>
      </w:r>
      <w:r w:rsidRPr="004C6E5C">
        <w:rPr>
          <w:rFonts w:ascii="Times New Roman" w:hAnsi="Times New Roman"/>
          <w:b/>
        </w:rPr>
        <w:tab/>
        <w:t>Galimas šalutinis poveikis</w:t>
      </w:r>
      <w:bookmarkEnd w:id="4"/>
      <w:bookmarkEnd w:id="5"/>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Šis vaistas, kaip ir visi kiti, gali sukelti šalutinį poveikį, nors jis pasireiškia ne visiems žmonėms.</w:t>
      </w:r>
    </w:p>
    <w:p w:rsidR="000E780B" w:rsidRPr="004C6E5C" w:rsidRDefault="000E780B" w:rsidP="000E780B">
      <w:pPr>
        <w:spacing w:after="0" w:line="240" w:lineRule="auto"/>
        <w:rPr>
          <w:rFonts w:ascii="Times New Roman" w:hAnsi="Times New Roman"/>
        </w:rPr>
      </w:pPr>
    </w:p>
    <w:p w:rsidR="000E780B" w:rsidRPr="004C6E5C" w:rsidRDefault="000E780B" w:rsidP="000E780B">
      <w:pPr>
        <w:tabs>
          <w:tab w:val="left" w:pos="567"/>
        </w:tabs>
        <w:spacing w:after="0" w:line="260" w:lineRule="exact"/>
        <w:rPr>
          <w:rFonts w:ascii="Times New Roman" w:hAnsi="Times New Roman"/>
          <w:b/>
        </w:rPr>
      </w:pPr>
      <w:r w:rsidRPr="004C6E5C">
        <w:rPr>
          <w:rFonts w:ascii="Times New Roman" w:hAnsi="Times New Roman"/>
          <w:b/>
        </w:rPr>
        <w:t>Jei pastebėsite bet kurį toliau išvardytą sunkų šalutinį poveikį, nutraukite Provapirin vartojimą ir nedelsdami kreipkitės į gydytoją.</w:t>
      </w:r>
    </w:p>
    <w:p w:rsidR="000E780B" w:rsidRPr="004C6E5C" w:rsidRDefault="000E780B" w:rsidP="000E780B">
      <w:pPr>
        <w:numPr>
          <w:ilvl w:val="12"/>
          <w:numId w:val="0"/>
        </w:numPr>
        <w:spacing w:after="0" w:line="240" w:lineRule="auto"/>
        <w:ind w:left="567" w:right="-2" w:hanging="567"/>
        <w:rPr>
          <w:rFonts w:ascii="Times New Roman" w:hAnsi="Times New Roman"/>
        </w:rPr>
      </w:pPr>
      <w:r w:rsidRPr="004C6E5C">
        <w:rPr>
          <w:rFonts w:ascii="Times New Roman" w:hAnsi="Times New Roman"/>
        </w:rPr>
        <w:t>-</w:t>
      </w:r>
      <w:r w:rsidRPr="004C6E5C">
        <w:rPr>
          <w:rFonts w:ascii="Times New Roman" w:hAnsi="Times New Roman"/>
        </w:rPr>
        <w:tab/>
        <w:t xml:space="preserve">Staiga atsiradęs švokštimas, lūpų, veido ar kūno patinimas, išbėrimas, alpulys ar kvėpavimo pasunkėjimas (sunki alerginė reakcija) (retai). </w:t>
      </w:r>
    </w:p>
    <w:p w:rsidR="000E780B" w:rsidRPr="004C6E5C" w:rsidRDefault="000E780B" w:rsidP="000E780B">
      <w:pPr>
        <w:tabs>
          <w:tab w:val="left" w:pos="0"/>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Odos paraudimas, pūslių atsiradimas ar lupimasis; kartu gali pasireikšti karščiavimas ir sąnarių skausmas. Tai gali būti daugiaformė eritema, Stivenso–Džonsono (</w:t>
      </w:r>
      <w:r w:rsidRPr="00CF10CF">
        <w:rPr>
          <w:rFonts w:ascii="Times New Roman" w:hAnsi="Times New Roman"/>
          <w:i/>
          <w:lang w:val="en-US"/>
        </w:rPr>
        <w:t>Stevens-Johnson</w:t>
      </w:r>
      <w:r w:rsidRPr="004C6E5C">
        <w:rPr>
          <w:rFonts w:ascii="Times New Roman" w:hAnsi="Times New Roman"/>
        </w:rPr>
        <w:t>) sindromas ar Lajelio (</w:t>
      </w:r>
      <w:r w:rsidRPr="00EB7699">
        <w:rPr>
          <w:rFonts w:ascii="Times New Roman" w:hAnsi="Times New Roman"/>
          <w:i/>
        </w:rPr>
        <w:t>Lyell</w:t>
      </w:r>
      <w:r w:rsidRPr="004C6E5C">
        <w:rPr>
          <w:rFonts w:ascii="Times New Roman" w:hAnsi="Times New Roman"/>
        </w:rPr>
        <w:t xml:space="preserve">) sindromas (retai). </w:t>
      </w:r>
    </w:p>
    <w:p w:rsidR="000E780B" w:rsidRPr="004C6E5C" w:rsidRDefault="000E780B" w:rsidP="000E780B">
      <w:pPr>
        <w:autoSpaceDE w:val="0"/>
        <w:autoSpaceDN w:val="0"/>
        <w:adjustRightInd w:val="0"/>
        <w:spacing w:after="0" w:line="240" w:lineRule="auto"/>
        <w:ind w:left="567" w:hanging="567"/>
        <w:rPr>
          <w:rFonts w:ascii="Times New Roman" w:hAnsi="Times New Roman"/>
        </w:rPr>
      </w:pPr>
      <w:r w:rsidRPr="004C6E5C">
        <w:rPr>
          <w:rFonts w:ascii="Times New Roman" w:hAnsi="Times New Roman"/>
        </w:rPr>
        <w:t>-</w:t>
      </w:r>
      <w:r w:rsidRPr="004C6E5C">
        <w:rPr>
          <w:rFonts w:ascii="Times New Roman" w:hAnsi="Times New Roman"/>
        </w:rPr>
        <w:tab/>
        <w:t>Neįprastas kraujavimas, pvz., kosėjimas krauju, vėmimas krauju, kraujo atsiradimas šlapime ar juodų išmatų atsiradimas (dažnis nežinomas).</w:t>
      </w:r>
    </w:p>
    <w:p w:rsidR="000E780B" w:rsidRPr="004C6E5C" w:rsidRDefault="000E780B" w:rsidP="000E780B">
      <w:pPr>
        <w:autoSpaceDE w:val="0"/>
        <w:autoSpaceDN w:val="0"/>
        <w:adjustRightInd w:val="0"/>
        <w:spacing w:after="0" w:line="240" w:lineRule="auto"/>
        <w:ind w:left="567" w:hanging="567"/>
        <w:rPr>
          <w:rFonts w:ascii="Times New Roman" w:hAnsi="Times New Roman"/>
        </w:rPr>
      </w:pPr>
      <w:r w:rsidRPr="004C6E5C">
        <w:rPr>
          <w:rFonts w:ascii="Times New Roman" w:hAnsi="Times New Roman"/>
        </w:rPr>
        <w:t>-</w:t>
      </w:r>
      <w:r w:rsidRPr="004C6E5C">
        <w:rPr>
          <w:rFonts w:ascii="Times New Roman" w:hAnsi="Times New Roman"/>
        </w:rPr>
        <w:tab/>
        <w:t>Opelės burnoje, karščiavimas ir infekcija (dėl agranulocitozės, t.y. labai sumažėjusio baltųjų kraujo kūnelių kiekio) (retai).</w:t>
      </w:r>
    </w:p>
    <w:p w:rsidR="000E780B" w:rsidRPr="004C6E5C" w:rsidRDefault="000E780B" w:rsidP="000E780B">
      <w:pPr>
        <w:autoSpaceDE w:val="0"/>
        <w:autoSpaceDN w:val="0"/>
        <w:adjustRightInd w:val="0"/>
        <w:spacing w:after="0" w:line="240" w:lineRule="auto"/>
        <w:rPr>
          <w:rFonts w:ascii="Times New Roman" w:hAnsi="Times New Roman"/>
          <w:highlight w:val="yellow"/>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Galimas šalutinis poveikis žemiau sugrupuotas pagal dažnį.</w:t>
      </w:r>
    </w:p>
    <w:p w:rsidR="000E780B" w:rsidRPr="004C6E5C" w:rsidRDefault="000E780B" w:rsidP="000E780B">
      <w:pPr>
        <w:autoSpaceDE w:val="0"/>
        <w:autoSpaceDN w:val="0"/>
        <w:adjustRightInd w:val="0"/>
        <w:spacing w:after="0" w:line="240" w:lineRule="auto"/>
        <w:rPr>
          <w:rFonts w:ascii="Times New Roman" w:hAnsi="Times New Roman"/>
          <w:highlight w:val="yellow"/>
        </w:rPr>
      </w:pPr>
    </w:p>
    <w:p w:rsidR="000E780B" w:rsidRPr="004C6E5C" w:rsidRDefault="000E780B" w:rsidP="000E780B">
      <w:pPr>
        <w:tabs>
          <w:tab w:val="left" w:pos="567"/>
        </w:tabs>
        <w:spacing w:after="0" w:line="260" w:lineRule="exact"/>
        <w:rPr>
          <w:rFonts w:ascii="Times New Roman" w:hAnsi="Times New Roman"/>
          <w:u w:val="single"/>
        </w:rPr>
      </w:pPr>
      <w:r w:rsidRPr="004C6E5C">
        <w:rPr>
          <w:rFonts w:ascii="Times New Roman" w:hAnsi="Times New Roman"/>
          <w:u w:val="single"/>
        </w:rPr>
        <w:t>Dažnas šalutinis poveikis (pasireiškia 1</w:t>
      </w:r>
      <w:r w:rsidRPr="004C6E5C">
        <w:rPr>
          <w:rFonts w:ascii="Times New Roman" w:hAnsi="Times New Roman"/>
          <w:u w:val="single"/>
        </w:rPr>
        <w:noBreakHyphen/>
        <w:t>10 pacientų iš 100)</w:t>
      </w:r>
    </w:p>
    <w:p w:rsidR="000E780B" w:rsidRPr="004C6E5C" w:rsidRDefault="000E780B" w:rsidP="000E780B">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Nevirškinimas.</w:t>
      </w:r>
    </w:p>
    <w:p w:rsidR="000E780B" w:rsidRPr="004C6E5C" w:rsidRDefault="000E780B" w:rsidP="000E780B">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Padidėjęs polinkis kraujuoti.</w:t>
      </w:r>
    </w:p>
    <w:p w:rsidR="000E780B" w:rsidRPr="004C6E5C" w:rsidRDefault="000E780B" w:rsidP="000E780B">
      <w:pPr>
        <w:tabs>
          <w:tab w:val="left" w:pos="567"/>
        </w:tabs>
        <w:spacing w:after="0" w:line="260" w:lineRule="exact"/>
        <w:rPr>
          <w:rFonts w:ascii="Times New Roman" w:hAnsi="Times New Roman"/>
        </w:rPr>
      </w:pPr>
    </w:p>
    <w:p w:rsidR="000E780B" w:rsidRPr="004C6E5C" w:rsidRDefault="000E780B" w:rsidP="000E780B">
      <w:pPr>
        <w:tabs>
          <w:tab w:val="left" w:pos="567"/>
        </w:tabs>
        <w:spacing w:after="0" w:line="260" w:lineRule="exact"/>
        <w:rPr>
          <w:rFonts w:ascii="Times New Roman" w:hAnsi="Times New Roman"/>
          <w:u w:val="single"/>
        </w:rPr>
      </w:pPr>
      <w:r w:rsidRPr="004C6E5C">
        <w:rPr>
          <w:rFonts w:ascii="Times New Roman" w:hAnsi="Times New Roman"/>
          <w:u w:val="single"/>
        </w:rPr>
        <w:t>Nedažnas šalutinis poveikis (pasireiškia 1</w:t>
      </w:r>
      <w:r w:rsidRPr="004C6E5C">
        <w:rPr>
          <w:rFonts w:ascii="Times New Roman" w:hAnsi="Times New Roman"/>
          <w:u w:val="single"/>
        </w:rPr>
        <w:noBreakHyphen/>
        <w:t>10 pacientų iš 1000)</w:t>
      </w:r>
    </w:p>
    <w:p w:rsidR="000E780B" w:rsidRPr="004C6E5C" w:rsidRDefault="000E780B" w:rsidP="000E780B">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 xml:space="preserve">Dilgėlinė. </w:t>
      </w:r>
    </w:p>
    <w:p w:rsidR="000E780B" w:rsidRPr="004C6E5C" w:rsidRDefault="000E780B" w:rsidP="000E780B">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Sloga.</w:t>
      </w:r>
    </w:p>
    <w:p w:rsidR="000E780B" w:rsidRPr="004C6E5C" w:rsidRDefault="000E780B" w:rsidP="000E780B">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Kvėpavimo pasunkėjimas.</w:t>
      </w:r>
    </w:p>
    <w:p w:rsidR="000E780B" w:rsidRPr="004C6E5C" w:rsidRDefault="000E780B" w:rsidP="000E780B">
      <w:pPr>
        <w:tabs>
          <w:tab w:val="left" w:pos="567"/>
        </w:tabs>
        <w:spacing w:after="0" w:line="260" w:lineRule="exact"/>
        <w:ind w:left="426" w:hanging="426"/>
        <w:rPr>
          <w:rFonts w:ascii="Times New Roman" w:hAnsi="Times New Roman"/>
        </w:rPr>
      </w:pPr>
    </w:p>
    <w:p w:rsidR="000E780B" w:rsidRPr="004C6E5C" w:rsidRDefault="000E780B" w:rsidP="000E780B">
      <w:pPr>
        <w:tabs>
          <w:tab w:val="left" w:pos="567"/>
        </w:tabs>
        <w:spacing w:after="0" w:line="260" w:lineRule="exact"/>
        <w:rPr>
          <w:rFonts w:ascii="Times New Roman" w:hAnsi="Times New Roman"/>
          <w:u w:val="single"/>
        </w:rPr>
      </w:pPr>
      <w:r w:rsidRPr="004C6E5C">
        <w:rPr>
          <w:rFonts w:ascii="Times New Roman" w:hAnsi="Times New Roman"/>
          <w:u w:val="single"/>
        </w:rPr>
        <w:t>Retas šalutinis poveikis (pasireiškia 1</w:t>
      </w:r>
      <w:r w:rsidRPr="004C6E5C">
        <w:rPr>
          <w:rFonts w:ascii="Times New Roman" w:hAnsi="Times New Roman"/>
          <w:u w:val="single"/>
        </w:rPr>
        <w:noBreakHyphen/>
        <w:t>10 pacientų iš 10000)</w:t>
      </w:r>
    </w:p>
    <w:p w:rsidR="000E780B" w:rsidRPr="004C6E5C" w:rsidRDefault="000E780B" w:rsidP="000E780B">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Sunkus skrandžio ar žarnyno kraujavimas, kraujosruva smegenyse, kraujo ląstelių kiekio pokytis.</w:t>
      </w:r>
    </w:p>
    <w:p w:rsidR="000E780B" w:rsidRPr="004C6E5C" w:rsidRDefault="000E780B" w:rsidP="000E780B">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 xml:space="preserve">Pykinimas ir vėmimas. </w:t>
      </w:r>
    </w:p>
    <w:p w:rsidR="000E780B" w:rsidRPr="004C6E5C" w:rsidRDefault="000E780B" w:rsidP="000E780B">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Apatinių kvėpavimo takų spazmas, astmos priepuolis.</w:t>
      </w:r>
    </w:p>
    <w:p w:rsidR="000E780B" w:rsidRPr="004C6E5C" w:rsidRDefault="000E780B" w:rsidP="000E780B">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Kraujagyslių uždegimas.</w:t>
      </w:r>
    </w:p>
    <w:p w:rsidR="000E780B" w:rsidRPr="004C6E5C" w:rsidRDefault="000E780B" w:rsidP="000E780B">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 xml:space="preserve">Kraujosruvos su violetinėmis dėmėmis (odos kraujavimas). </w:t>
      </w:r>
    </w:p>
    <w:p w:rsidR="000E780B" w:rsidRPr="004C6E5C" w:rsidRDefault="000E780B" w:rsidP="000E780B">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Sunkios odos reakcijos, pvz., išbėrimas (daugiaformė eritema) ir gyvybei pavojingos jo formos (Stivenso–Džonsono (</w:t>
      </w:r>
      <w:r w:rsidRPr="004C6E5C">
        <w:rPr>
          <w:rFonts w:ascii="Times New Roman" w:hAnsi="Times New Roman"/>
          <w:i/>
        </w:rPr>
        <w:t>Stevens-Johnson</w:t>
      </w:r>
      <w:r w:rsidRPr="004C6E5C">
        <w:rPr>
          <w:rFonts w:ascii="Times New Roman" w:hAnsi="Times New Roman"/>
        </w:rPr>
        <w:t>) sindromas ir Lajelio (</w:t>
      </w:r>
      <w:r w:rsidRPr="004C6E5C">
        <w:rPr>
          <w:rFonts w:ascii="Times New Roman" w:hAnsi="Times New Roman"/>
          <w:i/>
        </w:rPr>
        <w:t>Lyell</w:t>
      </w:r>
      <w:r w:rsidRPr="004C6E5C">
        <w:rPr>
          <w:rFonts w:ascii="Times New Roman" w:hAnsi="Times New Roman"/>
        </w:rPr>
        <w:t>) sindromas).</w:t>
      </w:r>
    </w:p>
    <w:p w:rsidR="000E780B" w:rsidRPr="004C6E5C" w:rsidRDefault="000E780B" w:rsidP="000E780B">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Padidėjusio jautrumo reakcijos, pvz., lūpų, veido ar kūno patinimas, šokas.</w:t>
      </w:r>
    </w:p>
    <w:p w:rsidR="000E780B" w:rsidRPr="004C6E5C" w:rsidRDefault="000E780B" w:rsidP="000E780B">
      <w:pPr>
        <w:tabs>
          <w:tab w:val="left" w:pos="567"/>
        </w:tabs>
        <w:spacing w:after="0" w:line="260" w:lineRule="exact"/>
        <w:ind w:left="567" w:hanging="567"/>
        <w:rPr>
          <w:rFonts w:ascii="Times New Roman" w:hAnsi="Times New Roman"/>
        </w:rPr>
      </w:pPr>
      <w:r w:rsidRPr="004C6E5C">
        <w:rPr>
          <w:rFonts w:ascii="Times New Roman" w:hAnsi="Times New Roman"/>
        </w:rPr>
        <w:t>-</w:t>
      </w:r>
      <w:r w:rsidRPr="004C6E5C">
        <w:rPr>
          <w:rFonts w:ascii="Times New Roman" w:hAnsi="Times New Roman"/>
        </w:rPr>
        <w:tab/>
        <w:t xml:space="preserve">Neįprastai gausios ar ilgos menstruacijos. </w:t>
      </w:r>
    </w:p>
    <w:p w:rsidR="000E780B" w:rsidRPr="004C6E5C" w:rsidRDefault="000E780B" w:rsidP="000E780B">
      <w:pPr>
        <w:tabs>
          <w:tab w:val="left" w:pos="567"/>
        </w:tabs>
        <w:spacing w:after="0" w:line="260" w:lineRule="exact"/>
        <w:rPr>
          <w:rFonts w:ascii="Times New Roman" w:hAnsi="Times New Roman"/>
          <w:sz w:val="24"/>
        </w:rPr>
      </w:pPr>
    </w:p>
    <w:p w:rsidR="000E780B" w:rsidRPr="004C6E5C" w:rsidRDefault="000E780B" w:rsidP="000E780B">
      <w:pPr>
        <w:tabs>
          <w:tab w:val="left" w:pos="567"/>
        </w:tabs>
        <w:spacing w:after="0" w:line="260" w:lineRule="exact"/>
        <w:rPr>
          <w:rFonts w:ascii="Times New Roman" w:hAnsi="Times New Roman"/>
          <w:u w:val="single"/>
        </w:rPr>
      </w:pPr>
      <w:r w:rsidRPr="004C6E5C">
        <w:rPr>
          <w:rFonts w:ascii="Times New Roman" w:hAnsi="Times New Roman"/>
          <w:u w:val="single"/>
        </w:rPr>
        <w:t>Nežinomo dažnio šalutinis poveikis (dažnio negalima apskaičiuoti pagal turimus duomenis)</w:t>
      </w:r>
    </w:p>
    <w:p w:rsidR="000E780B" w:rsidRPr="004C6E5C" w:rsidRDefault="000E780B" w:rsidP="000E780B">
      <w:pPr>
        <w:tabs>
          <w:tab w:val="left" w:pos="567"/>
        </w:tabs>
        <w:autoSpaceDE w:val="0"/>
        <w:autoSpaceDN w:val="0"/>
        <w:adjustRightInd w:val="0"/>
        <w:spacing w:after="0" w:line="240" w:lineRule="auto"/>
        <w:rPr>
          <w:rFonts w:ascii="Times New Roman" w:hAnsi="Times New Roman"/>
        </w:rPr>
      </w:pPr>
      <w:r w:rsidRPr="004C6E5C">
        <w:rPr>
          <w:rFonts w:ascii="Times New Roman" w:hAnsi="Times New Roman"/>
        </w:rPr>
        <w:t>-</w:t>
      </w:r>
      <w:r w:rsidRPr="004C6E5C">
        <w:rPr>
          <w:rFonts w:ascii="Times New Roman" w:hAnsi="Times New Roman"/>
        </w:rPr>
        <w:tab/>
        <w:t>Spengimas ausyse ir klausos pablogėjimas.</w:t>
      </w:r>
    </w:p>
    <w:p w:rsidR="000E780B" w:rsidRPr="004C6E5C" w:rsidRDefault="000E780B" w:rsidP="000E780B">
      <w:pPr>
        <w:tabs>
          <w:tab w:val="left" w:pos="567"/>
        </w:tabs>
        <w:autoSpaceDE w:val="0"/>
        <w:autoSpaceDN w:val="0"/>
        <w:adjustRightInd w:val="0"/>
        <w:spacing w:after="0" w:line="240" w:lineRule="auto"/>
        <w:rPr>
          <w:rFonts w:ascii="Times New Roman" w:hAnsi="Times New Roman"/>
        </w:rPr>
      </w:pPr>
      <w:r w:rsidRPr="004C6E5C">
        <w:rPr>
          <w:rFonts w:ascii="Times New Roman" w:hAnsi="Times New Roman"/>
        </w:rPr>
        <w:t>-</w:t>
      </w:r>
      <w:r w:rsidRPr="004C6E5C">
        <w:rPr>
          <w:rFonts w:ascii="Times New Roman" w:hAnsi="Times New Roman"/>
        </w:rPr>
        <w:tab/>
        <w:t>Galvos skausmas.</w:t>
      </w:r>
    </w:p>
    <w:p w:rsidR="000E780B" w:rsidRPr="004C6E5C" w:rsidRDefault="000E780B" w:rsidP="000E780B">
      <w:pPr>
        <w:tabs>
          <w:tab w:val="left" w:pos="567"/>
        </w:tabs>
        <w:autoSpaceDE w:val="0"/>
        <w:autoSpaceDN w:val="0"/>
        <w:adjustRightInd w:val="0"/>
        <w:spacing w:after="0" w:line="240" w:lineRule="auto"/>
        <w:rPr>
          <w:rFonts w:ascii="Times New Roman" w:hAnsi="Times New Roman"/>
        </w:rPr>
      </w:pPr>
      <w:r w:rsidRPr="004C6E5C">
        <w:rPr>
          <w:rFonts w:ascii="Times New Roman" w:hAnsi="Times New Roman"/>
        </w:rPr>
        <w:t>-</w:t>
      </w:r>
      <w:r w:rsidRPr="004C6E5C">
        <w:rPr>
          <w:rFonts w:ascii="Times New Roman" w:hAnsi="Times New Roman"/>
        </w:rPr>
        <w:tab/>
        <w:t>Galvos svaigimas.</w:t>
      </w:r>
    </w:p>
    <w:p w:rsidR="000E780B" w:rsidRPr="004C6E5C" w:rsidRDefault="000E780B" w:rsidP="000E780B">
      <w:pPr>
        <w:tabs>
          <w:tab w:val="left" w:pos="567"/>
        </w:tabs>
        <w:autoSpaceDE w:val="0"/>
        <w:autoSpaceDN w:val="0"/>
        <w:adjustRightInd w:val="0"/>
        <w:spacing w:after="0" w:line="240" w:lineRule="auto"/>
        <w:rPr>
          <w:rFonts w:ascii="Times New Roman" w:hAnsi="Times New Roman"/>
        </w:rPr>
      </w:pPr>
      <w:r w:rsidRPr="004C6E5C">
        <w:rPr>
          <w:rFonts w:ascii="Times New Roman" w:hAnsi="Times New Roman"/>
        </w:rPr>
        <w:lastRenderedPageBreak/>
        <w:t>-</w:t>
      </w:r>
      <w:r w:rsidRPr="004C6E5C">
        <w:rPr>
          <w:rFonts w:ascii="Times New Roman" w:hAnsi="Times New Roman"/>
        </w:rPr>
        <w:tab/>
        <w:t>Skrandžio ir plonosios žarnos opos ir prakiurimas.</w:t>
      </w:r>
    </w:p>
    <w:p w:rsidR="000E780B" w:rsidRPr="004C6E5C" w:rsidRDefault="000E780B" w:rsidP="000E780B">
      <w:pPr>
        <w:tabs>
          <w:tab w:val="left" w:pos="567"/>
        </w:tabs>
        <w:autoSpaceDE w:val="0"/>
        <w:autoSpaceDN w:val="0"/>
        <w:adjustRightInd w:val="0"/>
        <w:spacing w:after="0" w:line="240" w:lineRule="auto"/>
        <w:rPr>
          <w:rFonts w:ascii="Times New Roman" w:hAnsi="Times New Roman"/>
        </w:rPr>
      </w:pPr>
      <w:r w:rsidRPr="004C6E5C">
        <w:rPr>
          <w:rFonts w:ascii="Times New Roman" w:hAnsi="Times New Roman"/>
        </w:rPr>
        <w:t>-</w:t>
      </w:r>
      <w:r w:rsidRPr="004C6E5C">
        <w:rPr>
          <w:rFonts w:ascii="Times New Roman" w:hAnsi="Times New Roman"/>
        </w:rPr>
        <w:tab/>
        <w:t>Kraujavimo laiko pailgėjimas.</w:t>
      </w:r>
    </w:p>
    <w:p w:rsidR="000E780B" w:rsidRPr="004C6E5C" w:rsidRDefault="000E780B" w:rsidP="000E780B">
      <w:pPr>
        <w:tabs>
          <w:tab w:val="left" w:pos="567"/>
        </w:tabs>
        <w:autoSpaceDE w:val="0"/>
        <w:autoSpaceDN w:val="0"/>
        <w:adjustRightInd w:val="0"/>
        <w:spacing w:after="0" w:line="260" w:lineRule="exact"/>
        <w:rPr>
          <w:rFonts w:ascii="Times New Roman" w:hAnsi="Times New Roman"/>
        </w:rPr>
      </w:pPr>
      <w:r w:rsidRPr="004C6E5C">
        <w:rPr>
          <w:rFonts w:ascii="Times New Roman" w:hAnsi="Times New Roman"/>
        </w:rPr>
        <w:t>-</w:t>
      </w:r>
      <w:r w:rsidRPr="004C6E5C">
        <w:rPr>
          <w:rFonts w:ascii="Times New Roman" w:hAnsi="Times New Roman"/>
        </w:rPr>
        <w:tab/>
        <w:t>Inkstų funkcijos sutrikimas.</w:t>
      </w:r>
    </w:p>
    <w:p w:rsidR="000E780B" w:rsidRPr="004C6E5C" w:rsidRDefault="000E780B" w:rsidP="000E780B">
      <w:pPr>
        <w:tabs>
          <w:tab w:val="left" w:pos="567"/>
        </w:tabs>
        <w:autoSpaceDE w:val="0"/>
        <w:autoSpaceDN w:val="0"/>
        <w:adjustRightInd w:val="0"/>
        <w:spacing w:after="0" w:line="260" w:lineRule="exact"/>
        <w:rPr>
          <w:rFonts w:ascii="Times New Roman" w:hAnsi="Times New Roman"/>
        </w:rPr>
      </w:pPr>
      <w:r w:rsidRPr="004C6E5C">
        <w:rPr>
          <w:rFonts w:ascii="Times New Roman" w:hAnsi="Times New Roman"/>
        </w:rPr>
        <w:t>-</w:t>
      </w:r>
      <w:r w:rsidRPr="004C6E5C">
        <w:rPr>
          <w:rFonts w:ascii="Times New Roman" w:hAnsi="Times New Roman"/>
        </w:rPr>
        <w:tab/>
        <w:t>Kepenų funkcijos sutrikimas.</w:t>
      </w:r>
    </w:p>
    <w:p w:rsidR="000E780B" w:rsidRPr="004C6E5C" w:rsidRDefault="000E780B" w:rsidP="000E780B">
      <w:pPr>
        <w:tabs>
          <w:tab w:val="left" w:pos="567"/>
        </w:tabs>
        <w:autoSpaceDE w:val="0"/>
        <w:autoSpaceDN w:val="0"/>
        <w:adjustRightInd w:val="0"/>
        <w:spacing w:after="0" w:line="260" w:lineRule="exact"/>
        <w:rPr>
          <w:rFonts w:ascii="Times New Roman" w:hAnsi="Times New Roman"/>
        </w:rPr>
      </w:pPr>
      <w:r w:rsidRPr="004C6E5C">
        <w:rPr>
          <w:rFonts w:ascii="Times New Roman" w:hAnsi="Times New Roman"/>
        </w:rPr>
        <w:t>-</w:t>
      </w:r>
      <w:r w:rsidRPr="004C6E5C">
        <w:rPr>
          <w:rFonts w:ascii="Times New Roman" w:hAnsi="Times New Roman"/>
        </w:rPr>
        <w:tab/>
        <w:t>Didelis šlapimo rūgšties kiekis kraujyje.</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b/>
        </w:rPr>
      </w:pPr>
      <w:r w:rsidRPr="004C6E5C">
        <w:rPr>
          <w:rFonts w:ascii="Times New Roman" w:hAnsi="Times New Roman"/>
          <w:b/>
        </w:rPr>
        <w:t>Pranešimas apie šalutinį poveikį</w:t>
      </w:r>
    </w:p>
    <w:p w:rsidR="000E780B" w:rsidRPr="004C6E5C" w:rsidRDefault="000E780B" w:rsidP="000E780B">
      <w:pPr>
        <w:spacing w:after="0" w:line="240" w:lineRule="auto"/>
        <w:rPr>
          <w:rFonts w:ascii="Times New Roman" w:hAnsi="Times New Roman"/>
        </w:rPr>
      </w:pPr>
      <w:r w:rsidRPr="004C6E5C">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CF10CF">
          <w:t>www.vvkt.lt</w:t>
        </w:r>
      </w:hyperlink>
      <w:r w:rsidRPr="004C6E5C">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CF10CF">
          <w:t>NepageidaujamaR@vvkt.lt</w:t>
        </w:r>
      </w:hyperlink>
      <w:r w:rsidRPr="004C6E5C">
        <w:rPr>
          <w:rFonts w:ascii="Times New Roman" w:hAnsi="Times New Roman"/>
        </w:rPr>
        <w:t xml:space="preserve">, taip pat per Valstybinės vaistų kontrolės tarnybos prie Lietuvos Respublikos sveikatos apsaugos ministerijos interneto svetainę (adresu </w:t>
      </w:r>
      <w:hyperlink r:id="rId7" w:history="1">
        <w:r w:rsidRPr="00CF10CF">
          <w:t>http://www.vvkt.lt</w:t>
        </w:r>
      </w:hyperlink>
      <w:r w:rsidRPr="004C6E5C">
        <w:rPr>
          <w:rFonts w:ascii="Times New Roman" w:hAnsi="Times New Roman"/>
        </w:rPr>
        <w:t>). Pranešdami apie šalutinį poveikį galite mums padėti gauti daugiau informacijos apie šio vaisto saugumą.</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p>
    <w:p w:rsidR="000E780B" w:rsidRPr="004C6E5C" w:rsidRDefault="000E780B" w:rsidP="000E780B">
      <w:pPr>
        <w:keepNext/>
        <w:tabs>
          <w:tab w:val="left" w:pos="567"/>
        </w:tabs>
        <w:spacing w:after="0" w:line="240" w:lineRule="auto"/>
        <w:ind w:left="567" w:hanging="567"/>
        <w:outlineLvl w:val="1"/>
        <w:rPr>
          <w:rFonts w:ascii="Times New Roman" w:hAnsi="Times New Roman"/>
          <w:b/>
        </w:rPr>
      </w:pPr>
      <w:bookmarkStart w:id="6" w:name="_Toc129243268"/>
      <w:bookmarkStart w:id="7" w:name="_Toc129243143"/>
      <w:r w:rsidRPr="004C6E5C">
        <w:rPr>
          <w:rFonts w:ascii="Times New Roman" w:hAnsi="Times New Roman"/>
          <w:b/>
        </w:rPr>
        <w:t>5.</w:t>
      </w:r>
      <w:r w:rsidRPr="004C6E5C">
        <w:rPr>
          <w:rFonts w:ascii="Times New Roman" w:hAnsi="Times New Roman"/>
          <w:b/>
        </w:rPr>
        <w:tab/>
        <w:t xml:space="preserve">Kaip laikyti </w:t>
      </w:r>
      <w:bookmarkEnd w:id="6"/>
      <w:bookmarkEnd w:id="7"/>
      <w:r w:rsidRPr="004C6E5C">
        <w:rPr>
          <w:rFonts w:ascii="Times New Roman" w:hAnsi="Times New Roman"/>
          <w:b/>
        </w:rPr>
        <w:t>Provapirin</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Šį vaistą laikykite vaikams nepastebimoje ir nepasiekiamoje vietoje.</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Laikyti žemesnėje kaip 25 °C temperatūroje.</w:t>
      </w:r>
    </w:p>
    <w:p w:rsidR="000E780B" w:rsidRPr="004C6E5C" w:rsidRDefault="000E780B" w:rsidP="000E780B">
      <w:pPr>
        <w:spacing w:after="0" w:line="240" w:lineRule="auto"/>
        <w:rPr>
          <w:rFonts w:ascii="Times New Roman" w:hAnsi="Times New Roman"/>
        </w:rPr>
      </w:pPr>
      <w:r>
        <w:rPr>
          <w:rFonts w:ascii="Times New Roman" w:eastAsia="Calibri" w:hAnsi="Times New Roman" w:cs="Times New Roman"/>
          <w:noProof w:val="0"/>
        </w:rPr>
        <w:t>L</w:t>
      </w:r>
      <w:r w:rsidRPr="00EB7699">
        <w:rPr>
          <w:rFonts w:ascii="Times New Roman" w:eastAsia="Calibri" w:hAnsi="Times New Roman" w:cs="Times New Roman"/>
          <w:noProof w:val="0"/>
        </w:rPr>
        <w:t>aikyti</w:t>
      </w:r>
      <w:r w:rsidRPr="004C6E5C">
        <w:rPr>
          <w:rFonts w:ascii="Times New Roman" w:hAnsi="Times New Roman"/>
        </w:rPr>
        <w:t xml:space="preserve"> gamintojo pakuotėje, kad preparatas būtų apsaugotas nuo drėgmės.</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Ant lizdinės plokštelės ir dėžutės po „EXP“/„Tinka iki“ nurodytam tinkamumo laikui pasibaigus, šio vaisto vartoti negalima. Vaistas tinkamas vartoti iki paskutinės nurodyto mėnesio dienos.</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Vaistų negalima išmesti į kanalizaciją arba su buitinėmis atliekomis. Kaip išmesti nereikalingus vaistus, klauskite vaistininko. Šios priemonės padės apsaugoti aplinką.</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p>
    <w:p w:rsidR="000E780B" w:rsidRPr="004C6E5C" w:rsidRDefault="000E780B" w:rsidP="000E780B">
      <w:pPr>
        <w:keepNext/>
        <w:tabs>
          <w:tab w:val="left" w:pos="567"/>
        </w:tabs>
        <w:spacing w:after="0" w:line="240" w:lineRule="auto"/>
        <w:ind w:left="567" w:hanging="567"/>
        <w:outlineLvl w:val="1"/>
        <w:rPr>
          <w:rFonts w:ascii="Times New Roman" w:hAnsi="Times New Roman"/>
          <w:b/>
        </w:rPr>
      </w:pPr>
      <w:bookmarkStart w:id="8" w:name="_Toc129243269"/>
      <w:bookmarkStart w:id="9" w:name="_Toc129243144"/>
      <w:r w:rsidRPr="004C6E5C">
        <w:rPr>
          <w:rFonts w:ascii="Times New Roman" w:hAnsi="Times New Roman"/>
          <w:b/>
        </w:rPr>
        <w:t>6.</w:t>
      </w:r>
      <w:r w:rsidRPr="004C6E5C">
        <w:rPr>
          <w:rFonts w:ascii="Times New Roman" w:hAnsi="Times New Roman"/>
          <w:b/>
        </w:rPr>
        <w:tab/>
        <w:t>Pakuotės turinys ir kita informacija</w:t>
      </w:r>
      <w:bookmarkEnd w:id="8"/>
      <w:bookmarkEnd w:id="9"/>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20" w:lineRule="exact"/>
        <w:rPr>
          <w:rFonts w:ascii="Times New Roman" w:hAnsi="Times New Roman"/>
          <w:b/>
        </w:rPr>
      </w:pPr>
      <w:r w:rsidRPr="004C6E5C">
        <w:rPr>
          <w:rFonts w:ascii="Times New Roman" w:hAnsi="Times New Roman"/>
          <w:b/>
        </w:rPr>
        <w:t>Provapirin sudėtis</w:t>
      </w:r>
    </w:p>
    <w:p w:rsidR="000E780B" w:rsidRPr="004C6E5C" w:rsidRDefault="000E780B" w:rsidP="000E780B">
      <w:pPr>
        <w:tabs>
          <w:tab w:val="num" w:pos="360"/>
        </w:tabs>
        <w:spacing w:after="0" w:line="240" w:lineRule="auto"/>
        <w:rPr>
          <w:rFonts w:ascii="Times New Roman" w:hAnsi="Times New Roman"/>
        </w:rPr>
      </w:pPr>
    </w:p>
    <w:p w:rsidR="000E780B" w:rsidRPr="004C6E5C" w:rsidRDefault="000E780B" w:rsidP="000E780B">
      <w:pPr>
        <w:tabs>
          <w:tab w:val="num" w:pos="360"/>
        </w:tabs>
        <w:spacing w:after="0" w:line="240" w:lineRule="auto"/>
        <w:rPr>
          <w:rFonts w:ascii="Times New Roman" w:hAnsi="Times New Roman"/>
        </w:rPr>
      </w:pPr>
      <w:r w:rsidRPr="004C6E5C">
        <w:rPr>
          <w:rFonts w:ascii="Times New Roman" w:hAnsi="Times New Roman"/>
        </w:rPr>
        <w:t xml:space="preserve">Veiklioji medžiaga yra acetilsalicilo rūgštis. </w:t>
      </w:r>
    </w:p>
    <w:p w:rsidR="000E780B" w:rsidRPr="004C6E5C" w:rsidRDefault="000E780B" w:rsidP="000E780B">
      <w:pPr>
        <w:tabs>
          <w:tab w:val="num" w:pos="360"/>
        </w:tabs>
        <w:spacing w:after="0" w:line="240" w:lineRule="auto"/>
        <w:rPr>
          <w:rFonts w:ascii="Times New Roman" w:hAnsi="Times New Roman"/>
        </w:rPr>
      </w:pPr>
      <w:r w:rsidRPr="004C6E5C">
        <w:rPr>
          <w:rFonts w:ascii="Times New Roman" w:hAnsi="Times New Roman"/>
        </w:rPr>
        <w:t>Kiekvienoje skrandyje neirioje tabletėje yra 100 mg acetilsalicilo rūgšties.</w:t>
      </w:r>
    </w:p>
    <w:p w:rsidR="000E780B" w:rsidRPr="004C6E5C" w:rsidRDefault="000E780B" w:rsidP="000E780B">
      <w:pPr>
        <w:tabs>
          <w:tab w:val="num" w:pos="360"/>
        </w:tabs>
        <w:spacing w:after="0" w:line="240" w:lineRule="auto"/>
        <w:rPr>
          <w:rFonts w:ascii="Times New Roman" w:hAnsi="Times New Roman"/>
        </w:rPr>
      </w:pPr>
    </w:p>
    <w:p w:rsidR="000E780B" w:rsidRPr="004C6E5C" w:rsidRDefault="000E780B" w:rsidP="000E780B">
      <w:pPr>
        <w:tabs>
          <w:tab w:val="num" w:pos="360"/>
        </w:tabs>
        <w:spacing w:after="0" w:line="240" w:lineRule="auto"/>
        <w:rPr>
          <w:rFonts w:ascii="Times New Roman" w:hAnsi="Times New Roman"/>
        </w:rPr>
      </w:pPr>
      <w:r w:rsidRPr="004C6E5C">
        <w:rPr>
          <w:rFonts w:ascii="Times New Roman" w:hAnsi="Times New Roman"/>
        </w:rPr>
        <w:t xml:space="preserve">Pagalbinės </w:t>
      </w:r>
      <w:r w:rsidRPr="004C6E5C">
        <w:rPr>
          <w:rFonts w:ascii="Times New Roman" w:hAnsi="Times New Roman"/>
          <w:i/>
        </w:rPr>
        <w:t>tabletės branduolio</w:t>
      </w:r>
      <w:r w:rsidRPr="004C6E5C">
        <w:rPr>
          <w:rFonts w:ascii="Times New Roman" w:hAnsi="Times New Roman"/>
        </w:rPr>
        <w:t xml:space="preserve"> medžiagos yra mikrokristalinė celiuliozė, kukurūzų krakmolas, bevandenis koloidinis silicio dioksidas, stearino rūgštis, </w:t>
      </w:r>
      <w:r w:rsidRPr="004C6E5C">
        <w:rPr>
          <w:rFonts w:ascii="Times New Roman" w:hAnsi="Times New Roman"/>
          <w:i/>
        </w:rPr>
        <w:t>plėvelės</w:t>
      </w:r>
      <w:r w:rsidRPr="004C6E5C">
        <w:rPr>
          <w:rFonts w:ascii="Times New Roman" w:hAnsi="Times New Roman"/>
        </w:rPr>
        <w:t xml:space="preserve"> - metakrilo rūgšties ir etilakrilato 1:1 kopolimero 30 % dispersija, polisorbatas 80, natrio laurilsulfatas, trietilo citratas ir talkas.</w:t>
      </w:r>
    </w:p>
    <w:p w:rsidR="000E780B" w:rsidRPr="004C6E5C" w:rsidRDefault="000E780B" w:rsidP="000E780B">
      <w:pPr>
        <w:tabs>
          <w:tab w:val="left" w:pos="567"/>
        </w:tabs>
        <w:spacing w:after="0" w:line="240" w:lineRule="auto"/>
        <w:rPr>
          <w:rFonts w:ascii="Times New Roman" w:hAnsi="Times New Roman"/>
        </w:rPr>
      </w:pPr>
    </w:p>
    <w:p w:rsidR="000E780B" w:rsidRPr="004C6E5C" w:rsidRDefault="000E780B" w:rsidP="000E780B">
      <w:pPr>
        <w:tabs>
          <w:tab w:val="left" w:pos="567"/>
        </w:tabs>
        <w:spacing w:after="0" w:line="240" w:lineRule="auto"/>
        <w:rPr>
          <w:rFonts w:ascii="Times New Roman" w:hAnsi="Times New Roman"/>
          <w:b/>
        </w:rPr>
      </w:pPr>
      <w:r w:rsidRPr="004C6E5C">
        <w:rPr>
          <w:rFonts w:ascii="Times New Roman" w:hAnsi="Times New Roman"/>
          <w:b/>
        </w:rPr>
        <w:t>Provapirin išvaizda ir kiekis pakuotėje</w:t>
      </w:r>
    </w:p>
    <w:p w:rsidR="000E780B" w:rsidRPr="004C6E5C" w:rsidRDefault="000E780B" w:rsidP="000E780B">
      <w:pPr>
        <w:spacing w:after="0" w:line="240" w:lineRule="auto"/>
        <w:rPr>
          <w:rFonts w:ascii="Times New Roman" w:hAnsi="Times New Roman"/>
        </w:rPr>
      </w:pPr>
      <w:r w:rsidRPr="004C6E5C">
        <w:rPr>
          <w:rFonts w:ascii="Times New Roman" w:hAnsi="Times New Roman"/>
        </w:rPr>
        <w:t>Provapirin 100 mg skrandyje neirios tabletės yra baltos, apvalios, abipus išgaubtos, 7,2 mm skersmens.</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i/>
        </w:rPr>
      </w:pPr>
      <w:r w:rsidRPr="004C6E5C">
        <w:rPr>
          <w:rFonts w:ascii="Times New Roman" w:hAnsi="Times New Roman"/>
          <w:i/>
        </w:rPr>
        <w:t>Pakuotės dydis</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10, 20, 28, 30, 50, 56, 60, 90, 100 skrandyje neirių tablečių.</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rPr>
      </w:pPr>
      <w:r w:rsidRPr="004C6E5C">
        <w:rPr>
          <w:rFonts w:ascii="Times New Roman" w:hAnsi="Times New Roman"/>
        </w:rPr>
        <w:t>Gali būti tiekiamos ne visų dydžių pakuotės.</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20" w:lineRule="exact"/>
        <w:rPr>
          <w:rFonts w:ascii="Times New Roman" w:hAnsi="Times New Roman"/>
          <w:b/>
        </w:rPr>
      </w:pPr>
      <w:r w:rsidRPr="004C6E5C">
        <w:rPr>
          <w:rFonts w:ascii="Times New Roman" w:hAnsi="Times New Roman"/>
          <w:b/>
        </w:rPr>
        <w:t>Registruotojas ir gamintojas</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i/>
        </w:rPr>
      </w:pPr>
      <w:r w:rsidRPr="004C6E5C">
        <w:rPr>
          <w:rFonts w:ascii="Times New Roman" w:hAnsi="Times New Roman"/>
          <w:i/>
        </w:rPr>
        <w:t>Registruotojas</w:t>
      </w:r>
    </w:p>
    <w:p w:rsidR="000E780B" w:rsidRPr="00EB7699" w:rsidRDefault="000E780B" w:rsidP="000E780B">
      <w:pPr>
        <w:spacing w:after="0" w:line="240" w:lineRule="auto"/>
        <w:rPr>
          <w:rFonts w:ascii="Times New Roman" w:eastAsia="Calibri" w:hAnsi="Times New Roman" w:cs="Times New Roman"/>
          <w:noProof w:val="0"/>
          <w:lang w:val="pt-PT"/>
        </w:rPr>
      </w:pPr>
      <w:r w:rsidRPr="00EB7699">
        <w:rPr>
          <w:rFonts w:ascii="Times New Roman" w:eastAsia="Calibri" w:hAnsi="Times New Roman" w:cs="Times New Roman"/>
          <w:noProof w:val="0"/>
          <w:lang w:val="pt-PT"/>
        </w:rPr>
        <w:lastRenderedPageBreak/>
        <w:t>PharmaSwiss Česká republika s.r.o.</w:t>
      </w:r>
    </w:p>
    <w:p w:rsidR="000E780B" w:rsidRPr="00EB7699" w:rsidRDefault="000E780B" w:rsidP="000E780B">
      <w:pPr>
        <w:spacing w:after="0" w:line="240" w:lineRule="auto"/>
        <w:rPr>
          <w:rFonts w:ascii="Times New Roman" w:eastAsia="Calibri" w:hAnsi="Times New Roman" w:cs="Times New Roman"/>
          <w:noProof w:val="0"/>
          <w:lang w:val="pt-PT"/>
        </w:rPr>
      </w:pPr>
      <w:r w:rsidRPr="00EB7699">
        <w:rPr>
          <w:rFonts w:ascii="Times New Roman" w:eastAsia="Calibri" w:hAnsi="Times New Roman" w:cs="Times New Roman"/>
          <w:noProof w:val="0"/>
          <w:lang w:val="pt-PT"/>
        </w:rPr>
        <w:t>Jankovcova 1569/2c</w:t>
      </w:r>
    </w:p>
    <w:p w:rsidR="000E780B" w:rsidRPr="00EB7699" w:rsidRDefault="000E780B" w:rsidP="000E780B">
      <w:pPr>
        <w:spacing w:after="0" w:line="240" w:lineRule="auto"/>
        <w:rPr>
          <w:rFonts w:ascii="Times New Roman" w:eastAsia="Calibri" w:hAnsi="Times New Roman" w:cs="Times New Roman"/>
          <w:noProof w:val="0"/>
          <w:lang w:val="pt-PT"/>
        </w:rPr>
      </w:pPr>
      <w:r w:rsidRPr="00EB7699">
        <w:rPr>
          <w:rFonts w:ascii="Times New Roman" w:eastAsia="Calibri" w:hAnsi="Times New Roman" w:cs="Times New Roman"/>
          <w:noProof w:val="0"/>
          <w:lang w:val="pt-PT"/>
        </w:rPr>
        <w:t>170 00 Praha 7</w:t>
      </w:r>
    </w:p>
    <w:p w:rsidR="000E780B" w:rsidRPr="00EB7699" w:rsidRDefault="000E780B" w:rsidP="000E780B">
      <w:pPr>
        <w:spacing w:after="0" w:line="240" w:lineRule="auto"/>
        <w:rPr>
          <w:rFonts w:ascii="Times New Roman" w:eastAsia="Calibri" w:hAnsi="Times New Roman" w:cs="Times New Roman"/>
          <w:noProof w:val="0"/>
          <w:lang w:val="pt-PT"/>
        </w:rPr>
      </w:pPr>
      <w:r w:rsidRPr="00EB7699">
        <w:rPr>
          <w:rFonts w:ascii="Times New Roman" w:eastAsia="Calibri" w:hAnsi="Times New Roman" w:cs="Times New Roman"/>
          <w:noProof w:val="0"/>
          <w:lang w:val="pt-PT"/>
        </w:rPr>
        <w:t>Čekija</w:t>
      </w:r>
    </w:p>
    <w:p w:rsidR="000E780B" w:rsidRPr="004C6E5C" w:rsidRDefault="000E780B" w:rsidP="000E780B">
      <w:pPr>
        <w:spacing w:after="0" w:line="240" w:lineRule="auto"/>
        <w:rPr>
          <w:rFonts w:ascii="Times New Roman" w:hAnsi="Times New Roman"/>
        </w:rPr>
      </w:pPr>
    </w:p>
    <w:p w:rsidR="000E780B" w:rsidRPr="004C6E5C" w:rsidRDefault="000E780B" w:rsidP="000E780B">
      <w:pPr>
        <w:spacing w:after="0" w:line="240" w:lineRule="auto"/>
        <w:rPr>
          <w:rFonts w:ascii="Times New Roman" w:hAnsi="Times New Roman"/>
          <w:i/>
        </w:rPr>
      </w:pPr>
      <w:r w:rsidRPr="004C6E5C">
        <w:rPr>
          <w:rFonts w:ascii="Times New Roman" w:hAnsi="Times New Roman"/>
          <w:i/>
        </w:rPr>
        <w:t>Gamintojas</w:t>
      </w:r>
    </w:p>
    <w:p w:rsidR="000E780B" w:rsidRPr="004C6E5C" w:rsidRDefault="000E780B" w:rsidP="000E780B">
      <w:pPr>
        <w:spacing w:after="0" w:line="240" w:lineRule="auto"/>
        <w:rPr>
          <w:rFonts w:ascii="Times New Roman" w:hAnsi="Times New Roman"/>
        </w:rPr>
      </w:pPr>
      <w:r w:rsidRPr="004C6E5C">
        <w:rPr>
          <w:rFonts w:ascii="Times New Roman" w:hAnsi="Times New Roman"/>
        </w:rPr>
        <w:t>ICN Polfa Rzeszów S.A.</w:t>
      </w:r>
    </w:p>
    <w:p w:rsidR="000E780B" w:rsidRPr="004C6E5C" w:rsidRDefault="000E780B" w:rsidP="000E780B">
      <w:pPr>
        <w:spacing w:after="0" w:line="240" w:lineRule="auto"/>
        <w:rPr>
          <w:rFonts w:ascii="Times New Roman" w:hAnsi="Times New Roman"/>
        </w:rPr>
      </w:pPr>
      <w:r w:rsidRPr="004C6E5C">
        <w:rPr>
          <w:rFonts w:ascii="Times New Roman" w:hAnsi="Times New Roman"/>
        </w:rPr>
        <w:t xml:space="preserve">ul. Przemysłowa 2 </w:t>
      </w:r>
    </w:p>
    <w:p w:rsidR="000E780B" w:rsidRPr="004C6E5C" w:rsidRDefault="000E780B" w:rsidP="000E780B">
      <w:pPr>
        <w:spacing w:after="0" w:line="240" w:lineRule="auto"/>
        <w:rPr>
          <w:rFonts w:ascii="Times New Roman" w:hAnsi="Times New Roman"/>
        </w:rPr>
      </w:pPr>
      <w:r w:rsidRPr="004C6E5C">
        <w:rPr>
          <w:rFonts w:ascii="Times New Roman" w:hAnsi="Times New Roman"/>
        </w:rPr>
        <w:t xml:space="preserve">35-959 Rzeszów  </w:t>
      </w:r>
    </w:p>
    <w:p w:rsidR="000E780B" w:rsidRPr="004C6E5C" w:rsidRDefault="000E780B" w:rsidP="000E780B">
      <w:pPr>
        <w:spacing w:after="0" w:line="240" w:lineRule="auto"/>
        <w:rPr>
          <w:rFonts w:ascii="Times New Roman" w:hAnsi="Times New Roman"/>
        </w:rPr>
      </w:pPr>
      <w:r w:rsidRPr="004C6E5C">
        <w:rPr>
          <w:rFonts w:ascii="Times New Roman" w:hAnsi="Times New Roman"/>
        </w:rPr>
        <w:t>Lenkija</w:t>
      </w:r>
    </w:p>
    <w:p w:rsidR="000E780B" w:rsidRPr="004C6E5C" w:rsidRDefault="000E780B" w:rsidP="000E780B">
      <w:pPr>
        <w:numPr>
          <w:ilvl w:val="12"/>
          <w:numId w:val="0"/>
        </w:numPr>
        <w:spacing w:after="0" w:line="240" w:lineRule="auto"/>
        <w:ind w:right="-2"/>
        <w:rPr>
          <w:rFonts w:ascii="Times New Roman" w:hAnsi="Times New Roman"/>
        </w:rPr>
      </w:pPr>
    </w:p>
    <w:p w:rsidR="000E780B" w:rsidRPr="004C6E5C" w:rsidRDefault="000E780B" w:rsidP="000E780B">
      <w:pPr>
        <w:numPr>
          <w:ilvl w:val="12"/>
          <w:numId w:val="0"/>
        </w:numPr>
        <w:spacing w:after="0" w:line="240" w:lineRule="auto"/>
        <w:ind w:right="-2"/>
        <w:rPr>
          <w:rFonts w:ascii="Times New Roman" w:hAnsi="Times New Roman"/>
        </w:rPr>
      </w:pPr>
      <w:r w:rsidRPr="004C6E5C">
        <w:rPr>
          <w:rFonts w:ascii="Times New Roman" w:hAnsi="Times New Roman"/>
        </w:rPr>
        <w:t>Jeigu apie šį vaistą norite sužinoti daugiau, kreipkitės į vietinį registruotojo atstovą.</w:t>
      </w:r>
    </w:p>
    <w:p w:rsidR="000E780B" w:rsidRPr="004C6E5C" w:rsidRDefault="000E780B" w:rsidP="000E780B">
      <w:pPr>
        <w:numPr>
          <w:ilvl w:val="12"/>
          <w:numId w:val="0"/>
        </w:numPr>
        <w:spacing w:after="0" w:line="240" w:lineRule="auto"/>
        <w:ind w:right="-2"/>
        <w:rPr>
          <w:rFonts w:ascii="Times New Roman" w:hAnsi="Times New Roman"/>
        </w:rPr>
      </w:pPr>
    </w:p>
    <w:tbl>
      <w:tblPr>
        <w:tblW w:w="4680" w:type="dxa"/>
        <w:tblInd w:w="-34" w:type="dxa"/>
        <w:tblLayout w:type="fixed"/>
        <w:tblLook w:val="00A0" w:firstRow="1" w:lastRow="0" w:firstColumn="1" w:lastColumn="0" w:noHBand="0" w:noVBand="0"/>
      </w:tblPr>
      <w:tblGrid>
        <w:gridCol w:w="4680"/>
      </w:tblGrid>
      <w:tr w:rsidR="000E780B" w:rsidRPr="00EB7699" w:rsidTr="00CE6AC1">
        <w:tc>
          <w:tcPr>
            <w:tcW w:w="4678" w:type="dxa"/>
            <w:hideMark/>
          </w:tcPr>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UAB „PharmaSwiss“</w:t>
            </w:r>
          </w:p>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Tel. +370 (5)279 07 62</w:t>
            </w:r>
          </w:p>
        </w:tc>
      </w:tr>
    </w:tbl>
    <w:p w:rsidR="000E780B" w:rsidRPr="004C6E5C" w:rsidRDefault="000E780B" w:rsidP="000E780B">
      <w:pPr>
        <w:tabs>
          <w:tab w:val="left" w:pos="567"/>
        </w:tabs>
        <w:spacing w:after="0" w:line="240" w:lineRule="auto"/>
        <w:rPr>
          <w:rFonts w:ascii="Times New Roman" w:hAnsi="Times New Roman"/>
        </w:rPr>
      </w:pPr>
    </w:p>
    <w:p w:rsidR="000E780B" w:rsidRPr="004C6E5C" w:rsidRDefault="000E780B" w:rsidP="000E780B">
      <w:pPr>
        <w:numPr>
          <w:ilvl w:val="12"/>
          <w:numId w:val="0"/>
        </w:numPr>
        <w:spacing w:after="0" w:line="240" w:lineRule="auto"/>
        <w:ind w:right="-2"/>
        <w:rPr>
          <w:rFonts w:ascii="Times New Roman" w:hAnsi="Times New Roman"/>
          <w:b/>
        </w:rPr>
      </w:pPr>
      <w:r w:rsidRPr="004C6E5C">
        <w:rPr>
          <w:rFonts w:ascii="Times New Roman" w:hAnsi="Times New Roman"/>
          <w:b/>
        </w:rPr>
        <w:t>Šis vaistas EEE valstybėse narėse registruotas tokiais pavadinimais:</w:t>
      </w:r>
    </w:p>
    <w:tbl>
      <w:tblPr>
        <w:tblW w:w="0" w:type="auto"/>
        <w:tblLook w:val="00A0" w:firstRow="1" w:lastRow="0" w:firstColumn="1" w:lastColumn="0" w:noHBand="0" w:noVBand="0"/>
      </w:tblPr>
      <w:tblGrid>
        <w:gridCol w:w="2694"/>
        <w:gridCol w:w="5759"/>
      </w:tblGrid>
      <w:tr w:rsidR="000E780B" w:rsidRPr="00EB7699" w:rsidTr="00CE6AC1">
        <w:tc>
          <w:tcPr>
            <w:tcW w:w="2694" w:type="dxa"/>
          </w:tcPr>
          <w:p w:rsidR="000E780B" w:rsidRPr="004C6E5C" w:rsidRDefault="000E780B" w:rsidP="00CE6AC1">
            <w:pPr>
              <w:numPr>
                <w:ilvl w:val="12"/>
                <w:numId w:val="0"/>
              </w:numPr>
              <w:spacing w:after="0" w:line="240" w:lineRule="auto"/>
              <w:ind w:right="-2"/>
              <w:rPr>
                <w:rFonts w:ascii="Times New Roman" w:hAnsi="Times New Roman"/>
              </w:rPr>
            </w:pPr>
          </w:p>
        </w:tc>
        <w:tc>
          <w:tcPr>
            <w:tcW w:w="5759" w:type="dxa"/>
          </w:tcPr>
          <w:p w:rsidR="000E780B" w:rsidRPr="004C6E5C" w:rsidRDefault="000E780B" w:rsidP="00CE6AC1">
            <w:pPr>
              <w:numPr>
                <w:ilvl w:val="12"/>
                <w:numId w:val="0"/>
              </w:numPr>
              <w:spacing w:after="0" w:line="240" w:lineRule="auto"/>
              <w:ind w:right="-2"/>
              <w:rPr>
                <w:rFonts w:ascii="Times New Roman" w:hAnsi="Times New Roman"/>
              </w:rPr>
            </w:pPr>
          </w:p>
        </w:tc>
      </w:tr>
      <w:tr w:rsidR="000E780B" w:rsidRPr="00EB7699" w:rsidTr="00CE6AC1">
        <w:tc>
          <w:tcPr>
            <w:tcW w:w="2694" w:type="dxa"/>
            <w:hideMark/>
          </w:tcPr>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Švedija</w:t>
            </w:r>
          </w:p>
        </w:tc>
        <w:tc>
          <w:tcPr>
            <w:tcW w:w="5759" w:type="dxa"/>
            <w:hideMark/>
          </w:tcPr>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Esteprin</w:t>
            </w:r>
          </w:p>
        </w:tc>
      </w:tr>
      <w:tr w:rsidR="000E780B" w:rsidRPr="00EB7699" w:rsidTr="00CE6AC1">
        <w:tc>
          <w:tcPr>
            <w:tcW w:w="2694" w:type="dxa"/>
            <w:hideMark/>
          </w:tcPr>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Bulgarija</w:t>
            </w:r>
          </w:p>
        </w:tc>
        <w:tc>
          <w:tcPr>
            <w:tcW w:w="5759" w:type="dxa"/>
            <w:hideMark/>
          </w:tcPr>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Cardiopirin 100 mg cтoмaшнo-ycтoйчива тaблетĸа</w:t>
            </w:r>
          </w:p>
        </w:tc>
      </w:tr>
      <w:tr w:rsidR="000E780B" w:rsidRPr="00EB7699" w:rsidTr="00CE6AC1">
        <w:tc>
          <w:tcPr>
            <w:tcW w:w="2694" w:type="dxa"/>
            <w:hideMark/>
          </w:tcPr>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Čekija</w:t>
            </w:r>
          </w:p>
        </w:tc>
        <w:tc>
          <w:tcPr>
            <w:tcW w:w="5759" w:type="dxa"/>
            <w:hideMark/>
          </w:tcPr>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Vasopirin 75 mg, 100 mg</w:t>
            </w:r>
          </w:p>
        </w:tc>
      </w:tr>
      <w:tr w:rsidR="000E780B" w:rsidRPr="00EB7699" w:rsidTr="00CE6AC1">
        <w:tc>
          <w:tcPr>
            <w:tcW w:w="2694" w:type="dxa"/>
            <w:hideMark/>
          </w:tcPr>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Lietuva</w:t>
            </w:r>
          </w:p>
        </w:tc>
        <w:tc>
          <w:tcPr>
            <w:tcW w:w="5759" w:type="dxa"/>
            <w:hideMark/>
          </w:tcPr>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Provapirin 100 mg skrandyje neirios tabletės</w:t>
            </w:r>
          </w:p>
        </w:tc>
      </w:tr>
      <w:tr w:rsidR="000E780B" w:rsidRPr="00EB7699" w:rsidTr="00CE6AC1">
        <w:tc>
          <w:tcPr>
            <w:tcW w:w="2694" w:type="dxa"/>
            <w:hideMark/>
          </w:tcPr>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Latvija</w:t>
            </w:r>
          </w:p>
        </w:tc>
        <w:tc>
          <w:tcPr>
            <w:tcW w:w="5759" w:type="dxa"/>
            <w:hideMark/>
          </w:tcPr>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Vasopirin 100 mg zarnās škīstošās tabletes</w:t>
            </w:r>
          </w:p>
        </w:tc>
      </w:tr>
      <w:tr w:rsidR="000E780B" w:rsidRPr="00EB7699" w:rsidTr="00CE6AC1">
        <w:tc>
          <w:tcPr>
            <w:tcW w:w="2694" w:type="dxa"/>
            <w:hideMark/>
          </w:tcPr>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Lenkija</w:t>
            </w:r>
          </w:p>
        </w:tc>
        <w:tc>
          <w:tcPr>
            <w:tcW w:w="5759" w:type="dxa"/>
            <w:hideMark/>
          </w:tcPr>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Cardiopirin</w:t>
            </w:r>
          </w:p>
        </w:tc>
      </w:tr>
      <w:tr w:rsidR="000E780B" w:rsidRPr="00EB7699" w:rsidTr="00CE6AC1">
        <w:tc>
          <w:tcPr>
            <w:tcW w:w="2694" w:type="dxa"/>
            <w:hideMark/>
          </w:tcPr>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Rumunija</w:t>
            </w:r>
          </w:p>
        </w:tc>
        <w:tc>
          <w:tcPr>
            <w:tcW w:w="5759" w:type="dxa"/>
            <w:hideMark/>
          </w:tcPr>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Vasopirin 75 mg, 100 mg comprimate gastrorezistente</w:t>
            </w:r>
          </w:p>
        </w:tc>
      </w:tr>
      <w:tr w:rsidR="000E780B" w:rsidRPr="00EB7699" w:rsidTr="00CE6AC1">
        <w:tc>
          <w:tcPr>
            <w:tcW w:w="2694" w:type="dxa"/>
            <w:hideMark/>
          </w:tcPr>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Slovakija</w:t>
            </w:r>
          </w:p>
        </w:tc>
        <w:tc>
          <w:tcPr>
            <w:tcW w:w="5759" w:type="dxa"/>
            <w:hideMark/>
          </w:tcPr>
          <w:p w:rsidR="000E780B" w:rsidRPr="004C6E5C" w:rsidRDefault="000E780B" w:rsidP="00CE6AC1">
            <w:pPr>
              <w:numPr>
                <w:ilvl w:val="12"/>
                <w:numId w:val="0"/>
              </w:numPr>
              <w:spacing w:after="0" w:line="240" w:lineRule="auto"/>
              <w:ind w:right="-2"/>
              <w:rPr>
                <w:rFonts w:ascii="Times New Roman" w:hAnsi="Times New Roman"/>
              </w:rPr>
            </w:pPr>
            <w:r w:rsidRPr="004C6E5C">
              <w:rPr>
                <w:rFonts w:ascii="Times New Roman" w:hAnsi="Times New Roman"/>
              </w:rPr>
              <w:t>Vasopirin 100 mg</w:t>
            </w:r>
          </w:p>
        </w:tc>
      </w:tr>
      <w:tr w:rsidR="000E780B" w:rsidTr="00CE6AC1">
        <w:tc>
          <w:tcPr>
            <w:tcW w:w="2694" w:type="dxa"/>
            <w:hideMark/>
          </w:tcPr>
          <w:p w:rsidR="000E780B" w:rsidRPr="006B5AE3" w:rsidRDefault="000E780B" w:rsidP="00CE6AC1">
            <w:pPr>
              <w:numPr>
                <w:ilvl w:val="12"/>
                <w:numId w:val="0"/>
              </w:numPr>
              <w:spacing w:after="0" w:line="240" w:lineRule="auto"/>
              <w:ind w:right="-2"/>
              <w:rPr>
                <w:rFonts w:ascii="Times New Roman" w:eastAsia="Calibri" w:hAnsi="Times New Roman" w:cs="Times New Roman"/>
                <w:noProof w:val="0"/>
              </w:rPr>
            </w:pPr>
            <w:r w:rsidRPr="006B5AE3">
              <w:rPr>
                <w:rFonts w:ascii="Times New Roman" w:eastAsia="Calibri" w:hAnsi="Times New Roman" w:cs="Times New Roman"/>
                <w:noProof w:val="0"/>
              </w:rPr>
              <w:t>Slovėnija</w:t>
            </w:r>
          </w:p>
        </w:tc>
        <w:tc>
          <w:tcPr>
            <w:tcW w:w="5759" w:type="dxa"/>
            <w:hideMark/>
          </w:tcPr>
          <w:p w:rsidR="000E780B" w:rsidRPr="006B5AE3" w:rsidRDefault="000E780B" w:rsidP="00CE6AC1">
            <w:pPr>
              <w:numPr>
                <w:ilvl w:val="12"/>
                <w:numId w:val="0"/>
              </w:numPr>
              <w:spacing w:after="0" w:line="240" w:lineRule="auto"/>
              <w:ind w:right="-2"/>
              <w:rPr>
                <w:rFonts w:ascii="Times New Roman" w:eastAsia="Calibri" w:hAnsi="Times New Roman" w:cs="Times New Roman"/>
                <w:noProof w:val="0"/>
              </w:rPr>
            </w:pPr>
            <w:proofErr w:type="spellStart"/>
            <w:r w:rsidRPr="006B5AE3">
              <w:rPr>
                <w:rFonts w:ascii="Times New Roman" w:eastAsia="Calibri" w:hAnsi="Times New Roman" w:cs="Times New Roman"/>
                <w:noProof w:val="0"/>
              </w:rPr>
              <w:t>Provapirin</w:t>
            </w:r>
            <w:proofErr w:type="spellEnd"/>
            <w:r w:rsidRPr="006B5AE3">
              <w:rPr>
                <w:rFonts w:ascii="Times New Roman" w:eastAsia="Calibri" w:hAnsi="Times New Roman" w:cs="Times New Roman"/>
                <w:noProof w:val="0"/>
              </w:rPr>
              <w:t xml:space="preserve"> 100 mg </w:t>
            </w:r>
            <w:proofErr w:type="spellStart"/>
            <w:r w:rsidRPr="006B5AE3">
              <w:rPr>
                <w:rFonts w:ascii="Times New Roman" w:eastAsia="Calibri" w:hAnsi="Times New Roman" w:cs="Times New Roman"/>
                <w:noProof w:val="0"/>
              </w:rPr>
              <w:t>gastrorezistentne</w:t>
            </w:r>
            <w:proofErr w:type="spellEnd"/>
            <w:r w:rsidRPr="006B5AE3">
              <w:rPr>
                <w:rFonts w:ascii="Times New Roman" w:eastAsia="Calibri" w:hAnsi="Times New Roman" w:cs="Times New Roman"/>
                <w:noProof w:val="0"/>
              </w:rPr>
              <w:t xml:space="preserve"> tablete</w:t>
            </w:r>
          </w:p>
        </w:tc>
      </w:tr>
    </w:tbl>
    <w:p w:rsidR="000E780B" w:rsidRPr="004C6E5C" w:rsidRDefault="000E780B" w:rsidP="000E780B">
      <w:pPr>
        <w:numPr>
          <w:ilvl w:val="12"/>
          <w:numId w:val="0"/>
        </w:numPr>
        <w:spacing w:after="0" w:line="240" w:lineRule="auto"/>
        <w:ind w:right="-2"/>
        <w:rPr>
          <w:rFonts w:ascii="Times New Roman" w:hAnsi="Times New Roman"/>
        </w:rPr>
      </w:pPr>
    </w:p>
    <w:p w:rsidR="000E780B" w:rsidRPr="004C6E5C" w:rsidRDefault="000E780B" w:rsidP="000E780B">
      <w:pPr>
        <w:tabs>
          <w:tab w:val="left" w:pos="567"/>
        </w:tabs>
        <w:spacing w:after="0" w:line="240" w:lineRule="auto"/>
        <w:rPr>
          <w:rFonts w:ascii="Times New Roman" w:hAnsi="Times New Roman"/>
          <w:b/>
        </w:rPr>
      </w:pPr>
      <w:r w:rsidRPr="004C6E5C">
        <w:rPr>
          <w:rFonts w:ascii="Times New Roman" w:hAnsi="Times New Roman"/>
          <w:b/>
        </w:rPr>
        <w:t xml:space="preserve">Šis pakuotės lapelis paskutinį kartą peržiūrėtas </w:t>
      </w:r>
      <w:r>
        <w:rPr>
          <w:rFonts w:ascii="Times New Roman" w:hAnsi="Times New Roman"/>
          <w:b/>
        </w:rPr>
        <w:t>2020-01-07.</w:t>
      </w:r>
    </w:p>
    <w:p w:rsidR="000E780B" w:rsidRPr="004C6E5C" w:rsidRDefault="000E780B" w:rsidP="000E780B">
      <w:pPr>
        <w:numPr>
          <w:ilvl w:val="12"/>
          <w:numId w:val="0"/>
        </w:numPr>
        <w:spacing w:after="0" w:line="240" w:lineRule="auto"/>
        <w:ind w:right="-2"/>
        <w:rPr>
          <w:rFonts w:ascii="Times New Roman" w:hAnsi="Times New Roman"/>
        </w:rPr>
      </w:pPr>
    </w:p>
    <w:p w:rsidR="000E780B" w:rsidRPr="00CF10CF" w:rsidRDefault="000E780B" w:rsidP="000E780B">
      <w:pPr>
        <w:spacing w:after="0" w:line="240" w:lineRule="auto"/>
        <w:rPr>
          <w:rFonts w:ascii="Calibri" w:hAnsi="Calibri"/>
        </w:rPr>
      </w:pPr>
      <w:r w:rsidRPr="004C6E5C">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Pr="00CF10CF">
          <w:t>http://www.vvkt.lt/</w:t>
        </w:r>
      </w:hyperlink>
      <w:r w:rsidRPr="00CF10CF">
        <w:t xml:space="preserve">         </w:t>
      </w:r>
    </w:p>
    <w:p w:rsidR="000E780B" w:rsidRPr="00CF10CF" w:rsidRDefault="000E780B" w:rsidP="000E780B">
      <w:pPr>
        <w:rPr>
          <w:rFonts w:ascii="Calibri" w:hAnsi="Calibri"/>
        </w:rPr>
      </w:pPr>
    </w:p>
    <w:p w:rsidR="000E780B" w:rsidRPr="00CF10CF" w:rsidRDefault="000E780B" w:rsidP="000E780B">
      <w:pPr>
        <w:rPr>
          <w:rFonts w:ascii="Calibri" w:hAnsi="Calibri"/>
        </w:rPr>
      </w:pPr>
    </w:p>
    <w:p w:rsidR="00A80EB9" w:rsidRDefault="00A80EB9">
      <w:bookmarkStart w:id="10" w:name="_GoBack"/>
      <w:bookmarkEnd w:id="10"/>
    </w:p>
    <w:sectPr w:rsidR="00A80EB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290"/>
    <w:multiLevelType w:val="hybridMultilevel"/>
    <w:tmpl w:val="C7D6114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DF09DA"/>
    <w:multiLevelType w:val="hybridMultilevel"/>
    <w:tmpl w:val="1D0CDB30"/>
    <w:lvl w:ilvl="0" w:tplc="79761620">
      <w:start w:val="2"/>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D6070A2"/>
    <w:multiLevelType w:val="hybridMultilevel"/>
    <w:tmpl w:val="9162D5A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0B"/>
    <w:rsid w:val="000E780B"/>
    <w:rsid w:val="00A80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A365E-91C5-44DE-A215-0B977EE0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780B"/>
    <w:pPr>
      <w:spacing w:after="200" w:line="276" w:lineRule="auto"/>
    </w:pPr>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9248</Words>
  <Characters>5272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2020-01-08T07:12:00Z</dcterms:created>
  <dcterms:modified xsi:type="dcterms:W3CDTF">2020-01-08T07:13:00Z</dcterms:modified>
</cp:coreProperties>
</file>