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7A0D9"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lang w:val="sl-SI"/>
        </w:rPr>
      </w:pPr>
      <w:bookmarkStart w:id="0" w:name="Tab"/>
      <w:bookmarkEnd w:id="0"/>
    </w:p>
    <w:p w14:paraId="1DD26C9E"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lang w:val="sl-SI"/>
        </w:rPr>
      </w:pPr>
    </w:p>
    <w:p w14:paraId="2C9D9D53"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35A94E46"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3B2C9418"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383A2D31"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2AE48DCA"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1D2041D2"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7989DB0B"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38A53952"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3594D03D"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290578A5"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51F22C87"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52A32809"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5843B7D0"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38EF7889"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55EFEEAB"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70A3FA39"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5DC35052"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28ED3E1F"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3074E70E"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0FD0DBFB"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5A93E221"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765703CC" w14:textId="77777777" w:rsidR="003A7B6B" w:rsidRPr="00976ED6" w:rsidRDefault="003A7B6B" w:rsidP="003A7B6B">
      <w:pPr>
        <w:widowControl w:val="0"/>
        <w:tabs>
          <w:tab w:val="left" w:pos="567"/>
          <w:tab w:val="left" w:pos="1296"/>
        </w:tabs>
        <w:ind w:left="0" w:firstLine="0"/>
        <w:jc w:val="center"/>
        <w:outlineLvl w:val="1"/>
        <w:rPr>
          <w:rFonts w:ascii="Times New Roman" w:hAnsi="Times New Roman" w:cs="Times New Roman"/>
          <w:lang w:val="sl-SI"/>
        </w:rPr>
      </w:pPr>
      <w:r w:rsidRPr="00976ED6">
        <w:rPr>
          <w:rFonts w:ascii="Times New Roman" w:hAnsi="Times New Roman" w:cs="Times New Roman"/>
          <w:b/>
          <w:lang w:val="sl-SI"/>
        </w:rPr>
        <w:t>I PRIEDAS</w:t>
      </w:r>
    </w:p>
    <w:p w14:paraId="033993F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2EDF8BE"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lang w:val="sl-SI"/>
        </w:rPr>
      </w:pPr>
      <w:r w:rsidRPr="00976ED6">
        <w:rPr>
          <w:rFonts w:ascii="Times New Roman" w:hAnsi="Times New Roman" w:cs="Times New Roman"/>
          <w:b/>
          <w:lang w:val="sl-SI"/>
        </w:rPr>
        <w:t>PREPARATO CHARAKTERISTIKŲ SANTRAUKA</w:t>
      </w:r>
    </w:p>
    <w:p w14:paraId="0E6C6998"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color w:val="008000"/>
          <w:lang w:val="sl-SI"/>
        </w:rPr>
        <w:br w:type="page"/>
      </w:r>
      <w:r w:rsidRPr="00976ED6">
        <w:rPr>
          <w:rFonts w:ascii="Times New Roman" w:hAnsi="Times New Roman" w:cs="Times New Roman"/>
          <w:b/>
          <w:lang w:val="sl-SI"/>
        </w:rPr>
        <w:lastRenderedPageBreak/>
        <w:t>1.</w:t>
      </w:r>
      <w:r w:rsidRPr="00976ED6">
        <w:rPr>
          <w:rFonts w:ascii="Times New Roman" w:hAnsi="Times New Roman" w:cs="Times New Roman"/>
          <w:b/>
          <w:lang w:val="sl-SI"/>
        </w:rPr>
        <w:tab/>
        <w:t>VAISTINIO PREPARATO PAVADINIMAS</w:t>
      </w:r>
    </w:p>
    <w:p w14:paraId="701BAB2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0820D8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bookmarkStart w:id="1" w:name="_GoBack"/>
      <w:r w:rsidRPr="00976ED6">
        <w:rPr>
          <w:rFonts w:ascii="Times New Roman" w:hAnsi="Times New Roman" w:cs="Times New Roman"/>
          <w:lang w:val="sl-SI"/>
        </w:rPr>
        <w:t>Tolnexa 20 mg/ml koncentratas infuziniam tirpalui</w:t>
      </w:r>
    </w:p>
    <w:bookmarkEnd w:id="1"/>
    <w:p w14:paraId="484EA2F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BCF390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7CC4E3D"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2.</w:t>
      </w:r>
      <w:r w:rsidRPr="00976ED6">
        <w:rPr>
          <w:rFonts w:ascii="Times New Roman" w:hAnsi="Times New Roman" w:cs="Times New Roman"/>
          <w:b/>
          <w:lang w:val="sl-SI"/>
        </w:rPr>
        <w:tab/>
        <w:t>KOKYBINĖ IR KIEKYBINĖ SUDĖTIS</w:t>
      </w:r>
    </w:p>
    <w:p w14:paraId="63E23B9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9143FD4" w14:textId="190F8190"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Kiekviename koncentrato infuziniam tirpalui mililitre yra 20</w:t>
      </w:r>
      <w:r w:rsidR="00166C22">
        <w:rPr>
          <w:rFonts w:ascii="Times New Roman" w:hAnsi="Times New Roman" w:cs="Times New Roman"/>
          <w:lang w:val="sl-SI"/>
        </w:rPr>
        <w:t> </w:t>
      </w:r>
      <w:r w:rsidRPr="00976ED6">
        <w:rPr>
          <w:rFonts w:ascii="Times New Roman" w:hAnsi="Times New Roman" w:cs="Times New Roman"/>
          <w:lang w:val="sl-SI"/>
        </w:rPr>
        <w:t>mg docetakselio.</w:t>
      </w:r>
    </w:p>
    <w:p w14:paraId="18E1A88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40ABD93" w14:textId="6D3B97E9"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Viename 1</w:t>
      </w:r>
      <w:r w:rsidR="00166C22">
        <w:rPr>
          <w:rFonts w:ascii="Times New Roman" w:hAnsi="Times New Roman" w:cs="Times New Roman"/>
          <w:lang w:val="sl-SI"/>
        </w:rPr>
        <w:t> </w:t>
      </w:r>
      <w:r w:rsidRPr="00976ED6">
        <w:rPr>
          <w:rFonts w:ascii="Times New Roman" w:hAnsi="Times New Roman" w:cs="Times New Roman"/>
          <w:lang w:val="sl-SI"/>
        </w:rPr>
        <w:t>ml koncentrato infuziniam tirpalui flakone yra 20</w:t>
      </w:r>
      <w:r w:rsidR="00166C22">
        <w:rPr>
          <w:rFonts w:ascii="Times New Roman" w:hAnsi="Times New Roman" w:cs="Times New Roman"/>
          <w:lang w:val="sl-SI"/>
        </w:rPr>
        <w:t> </w:t>
      </w:r>
      <w:r w:rsidRPr="00976ED6">
        <w:rPr>
          <w:rFonts w:ascii="Times New Roman" w:hAnsi="Times New Roman" w:cs="Times New Roman"/>
          <w:lang w:val="sl-SI"/>
        </w:rPr>
        <w:t>mg docetakselio.</w:t>
      </w:r>
    </w:p>
    <w:p w14:paraId="4B178047" w14:textId="041A3890"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Viename 4</w:t>
      </w:r>
      <w:r w:rsidR="00166C22">
        <w:rPr>
          <w:rFonts w:ascii="Times New Roman" w:hAnsi="Times New Roman" w:cs="Times New Roman"/>
          <w:highlight w:val="lightGray"/>
          <w:lang w:val="sl-SI"/>
        </w:rPr>
        <w:t> </w:t>
      </w:r>
      <w:r w:rsidRPr="00976ED6">
        <w:rPr>
          <w:rFonts w:ascii="Times New Roman" w:hAnsi="Times New Roman" w:cs="Times New Roman"/>
          <w:highlight w:val="lightGray"/>
          <w:lang w:val="sl-SI"/>
        </w:rPr>
        <w:t>ml koncentrato infuziniam tirpalui flakone yra 80</w:t>
      </w:r>
      <w:r w:rsidR="00166C22">
        <w:rPr>
          <w:rFonts w:ascii="Times New Roman" w:hAnsi="Times New Roman" w:cs="Times New Roman"/>
          <w:highlight w:val="lightGray"/>
          <w:lang w:val="sl-SI"/>
        </w:rPr>
        <w:t> </w:t>
      </w:r>
      <w:r w:rsidRPr="00976ED6">
        <w:rPr>
          <w:rFonts w:ascii="Times New Roman" w:hAnsi="Times New Roman" w:cs="Times New Roman"/>
          <w:highlight w:val="lightGray"/>
          <w:lang w:val="sl-SI"/>
        </w:rPr>
        <w:t>mg docetakselio.</w:t>
      </w:r>
    </w:p>
    <w:p w14:paraId="5FA0EF65" w14:textId="68000699"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darkGray"/>
          <w:lang w:val="sl-SI"/>
        </w:rPr>
        <w:t>Viename 8</w:t>
      </w:r>
      <w:r w:rsidR="00166C22">
        <w:rPr>
          <w:rFonts w:ascii="Times New Roman" w:hAnsi="Times New Roman" w:cs="Times New Roman"/>
          <w:highlight w:val="darkGray"/>
          <w:lang w:val="sl-SI"/>
        </w:rPr>
        <w:t> </w:t>
      </w:r>
      <w:r w:rsidRPr="00976ED6">
        <w:rPr>
          <w:rFonts w:ascii="Times New Roman" w:hAnsi="Times New Roman" w:cs="Times New Roman"/>
          <w:highlight w:val="darkGray"/>
          <w:lang w:val="sl-SI"/>
        </w:rPr>
        <w:t>ml koncentrato infuziniam tirpalui flakone yra 160</w:t>
      </w:r>
      <w:r w:rsidR="00166C22">
        <w:rPr>
          <w:rFonts w:ascii="Times New Roman" w:hAnsi="Times New Roman" w:cs="Times New Roman"/>
          <w:highlight w:val="darkGray"/>
          <w:lang w:val="sl-SI"/>
        </w:rPr>
        <w:t> </w:t>
      </w:r>
      <w:r w:rsidRPr="00976ED6">
        <w:rPr>
          <w:rFonts w:ascii="Times New Roman" w:hAnsi="Times New Roman" w:cs="Times New Roman"/>
          <w:highlight w:val="darkGray"/>
          <w:lang w:val="sl-SI"/>
        </w:rPr>
        <w:t>mg docetakselio.</w:t>
      </w:r>
    </w:p>
    <w:p w14:paraId="3C0CDA1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417B3D8"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Pagalbinė medžiaga, kurios poveikis žinomas:</w:t>
      </w:r>
    </w:p>
    <w:p w14:paraId="2C5B393D" w14:textId="692DD7B5" w:rsidR="003A7B6B" w:rsidRPr="00976ED6" w:rsidRDefault="00BB391C" w:rsidP="003A7B6B">
      <w:pPr>
        <w:widowControl w:val="0"/>
        <w:tabs>
          <w:tab w:val="left" w:pos="567"/>
          <w:tab w:val="left" w:pos="1296"/>
        </w:tabs>
        <w:ind w:left="0" w:firstLine="0"/>
        <w:rPr>
          <w:rFonts w:ascii="Times New Roman" w:hAnsi="Times New Roman" w:cs="Times New Roman"/>
          <w:lang w:val="sl-SI"/>
        </w:rPr>
      </w:pPr>
      <w:r>
        <w:rPr>
          <w:rFonts w:ascii="Times New Roman" w:hAnsi="Times New Roman" w:cs="Times New Roman"/>
          <w:lang w:val="sl-SI"/>
        </w:rPr>
        <w:t>V</w:t>
      </w:r>
      <w:r w:rsidR="003A7B6B" w:rsidRPr="00976ED6">
        <w:rPr>
          <w:rFonts w:ascii="Times New Roman" w:hAnsi="Times New Roman" w:cs="Times New Roman"/>
          <w:lang w:val="sl-SI"/>
        </w:rPr>
        <w:t xml:space="preserve">iename </w:t>
      </w:r>
      <w:r w:rsidR="00ED0F98">
        <w:rPr>
          <w:rFonts w:ascii="Times New Roman" w:hAnsi="Times New Roman" w:cs="Times New Roman"/>
          <w:lang w:val="sl-SI"/>
        </w:rPr>
        <w:t>1 </w:t>
      </w:r>
      <w:r w:rsidR="00F01689">
        <w:rPr>
          <w:rFonts w:ascii="Times New Roman" w:hAnsi="Times New Roman" w:cs="Times New Roman"/>
          <w:lang w:val="sl-SI"/>
        </w:rPr>
        <w:t xml:space="preserve">ml </w:t>
      </w:r>
      <w:r w:rsidR="003A7B6B" w:rsidRPr="00976ED6">
        <w:rPr>
          <w:rFonts w:ascii="Times New Roman" w:hAnsi="Times New Roman" w:cs="Times New Roman"/>
          <w:lang w:val="sl-SI"/>
        </w:rPr>
        <w:t>koncentrato infuziniam tirpalui flakone yra 0,5</w:t>
      </w:r>
      <w:r w:rsidR="00ED0F98">
        <w:rPr>
          <w:rFonts w:ascii="Times New Roman" w:hAnsi="Times New Roman" w:cs="Times New Roman"/>
          <w:lang w:val="sl-SI"/>
        </w:rPr>
        <w:t> </w:t>
      </w:r>
      <w:r w:rsidR="003A7B6B" w:rsidRPr="00976ED6">
        <w:rPr>
          <w:rFonts w:ascii="Times New Roman" w:hAnsi="Times New Roman" w:cs="Times New Roman"/>
          <w:lang w:val="sl-SI"/>
        </w:rPr>
        <w:t>ml bevandenio etanolio (395</w:t>
      </w:r>
      <w:r w:rsidR="00ED0F98">
        <w:rPr>
          <w:rFonts w:ascii="Times New Roman" w:hAnsi="Times New Roman" w:cs="Times New Roman"/>
          <w:lang w:val="sl-SI"/>
        </w:rPr>
        <w:t> </w:t>
      </w:r>
      <w:r w:rsidR="003A7B6B" w:rsidRPr="00976ED6">
        <w:rPr>
          <w:rFonts w:ascii="Times New Roman" w:hAnsi="Times New Roman" w:cs="Times New Roman"/>
          <w:lang w:val="sl-SI"/>
        </w:rPr>
        <w:t>mg).</w:t>
      </w:r>
    </w:p>
    <w:p w14:paraId="42AFB5D9" w14:textId="13A1B06F" w:rsidR="003A7B6B" w:rsidRPr="00976ED6" w:rsidRDefault="00BB391C" w:rsidP="003A7B6B">
      <w:pPr>
        <w:widowControl w:val="0"/>
        <w:tabs>
          <w:tab w:val="left" w:pos="567"/>
          <w:tab w:val="left" w:pos="1296"/>
        </w:tabs>
        <w:ind w:left="0" w:firstLine="0"/>
        <w:rPr>
          <w:rFonts w:ascii="Times New Roman" w:hAnsi="Times New Roman" w:cs="Times New Roman"/>
          <w:lang w:val="sl-SI"/>
        </w:rPr>
      </w:pPr>
      <w:r>
        <w:rPr>
          <w:rFonts w:ascii="Times New Roman" w:hAnsi="Times New Roman" w:cs="Times New Roman"/>
          <w:highlight w:val="lightGray"/>
          <w:lang w:val="sl-SI"/>
        </w:rPr>
        <w:t>V</w:t>
      </w:r>
      <w:r w:rsidR="003A7B6B" w:rsidRPr="00976ED6">
        <w:rPr>
          <w:rFonts w:ascii="Times New Roman" w:hAnsi="Times New Roman" w:cs="Times New Roman"/>
          <w:highlight w:val="lightGray"/>
          <w:lang w:val="sl-SI"/>
        </w:rPr>
        <w:t xml:space="preserve">iename </w:t>
      </w:r>
      <w:r w:rsidR="00ED0F98">
        <w:rPr>
          <w:rFonts w:ascii="Times New Roman" w:hAnsi="Times New Roman" w:cs="Times New Roman"/>
          <w:highlight w:val="lightGray"/>
          <w:lang w:val="sl-SI"/>
        </w:rPr>
        <w:t>4 </w:t>
      </w:r>
      <w:r w:rsidR="00F01689">
        <w:rPr>
          <w:rFonts w:ascii="Times New Roman" w:hAnsi="Times New Roman" w:cs="Times New Roman"/>
          <w:highlight w:val="lightGray"/>
          <w:lang w:val="sl-SI"/>
        </w:rPr>
        <w:t xml:space="preserve">ml </w:t>
      </w:r>
      <w:r w:rsidR="003A7B6B" w:rsidRPr="00976ED6">
        <w:rPr>
          <w:rFonts w:ascii="Times New Roman" w:hAnsi="Times New Roman" w:cs="Times New Roman"/>
          <w:highlight w:val="lightGray"/>
          <w:lang w:val="sl-SI"/>
        </w:rPr>
        <w:t>koncentrato infuziniam tirpalui flakone yra 2</w:t>
      </w:r>
      <w:r w:rsidR="00ED0F98">
        <w:rPr>
          <w:rFonts w:ascii="Times New Roman" w:hAnsi="Times New Roman" w:cs="Times New Roman"/>
          <w:highlight w:val="lightGray"/>
          <w:lang w:val="sl-SI"/>
        </w:rPr>
        <w:t> </w:t>
      </w:r>
      <w:r w:rsidR="003A7B6B" w:rsidRPr="00976ED6">
        <w:rPr>
          <w:rFonts w:ascii="Times New Roman" w:hAnsi="Times New Roman" w:cs="Times New Roman"/>
          <w:highlight w:val="lightGray"/>
          <w:lang w:val="sl-SI"/>
        </w:rPr>
        <w:t>ml bevandenio etanolio (158</w:t>
      </w:r>
      <w:r>
        <w:rPr>
          <w:rFonts w:ascii="Times New Roman" w:hAnsi="Times New Roman" w:cs="Times New Roman"/>
          <w:highlight w:val="lightGray"/>
          <w:lang w:val="sl-SI"/>
        </w:rPr>
        <w:t>0</w:t>
      </w:r>
      <w:r w:rsidR="00ED0F98">
        <w:rPr>
          <w:rFonts w:ascii="Times New Roman" w:hAnsi="Times New Roman" w:cs="Times New Roman"/>
          <w:highlight w:val="lightGray"/>
          <w:lang w:val="sl-SI"/>
        </w:rPr>
        <w:t> </w:t>
      </w:r>
      <w:r>
        <w:rPr>
          <w:rFonts w:ascii="Times New Roman" w:hAnsi="Times New Roman" w:cs="Times New Roman"/>
          <w:highlight w:val="lightGray"/>
          <w:lang w:val="sl-SI"/>
        </w:rPr>
        <w:t>m</w:t>
      </w:r>
      <w:r w:rsidR="003A7B6B" w:rsidRPr="00976ED6">
        <w:rPr>
          <w:rFonts w:ascii="Times New Roman" w:hAnsi="Times New Roman" w:cs="Times New Roman"/>
          <w:highlight w:val="lightGray"/>
          <w:lang w:val="sl-SI"/>
        </w:rPr>
        <w:t>g).</w:t>
      </w:r>
    </w:p>
    <w:p w14:paraId="69E013C1" w14:textId="37FD2859" w:rsidR="003A7B6B" w:rsidRPr="00976ED6" w:rsidRDefault="00BB391C" w:rsidP="003A7B6B">
      <w:pPr>
        <w:widowControl w:val="0"/>
        <w:tabs>
          <w:tab w:val="left" w:pos="567"/>
          <w:tab w:val="left" w:pos="1296"/>
        </w:tabs>
        <w:ind w:left="0" w:firstLine="0"/>
        <w:rPr>
          <w:rFonts w:ascii="Times New Roman" w:hAnsi="Times New Roman" w:cs="Times New Roman"/>
          <w:lang w:val="sl-SI"/>
        </w:rPr>
      </w:pPr>
      <w:r>
        <w:rPr>
          <w:rFonts w:ascii="Times New Roman" w:hAnsi="Times New Roman" w:cs="Times New Roman"/>
          <w:highlight w:val="darkGray"/>
          <w:lang w:val="sl-SI"/>
        </w:rPr>
        <w:t>V</w:t>
      </w:r>
      <w:r w:rsidR="003A7B6B" w:rsidRPr="00976ED6">
        <w:rPr>
          <w:rFonts w:ascii="Times New Roman" w:hAnsi="Times New Roman" w:cs="Times New Roman"/>
          <w:highlight w:val="darkGray"/>
          <w:lang w:val="sl-SI"/>
        </w:rPr>
        <w:t xml:space="preserve">iename </w:t>
      </w:r>
      <w:r w:rsidR="00ED0F98">
        <w:rPr>
          <w:rFonts w:ascii="Times New Roman" w:hAnsi="Times New Roman" w:cs="Times New Roman"/>
          <w:highlight w:val="darkGray"/>
          <w:lang w:val="sl-SI"/>
        </w:rPr>
        <w:t>8 </w:t>
      </w:r>
      <w:r w:rsidR="00F01689">
        <w:rPr>
          <w:rFonts w:ascii="Times New Roman" w:hAnsi="Times New Roman" w:cs="Times New Roman"/>
          <w:highlight w:val="darkGray"/>
          <w:lang w:val="sl-SI"/>
        </w:rPr>
        <w:t xml:space="preserve">ml </w:t>
      </w:r>
      <w:r w:rsidR="003A7B6B" w:rsidRPr="00976ED6">
        <w:rPr>
          <w:rFonts w:ascii="Times New Roman" w:hAnsi="Times New Roman" w:cs="Times New Roman"/>
          <w:highlight w:val="darkGray"/>
          <w:lang w:val="sl-SI"/>
        </w:rPr>
        <w:t>koncentrato infuziniam tirpalui flakone yra 4</w:t>
      </w:r>
      <w:r w:rsidR="00166C22">
        <w:rPr>
          <w:rFonts w:ascii="Times New Roman" w:hAnsi="Times New Roman" w:cs="Times New Roman"/>
          <w:highlight w:val="darkGray"/>
          <w:lang w:val="sl-SI"/>
        </w:rPr>
        <w:t> </w:t>
      </w:r>
      <w:r w:rsidR="003A7B6B" w:rsidRPr="00976ED6">
        <w:rPr>
          <w:rFonts w:ascii="Times New Roman" w:hAnsi="Times New Roman" w:cs="Times New Roman"/>
          <w:highlight w:val="darkGray"/>
          <w:lang w:val="sl-SI"/>
        </w:rPr>
        <w:t>ml bevandenio etanolio (316</w:t>
      </w:r>
      <w:r w:rsidR="00421AD2">
        <w:rPr>
          <w:rFonts w:ascii="Times New Roman" w:hAnsi="Times New Roman" w:cs="Times New Roman"/>
          <w:highlight w:val="darkGray"/>
          <w:lang w:val="sl-SI"/>
        </w:rPr>
        <w:t>0</w:t>
      </w:r>
      <w:r w:rsidR="00ED0F98">
        <w:rPr>
          <w:rFonts w:ascii="Times New Roman" w:hAnsi="Times New Roman" w:cs="Times New Roman"/>
          <w:highlight w:val="darkGray"/>
          <w:lang w:val="sl-SI"/>
        </w:rPr>
        <w:t> </w:t>
      </w:r>
      <w:r w:rsidR="00421AD2">
        <w:rPr>
          <w:rFonts w:ascii="Times New Roman" w:hAnsi="Times New Roman" w:cs="Times New Roman"/>
          <w:highlight w:val="darkGray"/>
          <w:lang w:val="sl-SI"/>
        </w:rPr>
        <w:t>m</w:t>
      </w:r>
      <w:r w:rsidR="003A7B6B" w:rsidRPr="00976ED6">
        <w:rPr>
          <w:rFonts w:ascii="Times New Roman" w:hAnsi="Times New Roman" w:cs="Times New Roman"/>
          <w:highlight w:val="darkGray"/>
          <w:lang w:val="sl-SI"/>
        </w:rPr>
        <w:t>g).</w:t>
      </w:r>
    </w:p>
    <w:p w14:paraId="5462CFB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DC7A24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Visos pagalbinės medžiagos išvardytos 6.1 skyriuje.</w:t>
      </w:r>
    </w:p>
    <w:p w14:paraId="1EAA69B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AA69A8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482E8FD"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3.</w:t>
      </w:r>
      <w:r w:rsidRPr="00976ED6">
        <w:rPr>
          <w:rFonts w:ascii="Times New Roman" w:hAnsi="Times New Roman" w:cs="Times New Roman"/>
          <w:b/>
          <w:lang w:val="sl-SI"/>
        </w:rPr>
        <w:tab/>
        <w:t>FARMACINĖ FORMA</w:t>
      </w:r>
    </w:p>
    <w:p w14:paraId="1D30F16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9A8C3F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Koncentratas infuziniam tirpalui (sterilus koncentratas)</w:t>
      </w:r>
    </w:p>
    <w:p w14:paraId="5A71ED1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Koncentratas yra skaidrus, nuo šviesiai geltonos iki rusvai geltonos spalvos tirpalas.</w:t>
      </w:r>
    </w:p>
    <w:p w14:paraId="5FA22F0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BF3E46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68F4095"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4.</w:t>
      </w:r>
      <w:r w:rsidRPr="00976ED6">
        <w:rPr>
          <w:rFonts w:ascii="Times New Roman" w:hAnsi="Times New Roman" w:cs="Times New Roman"/>
          <w:b/>
          <w:lang w:val="sl-SI"/>
        </w:rPr>
        <w:tab/>
        <w:t>KLINIKINĖ INFORMACIJA</w:t>
      </w:r>
    </w:p>
    <w:p w14:paraId="40AD47E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2AC5676"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4.1</w:t>
      </w:r>
      <w:r w:rsidRPr="00976ED6">
        <w:rPr>
          <w:rFonts w:ascii="Times New Roman" w:hAnsi="Times New Roman" w:cs="Times New Roman"/>
          <w:b/>
          <w:lang w:val="sl-SI"/>
        </w:rPr>
        <w:tab/>
        <w:t>Terapinės indikacijos</w:t>
      </w:r>
    </w:p>
    <w:p w14:paraId="387DDC2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F72FA70"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Krūties vėžys</w:t>
      </w:r>
    </w:p>
    <w:p w14:paraId="08FE7EB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6501F2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derinyje su doksorubicinu ir ciklofosfamidu skirtas adjuvantiniam gydymui pacientams, sergantiems:</w:t>
      </w:r>
    </w:p>
    <w:p w14:paraId="6AC6F6FF" w14:textId="77777777" w:rsidR="003A7B6B" w:rsidRPr="00976ED6" w:rsidRDefault="003A7B6B" w:rsidP="003A7B6B">
      <w:pPr>
        <w:widowControl w:val="0"/>
        <w:numPr>
          <w:ilvl w:val="0"/>
          <w:numId w:val="11"/>
        </w:numPr>
        <w:ind w:left="567" w:hanging="567"/>
        <w:rPr>
          <w:rFonts w:ascii="Times New Roman" w:hAnsi="Times New Roman" w:cs="Times New Roman"/>
          <w:lang w:val="sl-SI"/>
        </w:rPr>
      </w:pPr>
      <w:r w:rsidRPr="00976ED6">
        <w:rPr>
          <w:rFonts w:ascii="Times New Roman" w:hAnsi="Times New Roman" w:cs="Times New Roman"/>
          <w:lang w:val="sl-SI"/>
        </w:rPr>
        <w:t>tinkamu operuoti krūties vėžiu, metastazavusiu į limfmazgius;</w:t>
      </w:r>
    </w:p>
    <w:p w14:paraId="6DFE95D0" w14:textId="77777777" w:rsidR="003A7B6B" w:rsidRPr="00976ED6" w:rsidRDefault="003A7B6B" w:rsidP="003A7B6B">
      <w:pPr>
        <w:widowControl w:val="0"/>
        <w:numPr>
          <w:ilvl w:val="0"/>
          <w:numId w:val="11"/>
        </w:numPr>
        <w:ind w:left="567" w:hanging="567"/>
        <w:rPr>
          <w:rFonts w:ascii="Times New Roman" w:hAnsi="Times New Roman" w:cs="Times New Roman"/>
          <w:lang w:val="sl-SI"/>
        </w:rPr>
      </w:pPr>
      <w:r w:rsidRPr="00976ED6">
        <w:rPr>
          <w:rFonts w:ascii="Times New Roman" w:hAnsi="Times New Roman" w:cs="Times New Roman"/>
          <w:lang w:val="sl-SI"/>
        </w:rPr>
        <w:t>tinkamu operuoti krūties vėžiu, nemetastazavusiu į limfmazgius.</w:t>
      </w:r>
    </w:p>
    <w:p w14:paraId="5AC62C1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F96855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Pacientams, sergantiems tinkamu operuoti į limfmazgius nemetastazavusiu krūties vėžiu, adjuvantinis gydymas gali būti taikomas tik tuo atveju, jei pagal tarptautinius ankstyvo krūties vėžio pirmaeilio gydymo kriterijus, šiems pacientams galima chemoterapija (žr. 5.1 skyrių).</w:t>
      </w:r>
    </w:p>
    <w:p w14:paraId="4C860E4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DDFAD1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derinyje su doksorubicinu skirtas lokaliai progresavusiam (t.y. lokaliai išplitusiam) ar metastazavusiam krūties vėžiui gydyti pacientams, kurie anksčiau nebuvo gydyti nuo šios ligos citotoksiniais vaistais.</w:t>
      </w:r>
    </w:p>
    <w:p w14:paraId="18FF19C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D8CAE6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skirtas lokaliai progresavusio (t.y. lokaliai išplitusio) ar metastazavusio krūties vėžio monoterapijai, jei citotoksinė chemoterapija, kurios sudėtyje buvo antraciklinas arba alkilinantis preparatas, buvo neveiksminga.</w:t>
      </w:r>
    </w:p>
    <w:p w14:paraId="690B675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588E1E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derinyje trastuzumabu skirtas metastazavusiam krūties vėžiui gydyti, jei nustatyta naviko HER2 hiperekspresija, o metastazavusio vėžio chemoterapija anksčiau netaikyta.</w:t>
      </w:r>
    </w:p>
    <w:p w14:paraId="1F4F3E9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E20575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derinyje su kapecitabinu skirtas lokaliai progresavusiam (t.y. lokaliai išplitusiam) ar metastazavusiam krūties vėžiui gydyti, jei citotoksinė chemoterapija, kurios sudėtyje buvo antraciklinas, buvo neveiksminga.</w:t>
      </w:r>
    </w:p>
    <w:p w14:paraId="79C4229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470B1BB"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lastRenderedPageBreak/>
        <w:t>Nesmulkialąstelinis plaučių vėžys</w:t>
      </w:r>
    </w:p>
    <w:p w14:paraId="225F44E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BE3100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skirtas lokaliai progresavusiam (t.y. lokaliai išplitusiam) ar metastazavusiam nesmulkialąsteliniam plaučių vėžiui gydyti, jei ankstesnė chemoterapija buvo neveiksminga.</w:t>
      </w:r>
    </w:p>
    <w:p w14:paraId="10EAF30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07916A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derinyje su cisplatina skirtas neoperuojamam lokaliai progresavusiam (t.y. lokaliai išplitusiam) ar metastazavusiam nesmulkialąsteliniam plaučių vėžiui gydyti pacientams, kuriems šios ligos chemoterapija anksčiau netaikyta.</w:t>
      </w:r>
    </w:p>
    <w:p w14:paraId="6066BB5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02ECF8D"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Prostatos vėžys</w:t>
      </w:r>
    </w:p>
    <w:p w14:paraId="7EDD3C3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85C350C" w14:textId="29C5342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Docetakselis derinyje su prednizonu ar prednizolonu skirtas </w:t>
      </w:r>
      <w:r>
        <w:rPr>
          <w:rFonts w:ascii="Times New Roman" w:hAnsi="Times New Roman" w:cs="Times New Roman"/>
          <w:lang w:val="sl-SI"/>
        </w:rPr>
        <w:t>kastravimui</w:t>
      </w:r>
      <w:r w:rsidRPr="00976ED6">
        <w:rPr>
          <w:rFonts w:ascii="Times New Roman" w:hAnsi="Times New Roman" w:cs="Times New Roman"/>
          <w:lang w:val="sl-SI"/>
        </w:rPr>
        <w:t xml:space="preserve"> atspariam metastazavusiam prostatos vėžiui gydyti.</w:t>
      </w:r>
    </w:p>
    <w:p w14:paraId="546BB4D8" w14:textId="77777777" w:rsidR="003A7B6B" w:rsidRPr="002D2EC4" w:rsidRDefault="003A7B6B" w:rsidP="003A7B6B">
      <w:pPr>
        <w:widowControl w:val="0"/>
        <w:tabs>
          <w:tab w:val="left" w:pos="567"/>
          <w:tab w:val="left" w:pos="1296"/>
        </w:tabs>
        <w:ind w:left="0" w:firstLine="0"/>
        <w:rPr>
          <w:rFonts w:ascii="Times New Roman" w:hAnsi="Times New Roman" w:cs="Times New Roman"/>
        </w:rPr>
      </w:pPr>
    </w:p>
    <w:p w14:paraId="4305B81B" w14:textId="77777777" w:rsidR="003A7B6B" w:rsidRDefault="003A7B6B" w:rsidP="003A7B6B">
      <w:pPr>
        <w:widowControl w:val="0"/>
        <w:tabs>
          <w:tab w:val="left" w:pos="567"/>
          <w:tab w:val="left" w:pos="1296"/>
        </w:tabs>
        <w:ind w:left="0" w:firstLine="0"/>
      </w:pPr>
      <w:r w:rsidRPr="00A3672C">
        <w:rPr>
          <w:rFonts w:ascii="Times New Roman" w:hAnsi="Times New Roman" w:cs="Times New Roman"/>
        </w:rPr>
        <w:t>Docetakselis</w:t>
      </w:r>
      <w:r w:rsidRPr="002D2EC4">
        <w:rPr>
          <w:rFonts w:ascii="Times New Roman" w:hAnsi="Times New Roman" w:cs="Times New Roman"/>
        </w:rPr>
        <w:t xml:space="preserve"> vartojamas kartu su androgenų deprivacijos terapija (ADT), kartu su prednizonu ar prednizolonu arba be jų, metastazavusiam hormonams jautriam prostatos vėžiui gydyti</w:t>
      </w:r>
      <w:r>
        <w:t>.</w:t>
      </w:r>
    </w:p>
    <w:p w14:paraId="4D74C46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39F0F57"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Skrandžio adenokarcinoma</w:t>
      </w:r>
    </w:p>
    <w:p w14:paraId="581C3C5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E44D21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derinyje su cisplatina ir 5-fluorouracilu skirtas metastazavusiai skrandžio adenokarcinomai, įskaitant skrandžio ir stemplės jungties adenokarcinomą, gydyti pacientams, kuriems metastazavusios ligos chemoterapija anksčiau netaikyta.</w:t>
      </w:r>
    </w:p>
    <w:p w14:paraId="413CA46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E7CF543"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Galvos ir kaklo vėžys</w:t>
      </w:r>
    </w:p>
    <w:p w14:paraId="2AD9FB5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78CC11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derinyje su cisplatina ir 5-fluorouracilu skirtas lokaliai progresavusio galvos ir kaklo plokščialąstelinio vėžio įvadiniam gydymui.</w:t>
      </w:r>
    </w:p>
    <w:p w14:paraId="3DD8E3A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4A16184"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4.2</w:t>
      </w:r>
      <w:r w:rsidRPr="00976ED6">
        <w:rPr>
          <w:rFonts w:ascii="Times New Roman" w:hAnsi="Times New Roman" w:cs="Times New Roman"/>
          <w:b/>
          <w:lang w:val="sl-SI"/>
        </w:rPr>
        <w:tab/>
        <w:t>Dozavimas ir vartojimo metodas</w:t>
      </w:r>
    </w:p>
    <w:p w14:paraId="7E26F07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6E444E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Docetakselį galima vartoti tik specializuotuose citotoksinės chemoterapijos skyriuose, prižiūrint gydytojui – kvalifikuotam priešvėžinės chemoterapijos specialistui (žr. 6.6 skyrių).</w:t>
      </w:r>
    </w:p>
    <w:p w14:paraId="6E33F79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AAEDD28"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u w:val="single"/>
          <w:lang w:val="sl-SI" w:eastAsia="sl-SI"/>
        </w:rPr>
      </w:pPr>
      <w:r w:rsidRPr="00976ED6">
        <w:rPr>
          <w:rFonts w:ascii="Times New Roman" w:eastAsia="Times New Roman" w:hAnsi="Times New Roman" w:cs="Times New Roman"/>
          <w:u w:val="single"/>
          <w:lang w:val="sl-SI" w:eastAsia="sl-SI"/>
        </w:rPr>
        <w:t>Dozavimas</w:t>
      </w:r>
    </w:p>
    <w:p w14:paraId="01673E7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0D35901"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sz w:val="24"/>
          <w:szCs w:val="20"/>
          <w:lang w:val="sl-SI" w:eastAsia="sl-SI"/>
        </w:rPr>
      </w:pPr>
      <w:r w:rsidRPr="00976ED6">
        <w:rPr>
          <w:rFonts w:ascii="Times New Roman" w:hAnsi="Times New Roman" w:cs="Times New Roman"/>
          <w:lang w:val="sl-SI"/>
        </w:rPr>
        <w:t>Jeigu nėra kontraindikacijų, tai, gydant krūties, ne</w:t>
      </w:r>
      <w:r w:rsidRPr="00976ED6">
        <w:rPr>
          <w:rFonts w:ascii="Times New Roman" w:hAnsi="Times New Roman" w:cs="Times New Roman"/>
        </w:rPr>
        <w:t>smulkialąstelinį plaučių, skrandžio, galvos ar kaklo vėžį, galima atlikti premedikaciją: 3 dienas duodama gerti kortikosteroido, pvz., deksametazono 16 mg per parą (pvz., po 8 mg 2 kartus per parą). Deksametazonas pradedamas vartoti likus dienai iki docetakselio (žr. 4.4 skyrių).</w:t>
      </w:r>
    </w:p>
    <w:p w14:paraId="770A610A" w14:textId="77777777" w:rsidR="003A7B6B" w:rsidRPr="00A3672C"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Gydant </w:t>
      </w:r>
      <w:r>
        <w:rPr>
          <w:rFonts w:ascii="Times New Roman" w:hAnsi="Times New Roman" w:cs="Times New Roman"/>
          <w:lang w:val="sl-SI"/>
        </w:rPr>
        <w:t>metastazavusį kastracijai atspar</w:t>
      </w:r>
      <w:r>
        <w:rPr>
          <w:rFonts w:ascii="Times New Roman" w:hAnsi="Times New Roman" w:cs="Times New Roman"/>
        </w:rPr>
        <w:t>ų</w:t>
      </w:r>
      <w:r w:rsidRPr="00A3672C">
        <w:rPr>
          <w:rFonts w:ascii="Times New Roman" w:hAnsi="Times New Roman" w:cs="Times New Roman"/>
          <w:lang w:val="sl-SI"/>
        </w:rPr>
        <w:t xml:space="preserve"> </w:t>
      </w:r>
      <w:r w:rsidRPr="00976ED6">
        <w:rPr>
          <w:rFonts w:ascii="Times New Roman" w:hAnsi="Times New Roman" w:cs="Times New Roman"/>
          <w:lang w:val="sl-SI"/>
        </w:rPr>
        <w:t xml:space="preserve">prostatos vėžį, premedikacijai rekomenduojama duoti gerti 8 mg deksametazono likus 12 val., 3 val. ir 1 val. iki docetakselio infuzijos, atsižvelgiant į tai, kad kartu </w:t>
      </w:r>
      <w:r w:rsidRPr="00A3672C">
        <w:rPr>
          <w:rFonts w:ascii="Times New Roman" w:hAnsi="Times New Roman" w:cs="Times New Roman"/>
          <w:lang w:val="sl-SI"/>
        </w:rPr>
        <w:t>vartojamas prednizonas arba prednizolonas (žr. 4.4 skyrių).</w:t>
      </w:r>
    </w:p>
    <w:p w14:paraId="6439B4BE" w14:textId="77777777" w:rsidR="003A7B6B" w:rsidRPr="002D2EC4" w:rsidRDefault="003A7B6B" w:rsidP="003A7B6B">
      <w:pPr>
        <w:widowControl w:val="0"/>
        <w:tabs>
          <w:tab w:val="left" w:pos="567"/>
          <w:tab w:val="left" w:pos="1296"/>
        </w:tabs>
        <w:ind w:left="0" w:firstLine="0"/>
        <w:rPr>
          <w:rFonts w:ascii="Times New Roman" w:hAnsi="Times New Roman" w:cs="Times New Roman"/>
        </w:rPr>
      </w:pPr>
      <w:r w:rsidRPr="002D2EC4">
        <w:rPr>
          <w:rFonts w:ascii="Times New Roman" w:hAnsi="Times New Roman" w:cs="Times New Roman"/>
        </w:rPr>
        <w:t>Gydant hormonams jautrų prostatos vėžį, premedikacijai rekomenduojama skirti 8 mg geriamojo deksametazono likus 12 val., 3 val. ir 1 val. iki docetakselio infuzijos, nepriklausomai nuo to, ar kartu vartojamas prednizonas ar prednizolonas (žr. 4.4 skyrių).</w:t>
      </w:r>
    </w:p>
    <w:p w14:paraId="14D7BD76"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p>
    <w:p w14:paraId="338C029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Hematotoksinio poveikio pavojui sumažinti profilaktiškai galima vartoti granulocitų kolonijas stimuliuojantį faktorių (G-KSF).</w:t>
      </w:r>
    </w:p>
    <w:p w14:paraId="1D4BAFC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BA307C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infuzuojama per 1 val., kas 3 savaites.</w:t>
      </w:r>
    </w:p>
    <w:p w14:paraId="386D8C9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DB78B71"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Krūties vėžys</w:t>
      </w:r>
    </w:p>
    <w:p w14:paraId="656D614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Rekomenduojama docetakselio dozė tinkamo operuoti į limfmazgius metastazavusio ir į limfmazgius nemetastazavusio krūties vėžio adjuvantiniam gydymui – 75 mg/m². Ji infuzuojama 1 val. po 50 mg/m² doksorubicino ir 500 mg/m² ciklofosfamido, kas 3 savaites, iš viso 6 ciklus (TAC gydymo planas) (taip pat žr. “Dozės koregavimas gydymo metu”).</w:t>
      </w:r>
    </w:p>
    <w:p w14:paraId="303A3BA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Lokaliai progresavusiam ar metastazavusiam krūties vėžiui gydyti rekomenduojama docetakselio dozė </w:t>
      </w:r>
      <w:r w:rsidRPr="00976ED6">
        <w:rPr>
          <w:rFonts w:ascii="Times New Roman" w:hAnsi="Times New Roman" w:cs="Times New Roman"/>
          <w:lang w:val="sl-SI"/>
        </w:rPr>
        <w:lastRenderedPageBreak/>
        <w:t>monoterapijai – 100 mg/m². Pirmaeiliam gydymui 75 mg/m² docetakselio derinama su 50 mg/m² doksorubicino.</w:t>
      </w:r>
    </w:p>
    <w:p w14:paraId="450F8BD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073F7C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Rekomenduojama docetakselio dozė kartu vartojant trastuzumabą – 100 mg/m² kas 3 savaites (trastuzumabo vartojama kas savaitę). Pagrindinio tyrimo metu pirmoji docetakselio infuzija pradėta kitą dieną po pirmosios trastuzumabo dozės. Kitos docetakselio dozės infuzuotos tuoj pat po trastuzumabo infuzijos, jei ankstesnę trastuzumabo dozę pacientė toleravo gerai. Kaip vartoti trastuzumabą, nurodyta pastarojo preparato charakteristikų santraukoje.</w:t>
      </w:r>
    </w:p>
    <w:p w14:paraId="7BF5EDE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4B58C5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Rekomenduojama docetakselio dozė kartu vartojant kapecitabiną – 75 mg/m² kas 3 savaites.</w:t>
      </w:r>
    </w:p>
    <w:p w14:paraId="63D6CD7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Kapecitabino vartojama po 1250 mg/m² 2 kartus per parą (per 30 min. po valgio) 2 savaites, po kurių daroma savaitės pertrauka. Kaip apskaičiuoti kapecitabino dozę pagal kūno paviršiaus plotą, nurodyta pastarojo charakteristikų santraukoje.</w:t>
      </w:r>
    </w:p>
    <w:p w14:paraId="4295F7F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E57C556"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Nesmulkialąstelinis plaučių vėžys</w:t>
      </w:r>
    </w:p>
    <w:p w14:paraId="583A239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Nesmulkialąsteliniam plaučių vėžiui gydyti pacientams, kuriems anksčiau chemoterapija netaikyta, rekomenduojama infuzuoti 75 mg/m² docetakselio, o paskui tuoj pat 75 mg/m² cisplatinos (pastarosios infuzijos trukmė – 30-60 min.). Jei ankstesnė chemoterapija, kurios pagrindinis vaistas – platinos junginys, buvo neveiksminga, tai rekomenduojama vartoti 75 mg/m² docetakselio monoterapijai.</w:t>
      </w:r>
    </w:p>
    <w:p w14:paraId="497476A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3F7D45C"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Prostatos vėžys</w:t>
      </w:r>
    </w:p>
    <w:p w14:paraId="259A870B" w14:textId="77777777" w:rsidR="003A7B6B" w:rsidRPr="002D2EC4" w:rsidRDefault="003A7B6B" w:rsidP="003A7B6B">
      <w:pPr>
        <w:widowControl w:val="0"/>
        <w:tabs>
          <w:tab w:val="left" w:pos="567"/>
          <w:tab w:val="left" w:pos="1296"/>
        </w:tabs>
        <w:ind w:left="0" w:firstLine="0"/>
        <w:rPr>
          <w:rFonts w:ascii="Times New Roman" w:hAnsi="Times New Roman" w:cs="Times New Roman"/>
          <w:i/>
          <w:lang w:val="sl-SI"/>
        </w:rPr>
      </w:pPr>
      <w:r w:rsidRPr="002D2EC4">
        <w:rPr>
          <w:rFonts w:ascii="Times New Roman" w:hAnsi="Times New Roman" w:cs="Times New Roman"/>
          <w:i/>
          <w:lang w:val="sl-SI"/>
        </w:rPr>
        <w:t>Metastazavęs kastracijai atsparus prostatos vėžys</w:t>
      </w:r>
    </w:p>
    <w:p w14:paraId="343B7E9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Rekomenduojama docetakselio dozė – 75 mg/m². Taip pat duodama gerti 2 kartus per parą po 5 mg prednizono arba prednizolono be pertraukų (žr. 5.1 skyrių).</w:t>
      </w:r>
    </w:p>
    <w:p w14:paraId="69757A7E" w14:textId="77777777" w:rsidR="003A7B6B" w:rsidRPr="002D2EC4" w:rsidRDefault="003A7B6B" w:rsidP="003A7B6B">
      <w:pPr>
        <w:widowControl w:val="0"/>
        <w:tabs>
          <w:tab w:val="left" w:pos="567"/>
          <w:tab w:val="left" w:pos="1296"/>
        </w:tabs>
        <w:ind w:left="0" w:firstLine="0"/>
        <w:rPr>
          <w:rFonts w:ascii="Times New Roman" w:hAnsi="Times New Roman" w:cs="Times New Roman"/>
        </w:rPr>
      </w:pPr>
    </w:p>
    <w:p w14:paraId="5AE920B8" w14:textId="77777777" w:rsidR="003A7B6B" w:rsidRPr="002D2EC4" w:rsidRDefault="003A7B6B" w:rsidP="003A7B6B">
      <w:pPr>
        <w:widowControl w:val="0"/>
        <w:tabs>
          <w:tab w:val="left" w:pos="567"/>
          <w:tab w:val="left" w:pos="1296"/>
        </w:tabs>
        <w:ind w:left="0" w:firstLine="0"/>
        <w:rPr>
          <w:rFonts w:ascii="Times New Roman" w:hAnsi="Times New Roman" w:cs="Times New Roman"/>
          <w:i/>
        </w:rPr>
      </w:pPr>
      <w:r w:rsidRPr="002D2EC4">
        <w:rPr>
          <w:rFonts w:ascii="Times New Roman" w:hAnsi="Times New Roman" w:cs="Times New Roman"/>
          <w:i/>
        </w:rPr>
        <w:t>Metastazavęs hormonams jautrus prostatos vėžys</w:t>
      </w:r>
    </w:p>
    <w:p w14:paraId="3C9910BB" w14:textId="77777777" w:rsidR="003A7B6B" w:rsidRPr="002D2EC4" w:rsidRDefault="003A7B6B" w:rsidP="003A7B6B">
      <w:pPr>
        <w:widowControl w:val="0"/>
        <w:tabs>
          <w:tab w:val="left" w:pos="567"/>
          <w:tab w:val="left" w:pos="1296"/>
        </w:tabs>
        <w:ind w:left="0" w:firstLine="0"/>
        <w:rPr>
          <w:rFonts w:ascii="Times New Roman" w:hAnsi="Times New Roman" w:cs="Times New Roman"/>
        </w:rPr>
      </w:pPr>
      <w:r w:rsidRPr="002D2EC4">
        <w:rPr>
          <w:rFonts w:ascii="Times New Roman" w:hAnsi="Times New Roman" w:cs="Times New Roman"/>
        </w:rPr>
        <w:t>Rekomenduojama docetakselio dozė – 75 mg/m</w:t>
      </w:r>
      <w:r w:rsidRPr="002D2EC4">
        <w:rPr>
          <w:rFonts w:ascii="Times New Roman" w:hAnsi="Times New Roman" w:cs="Times New Roman"/>
          <w:vertAlign w:val="superscript"/>
        </w:rPr>
        <w:t>2</w:t>
      </w:r>
      <w:r w:rsidRPr="002D2EC4">
        <w:rPr>
          <w:rFonts w:ascii="Times New Roman" w:hAnsi="Times New Roman" w:cs="Times New Roman"/>
        </w:rPr>
        <w:t xml:space="preserve"> kas 3 savaites, iš viso skiriami 6 ciklai. Taip pat gali būti skiriama po 5 mg geriamojo prednizono arba prednizolono 2 kartus per parą be pertraukų.</w:t>
      </w:r>
    </w:p>
    <w:p w14:paraId="5723A04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CC80B60"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Skrandžio adenokarcinoma</w:t>
      </w:r>
    </w:p>
    <w:p w14:paraId="71691DF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Rekomenduojama docetakselio dozė yra 75 mg/m², ji infuzuojama per vieną valandą, po to sulašinama 75 mg/m² cisplatinos dozė (infuzijos trukmė – 1 – 3 val.); abiejų vaistinių preparatų infuzuojama tik pirmąją dieną. Po to 5 dienas infuzuojama 750 mg/m² 5-fluorouracilo dozė (infuzijos trukmė yra 24 valandos, pirmoji infuzija pradedama iš karto po cisplatinos infuzijos pabaigos). Toks gydymo ciklas kartojamas kas tris savaites. Prieš cisplatinos infuziją pacientams būtina skirti vaistinių preparatų nuo vėmimo bei sulašinti reikiamą kiekį skysčių. Kad sumažėtų hematologinių komplikacijų pavojus, būtina profilaktika G-KSF (žr. poskyrį „Dozės koregavimas gydymo metu“).</w:t>
      </w:r>
    </w:p>
    <w:p w14:paraId="68AF807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FE1540A"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Galvos ir kaklo vėžys</w:t>
      </w:r>
    </w:p>
    <w:p w14:paraId="7261DD8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Prieš cisplatinos infuziją ir po jos pacientams būtina skirti vaistinių preparatų nuo vėmimo bei sulašinti reikiamą kiekį skysčių. Siekiant sumažinti toksinio poveikio kraujui riziką, galima skirti profilaktinį gydymą G-KSF. TAX 323 bei TAX 324 tyrimų metu visi docetakseliu gydyti pacientai profilaktiškai vartojo antibiotikų.</w:t>
      </w:r>
    </w:p>
    <w:p w14:paraId="2F7D1C80" w14:textId="77777777" w:rsidR="003A7B6B" w:rsidRPr="00976ED6" w:rsidRDefault="003A7B6B" w:rsidP="003A7B6B">
      <w:pPr>
        <w:widowControl w:val="0"/>
        <w:tabs>
          <w:tab w:val="left" w:pos="1296"/>
        </w:tabs>
        <w:rPr>
          <w:rFonts w:ascii="Times New Roman" w:hAnsi="Times New Roman" w:cs="Times New Roman"/>
          <w:lang w:val="sl-SI"/>
        </w:rPr>
      </w:pPr>
    </w:p>
    <w:p w14:paraId="6DBB2FD7" w14:textId="77777777" w:rsidR="003A7B6B" w:rsidRPr="00976ED6" w:rsidRDefault="003A7B6B" w:rsidP="003A7B6B">
      <w:pPr>
        <w:widowControl w:val="0"/>
        <w:numPr>
          <w:ilvl w:val="0"/>
          <w:numId w:val="12"/>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Įvadinė chemoterapija, kai vėliau gydoma spinduliais (TAX 323)</w:t>
      </w:r>
    </w:p>
    <w:p w14:paraId="4127470A" w14:textId="77777777" w:rsidR="003A7B6B" w:rsidRPr="00976ED6" w:rsidRDefault="003A7B6B" w:rsidP="003A7B6B">
      <w:pPr>
        <w:widowControl w:val="0"/>
        <w:tabs>
          <w:tab w:val="left" w:pos="1296"/>
        </w:tabs>
        <w:ind w:firstLine="0"/>
        <w:rPr>
          <w:rFonts w:ascii="Times New Roman" w:hAnsi="Times New Roman" w:cs="Times New Roman"/>
          <w:lang w:val="sl-SI"/>
        </w:rPr>
      </w:pPr>
      <w:r w:rsidRPr="00976ED6">
        <w:rPr>
          <w:rFonts w:ascii="Times New Roman" w:hAnsi="Times New Roman" w:cs="Times New Roman"/>
          <w:lang w:val="sl-SI"/>
        </w:rPr>
        <w:t>Įvadiniam neoperuojamo lokaliai progresavusio plokščialąstelinio galvos ir kaklo vėžio (PGKV) gydymui rekomenduojama docetakselio dozė yra 75 mg/m², ji infuzuojama per vieną valandą, po to sulašinama 75 mg/m² cisplatinos dozė (infuzijos trukmė – 1 val.); abiejų vaistinių preparatų infuzuojama tik pirmąją dieną. Po to 5 dienas nuolat infuzuojama 5-fluorouracilo (paros dozė 750 mg/m²). Toks gydymo ciklas kartojamas kas tris savaites 4 kartus. Po chemoterapijos būtinas gydymas spinduliais.</w:t>
      </w:r>
    </w:p>
    <w:p w14:paraId="1ADD0EE5" w14:textId="77777777" w:rsidR="003A7B6B" w:rsidRPr="00976ED6" w:rsidRDefault="003A7B6B" w:rsidP="003A7B6B">
      <w:pPr>
        <w:widowControl w:val="0"/>
        <w:tabs>
          <w:tab w:val="left" w:pos="1296"/>
        </w:tabs>
        <w:rPr>
          <w:rFonts w:ascii="Times New Roman" w:hAnsi="Times New Roman" w:cs="Times New Roman"/>
          <w:lang w:val="sl-SI"/>
        </w:rPr>
      </w:pPr>
    </w:p>
    <w:p w14:paraId="2D912CE0" w14:textId="77777777" w:rsidR="003A7B6B" w:rsidRPr="00976ED6" w:rsidRDefault="003A7B6B" w:rsidP="003A7B6B">
      <w:pPr>
        <w:widowControl w:val="0"/>
        <w:numPr>
          <w:ilvl w:val="0"/>
          <w:numId w:val="12"/>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 xml:space="preserve">Įvadinė chemoterapija, kai vėliau taikoma chemoterapija bei gydoma spinduliais (TAX 324) Įvadiniam lokaliai progresavusio plokščialąstelinio galvos ir kaklo vėžio (PGKV) gydymui (jei rezekcija techniškai neįmanoma, pagijimo po chirurginio gydymo tikimybė maža bei siekiama išsaugoti organus) rekomenduojama docetakselio dozė yra 75 mg/m², ji infuzuojama per vieną valandą, po to sulašinama 100 mg/m² cisplatinos dozė (infuzijos trukmė 30 min.-3 val.); abiejų </w:t>
      </w:r>
      <w:r w:rsidRPr="00976ED6">
        <w:rPr>
          <w:rFonts w:ascii="Times New Roman" w:hAnsi="Times New Roman" w:cs="Times New Roman"/>
          <w:lang w:val="sl-SI"/>
        </w:rPr>
        <w:lastRenderedPageBreak/>
        <w:t>vaistinių preparatų infuzuojama tik pirmąją dieną. Po to 1-4 dieną nuolat infuzuojama 5-fluorouracilo (paros dozė 1000 mg/m²). Toks gydymo ciklas kartojamas kas tris savaites 3 kartus. Po chemoterapijos būtina tolesnė chemoterapija bei gydymas spinduliais.</w:t>
      </w:r>
    </w:p>
    <w:p w14:paraId="3573645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6DE3F9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Informacija apie cisplatinos ir 5-fluorouracilo dozės keitimą pateikta atitinkamoje preparatų charakteristikų santraukoje.</w:t>
      </w:r>
    </w:p>
    <w:p w14:paraId="37397A3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3124FF8"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Dozės koregavimas gydymo metu:</w:t>
      </w:r>
    </w:p>
    <w:p w14:paraId="6092BB9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832F87A"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Bendros pastabos</w:t>
      </w:r>
    </w:p>
    <w:p w14:paraId="567346B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infuzuojama tada, kai neutrofilų skaičius yra 1500/ mm</w:t>
      </w:r>
      <w:r w:rsidRPr="00976ED6">
        <w:rPr>
          <w:rFonts w:ascii="Times New Roman" w:hAnsi="Times New Roman" w:cs="Times New Roman"/>
          <w:vertAlign w:val="superscript"/>
          <w:lang w:val="sl-SI"/>
        </w:rPr>
        <w:t>3</w:t>
      </w:r>
      <w:r w:rsidRPr="00976ED6">
        <w:rPr>
          <w:rFonts w:ascii="Times New Roman" w:hAnsi="Times New Roman" w:cs="Times New Roman"/>
          <w:lang w:val="sl-SI"/>
        </w:rPr>
        <w:t xml:space="preserve"> arba didesnis. Jei chemoterapijos docetakseliu metu pasireiškė febrilinė neutropenija, neutrofilų skaičius ilgiau kaip savaitę buvo mažesnis kaip 500/mm</w:t>
      </w:r>
      <w:r w:rsidRPr="00976ED6">
        <w:rPr>
          <w:rFonts w:ascii="Times New Roman" w:hAnsi="Times New Roman" w:cs="Times New Roman"/>
          <w:vertAlign w:val="superscript"/>
          <w:lang w:val="sl-SI"/>
        </w:rPr>
        <w:t>3</w:t>
      </w:r>
      <w:r w:rsidRPr="00976ED6">
        <w:rPr>
          <w:rFonts w:ascii="Times New Roman" w:hAnsi="Times New Roman" w:cs="Times New Roman"/>
          <w:lang w:val="sl-SI"/>
        </w:rPr>
        <w:t>, pasireiškė sunkių ar kumuliacinių odos reakcijų arba sunki periferinė neuropatija, tai kitų gydymo ciklų metu šio vaisto dozė mažinama (vietoje 100 mg/m² skiriama 75 mg/m², vietoje 75 mg/m² skiriama 60 mg/m²). Jei, sumažinus dozę iki 60 mg/m², minėtų reakcijų vis vien pasireiškia, gydymą reikia nutraukti.</w:t>
      </w:r>
    </w:p>
    <w:p w14:paraId="1F6DF2E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80CD991"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Adjuvantinis krūties vėžio gydymas</w:t>
      </w:r>
    </w:p>
    <w:p w14:paraId="0003725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Pacientams, kuriems taikomas adjuvantinis krūties vėžio gydymas docetakseliu, doksorubucinu ir ciklofosfamidu (TAC), reikia spręsti dėl G-KSF profilaktinio vartojimo gydymo pradžioje. Pacientams, kuriems pasireiškia febrilinė neutropenija ar su neutropenija susijusios infekcijos, visų vėlesnių ciklų metu docetakselio dozę reikia sumažinti iki 60 mg/m² (žr. 4.4 ir 4.8 skyrius). Pasireiškus 3-4 laipsnio stomatitui, dozę reikia sumažinti, paliekant 60 mg/m².</w:t>
      </w:r>
    </w:p>
    <w:p w14:paraId="1F46EF5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F59A89C"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Kartu vartojant cisplatiną</w:t>
      </w:r>
    </w:p>
    <w:p w14:paraId="2DA670EE" w14:textId="6591E700"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iš pradžių infuzuota 75 mg/m</w:t>
      </w:r>
      <w:r w:rsidRPr="002D2EC4">
        <w:rPr>
          <w:rFonts w:ascii="Times New Roman" w:eastAsia="Times New Roman" w:hAnsi="Times New Roman" w:cs="Times New Roman"/>
          <w:vertAlign w:val="superscript"/>
          <w:lang w:val="sl-SI" w:eastAsia="sl-SI"/>
        </w:rPr>
        <w:t>2</w:t>
      </w:r>
      <w:r w:rsidRPr="00976ED6">
        <w:rPr>
          <w:rFonts w:ascii="Times New Roman" w:hAnsi="Times New Roman" w:cs="Times New Roman"/>
          <w:lang w:val="sl-SI"/>
        </w:rPr>
        <w:t xml:space="preserve"> docetakselio derinant su cisplatina, o trombocitų skaičius ankstesnio gydymo ciklo metu buvo sumažėjęs iki mažesnio kaip 25000/mm</w:t>
      </w:r>
      <w:r w:rsidRPr="00976ED6">
        <w:rPr>
          <w:rFonts w:ascii="Times New Roman" w:hAnsi="Times New Roman" w:cs="Times New Roman"/>
          <w:vertAlign w:val="superscript"/>
          <w:lang w:val="sl-SI"/>
        </w:rPr>
        <w:t>3</w:t>
      </w:r>
      <w:r w:rsidRPr="00976ED6">
        <w:rPr>
          <w:rFonts w:ascii="Times New Roman" w:hAnsi="Times New Roman" w:cs="Times New Roman"/>
          <w:lang w:val="sl-SI"/>
        </w:rPr>
        <w:t>, pasireiškė febrilinė neutropenija arba sunkus nehematologinis toksinis poveikis, tai vėlesnių gydymo ciklų metu infuzuojama mažesnė docetakselio dozė – 65 mg/m</w:t>
      </w:r>
      <w:r w:rsidRPr="002D2EC4">
        <w:rPr>
          <w:rFonts w:ascii="Times New Roman" w:eastAsia="Times New Roman" w:hAnsi="Times New Roman" w:cs="Times New Roman"/>
          <w:vertAlign w:val="superscript"/>
          <w:lang w:val="sl-SI" w:eastAsia="sl-SI"/>
        </w:rPr>
        <w:t>2</w:t>
      </w:r>
      <w:r w:rsidRPr="00976ED6">
        <w:rPr>
          <w:rFonts w:ascii="Times New Roman" w:hAnsi="Times New Roman" w:cs="Times New Roman"/>
          <w:lang w:val="sl-SI"/>
        </w:rPr>
        <w:t>. Cisplatinos dozė koreguojama kaip nurodyta atitinkamoje preparato charakteristikų santraukoje.</w:t>
      </w:r>
    </w:p>
    <w:p w14:paraId="65472D4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6A00BC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i/>
          <w:u w:val="single"/>
          <w:lang w:val="sl-SI"/>
        </w:rPr>
        <w:t>Kartu vartojant kapecitabiną</w:t>
      </w:r>
    </w:p>
    <w:p w14:paraId="74F1949B" w14:textId="77777777" w:rsidR="003A7B6B" w:rsidRPr="00976ED6" w:rsidRDefault="003A7B6B" w:rsidP="003A7B6B">
      <w:pPr>
        <w:widowControl w:val="0"/>
        <w:numPr>
          <w:ilvl w:val="0"/>
          <w:numId w:val="13"/>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Kaip koreguoti kartu su docetakseliu vartojamo kapecitabino dozę, nurodyta pastarojo charakteristikų santraukoje.</w:t>
      </w:r>
    </w:p>
    <w:p w14:paraId="72DEF61E" w14:textId="77777777" w:rsidR="003A7B6B" w:rsidRPr="00976ED6" w:rsidRDefault="003A7B6B" w:rsidP="003A7B6B">
      <w:pPr>
        <w:widowControl w:val="0"/>
        <w:numPr>
          <w:ilvl w:val="0"/>
          <w:numId w:val="13"/>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Pirmą kartą pasireiškus 2 laipsnio toksiniam poveikiui, kuris išlieka iki kito docetakselio ir kapecitabino derinio vartojimo ciklo, vaisto vartojimas atidedamas, kol toksinis poveikis susilpnės iki 0-1 laipsnio, o paskui vartojama tokia pati dozė kaip iš pradžių.</w:t>
      </w:r>
    </w:p>
    <w:p w14:paraId="6E94C7D2" w14:textId="77777777" w:rsidR="003A7B6B" w:rsidRPr="00976ED6" w:rsidRDefault="003A7B6B" w:rsidP="003A7B6B">
      <w:pPr>
        <w:widowControl w:val="0"/>
        <w:numPr>
          <w:ilvl w:val="0"/>
          <w:numId w:val="13"/>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Antrą kartą pasireiškus 2 laipsnio toksiniam poveikiui arba pirmą kartą pasireiškus 3 laipsnio toksiniam poveikiui (bet kada gydymo ciklo metu), vaisto vartojimas atidedamas, kol toksinis poveikis susilpnės iki 0-1 laipsnio, o paskui docetakselis vartojamas 55 mg/m² dozėmis.</w:t>
      </w:r>
    </w:p>
    <w:p w14:paraId="5CC2A4EB" w14:textId="77777777" w:rsidR="003A7B6B" w:rsidRPr="00976ED6" w:rsidRDefault="003A7B6B" w:rsidP="003A7B6B">
      <w:pPr>
        <w:widowControl w:val="0"/>
        <w:numPr>
          <w:ilvl w:val="0"/>
          <w:numId w:val="13"/>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Atsinaujinus minėtam toksiniam poveikiui arba pirmą kartą pasireiškus 4 laipsnio toksiniam poveikiui, docetakselio vartojimą reikia nutraukti.</w:t>
      </w:r>
    </w:p>
    <w:p w14:paraId="323DBF4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5E02D4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Kaip koreguoti trastuzumabo dozę, nurodyta pastarojo preparato charakteristikų santraukoje.</w:t>
      </w:r>
    </w:p>
    <w:p w14:paraId="0436143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9B2AC38"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Kartu vartojant cisplatiną ir 5-fluorouracilą:</w:t>
      </w:r>
    </w:p>
    <w:p w14:paraId="4685AE3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nepaisant G-KSF vartojimo pasireiškia febrilinė neutropenija, ilgalaikė neutropenija ar su neutropenija susijusi infekcija, docetakselio dozę būtina sumažinti nuo 75 iki 60 mg/m². Jei ir toliau kartojasi komplikuotos neutropenijos epizodai, docetakselio dozę būtina sumažinti nuo 60 iki 45 mg/m². Pasireiškus 4 laipsnio trombocitopenijai, docetakselio dozę būtina sumažinti nuo 75 iki 60 mg/m². Tolimesnių gydymo docetakseliu ciklų negalima skirti tol, kol neutrofilų kiekis netaps &gt; 1500 ląstelių/mm</w:t>
      </w:r>
      <w:r w:rsidRPr="00976ED6">
        <w:rPr>
          <w:rFonts w:ascii="Times New Roman" w:hAnsi="Times New Roman" w:cs="Times New Roman"/>
          <w:vertAlign w:val="superscript"/>
          <w:lang w:val="sl-SI"/>
        </w:rPr>
        <w:t>3</w:t>
      </w:r>
      <w:r w:rsidRPr="00976ED6">
        <w:rPr>
          <w:rFonts w:ascii="Times New Roman" w:hAnsi="Times New Roman" w:cs="Times New Roman"/>
          <w:lang w:val="sl-SI"/>
        </w:rPr>
        <w:t>, o trombocitų skaičius &gt; 100000 ląstelių /mm</w:t>
      </w:r>
      <w:r w:rsidRPr="00976ED6">
        <w:rPr>
          <w:rFonts w:ascii="Times New Roman" w:hAnsi="Times New Roman" w:cs="Times New Roman"/>
          <w:vertAlign w:val="superscript"/>
          <w:lang w:val="sl-SI"/>
        </w:rPr>
        <w:t>3</w:t>
      </w:r>
      <w:r w:rsidRPr="00976ED6">
        <w:rPr>
          <w:rFonts w:ascii="Times New Roman" w:hAnsi="Times New Roman" w:cs="Times New Roman"/>
          <w:lang w:val="sl-SI"/>
        </w:rPr>
        <w:t>. Jei toksinis poveikis išlieka ilgai, gydymą būtina nutraukti (žr. 4.4 skyrių).</w:t>
      </w:r>
    </w:p>
    <w:p w14:paraId="1178837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Žemiau pateiktos dozės koregavimo rekomendacijos, jei docetakseliu ir cisplatina bei 5-fluorouracilu (5-FU) gydomam pacientui pasireiškia toksinis poveikis:</w:t>
      </w:r>
    </w:p>
    <w:p w14:paraId="5757404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5"/>
        <w:gridCol w:w="6015"/>
      </w:tblGrid>
      <w:tr w:rsidR="003A7B6B" w:rsidRPr="00976ED6" w14:paraId="16EC057D" w14:textId="77777777" w:rsidTr="005E6418">
        <w:tc>
          <w:tcPr>
            <w:tcW w:w="3085" w:type="dxa"/>
            <w:tcBorders>
              <w:top w:val="single" w:sz="4" w:space="0" w:color="auto"/>
              <w:left w:val="single" w:sz="4" w:space="0" w:color="auto"/>
              <w:bottom w:val="single" w:sz="4" w:space="0" w:color="auto"/>
              <w:right w:val="single" w:sz="4" w:space="0" w:color="auto"/>
            </w:tcBorders>
            <w:hideMark/>
          </w:tcPr>
          <w:p w14:paraId="49497613" w14:textId="77777777" w:rsidR="003A7B6B" w:rsidRPr="00F52238" w:rsidRDefault="003A7B6B" w:rsidP="005E6418">
            <w:pPr>
              <w:widowControl w:val="0"/>
              <w:tabs>
                <w:tab w:val="left" w:pos="567"/>
                <w:tab w:val="left" w:pos="1296"/>
              </w:tabs>
              <w:ind w:left="0" w:firstLine="0"/>
              <w:rPr>
                <w:rFonts w:ascii="Times New Roman" w:hAnsi="Times New Roman" w:cs="Times New Roman"/>
                <w:b/>
                <w:lang w:val="sl-SI"/>
              </w:rPr>
            </w:pPr>
            <w:r w:rsidRPr="00F52238">
              <w:rPr>
                <w:rFonts w:ascii="Times New Roman" w:hAnsi="Times New Roman" w:cs="Times New Roman"/>
                <w:b/>
                <w:lang w:val="sl-SI"/>
              </w:rPr>
              <w:t>Toksinis poveikis</w:t>
            </w:r>
          </w:p>
        </w:tc>
        <w:tc>
          <w:tcPr>
            <w:tcW w:w="6202" w:type="dxa"/>
            <w:tcBorders>
              <w:top w:val="single" w:sz="4" w:space="0" w:color="auto"/>
              <w:left w:val="single" w:sz="4" w:space="0" w:color="auto"/>
              <w:bottom w:val="single" w:sz="4" w:space="0" w:color="auto"/>
              <w:right w:val="single" w:sz="4" w:space="0" w:color="auto"/>
            </w:tcBorders>
            <w:hideMark/>
          </w:tcPr>
          <w:p w14:paraId="22439D08" w14:textId="77777777" w:rsidR="003A7B6B" w:rsidRPr="00F52238" w:rsidRDefault="003A7B6B" w:rsidP="005E6418">
            <w:pPr>
              <w:widowControl w:val="0"/>
              <w:tabs>
                <w:tab w:val="left" w:pos="567"/>
                <w:tab w:val="left" w:pos="1296"/>
              </w:tabs>
              <w:ind w:left="0" w:firstLine="0"/>
              <w:rPr>
                <w:rFonts w:ascii="Times New Roman" w:hAnsi="Times New Roman" w:cs="Times New Roman"/>
                <w:b/>
                <w:lang w:val="sl-SI"/>
              </w:rPr>
            </w:pPr>
            <w:r w:rsidRPr="00F52238">
              <w:rPr>
                <w:rFonts w:ascii="Times New Roman" w:hAnsi="Times New Roman" w:cs="Times New Roman"/>
                <w:b/>
                <w:lang w:val="sl-SI"/>
              </w:rPr>
              <w:t>Dozės koregavimas</w:t>
            </w:r>
          </w:p>
        </w:tc>
      </w:tr>
      <w:tr w:rsidR="003A7B6B" w:rsidRPr="00976ED6" w14:paraId="34DB598F" w14:textId="77777777" w:rsidTr="005E6418">
        <w:tc>
          <w:tcPr>
            <w:tcW w:w="3085" w:type="dxa"/>
            <w:tcBorders>
              <w:top w:val="single" w:sz="4" w:space="0" w:color="auto"/>
              <w:left w:val="single" w:sz="4" w:space="0" w:color="auto"/>
              <w:bottom w:val="single" w:sz="4" w:space="0" w:color="auto"/>
              <w:right w:val="single" w:sz="4" w:space="0" w:color="auto"/>
            </w:tcBorders>
            <w:hideMark/>
          </w:tcPr>
          <w:p w14:paraId="779B4E1F"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lastRenderedPageBreak/>
              <w:t>3 laipsnio viduriavimas</w:t>
            </w:r>
          </w:p>
        </w:tc>
        <w:tc>
          <w:tcPr>
            <w:tcW w:w="6202" w:type="dxa"/>
            <w:tcBorders>
              <w:top w:val="single" w:sz="4" w:space="0" w:color="auto"/>
              <w:left w:val="single" w:sz="4" w:space="0" w:color="auto"/>
              <w:bottom w:val="single" w:sz="4" w:space="0" w:color="auto"/>
              <w:right w:val="single" w:sz="4" w:space="0" w:color="auto"/>
            </w:tcBorders>
            <w:hideMark/>
          </w:tcPr>
          <w:p w14:paraId="1C10E091"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Pirmasis epizodas: 5-FU dozę mažinti 20%</w:t>
            </w:r>
          </w:p>
          <w:p w14:paraId="4E83E454"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Antrasis epizodas: docetakselio dozę mažinti 20%.</w:t>
            </w:r>
          </w:p>
        </w:tc>
      </w:tr>
      <w:tr w:rsidR="003A7B6B" w:rsidRPr="00976ED6" w14:paraId="1485CF6B" w14:textId="77777777" w:rsidTr="005E6418">
        <w:tc>
          <w:tcPr>
            <w:tcW w:w="3085" w:type="dxa"/>
            <w:tcBorders>
              <w:top w:val="single" w:sz="4" w:space="0" w:color="auto"/>
              <w:left w:val="single" w:sz="4" w:space="0" w:color="auto"/>
              <w:bottom w:val="single" w:sz="4" w:space="0" w:color="auto"/>
              <w:right w:val="single" w:sz="4" w:space="0" w:color="auto"/>
            </w:tcBorders>
            <w:hideMark/>
          </w:tcPr>
          <w:p w14:paraId="5E07A421"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4 laipsnio viduriavimas</w:t>
            </w:r>
          </w:p>
        </w:tc>
        <w:tc>
          <w:tcPr>
            <w:tcW w:w="6202" w:type="dxa"/>
            <w:tcBorders>
              <w:top w:val="single" w:sz="4" w:space="0" w:color="auto"/>
              <w:left w:val="single" w:sz="4" w:space="0" w:color="auto"/>
              <w:bottom w:val="single" w:sz="4" w:space="0" w:color="auto"/>
              <w:right w:val="single" w:sz="4" w:space="0" w:color="auto"/>
            </w:tcBorders>
            <w:hideMark/>
          </w:tcPr>
          <w:p w14:paraId="66307661"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Pirmasis epizodas: docetakselio ir 5-FU dozę mažinti 20%.</w:t>
            </w:r>
          </w:p>
          <w:p w14:paraId="6C3A52C2"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Antrasis epizodas: nutraukti gydymą.</w:t>
            </w:r>
          </w:p>
        </w:tc>
      </w:tr>
      <w:tr w:rsidR="003A7B6B" w:rsidRPr="00976ED6" w14:paraId="32B74A52" w14:textId="77777777" w:rsidTr="005E6418">
        <w:tc>
          <w:tcPr>
            <w:tcW w:w="3085" w:type="dxa"/>
            <w:tcBorders>
              <w:top w:val="single" w:sz="4" w:space="0" w:color="auto"/>
              <w:left w:val="single" w:sz="4" w:space="0" w:color="auto"/>
              <w:bottom w:val="single" w:sz="4" w:space="0" w:color="auto"/>
              <w:right w:val="single" w:sz="4" w:space="0" w:color="auto"/>
            </w:tcBorders>
            <w:hideMark/>
          </w:tcPr>
          <w:p w14:paraId="6C7307EC"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3 laipsnio stomatitas/mukozitas</w:t>
            </w:r>
          </w:p>
        </w:tc>
        <w:tc>
          <w:tcPr>
            <w:tcW w:w="6202" w:type="dxa"/>
            <w:tcBorders>
              <w:top w:val="single" w:sz="4" w:space="0" w:color="auto"/>
              <w:left w:val="single" w:sz="4" w:space="0" w:color="auto"/>
              <w:bottom w:val="single" w:sz="4" w:space="0" w:color="auto"/>
              <w:right w:val="single" w:sz="4" w:space="0" w:color="auto"/>
            </w:tcBorders>
            <w:hideMark/>
          </w:tcPr>
          <w:p w14:paraId="1403D097"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Pirmasis epizodas: 5-FU dozę mažinti 20%.</w:t>
            </w:r>
          </w:p>
          <w:p w14:paraId="7165DB0A"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Antrasis epizodas: nutraukti tik 5-FU vartojimą visų sekančių ciklų metu.</w:t>
            </w:r>
          </w:p>
          <w:p w14:paraId="6B90F296"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Trečiasis epizodas: docetakselio dozę mažinti 20%.</w:t>
            </w:r>
          </w:p>
        </w:tc>
      </w:tr>
      <w:tr w:rsidR="003A7B6B" w:rsidRPr="00976ED6" w14:paraId="56F55055" w14:textId="77777777" w:rsidTr="005E6418">
        <w:tc>
          <w:tcPr>
            <w:tcW w:w="3085" w:type="dxa"/>
            <w:tcBorders>
              <w:top w:val="single" w:sz="4" w:space="0" w:color="auto"/>
              <w:left w:val="single" w:sz="4" w:space="0" w:color="auto"/>
              <w:bottom w:val="single" w:sz="4" w:space="0" w:color="auto"/>
              <w:right w:val="single" w:sz="4" w:space="0" w:color="auto"/>
            </w:tcBorders>
            <w:hideMark/>
          </w:tcPr>
          <w:p w14:paraId="3CAAFFEF"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4 laipsnio stomatitas/mukozitas</w:t>
            </w:r>
          </w:p>
        </w:tc>
        <w:tc>
          <w:tcPr>
            <w:tcW w:w="6202" w:type="dxa"/>
            <w:tcBorders>
              <w:top w:val="single" w:sz="4" w:space="0" w:color="auto"/>
              <w:left w:val="single" w:sz="4" w:space="0" w:color="auto"/>
              <w:bottom w:val="single" w:sz="4" w:space="0" w:color="auto"/>
              <w:right w:val="single" w:sz="4" w:space="0" w:color="auto"/>
            </w:tcBorders>
            <w:hideMark/>
          </w:tcPr>
          <w:p w14:paraId="07294CFE"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Pirmasis epizodas: nutraukti tik 5-FU vartojimą visų sekančių ciklų metu.</w:t>
            </w:r>
          </w:p>
          <w:p w14:paraId="567B6598"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Antrasis epizodas: docetakselio dozę mažinti 20%.</w:t>
            </w:r>
          </w:p>
        </w:tc>
      </w:tr>
    </w:tbl>
    <w:p w14:paraId="1C17BE1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5E48A2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Kaip koreguoti cisplatinos ir 5-fluorouracilo dozę, žr. atitinkamą preparato charakteristikų santrauką.</w:t>
      </w:r>
    </w:p>
    <w:p w14:paraId="3B95593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B8CFC7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Pagrindinių PGKV tyrimų metu pacientams, kuriems atsirado neutropenija su komplikacijomis, įskaitant ilgalaikę neutropeniją, febrilinę neutropeniją ar infekciją, visų vėlesnių ciklų metu rekomenduota vartoti G-KSF profilaktikai (pvz., 6-15 ciklo dienomis).</w:t>
      </w:r>
    </w:p>
    <w:p w14:paraId="1ABDEE0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361F83D" w14:textId="0601AA63" w:rsidR="003A7B6B" w:rsidRPr="002D2EC4" w:rsidRDefault="003A7B6B" w:rsidP="003A7B6B">
      <w:pPr>
        <w:widowControl w:val="0"/>
        <w:tabs>
          <w:tab w:val="left" w:pos="567"/>
          <w:tab w:val="left" w:pos="1296"/>
        </w:tabs>
        <w:ind w:left="0" w:firstLine="0"/>
        <w:rPr>
          <w:rFonts w:ascii="Times New Roman" w:hAnsi="Times New Roman" w:cs="Times New Roman"/>
          <w:u w:val="single"/>
          <w:lang w:val="sl-SI"/>
        </w:rPr>
      </w:pPr>
      <w:r w:rsidRPr="002D2EC4">
        <w:rPr>
          <w:rFonts w:ascii="Times New Roman" w:hAnsi="Times New Roman" w:cs="Times New Roman"/>
          <w:u w:val="single"/>
          <w:lang w:val="sl-SI"/>
        </w:rPr>
        <w:t>Ypatingos populiacijos</w:t>
      </w:r>
    </w:p>
    <w:p w14:paraId="607CE04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1B4CC66"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Pacientams, kurių kepenų funkcija sutrikusi</w:t>
      </w:r>
    </w:p>
    <w:p w14:paraId="00123F4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transaminazių [ALT ir (arba) AST] aktyvumas yra daugiau kaip 1,5 karto didesnis negu viršutinė normos riba, o šarminės fosfatazės aktyvumas – daugiau kaip 2,5 karto didesnis negu viršutinė normos riba, tai rekomenduojama dozė, remiantis 100 mg/m² dozėmis monoterapijai vartojamo docetakselio farmakokinetikos duomenimis, – 75 mg/m² (žr. skyriuose 4.4 ir 5.2). Jei bilirubino koncentracija serume didesnė negu viršutinė normos riba ir (arba) ALT ir AST aktyvumas daugiau kaip 3,5 karto didesnis negu viršutinė normos riba, o šarminės fosfatazės aktyvumas daugiau kaip 6 kartus didesnis negu viršutinė normos riba, tai galimybės nurodyti dozės mažinimo tvarką nėra. Tokiais atvejais docetakselio skiriama tik tada, kai neišvengiamai būtina. Jei ALT ir (arba) AST aktyvumas buvo daugiau kaip 1,5 karto didesnis negu viršutinė normos riba, šarminės fosfatazės aktyvumas – daugiau kaip 2,5 karto didesnis negu viršutinė normos riba, o bilirubino koncentracija viršijo viršutinę normos ribą, tokie ligoniai nebuvo įtraukiami į pagrindinį klinikinį tyrimą, kurio metu skrandžio adenokarcinoma sergantys pacientai buvo gydomi docetakseliu, cisplatina ir 5-fluorouracilu; galimybės tokiems pacientams nurodyti dozės mažinimo tvarką nėra, jiems docetakselio skiriama tik tada, kai neišvengiamai būtina. Duomenų apie docetakselio derinimą su kitais vaistais esant kitoms indikacijoms kepenų nepakankamumu sergantiems pacientams nėra.</w:t>
      </w:r>
    </w:p>
    <w:p w14:paraId="5712083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9D21121"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Vaikų populiacija</w:t>
      </w:r>
    </w:p>
    <w:p w14:paraId="3AE7FCB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saugumas ir veiksmingumas gydant 1 mėnesio ir jaunesnius nei 18 metų vaikus, sergančius nosiaryklės karcinoma, nenustatytas. Docetakselio vartojimas vaikams, kurie sirgtų krūties vėžiu, plaučių nesmulkialąsteliniu vėžiu, prostatos vėžiu, skrandžio karcinoma, galvos ir kaklo vėžiu, neaktualus, išskyrus II arba III tipo mažiau diferencijuotą nosiaryklės karcinomą.</w:t>
      </w:r>
    </w:p>
    <w:p w14:paraId="70D727F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924F1A5"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Senyviems pacientams</w:t>
      </w:r>
    </w:p>
    <w:p w14:paraId="6957025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Remiantis populiacine farmakokinetikos analize, nėra specialių nurodymų, kaip vartoti šį vaistą senyviems pacientams. Rekomenduojama pradinė kapecitabino, derinamo su docetakseliu, dozė 60 metų ir vyresniems pacientams yra 75% įprastos (žr. kapecitabino charakteristikų santrauką).</w:t>
      </w:r>
    </w:p>
    <w:p w14:paraId="4A025ED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7FD024B"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u w:val="single"/>
          <w:lang w:val="sl-SI" w:eastAsia="sl-SI"/>
        </w:rPr>
      </w:pPr>
      <w:r w:rsidRPr="00976ED6">
        <w:rPr>
          <w:rFonts w:ascii="Times New Roman" w:eastAsia="Times New Roman" w:hAnsi="Times New Roman" w:cs="Times New Roman"/>
          <w:u w:val="single"/>
          <w:lang w:val="sl-SI" w:eastAsia="sl-SI"/>
        </w:rPr>
        <w:t>Vartojimo metodas</w:t>
      </w:r>
    </w:p>
    <w:p w14:paraId="204DED2F"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r w:rsidRPr="00976ED6">
        <w:rPr>
          <w:rFonts w:ascii="Times New Roman" w:eastAsia="Times New Roman" w:hAnsi="Times New Roman" w:cs="Times New Roman"/>
          <w:lang w:val="sl-SI" w:eastAsia="sl-SI"/>
        </w:rPr>
        <w:t>Vaistinio preparato paruošimo ir vartojimo instrukcija pateikiama 6.6 skyriuje.</w:t>
      </w:r>
    </w:p>
    <w:p w14:paraId="6890FA2A"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p>
    <w:p w14:paraId="1CDA1226"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4.3</w:t>
      </w:r>
      <w:r w:rsidRPr="00976ED6">
        <w:rPr>
          <w:rFonts w:ascii="Times New Roman" w:hAnsi="Times New Roman" w:cs="Times New Roman"/>
          <w:b/>
          <w:lang w:val="sl-SI"/>
        </w:rPr>
        <w:tab/>
        <w:t>Kontraindikacijos</w:t>
      </w:r>
    </w:p>
    <w:p w14:paraId="74F6FD1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257570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Padidėjęs jautrumas veikliajai arba bet kuriai 6.1 skyriuje nurodytai pagalbinei medžiagai.</w:t>
      </w:r>
    </w:p>
    <w:p w14:paraId="2BB2B07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1278D1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Mažesnis kaip 1500/mm</w:t>
      </w:r>
      <w:r w:rsidRPr="00976ED6">
        <w:rPr>
          <w:rFonts w:ascii="Times New Roman" w:hAnsi="Times New Roman" w:cs="Times New Roman"/>
          <w:vertAlign w:val="superscript"/>
          <w:lang w:val="sl-SI"/>
        </w:rPr>
        <w:t>3</w:t>
      </w:r>
      <w:r w:rsidRPr="00976ED6">
        <w:rPr>
          <w:rFonts w:ascii="Times New Roman" w:hAnsi="Times New Roman" w:cs="Times New Roman"/>
          <w:lang w:val="sl-SI"/>
        </w:rPr>
        <w:t xml:space="preserve"> neutrofilų skaičius iki gydymo.</w:t>
      </w:r>
    </w:p>
    <w:p w14:paraId="655B402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8B911D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lastRenderedPageBreak/>
        <w:t>Sunkus kepenų nepakankamumas (žr. 4.2 ir 4.4 skyriuose).</w:t>
      </w:r>
    </w:p>
    <w:p w14:paraId="6EEEBCE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7D1A23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Vartojant docetakselį, taikomos ir kartu vartojamiems vaistiniams preparatams nustatytos kontraindikacijos.</w:t>
      </w:r>
    </w:p>
    <w:p w14:paraId="2047F52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3950B0D"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4.4</w:t>
      </w:r>
      <w:r w:rsidRPr="00976ED6">
        <w:rPr>
          <w:rFonts w:ascii="Times New Roman" w:hAnsi="Times New Roman" w:cs="Times New Roman"/>
          <w:b/>
          <w:lang w:val="sl-SI"/>
        </w:rPr>
        <w:tab/>
        <w:t>Specialūs įspėjimai ir atsargumo priemonės</w:t>
      </w:r>
    </w:p>
    <w:p w14:paraId="07D5AD7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B6B98F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Gydant krūties vėžį ar plaučių nesmulkiųjų ląstelių vėžį, skysčių susilaikymo dažnį ir sunkumą bei padidėjusio jautrumo reakcijų sunkumą gali sumažinti likus dienai iki docetakselio vartojimo pradėta premedikacija geriamuoju kortikosteroidu (jeigu nėra kontraindikacijų), pvz., 3 dienas duodama po 16 mg (pvz., po8 mg 2 kartus per parą) deksametazono. Gydant prostatos vėžį premedikacijai duodama gerti 8 mg deksametazono likus 12 val., 3 val. ir 1 val. iki docetakselio infuzijos (žr. 4.2 skyrių).</w:t>
      </w:r>
    </w:p>
    <w:p w14:paraId="59D868E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E3CC3E6"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Hematologinės reakcijos</w:t>
      </w:r>
    </w:p>
    <w:p w14:paraId="5C343CE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B1218E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Dažniausia docetakselio nepageidaujama reakcija – neutropenija. Ryškiausio neutrofilų skaičiaus sumažėjimo mediana – 7 dienos po vaisto vartojimo, tačiau, jei iki tol taikytas ekstensyvus gydymas, ji gali pasireikšti ir anksčiau. Reikia dažnai tirti visų docetakseliu gydomų pacientų bendrą kraujo tyrimą. Kitą docetakselio dozę reikia infuzuoti tada, kai neutrofilų skaičius tampa 1 500/mm</w:t>
      </w:r>
      <w:r w:rsidRPr="00976ED6">
        <w:rPr>
          <w:rFonts w:ascii="Times New Roman" w:hAnsi="Times New Roman" w:cs="Times New Roman"/>
          <w:vertAlign w:val="superscript"/>
          <w:lang w:val="sl-SI"/>
        </w:rPr>
        <w:t>3</w:t>
      </w:r>
      <w:r w:rsidRPr="00976ED6">
        <w:rPr>
          <w:rFonts w:ascii="Times New Roman" w:hAnsi="Times New Roman" w:cs="Times New Roman"/>
          <w:lang w:val="sl-SI"/>
        </w:rPr>
        <w:t xml:space="preserve"> arba didesnis (žr. 4.2 skyrių).</w:t>
      </w:r>
    </w:p>
    <w:p w14:paraId="60532B3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1ADC52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gydant docetakseliu, pasireiškė sunki neutropenija (7 dienas arba ilgiau neutrofilų skaičius buvo mažesnis kaip 500/mm</w:t>
      </w:r>
      <w:r w:rsidRPr="00976ED6">
        <w:rPr>
          <w:rFonts w:ascii="Times New Roman" w:hAnsi="Times New Roman" w:cs="Times New Roman"/>
          <w:vertAlign w:val="superscript"/>
          <w:lang w:val="sl-SI"/>
        </w:rPr>
        <w:t>3</w:t>
      </w:r>
      <w:r w:rsidRPr="00976ED6">
        <w:rPr>
          <w:rFonts w:ascii="Times New Roman" w:hAnsi="Times New Roman" w:cs="Times New Roman"/>
          <w:lang w:val="sl-SI"/>
        </w:rPr>
        <w:t>), tai vėlesnių gydymo ciklų metu rekomenduojama infuzuoti mažesnę šio vaisto dozę arba imtis simptominių priemonių (žr. 4.2 skyrių).</w:t>
      </w:r>
    </w:p>
    <w:p w14:paraId="32706F4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E6922F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pacientams, kurie docetakselį vartojo kartu su cisplatina ir 5-fluorouracilu (TCF), būdavo skiriamas profilaktinis gydymas G-KSF, febrilinė neutropenija bei su neutropenija susijusių infekcijų pasireikšdavo rečiau. Kad sumažėtų komplikuotos neutropenijos (febrilinės neutropenijos, ilgalaikės neutropenijos ar su neutropenija susijusios infekcijos) pavojus, pacientams, kurie gydomi naudojant TCF schemą, būtina profilaktika G-KSF. Pacientus, kurie gydomi naudojant TCF schemą, būtina atidžiai stebėti (žr. 4.2 ir 4.8 skyrius).</w:t>
      </w:r>
    </w:p>
    <w:p w14:paraId="426E944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73C278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pacientams, vartojantiems docetakselį kartu su doksorubucinu ir ciklofosamidu (TAC), gydymo pradžioje buvo skiriamas profilaktinis gydymas G-KSF, febrilinė neutropenija ir/ar su neutropenija susijusios infekcijos pasireikšdavo rečiau. Kad sumažėtų komplikuotos neutropenijos (febrilinės neutropenijos, ilgalaikės neutropenijos ar su neutropenija susijusios infekcijos) pavojus, pacientams, kurie gydomi naudojant TAC schemą krūties vėžio gydymui, būtina profilaktika G-KSF. Pacientus, kurie gydomi naudojant TAC schemą, būtina atidžiai stebėti (žr. 4.2 ir 4.8 skyrius).</w:t>
      </w:r>
    </w:p>
    <w:p w14:paraId="49C4A8C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88AB7A0" w14:textId="77777777" w:rsidR="003A7B6B" w:rsidRPr="002D2EC4" w:rsidRDefault="003A7B6B" w:rsidP="003A7B6B">
      <w:pPr>
        <w:widowControl w:val="0"/>
        <w:tabs>
          <w:tab w:val="left" w:pos="567"/>
          <w:tab w:val="left" w:pos="1296"/>
        </w:tabs>
        <w:ind w:left="0" w:firstLine="0"/>
        <w:rPr>
          <w:rFonts w:ascii="Times New Roman" w:eastAsia="Times New Roman" w:hAnsi="Times New Roman" w:cs="Times New Roman"/>
          <w:u w:val="single"/>
          <w:lang w:val="sl-SI" w:eastAsia="sl-SI"/>
        </w:rPr>
      </w:pPr>
      <w:r w:rsidRPr="002D2EC4">
        <w:rPr>
          <w:rFonts w:ascii="Times New Roman" w:eastAsia="Times New Roman" w:hAnsi="Times New Roman" w:cs="Times New Roman"/>
          <w:u w:val="single"/>
          <w:lang w:val="sl-SI" w:eastAsia="sl-SI"/>
        </w:rPr>
        <w:t>Virškinimo trakto reakcijos</w:t>
      </w:r>
    </w:p>
    <w:p w14:paraId="1CB341DB"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p>
    <w:p w14:paraId="23F22209"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r w:rsidRPr="00976ED6">
        <w:rPr>
          <w:rFonts w:ascii="Times New Roman" w:eastAsia="Times New Roman" w:hAnsi="Times New Roman" w:cs="Times New Roman"/>
          <w:lang w:val="sl-SI" w:eastAsia="sl-SI"/>
        </w:rPr>
        <w:t>Atsargumo priemonės rekomenduojamos pacientams, sergantiems neutropenija, ypač tiems, kuriems yra rizika atsirasti virškinimo trakto komplikacijomis. Nors dauguma atvejų pasireiškė gydymo docetakselio pirmojo ar antrojo ciklo metu, enterokolitas gali išsivystyti bet kuriuo metu ir gali sukelti mirtį jau pirmosios dienos pradžioje. Pacientus reikia atidžiai stebėti dėl ankstyvo sunkaus toksinio poveikio virškinimo traktui progresavimui (žr. 4.2 skyrių, 4.4 Hematologija ir 4.8 skyrius).</w:t>
      </w:r>
    </w:p>
    <w:p w14:paraId="1B1084F2"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p>
    <w:p w14:paraId="63C8EAF0"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Padidėjusio jautrumo reakcijos</w:t>
      </w:r>
    </w:p>
    <w:p w14:paraId="2DE9EDC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253B70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Būtina atidžiai stebėti, ar nepasireiškė padidėjusio jautrumo reakcijų, ypač pimosios ir antrosios infuzijos metu. Pradėjus docetakselio infuziją, padidėjusio jautrumo reakcijų gali pasireikšti per kelias minutes, todėl būtina turėti priemonių hipotenzijai ir bronchų spazmui šalinti. Dėl lengvų padidėjusio jautrumo reakcijos simptomų (veido paraudimo dėl kraujo priplūdimo, lokalių odos reakcijų), infuzijos nutraukti nereikia. Jei pasireiškia sunkių reakcijų, t.y. sunki hipotenzija, bronchų spazmas arba išplitęs išbėrimas (eritema), būtina nedelsiant nutraukti docetakselio infuziją ir atitinkamai gydyti. Jei buvo sunkių padidėjusio jautrumo reakcijų, pakartotinai docetakselio skirti negalima. Pacientams, kuriems anksčiau buvo pasireiškusi padidėjusio jautrumo reakcija į paklitakselį, gali būti padidėjusio </w:t>
      </w:r>
      <w:r w:rsidRPr="00976ED6">
        <w:rPr>
          <w:rFonts w:ascii="Times New Roman" w:hAnsi="Times New Roman" w:cs="Times New Roman"/>
          <w:lang w:val="sl-SI"/>
        </w:rPr>
        <w:lastRenderedPageBreak/>
        <w:t xml:space="preserve">jautrumo reakcijos į docetakselį, įskaitant sunkesnę padidėjusio jautrumo reakciją, atsiradimo rizika. Pradedant gydymą docetakseliu, tokius pacientus reikia atidžiai stebėti. </w:t>
      </w:r>
    </w:p>
    <w:p w14:paraId="60A2135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4CCAB20"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Odos reakcijos</w:t>
      </w:r>
    </w:p>
    <w:p w14:paraId="7ACDD62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59D3C6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Buvo atvejų, kai pasireiškė lokali galūnių (delnų ir padų) odos eritema su edema, po to deskvamacija.</w:t>
      </w:r>
    </w:p>
    <w:p w14:paraId="3C2247A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Aprašyta atvejų, kai pasireiškė sunkių simptomų (bėrimas, po kurio įvyko deskvamacija), dėl kurių teko laikinai ar visam laikui nutraukti docetakselio vartojimą (žr. 4.2 skyrių).</w:t>
      </w:r>
    </w:p>
    <w:p w14:paraId="0A23B986" w14:textId="77777777" w:rsidR="003A7B6B" w:rsidRDefault="003A7B6B" w:rsidP="003A7B6B">
      <w:pPr>
        <w:widowControl w:val="0"/>
        <w:tabs>
          <w:tab w:val="left" w:pos="567"/>
          <w:tab w:val="left" w:pos="1296"/>
        </w:tabs>
        <w:ind w:left="0" w:firstLine="0"/>
        <w:rPr>
          <w:rFonts w:ascii="Times New Roman" w:hAnsi="Times New Roman" w:cs="Times New Roman"/>
        </w:rPr>
      </w:pPr>
    </w:p>
    <w:p w14:paraId="1790F3B8" w14:textId="5C47B5E0" w:rsidR="003A7B6B" w:rsidRDefault="003A7B6B" w:rsidP="003A7B6B">
      <w:pPr>
        <w:widowControl w:val="0"/>
        <w:tabs>
          <w:tab w:val="left" w:pos="567"/>
          <w:tab w:val="left" w:pos="1296"/>
        </w:tabs>
        <w:ind w:left="0" w:firstLine="0"/>
        <w:rPr>
          <w:rFonts w:ascii="Times New Roman" w:hAnsi="Times New Roman" w:cs="Times New Roman"/>
        </w:rPr>
      </w:pPr>
      <w:r w:rsidRPr="00C91F0E">
        <w:rPr>
          <w:rFonts w:ascii="Times New Roman" w:hAnsi="Times New Roman" w:cs="Times New Roman"/>
        </w:rPr>
        <w:t>Gauta pranešimų apie su docetakselio vartojimu susijusias sunkias odos nepageidaujamas reakcijas (SONR), pvz., Stivenso-Džonsono (</w:t>
      </w:r>
      <w:r w:rsidRPr="00C91F0E">
        <w:rPr>
          <w:rFonts w:ascii="Times New Roman" w:hAnsi="Times New Roman" w:cs="Times New Roman"/>
          <w:i/>
        </w:rPr>
        <w:t>Stevens-Johnson</w:t>
      </w:r>
      <w:r w:rsidRPr="00C91F0E">
        <w:rPr>
          <w:rFonts w:ascii="Times New Roman" w:hAnsi="Times New Roman" w:cs="Times New Roman"/>
        </w:rPr>
        <w:t xml:space="preserve">) sindromą (SJS), toksinę epidermio nekrolizę (TEN) ir ūminę </w:t>
      </w:r>
      <w:r w:rsidR="006544BA" w:rsidRPr="00C91F0E">
        <w:rPr>
          <w:rFonts w:ascii="Times New Roman" w:hAnsi="Times New Roman" w:cs="Times New Roman"/>
        </w:rPr>
        <w:t xml:space="preserve">generalizuotą </w:t>
      </w:r>
      <w:r w:rsidRPr="00C91F0E">
        <w:rPr>
          <w:rFonts w:ascii="Times New Roman" w:hAnsi="Times New Roman" w:cs="Times New Roman"/>
        </w:rPr>
        <w:t>egzanteminę pustuliozę (</w:t>
      </w:r>
      <w:r w:rsidRPr="00C91F0E">
        <w:rPr>
          <w:rFonts w:ascii="Times New Roman" w:hAnsi="Times New Roman" w:cs="Times New Roman"/>
          <w:i/>
        </w:rPr>
        <w:t xml:space="preserve">angl. </w:t>
      </w:r>
      <w:r w:rsidR="004F6FF8" w:rsidRPr="00C91F0E">
        <w:rPr>
          <w:rFonts w:ascii="Times New Roman" w:hAnsi="Times New Roman" w:cs="Times New Roman"/>
          <w:i/>
        </w:rPr>
        <w:t>A</w:t>
      </w:r>
      <w:r w:rsidRPr="00C91F0E">
        <w:rPr>
          <w:rFonts w:ascii="Times New Roman" w:hAnsi="Times New Roman" w:cs="Times New Roman"/>
          <w:i/>
        </w:rPr>
        <w:t xml:space="preserve">cute </w:t>
      </w:r>
      <w:r w:rsidR="004F6FF8" w:rsidRPr="00C91F0E">
        <w:rPr>
          <w:rFonts w:ascii="Times New Roman" w:hAnsi="Times New Roman" w:cs="Times New Roman"/>
          <w:i/>
        </w:rPr>
        <w:t>G</w:t>
      </w:r>
      <w:r w:rsidRPr="00C91F0E">
        <w:rPr>
          <w:rFonts w:ascii="Times New Roman" w:hAnsi="Times New Roman" w:cs="Times New Roman"/>
          <w:i/>
        </w:rPr>
        <w:t xml:space="preserve">eneralised </w:t>
      </w:r>
      <w:r w:rsidR="004F6FF8" w:rsidRPr="00C91F0E">
        <w:rPr>
          <w:rFonts w:ascii="Times New Roman" w:hAnsi="Times New Roman" w:cs="Times New Roman"/>
          <w:i/>
        </w:rPr>
        <w:t>E</w:t>
      </w:r>
      <w:r w:rsidRPr="00C91F0E">
        <w:rPr>
          <w:rFonts w:ascii="Times New Roman" w:hAnsi="Times New Roman" w:cs="Times New Roman"/>
          <w:i/>
        </w:rPr>
        <w:t xml:space="preserve">xanthematous </w:t>
      </w:r>
      <w:r w:rsidR="004F6FF8" w:rsidRPr="00C91F0E">
        <w:rPr>
          <w:rFonts w:ascii="Times New Roman" w:hAnsi="Times New Roman" w:cs="Times New Roman"/>
          <w:i/>
        </w:rPr>
        <w:t>P</w:t>
      </w:r>
      <w:r w:rsidRPr="00C91F0E">
        <w:rPr>
          <w:rFonts w:ascii="Times New Roman" w:hAnsi="Times New Roman" w:cs="Times New Roman"/>
          <w:i/>
        </w:rPr>
        <w:t>ustulosis</w:t>
      </w:r>
      <w:r w:rsidRPr="00C91F0E">
        <w:rPr>
          <w:rFonts w:ascii="Times New Roman" w:hAnsi="Times New Roman" w:cs="Times New Roman"/>
        </w:rPr>
        <w:t>, AGEP). Pacientus reikia informuoti, kokie yra sunkių odos sutrikimų požymiai ir simptomai, ir juos atidžiai stebėti. Jeigu atsiranda tokioms reakcijoms būdingų požymių ar simptomų, būtina apsvarstyti gydymo docetakseliu nutraukimą.</w:t>
      </w:r>
    </w:p>
    <w:p w14:paraId="2EE28980" w14:textId="77777777" w:rsidR="003A7B6B" w:rsidRPr="00744B8B" w:rsidRDefault="003A7B6B" w:rsidP="003A7B6B">
      <w:pPr>
        <w:widowControl w:val="0"/>
        <w:tabs>
          <w:tab w:val="left" w:pos="567"/>
          <w:tab w:val="left" w:pos="1296"/>
        </w:tabs>
        <w:ind w:left="0" w:firstLine="0"/>
        <w:rPr>
          <w:rFonts w:ascii="Times New Roman" w:hAnsi="Times New Roman" w:cs="Times New Roman"/>
          <w:lang w:val="sl-SI"/>
        </w:rPr>
      </w:pPr>
    </w:p>
    <w:p w14:paraId="43C1BB0E"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Skysčių susilaikymas</w:t>
      </w:r>
    </w:p>
    <w:p w14:paraId="7A31F3D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96413D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Nustačius sunkų skysčių susilaikymą (pvz., pleuros efuziją, perikardo efuziją arba ascitą), pacientą reikia atidžiai stebėti.</w:t>
      </w:r>
    </w:p>
    <w:p w14:paraId="3F5AC4E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8408D90"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Kvėpavimo sutrikimai</w:t>
      </w:r>
    </w:p>
    <w:p w14:paraId="7F839743" w14:textId="77777777" w:rsidR="003A7B6B" w:rsidRPr="00976ED6" w:rsidRDefault="003A7B6B" w:rsidP="003A7B6B">
      <w:pPr>
        <w:widowControl w:val="0"/>
        <w:tabs>
          <w:tab w:val="left" w:pos="567"/>
          <w:tab w:val="left" w:pos="1296"/>
        </w:tabs>
        <w:ind w:left="0" w:firstLine="0"/>
        <w:jc w:val="both"/>
        <w:rPr>
          <w:rFonts w:ascii="Times New Roman" w:hAnsi="Times New Roman" w:cs="Times New Roman"/>
          <w:lang w:val="sl-SI"/>
        </w:rPr>
      </w:pPr>
      <w:r w:rsidRPr="00976ED6">
        <w:rPr>
          <w:rFonts w:ascii="Times New Roman" w:hAnsi="Times New Roman" w:cs="Times New Roman"/>
          <w:lang w:val="sl-SI"/>
        </w:rPr>
        <w:t>Užregistruota pranešimų apie ūminį respiracinį sindromą, intersticinę pneumoniją/pneumonitą, intersticinę plaučių ligą, plaučių fibrozę ir kvėpavimo nepakankamumą, kurie gali baigtis mirtimi. Užfiksuota radiacinio pneumonito atvejų tarp pacientų, gydomų gretutine spinduline terapija.</w:t>
      </w:r>
    </w:p>
    <w:p w14:paraId="764EF041" w14:textId="77777777" w:rsidR="003A7B6B" w:rsidRPr="00976ED6" w:rsidRDefault="003A7B6B" w:rsidP="003A7B6B">
      <w:pPr>
        <w:widowControl w:val="0"/>
        <w:tabs>
          <w:tab w:val="left" w:pos="567"/>
          <w:tab w:val="left" w:pos="1296"/>
        </w:tabs>
        <w:ind w:left="0" w:firstLine="0"/>
        <w:jc w:val="both"/>
        <w:rPr>
          <w:rFonts w:ascii="Times New Roman" w:hAnsi="Times New Roman" w:cs="Times New Roman"/>
          <w:lang w:val="sl-SI"/>
        </w:rPr>
      </w:pPr>
      <w:r w:rsidRPr="00976ED6">
        <w:rPr>
          <w:rFonts w:ascii="Times New Roman" w:hAnsi="Times New Roman" w:cs="Times New Roman"/>
          <w:lang w:val="sl-SI"/>
        </w:rPr>
        <w:t>Jeigu pasireikštų naujų plaučių sutrikimų arba pasunkėtų jau esami, pacientus reikia atidžiai stebėti, nedelsiant tirti ir skirti jiems tinkamą gydymą. Rekomenduojama sustabdyti gydymą docetakseliu, kol bus nustatyta diagnozė. Ankstyvas pagalbinių priežiūros priemonių naudojimas gali pagerinti būklę. Reikia nuodugniai apsvarstyti gydymo docetakseliu atnaujinimą.</w:t>
      </w:r>
    </w:p>
    <w:p w14:paraId="4D63E4D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C4E4C32"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Pacientai, kurių kepenų funkcija sutrikusi</w:t>
      </w:r>
    </w:p>
    <w:p w14:paraId="32CDCFF7"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p w14:paraId="1CAFFA3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docetakselio skiriama 100 mg/m² dozėmis monoterapijai pacientui, kurio serume transaminazių [ALT ir (arba) AST] aktyvumas yra daugiau kaip 1,5 karto didesnis negu viršutinė normos riba, o šarminės fosfatazės aktyvumas – daugiau kaip 2,5 karto didesnis negu viršutinė normos riba, tai sunkių nepageidaujamų reakcijų, pvz., mirties nuo toksinio poveikio (įskaitant sepsį), kraujavimo virškinimo trakte, dėl kurio pacientas taip pat gali mirti, febrilinės neutropenijos, infekcijos, trombocitopenijos, stomatito ir astenijos pavojus yra didesnis. Dėl to pacientams, kurių kepenų funkcijos rodmenys padidėję, rekomenduojama 75 mg/m² docetakselio dozė. Prieš infuzuojant pirmąją ir kiekvieną kitą docetakselio dozę, juos reikia ištirti (žr. 4.2 skyrių).</w:t>
      </w:r>
    </w:p>
    <w:p w14:paraId="261FE94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bilirubino koncentracija serume yra didesnė negu viršutinė normos riba ir (arba) ALT ir AST aktyvumas daugiau kaip 3,5 karto didesnis negu viršutinė normos riba, o šarminės fosfatazės aktyvumas daugiau kaip 6 kartus didesnis negu viršutinė normos riba, tai galimybės nurodyti dozės mažinimo tvarką nėra. Tokiais atvejais docetakselio skiriama tik tada, kai neišvengiamai būtina.</w:t>
      </w:r>
    </w:p>
    <w:p w14:paraId="3144161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Jei ALT ir (arba) AST aktyvumas buvo daugiau kaip 1,5 karto didesnis negu viršutinė normos riba, šarminės fosfatazės aktyvumas – daugiau kaip 2,5 karto didesnis negu viršutinė normos riba, o bilirubino koncentracija viršijo viršutinę normos ribą, tokie ligoniai nebuvo įtraukiami į pagrindinį klinikinį tyrimą, kurio metu skrandžio adenokarcinoma sergantys pacientai buvo gydomi docetakseliu, cisplatina ir 5-fluorouracilu; galimybės tokiems pacientams nurodyti dozės mažinimo tvarką nėra, jiems docetakselio skiriama tik tada, kai neišvengiamai būtina. Duomenų apie docetakselio derinimą su kitais vaistais esant kitoms indikacijoms kepenų nepakankamumu sergantiems pacientams nėra.</w:t>
      </w:r>
    </w:p>
    <w:p w14:paraId="1C10420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6C1DFEF"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Pacientai, kurių inkstų funkcija sutrikusi</w:t>
      </w:r>
    </w:p>
    <w:p w14:paraId="46B8A20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42D987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Pacientams, kuriems yra sunkus inkstų nepakankamumas, docetakselio vartojimo patirties nėra.</w:t>
      </w:r>
    </w:p>
    <w:p w14:paraId="543F4C4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B5EE07F"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Nervų sistema</w:t>
      </w:r>
    </w:p>
    <w:p w14:paraId="21D7164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37F10E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Pasireiškus sunkiam periferiniam neurotoksiniam poveikiui, reikia mažinti dozę (žr. 4.2 skyrių).</w:t>
      </w:r>
    </w:p>
    <w:p w14:paraId="4CB7C5E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1302F45"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Toksinis poveikis širdžiai</w:t>
      </w:r>
    </w:p>
    <w:p w14:paraId="709249A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72142F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Aprašyta atvejų, kai, kartu vartojant docetakselį ir trastuzumabą, pasireiškė širdies nepakankamumas, ypač po chemoterapijos, kurios sudėtyje yra antraciklinas (doksorubicinas arba epirubicinas). Širdies nepakankamumas gali būti vidutinis ar sunkus, aprašyta mirties nuo jo atvejų (žr. 4.8 skyrių).</w:t>
      </w:r>
    </w:p>
    <w:p w14:paraId="1213FFB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444CE9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Svarstant gydymo docetakselio ir trastuzumabo deriniu tikslingumą, reikia ištirti širdies būklę prieš gydymą. Gydymo metu širdies funkcijos tyrimus reikia nuolat stebėti (pvz., kas 3 mėn.) norint pastebėti jos sutrikimus. Išsamiau žr. trastuzumabo preprato charakteristikų santrauką.</w:t>
      </w:r>
    </w:p>
    <w:p w14:paraId="7EB7486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861A2C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Gauta pranešimų apie skilvelių aritmijos, įskaitant skilvelių tachikardiją (kartais mirtiną), atvejus pacientams, gydytiems docetakseliu, kai kartu buvo vartojama doksorubicino, 5-fluorouracilo ir (arba) ciklofosfamido (žr. 4.8 skyrių).</w:t>
      </w:r>
    </w:p>
    <w:p w14:paraId="34AECD2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Rekomenduojama širdies būklę ištirti prieš gydymo pradžią.</w:t>
      </w:r>
    </w:p>
    <w:p w14:paraId="31019D6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60117EB"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Akių sutrikimai</w:t>
      </w:r>
    </w:p>
    <w:p w14:paraId="12FF6A7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Cistinė geltonosios dėmės edema nustatoma docetakseliu gydomiems pacientams. Pacientams, kurių rega pablogėjusi, turi būti atlikta neatidėliotina ir išsami oftalmologinė apžiūra. Diagnozavus cistinę geltonosios dėmės edemą, gydymas docetakseliu turi būti nutrauktas ir paskirtas atitinkamas gydymas (žr. 4.8 skyrių).</w:t>
      </w:r>
    </w:p>
    <w:p w14:paraId="6BA50843" w14:textId="77777777" w:rsidR="003A7B6B" w:rsidRDefault="003A7B6B" w:rsidP="003A7B6B">
      <w:pPr>
        <w:widowControl w:val="0"/>
        <w:tabs>
          <w:tab w:val="left" w:pos="567"/>
          <w:tab w:val="left" w:pos="1296"/>
        </w:tabs>
        <w:ind w:left="0" w:firstLine="0"/>
      </w:pPr>
    </w:p>
    <w:p w14:paraId="353ADDCA" w14:textId="77777777" w:rsidR="003A7B6B" w:rsidRPr="0045184E" w:rsidRDefault="003A7B6B" w:rsidP="003A7B6B">
      <w:pPr>
        <w:widowControl w:val="0"/>
        <w:tabs>
          <w:tab w:val="left" w:pos="567"/>
          <w:tab w:val="left" w:pos="1296"/>
        </w:tabs>
        <w:ind w:left="0" w:firstLine="0"/>
        <w:rPr>
          <w:rFonts w:ascii="Times New Roman" w:hAnsi="Times New Roman" w:cs="Times New Roman"/>
          <w:u w:val="single"/>
        </w:rPr>
      </w:pPr>
      <w:r w:rsidRPr="0045184E">
        <w:rPr>
          <w:rFonts w:ascii="Times New Roman" w:hAnsi="Times New Roman" w:cs="Times New Roman"/>
          <w:u w:val="single"/>
        </w:rPr>
        <w:t>Antrasis pirminis vėžys</w:t>
      </w:r>
    </w:p>
    <w:p w14:paraId="2E5B5424" w14:textId="44B80484" w:rsidR="003A7B6B" w:rsidRDefault="003A7B6B" w:rsidP="003A7B6B">
      <w:pPr>
        <w:widowControl w:val="0"/>
        <w:tabs>
          <w:tab w:val="left" w:pos="567"/>
          <w:tab w:val="left" w:pos="1296"/>
        </w:tabs>
        <w:ind w:left="0" w:firstLine="0"/>
        <w:rPr>
          <w:rFonts w:ascii="Times New Roman" w:hAnsi="Times New Roman" w:cs="Times New Roman"/>
        </w:rPr>
      </w:pPr>
      <w:r w:rsidRPr="0045184E">
        <w:rPr>
          <w:rFonts w:ascii="Times New Roman" w:hAnsi="Times New Roman" w:cs="Times New Roman"/>
        </w:rPr>
        <w:t>Pranešta apie antrojo pirminio vėžio atvejus, kai docetakselio vartota kartu skiriant ir kitokį vėžio gydymą, kuris gali sukelti antrą pirminį vėžį. Antrasis pirminis vėžys (įskaitant ūminę mieloidinę leukemiją, mielodisplazinį sindromą ir ne Hodžkino limfomą) gali pasireikšti po gydymo, kurio metu vienas iš vartotų vaistinių preparatų buvo docetakselis, praėjus keliems mėnesiams ar metams. Pacientus būtina stebėti, ar neatsiranda antrojo pirminio vėžio (žr. 4.8 skyrių).</w:t>
      </w:r>
    </w:p>
    <w:p w14:paraId="62921F62" w14:textId="1ACACDDE" w:rsidR="00834B87" w:rsidRDefault="00834B87" w:rsidP="003A7B6B">
      <w:pPr>
        <w:widowControl w:val="0"/>
        <w:tabs>
          <w:tab w:val="left" w:pos="567"/>
          <w:tab w:val="left" w:pos="1296"/>
        </w:tabs>
        <w:ind w:left="0" w:firstLine="0"/>
        <w:rPr>
          <w:rFonts w:ascii="Times New Roman" w:hAnsi="Times New Roman" w:cs="Times New Roman"/>
        </w:rPr>
      </w:pPr>
    </w:p>
    <w:p w14:paraId="1899BE9F" w14:textId="77777777" w:rsidR="00834B87" w:rsidRPr="00F52238" w:rsidRDefault="00834B87" w:rsidP="003A7B6B">
      <w:pPr>
        <w:widowControl w:val="0"/>
        <w:tabs>
          <w:tab w:val="left" w:pos="567"/>
          <w:tab w:val="left" w:pos="1296"/>
        </w:tabs>
        <w:ind w:left="0" w:firstLine="0"/>
        <w:rPr>
          <w:rFonts w:ascii="Times New Roman" w:hAnsi="Times New Roman" w:cs="Times New Roman"/>
          <w:u w:val="single"/>
        </w:rPr>
      </w:pPr>
      <w:r w:rsidRPr="00F52238">
        <w:rPr>
          <w:rFonts w:ascii="Times New Roman" w:hAnsi="Times New Roman" w:cs="Times New Roman"/>
          <w:u w:val="single"/>
        </w:rPr>
        <w:t>Naviko lizės sindromas</w:t>
      </w:r>
    </w:p>
    <w:p w14:paraId="71487A43" w14:textId="6CA9401C" w:rsidR="00834B87" w:rsidRPr="00834B87" w:rsidRDefault="00834B87" w:rsidP="003A7B6B">
      <w:pPr>
        <w:widowControl w:val="0"/>
        <w:tabs>
          <w:tab w:val="left" w:pos="567"/>
          <w:tab w:val="left" w:pos="1296"/>
        </w:tabs>
        <w:ind w:left="0" w:firstLine="0"/>
        <w:rPr>
          <w:rFonts w:ascii="Times New Roman" w:hAnsi="Times New Roman" w:cs="Times New Roman"/>
          <w:lang w:val="sl-SI"/>
        </w:rPr>
      </w:pPr>
      <w:r w:rsidRPr="00F52238">
        <w:rPr>
          <w:rFonts w:ascii="Times New Roman" w:hAnsi="Times New Roman" w:cs="Times New Roman"/>
        </w:rPr>
        <w:t>Pranešta apie su docetakseliu susijusio naviko lizės sindromo atvejus po pirm</w:t>
      </w:r>
      <w:r w:rsidR="00ED0F98" w:rsidRPr="00ED0F98">
        <w:rPr>
          <w:rFonts w:ascii="Times New Roman" w:hAnsi="Times New Roman" w:cs="Times New Roman"/>
        </w:rPr>
        <w:t>ojo arba antrojo ciklo (žr. 4.8 </w:t>
      </w:r>
      <w:r w:rsidRPr="00F52238">
        <w:rPr>
          <w:rFonts w:ascii="Times New Roman" w:hAnsi="Times New Roman" w:cs="Times New Roman"/>
        </w:rPr>
        <w:t>skyrių). Pacientus, kuriems yra naviko lizės sindromo pasireiškimo rizika (pvz., jei yra inkstų funkcijos sutrikimas, hiperurikemija, didelis navikas, greitas progresavimas), būtina atidžiai stebėti. Prieš pradedant gydymą rekomenduojama koreguoti dehidrataciją ir didelį šlapimo rūgšties kiekį.</w:t>
      </w:r>
    </w:p>
    <w:p w14:paraId="00B7C70B" w14:textId="77777777" w:rsidR="003A7B6B" w:rsidRDefault="003A7B6B" w:rsidP="003A7B6B">
      <w:pPr>
        <w:widowControl w:val="0"/>
        <w:tabs>
          <w:tab w:val="left" w:pos="567"/>
          <w:tab w:val="left" w:pos="1296"/>
        </w:tabs>
        <w:ind w:left="0" w:firstLine="0"/>
        <w:rPr>
          <w:rFonts w:ascii="Times New Roman" w:hAnsi="Times New Roman" w:cs="Times New Roman"/>
          <w:u w:val="single"/>
          <w:lang w:val="sl-SI"/>
        </w:rPr>
      </w:pPr>
    </w:p>
    <w:p w14:paraId="255B9BEF"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Kitos atsargumo priemonės</w:t>
      </w:r>
    </w:p>
    <w:p w14:paraId="4679D66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Gydymo laikotarpiu kontracepcijos priemones turi naudoti ir moterys, ir vyrai, o pastarieji turi saugotis dar bent 6 mėn. pasibaigus gydymui (žr. 4.6 skyrių).</w:t>
      </w:r>
    </w:p>
    <w:p w14:paraId="4B21E8D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EEE7F0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Reikia vengti vartoti docetakselį kartu su stipriais CYP3A4 inhibitoriais (pvz., ketokonazolu, itrakonazolu, klaritromicinu, indinaviru, nefazodonu, nelfinaviru, ritonaviru, sakvinaviru, telitromicinu ir vorikonazolu) (žr. 4.5 skyrių).</w:t>
      </w:r>
    </w:p>
    <w:p w14:paraId="4E8C4A9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71595D5"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Papildomos atsargumo priemonės taikant pagalbinį krūties vėžio gydymą</w:t>
      </w:r>
    </w:p>
    <w:p w14:paraId="1222019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DA2F4D0"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u w:val="single"/>
          <w:lang w:val="sl-SI"/>
        </w:rPr>
        <w:t>Neutropenija su komplikacijomis</w:t>
      </w:r>
    </w:p>
    <w:p w14:paraId="2F96A0F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Pasireiškus neutropenijai su komplikacijomis (ilgalaikė neutropenija, febrilinė neutropenija ar infekcija), reikia apsvarstyti, ar nebūtų tikslinga sumažinti dozę ir papildomai skirti G-KSF (žr. 4.2 skyrių).</w:t>
      </w:r>
    </w:p>
    <w:p w14:paraId="40A8D4B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7F4DC1A"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Virškinimo trakto reakcijos</w:t>
      </w:r>
    </w:p>
    <w:p w14:paraId="77AC9BB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Ankstyvas pilvo skausmas ir skausmingumas, karščiavimas bei viduriavimas su neutropenija ar be jos gali būti ankstyvieji sunkaus toksinio poveikio virškinimo traktui simptomai. Jų pasireiškus, pacientę reikia nedelsiant ištirti ir atitinkamai gydyti.</w:t>
      </w:r>
    </w:p>
    <w:p w14:paraId="33DDFC1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61CE515"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lastRenderedPageBreak/>
        <w:t>Stazinis širdies nepakankamumas (SŠN)</w:t>
      </w:r>
    </w:p>
    <w:p w14:paraId="7D8D319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Gydant ir vėlesnio stebėjimo laikotarpiu pacientę reikia stebėti dėl galimų stazinio širdies nepakankamumo simptomų. Nustatyta, kad pirmaisiais metais po gydymo taikant TAC gydymo schemą pacientėms, sirgusioms į limfmazgius metastazavusiu krūties vėžiu, SŠN pasireiškimo rizika buvo didesnė (žr. 4.8 ir 5.1 skyrius).</w:t>
      </w:r>
    </w:p>
    <w:p w14:paraId="2CB45B5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E206788"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Pacientėms, kurioms 4 ar daugiau limfmazgių rasta metastazių</w:t>
      </w:r>
    </w:p>
    <w:p w14:paraId="5C3080D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Pacientėms, kurioms 4 ar daugiau limfmazgių rasta metastazių, teigiamas be ligos simptomų išgyvento laikotarpio (BLSIL) ir bendrojo išgyvenamumo (BI) pokytis nebuvo statistiškai reikšmingas, todėl galutinė duomenų analizė šioms pacientėms TAC palankaus naudos ir rizikos santykio pilnutinai neparodė (žr. 5.1 skyrių).</w:t>
      </w:r>
    </w:p>
    <w:p w14:paraId="4BCC311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3842FE5" w14:textId="77777777" w:rsidR="003A7B6B" w:rsidRPr="00976ED6" w:rsidRDefault="003A7B6B" w:rsidP="003A7B6B">
      <w:pPr>
        <w:widowControl w:val="0"/>
        <w:tabs>
          <w:tab w:val="left" w:pos="567"/>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Senyvi pacientai</w:t>
      </w:r>
    </w:p>
    <w:p w14:paraId="312E5DA7" w14:textId="77777777" w:rsidR="003A7B6B" w:rsidRPr="002D2EC4" w:rsidRDefault="003A7B6B" w:rsidP="003A7B6B">
      <w:pPr>
        <w:widowControl w:val="0"/>
        <w:tabs>
          <w:tab w:val="left" w:pos="567"/>
          <w:tab w:val="left" w:pos="1296"/>
        </w:tabs>
        <w:ind w:left="0" w:firstLine="0"/>
        <w:rPr>
          <w:rFonts w:ascii="Times New Roman" w:hAnsi="Times New Roman" w:cs="Times New Roman"/>
          <w:i/>
          <w:u w:val="single"/>
        </w:rPr>
      </w:pPr>
      <w:r w:rsidRPr="002D2EC4">
        <w:rPr>
          <w:rFonts w:ascii="Times New Roman" w:hAnsi="Times New Roman" w:cs="Times New Roman"/>
          <w:i/>
          <w:u w:val="single"/>
        </w:rPr>
        <w:t>Atsargumo priemonės skiriant krūties vėžio adjuvantiniam gydymui</w:t>
      </w:r>
    </w:p>
    <w:p w14:paraId="5ACB941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Duomenų apie vyresnių kaip 70 metų pacientų gydymą docetakselio, doksorubicino ir ciklofosfamido deriniu nepakanka.</w:t>
      </w:r>
    </w:p>
    <w:p w14:paraId="4EFC96E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B355137" w14:textId="77777777" w:rsidR="003A7B6B" w:rsidRPr="00C91F0E" w:rsidRDefault="003A7B6B" w:rsidP="003A7B6B">
      <w:pPr>
        <w:widowControl w:val="0"/>
        <w:tabs>
          <w:tab w:val="left" w:pos="567"/>
          <w:tab w:val="left" w:pos="1296"/>
        </w:tabs>
        <w:ind w:left="0" w:firstLine="0"/>
        <w:rPr>
          <w:rFonts w:ascii="Times New Roman" w:hAnsi="Times New Roman" w:cs="Times New Roman"/>
          <w:i/>
          <w:u w:val="single"/>
        </w:rPr>
      </w:pPr>
      <w:r w:rsidRPr="002D2EC4">
        <w:rPr>
          <w:rFonts w:ascii="Times New Roman" w:hAnsi="Times New Roman" w:cs="Times New Roman"/>
          <w:i/>
          <w:u w:val="single"/>
        </w:rPr>
        <w:t xml:space="preserve">Atsargumo priemonės </w:t>
      </w:r>
      <w:r w:rsidRPr="00C91F0E">
        <w:rPr>
          <w:rFonts w:ascii="Times New Roman" w:hAnsi="Times New Roman" w:cs="Times New Roman"/>
          <w:i/>
          <w:u w:val="single"/>
        </w:rPr>
        <w:t>skiriant kastracijai atsparaus prostatos vėžio gydymui</w:t>
      </w:r>
    </w:p>
    <w:p w14:paraId="57798126" w14:textId="18BE5BA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C91F0E">
        <w:rPr>
          <w:rFonts w:ascii="Times New Roman" w:hAnsi="Times New Roman" w:cs="Times New Roman"/>
          <w:lang w:val="sl-SI"/>
        </w:rPr>
        <w:t>Iš 333 pacientų, tiriant prostatos vėžio gydymą vartojusių docetakselį kas 3 savaites</w:t>
      </w:r>
      <w:r w:rsidR="00DA5DB9" w:rsidRPr="00C91F0E">
        <w:rPr>
          <w:rFonts w:ascii="Times New Roman" w:hAnsi="Times New Roman" w:cs="Times New Roman"/>
          <w:lang w:val="sl-SI"/>
        </w:rPr>
        <w:t xml:space="preserve"> </w:t>
      </w:r>
      <w:r w:rsidR="00DA5DB9" w:rsidRPr="00C91F0E">
        <w:rPr>
          <w:lang w:val="en-US"/>
        </w:rPr>
        <w:t>(TAX 327)</w:t>
      </w:r>
      <w:r w:rsidRPr="00C91F0E">
        <w:rPr>
          <w:rFonts w:ascii="Times New Roman" w:hAnsi="Times New Roman" w:cs="Times New Roman"/>
          <w:lang w:val="sl-SI"/>
        </w:rPr>
        <w:t>, 209 buvo 65 metų ar vyresni, 68</w:t>
      </w:r>
      <w:r w:rsidRPr="00976ED6">
        <w:rPr>
          <w:rFonts w:ascii="Times New Roman" w:hAnsi="Times New Roman" w:cs="Times New Roman"/>
          <w:lang w:val="sl-SI"/>
        </w:rPr>
        <w:t xml:space="preserve"> – vyresni kaip 75 metų. Vartojant docetakselį kas 3 savaites, su juo susijusių nagų pokyčių 65 metų ir vyresniems pacientams atsirado ≥ 10% dažniau negu jaunesniems. Su vaistu susijęs karščiavimas, viduriavimas, anoreksija ir periferinė edema 75 metų ir vyresniems pacientams pasireiškė ≥ 10% dažniau negu jaunesniems kaip 65 metų.</w:t>
      </w:r>
    </w:p>
    <w:p w14:paraId="6B5C644C" w14:textId="77777777" w:rsidR="003A7B6B" w:rsidRPr="002D2EC4" w:rsidRDefault="003A7B6B" w:rsidP="003A7B6B">
      <w:pPr>
        <w:widowControl w:val="0"/>
        <w:tabs>
          <w:tab w:val="left" w:pos="567"/>
          <w:tab w:val="left" w:pos="1296"/>
        </w:tabs>
        <w:ind w:left="0" w:firstLine="0"/>
        <w:rPr>
          <w:rFonts w:ascii="Times New Roman" w:hAnsi="Times New Roman" w:cs="Times New Roman"/>
        </w:rPr>
      </w:pPr>
    </w:p>
    <w:p w14:paraId="52809B1D" w14:textId="77777777" w:rsidR="003A7B6B" w:rsidRPr="002D2EC4" w:rsidRDefault="003A7B6B" w:rsidP="003A7B6B">
      <w:pPr>
        <w:widowControl w:val="0"/>
        <w:tabs>
          <w:tab w:val="left" w:pos="567"/>
          <w:tab w:val="left" w:pos="1296"/>
        </w:tabs>
        <w:ind w:left="0" w:firstLine="0"/>
        <w:rPr>
          <w:rFonts w:ascii="Times New Roman" w:hAnsi="Times New Roman" w:cs="Times New Roman"/>
          <w:i/>
          <w:u w:val="single"/>
        </w:rPr>
      </w:pPr>
      <w:r w:rsidRPr="002D2EC4">
        <w:rPr>
          <w:rFonts w:ascii="Times New Roman" w:hAnsi="Times New Roman" w:cs="Times New Roman"/>
          <w:i/>
          <w:u w:val="single"/>
        </w:rPr>
        <w:t>Atsargumo priemonės skiriant hormonams jautraus prostatos vėžio gydymui</w:t>
      </w:r>
    </w:p>
    <w:p w14:paraId="2ACB89C5" w14:textId="77777777" w:rsidR="003A7B6B" w:rsidRPr="002D2EC4" w:rsidRDefault="003A7B6B" w:rsidP="003A7B6B">
      <w:pPr>
        <w:widowControl w:val="0"/>
        <w:tabs>
          <w:tab w:val="left" w:pos="567"/>
          <w:tab w:val="left" w:pos="1296"/>
        </w:tabs>
        <w:ind w:left="0" w:firstLine="0"/>
        <w:rPr>
          <w:rFonts w:ascii="Times New Roman" w:hAnsi="Times New Roman" w:cs="Times New Roman"/>
        </w:rPr>
      </w:pPr>
      <w:r w:rsidRPr="002D2EC4">
        <w:rPr>
          <w:rFonts w:ascii="Times New Roman" w:hAnsi="Times New Roman" w:cs="Times New Roman"/>
        </w:rPr>
        <w:t>Iš 545 pacientų, vartojusių docetakselį kas 3 savaites hormonams jautraus prostatos vėžio gydymo tyrimo (STAMPEDE) metu, 296 buvo 65 metų ar vyresni, o 48 pacientai – 75 metų ar vyresni. Docetokselio vartojusiųjų grupėje padidėjusio jautrumo reakcijos, neutropenija, anemija, skysčių susilaikymas, dusulys ir nagų pokyčiai dažniau atsirado ≥ 65 metų pacientams, palyginti su jaunesniais kaip 65 metų pacientais. Nė vienas toks dažnio padidėjimas nepasiekė 10 % skirtumo, lyginant su kontroline grupe. 75 metų ar vyresniems pacientams, palyginti su jaunesniais pacientais, neutropenija, anemija, viduriavimas, dusulys ir viršutinių kvėpavimo takų infekcija pasireiškė dažniau (ne mažiau kaip 10 % dažniau).</w:t>
      </w:r>
    </w:p>
    <w:p w14:paraId="5D71031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38F5501" w14:textId="77777777" w:rsidR="003A7B6B" w:rsidRPr="002D2EC4" w:rsidRDefault="003A7B6B" w:rsidP="003A7B6B">
      <w:pPr>
        <w:widowControl w:val="0"/>
        <w:tabs>
          <w:tab w:val="left" w:pos="567"/>
          <w:tab w:val="left" w:pos="1296"/>
        </w:tabs>
        <w:ind w:left="0" w:firstLine="0"/>
        <w:rPr>
          <w:rFonts w:ascii="Times New Roman" w:hAnsi="Times New Roman" w:cs="Times New Roman"/>
          <w:i/>
          <w:u w:val="single"/>
        </w:rPr>
      </w:pPr>
      <w:r w:rsidRPr="002D2EC4">
        <w:rPr>
          <w:rFonts w:ascii="Times New Roman" w:hAnsi="Times New Roman" w:cs="Times New Roman"/>
          <w:i/>
          <w:u w:val="single"/>
        </w:rPr>
        <w:t>Atsargumo priemonės skiriant skrandžio adenokarcinomai gydyti</w:t>
      </w:r>
    </w:p>
    <w:p w14:paraId="3CBCD92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Tarp 300 pacientų, kurie sirgo skrandžio vėžiu ir tyrimo metu buvo gydyti docetakseliu kartu su cisplatina ir 5-fluorouracilu (221 pacientas – III fazės tyrimo dalyje, 79 – II fazės tyrimo dalyje), 74 ligoniai buvo 65 metų ir vyresni, o 4 pacientai - 75 metų ir vyresni. Sunkių nepageidaujamų reiškinių senyviems pacientams pasireiškė dažniau, nei jaunesniems. Įvairaus sunkumo laipsnio letargija, stomatitas bei su neutropenija susijusi infekcija 65 metų ir vyresniems pacientams pasireiškė ≥ 10% dažniau, negu jaunesniems kaip 65 metų ligoniams.</w:t>
      </w:r>
    </w:p>
    <w:p w14:paraId="33E4C76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Senyvus pacientus, kurie gydomi naudojant TCF schemą, būtina atidžiai stebėti.</w:t>
      </w:r>
    </w:p>
    <w:p w14:paraId="6AC2806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2C4BBEB" w14:textId="46193069" w:rsidR="003A7B6B" w:rsidRPr="00F52238" w:rsidRDefault="003A7B6B" w:rsidP="003A7B6B">
      <w:pPr>
        <w:widowControl w:val="0"/>
        <w:tabs>
          <w:tab w:val="left" w:pos="567"/>
          <w:tab w:val="left" w:pos="1296"/>
        </w:tabs>
        <w:ind w:left="0" w:firstLine="0"/>
        <w:rPr>
          <w:rFonts w:ascii="Times New Roman" w:hAnsi="Times New Roman" w:cs="Times New Roman"/>
          <w:i/>
          <w:u w:val="single"/>
        </w:rPr>
      </w:pPr>
      <w:r w:rsidRPr="00F52238">
        <w:rPr>
          <w:rFonts w:ascii="Times New Roman" w:hAnsi="Times New Roman" w:cs="Times New Roman"/>
          <w:i/>
          <w:u w:val="single"/>
          <w:lang w:val="sl-SI"/>
        </w:rPr>
        <w:t>Pagalbin</w:t>
      </w:r>
      <w:r w:rsidRPr="00F52238">
        <w:rPr>
          <w:rFonts w:ascii="Times New Roman" w:hAnsi="Times New Roman" w:cs="Times New Roman"/>
          <w:i/>
          <w:u w:val="single"/>
        </w:rPr>
        <w:t>ės medžiagos (etanolis)</w:t>
      </w:r>
    </w:p>
    <w:p w14:paraId="106A11AC" w14:textId="77777777" w:rsidR="003A7B6B" w:rsidRDefault="003A7B6B" w:rsidP="003A7B6B">
      <w:pPr>
        <w:autoSpaceDE w:val="0"/>
        <w:autoSpaceDN w:val="0"/>
        <w:adjustRightInd w:val="0"/>
        <w:ind w:left="0" w:firstLine="0"/>
        <w:rPr>
          <w:rFonts w:ascii="Times New Roman" w:eastAsia="Times New Roman" w:hAnsi="Times New Roman" w:cs="Times New Roman"/>
          <w:lang w:val="sl-SI" w:eastAsia="sl-SI"/>
        </w:rPr>
      </w:pPr>
    </w:p>
    <w:p w14:paraId="5034AB28" w14:textId="77777777" w:rsidR="003A7B6B" w:rsidRPr="00744B8B" w:rsidRDefault="003A7B6B" w:rsidP="003A7B6B">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lang w:val="sl-SI" w:eastAsia="sl-SI"/>
        </w:rPr>
        <w:t>20 mg/1 ml:</w:t>
      </w:r>
    </w:p>
    <w:p w14:paraId="0F96F5CD" w14:textId="0EA5932B" w:rsidR="003A7B6B"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 xml:space="preserve">Šio vaistinio preparato </w:t>
      </w:r>
      <w:r w:rsidR="00487EB1" w:rsidRPr="00976ED6">
        <w:rPr>
          <w:rFonts w:ascii="Times New Roman" w:hAnsi="Times New Roman" w:cs="Times New Roman"/>
          <w:lang w:val="sl-SI"/>
        </w:rPr>
        <w:t xml:space="preserve">flakone </w:t>
      </w:r>
      <w:r w:rsidRPr="00976ED6">
        <w:rPr>
          <w:rFonts w:ascii="Times New Roman" w:hAnsi="Times New Roman" w:cs="Times New Roman"/>
          <w:lang w:val="sl-SI"/>
        </w:rPr>
        <w:t>yra 395 </w:t>
      </w:r>
      <w:r w:rsidR="00487EB1">
        <w:rPr>
          <w:rFonts w:ascii="Times New Roman" w:hAnsi="Times New Roman" w:cs="Times New Roman"/>
          <w:lang w:val="sl-SI"/>
        </w:rPr>
        <w:t>m</w:t>
      </w:r>
      <w:r w:rsidRPr="00976ED6">
        <w:rPr>
          <w:rFonts w:ascii="Times New Roman" w:hAnsi="Times New Roman" w:cs="Times New Roman"/>
          <w:lang w:val="sl-SI"/>
        </w:rPr>
        <w:t xml:space="preserve">g </w:t>
      </w:r>
      <w:r w:rsidR="00487EB1">
        <w:rPr>
          <w:rFonts w:ascii="Times New Roman" w:hAnsi="Times New Roman" w:cs="Times New Roman"/>
          <w:lang w:val="sl-SI"/>
        </w:rPr>
        <w:t xml:space="preserve">etanolio. Toks </w:t>
      </w:r>
      <w:r w:rsidR="00ED0F98">
        <w:rPr>
          <w:rFonts w:ascii="Times New Roman" w:hAnsi="Times New Roman" w:cs="Times New Roman"/>
          <w:lang w:val="sl-SI"/>
        </w:rPr>
        <w:t>1 </w:t>
      </w:r>
      <w:r w:rsidR="00166C22">
        <w:rPr>
          <w:rFonts w:ascii="Times New Roman" w:hAnsi="Times New Roman" w:cs="Times New Roman"/>
          <w:lang w:val="sl-SI"/>
        </w:rPr>
        <w:t>ml</w:t>
      </w:r>
      <w:r w:rsidR="00110C91">
        <w:rPr>
          <w:rFonts w:ascii="Times New Roman" w:hAnsi="Times New Roman" w:cs="Times New Roman"/>
          <w:lang w:val="sl-SI"/>
        </w:rPr>
        <w:t xml:space="preserve"> </w:t>
      </w:r>
      <w:r w:rsidR="00DE25C3">
        <w:rPr>
          <w:rFonts w:ascii="Times New Roman" w:hAnsi="Times New Roman" w:cs="Times New Roman"/>
          <w:lang w:val="sl-SI"/>
        </w:rPr>
        <w:t xml:space="preserve">šio vaistinio preparato kiekis </w:t>
      </w:r>
      <w:r w:rsidRPr="00976ED6">
        <w:rPr>
          <w:rFonts w:ascii="Times New Roman" w:hAnsi="Times New Roman" w:cs="Times New Roman"/>
          <w:lang w:val="sl-SI"/>
        </w:rPr>
        <w:t>atitinka 10 ml alaus arba 4 ml vyno.</w:t>
      </w:r>
    </w:p>
    <w:p w14:paraId="4E4D394F" w14:textId="77777777" w:rsidR="00110C91" w:rsidRPr="00976ED6" w:rsidRDefault="00110C91" w:rsidP="003A7B6B">
      <w:pPr>
        <w:widowControl w:val="0"/>
        <w:numPr>
          <w:ilvl w:val="12"/>
          <w:numId w:val="0"/>
        </w:numPr>
        <w:tabs>
          <w:tab w:val="left" w:pos="1296"/>
        </w:tabs>
        <w:ind w:right="-2"/>
        <w:rPr>
          <w:rFonts w:ascii="Times New Roman" w:hAnsi="Times New Roman" w:cs="Times New Roman"/>
          <w:lang w:val="sl-SI"/>
        </w:rPr>
      </w:pPr>
    </w:p>
    <w:p w14:paraId="2D606BE7" w14:textId="77777777" w:rsidR="003A7B6B" w:rsidRPr="00744B8B" w:rsidRDefault="003A7B6B" w:rsidP="003A7B6B">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highlight w:val="lightGray"/>
          <w:lang w:val="sl-SI" w:eastAsia="sl-SI"/>
        </w:rPr>
        <w:t>80 mg/4 ml:</w:t>
      </w:r>
    </w:p>
    <w:p w14:paraId="671839C2" w14:textId="548A7E67" w:rsidR="003A7B6B"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highlight w:val="lightGray"/>
          <w:lang w:val="sl-SI"/>
        </w:rPr>
        <w:t xml:space="preserve">Šio vaistinio preparato </w:t>
      </w:r>
      <w:r w:rsidR="002A4A64" w:rsidRPr="00976ED6">
        <w:rPr>
          <w:rFonts w:ascii="Times New Roman" w:hAnsi="Times New Roman" w:cs="Times New Roman"/>
          <w:highlight w:val="lightGray"/>
          <w:lang w:val="sl-SI"/>
        </w:rPr>
        <w:t>flakone</w:t>
      </w:r>
      <w:r w:rsidRPr="00976ED6">
        <w:rPr>
          <w:rFonts w:ascii="Times New Roman" w:hAnsi="Times New Roman" w:cs="Times New Roman"/>
          <w:highlight w:val="lightGray"/>
          <w:lang w:val="sl-SI"/>
        </w:rPr>
        <w:t xml:space="preserve"> yra 158</w:t>
      </w:r>
      <w:r w:rsidR="00834B87">
        <w:rPr>
          <w:rFonts w:ascii="Times New Roman" w:hAnsi="Times New Roman" w:cs="Times New Roman"/>
          <w:highlight w:val="lightGray"/>
          <w:lang w:val="sl-SI"/>
        </w:rPr>
        <w:t>0</w:t>
      </w:r>
      <w:r w:rsidRPr="00976ED6">
        <w:rPr>
          <w:rFonts w:ascii="Times New Roman" w:hAnsi="Times New Roman" w:cs="Times New Roman"/>
          <w:highlight w:val="lightGray"/>
          <w:lang w:val="sl-SI"/>
        </w:rPr>
        <w:t> </w:t>
      </w:r>
      <w:r w:rsidR="002A4A64">
        <w:rPr>
          <w:rFonts w:ascii="Times New Roman" w:hAnsi="Times New Roman" w:cs="Times New Roman"/>
          <w:highlight w:val="lightGray"/>
          <w:lang w:val="sl-SI"/>
        </w:rPr>
        <w:t>m</w:t>
      </w:r>
      <w:r w:rsidRPr="00976ED6">
        <w:rPr>
          <w:rFonts w:ascii="Times New Roman" w:hAnsi="Times New Roman" w:cs="Times New Roman"/>
          <w:highlight w:val="lightGray"/>
          <w:lang w:val="sl-SI"/>
        </w:rPr>
        <w:t>g</w:t>
      </w:r>
      <w:r w:rsidR="002A4A64">
        <w:rPr>
          <w:rFonts w:ascii="Times New Roman" w:hAnsi="Times New Roman" w:cs="Times New Roman"/>
          <w:highlight w:val="lightGray"/>
          <w:lang w:val="sl-SI"/>
        </w:rPr>
        <w:t xml:space="preserve"> etanolio. Toks</w:t>
      </w:r>
      <w:r w:rsidRPr="00976ED6">
        <w:rPr>
          <w:rFonts w:ascii="Times New Roman" w:hAnsi="Times New Roman" w:cs="Times New Roman"/>
          <w:highlight w:val="lightGray"/>
          <w:lang w:val="sl-SI"/>
        </w:rPr>
        <w:t xml:space="preserve"> </w:t>
      </w:r>
      <w:r w:rsidR="0067186E">
        <w:rPr>
          <w:rFonts w:ascii="Times New Roman" w:hAnsi="Times New Roman" w:cs="Times New Roman"/>
          <w:highlight w:val="lightGray"/>
          <w:lang w:val="sl-SI"/>
        </w:rPr>
        <w:t>4</w:t>
      </w:r>
      <w:r w:rsidR="00110C91" w:rsidRPr="00976ED6">
        <w:rPr>
          <w:rFonts w:ascii="Times New Roman" w:hAnsi="Times New Roman" w:cs="Times New Roman"/>
          <w:highlight w:val="lightGray"/>
          <w:lang w:val="sl-SI"/>
        </w:rPr>
        <w:t> m</w:t>
      </w:r>
      <w:r w:rsidR="00166C22">
        <w:rPr>
          <w:rFonts w:ascii="Times New Roman" w:hAnsi="Times New Roman" w:cs="Times New Roman"/>
          <w:highlight w:val="lightGray"/>
          <w:lang w:val="sl-SI"/>
        </w:rPr>
        <w:t>l</w:t>
      </w:r>
      <w:r w:rsidR="00110C91">
        <w:rPr>
          <w:rFonts w:ascii="Times New Roman" w:hAnsi="Times New Roman" w:cs="Times New Roman"/>
          <w:highlight w:val="lightGray"/>
          <w:lang w:val="sl-SI"/>
        </w:rPr>
        <w:t xml:space="preserve"> </w:t>
      </w:r>
      <w:r w:rsidR="00DE25C3">
        <w:rPr>
          <w:rFonts w:ascii="Times New Roman" w:hAnsi="Times New Roman" w:cs="Times New Roman"/>
          <w:highlight w:val="lightGray"/>
          <w:lang w:val="sl-SI"/>
        </w:rPr>
        <w:t>šio vaistinio preparato kiekis</w:t>
      </w:r>
      <w:r w:rsidR="00DE25C3" w:rsidRPr="00976ED6">
        <w:rPr>
          <w:rFonts w:ascii="Times New Roman" w:hAnsi="Times New Roman" w:cs="Times New Roman"/>
          <w:highlight w:val="lightGray"/>
          <w:lang w:val="sl-SI"/>
        </w:rPr>
        <w:t xml:space="preserve"> </w:t>
      </w:r>
      <w:r w:rsidRPr="00976ED6">
        <w:rPr>
          <w:rFonts w:ascii="Times New Roman" w:hAnsi="Times New Roman" w:cs="Times New Roman"/>
          <w:highlight w:val="lightGray"/>
          <w:lang w:val="sl-SI"/>
        </w:rPr>
        <w:t>atitinka 40 ml alaus arba 17 ml vyno.</w:t>
      </w:r>
    </w:p>
    <w:p w14:paraId="256868D8" w14:textId="77777777" w:rsidR="00110C91" w:rsidRPr="00976ED6" w:rsidRDefault="00110C91" w:rsidP="003A7B6B">
      <w:pPr>
        <w:widowControl w:val="0"/>
        <w:numPr>
          <w:ilvl w:val="12"/>
          <w:numId w:val="0"/>
        </w:numPr>
        <w:tabs>
          <w:tab w:val="left" w:pos="1296"/>
        </w:tabs>
        <w:ind w:right="-2"/>
        <w:rPr>
          <w:rFonts w:ascii="Times New Roman" w:hAnsi="Times New Roman" w:cs="Times New Roman"/>
          <w:lang w:val="sl-SI"/>
        </w:rPr>
      </w:pPr>
    </w:p>
    <w:p w14:paraId="276CB433" w14:textId="77777777" w:rsidR="003A7B6B" w:rsidRPr="00744B8B" w:rsidRDefault="003A7B6B" w:rsidP="003A7B6B">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highlight w:val="darkGray"/>
          <w:lang w:val="sl-SI" w:eastAsia="sl-SI"/>
        </w:rPr>
        <w:t>160 mg/8 ml:</w:t>
      </w:r>
    </w:p>
    <w:p w14:paraId="1049D183" w14:textId="2663E634"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highlight w:val="darkGray"/>
          <w:lang w:val="sl-SI"/>
        </w:rPr>
        <w:t xml:space="preserve">Šio vaistinio preparato </w:t>
      </w:r>
      <w:r w:rsidR="002A4A64" w:rsidRPr="00976ED6">
        <w:rPr>
          <w:rFonts w:ascii="Times New Roman" w:hAnsi="Times New Roman" w:cs="Times New Roman"/>
          <w:highlight w:val="darkGray"/>
          <w:lang w:val="sl-SI"/>
        </w:rPr>
        <w:t>flakone</w:t>
      </w:r>
      <w:r w:rsidRPr="00976ED6">
        <w:rPr>
          <w:rFonts w:ascii="Times New Roman" w:hAnsi="Times New Roman" w:cs="Times New Roman"/>
          <w:highlight w:val="darkGray"/>
          <w:lang w:val="sl-SI"/>
        </w:rPr>
        <w:t xml:space="preserve"> yra 316</w:t>
      </w:r>
      <w:r w:rsidR="002A4A64">
        <w:rPr>
          <w:rFonts w:ascii="Times New Roman" w:hAnsi="Times New Roman" w:cs="Times New Roman"/>
          <w:highlight w:val="darkGray"/>
          <w:lang w:val="sl-SI"/>
        </w:rPr>
        <w:t>0</w:t>
      </w:r>
      <w:r w:rsidRPr="00976ED6">
        <w:rPr>
          <w:rFonts w:ascii="Times New Roman" w:hAnsi="Times New Roman" w:cs="Times New Roman"/>
          <w:highlight w:val="darkGray"/>
          <w:lang w:val="sl-SI"/>
        </w:rPr>
        <w:t> </w:t>
      </w:r>
      <w:r w:rsidR="002A4A64">
        <w:rPr>
          <w:rFonts w:ascii="Times New Roman" w:hAnsi="Times New Roman" w:cs="Times New Roman"/>
          <w:highlight w:val="darkGray"/>
          <w:lang w:val="sl-SI"/>
        </w:rPr>
        <w:t>m</w:t>
      </w:r>
      <w:r w:rsidRPr="00976ED6">
        <w:rPr>
          <w:rFonts w:ascii="Times New Roman" w:hAnsi="Times New Roman" w:cs="Times New Roman"/>
          <w:highlight w:val="darkGray"/>
          <w:lang w:val="sl-SI"/>
        </w:rPr>
        <w:t>g</w:t>
      </w:r>
      <w:r w:rsidR="002A4A64">
        <w:rPr>
          <w:rFonts w:ascii="Times New Roman" w:hAnsi="Times New Roman" w:cs="Times New Roman"/>
          <w:highlight w:val="darkGray"/>
          <w:lang w:val="sl-SI"/>
        </w:rPr>
        <w:t xml:space="preserve"> etanolio.</w:t>
      </w:r>
      <w:r w:rsidRPr="00976ED6">
        <w:rPr>
          <w:rFonts w:ascii="Times New Roman" w:hAnsi="Times New Roman" w:cs="Times New Roman"/>
          <w:highlight w:val="darkGray"/>
          <w:lang w:val="sl-SI"/>
        </w:rPr>
        <w:t xml:space="preserve"> </w:t>
      </w:r>
      <w:r w:rsidR="002A4A64">
        <w:rPr>
          <w:rFonts w:ascii="Times New Roman" w:hAnsi="Times New Roman" w:cs="Times New Roman"/>
          <w:highlight w:val="darkGray"/>
          <w:lang w:val="sl-SI"/>
        </w:rPr>
        <w:t xml:space="preserve">Toks </w:t>
      </w:r>
      <w:r w:rsidR="0067186E">
        <w:rPr>
          <w:rFonts w:ascii="Times New Roman" w:hAnsi="Times New Roman" w:cs="Times New Roman"/>
          <w:highlight w:val="darkGray"/>
          <w:lang w:val="sl-SI"/>
        </w:rPr>
        <w:t>8</w:t>
      </w:r>
      <w:r w:rsidR="00110C91" w:rsidRPr="00976ED6">
        <w:rPr>
          <w:rFonts w:ascii="Times New Roman" w:hAnsi="Times New Roman" w:cs="Times New Roman"/>
          <w:highlight w:val="darkGray"/>
          <w:lang w:val="sl-SI"/>
        </w:rPr>
        <w:t> m</w:t>
      </w:r>
      <w:r w:rsidR="00166C22">
        <w:rPr>
          <w:rFonts w:ascii="Times New Roman" w:hAnsi="Times New Roman" w:cs="Times New Roman"/>
          <w:highlight w:val="darkGray"/>
          <w:lang w:val="sl-SI"/>
        </w:rPr>
        <w:t>l</w:t>
      </w:r>
      <w:r w:rsidR="00110C91">
        <w:rPr>
          <w:rFonts w:ascii="Times New Roman" w:hAnsi="Times New Roman" w:cs="Times New Roman"/>
          <w:highlight w:val="darkGray"/>
          <w:lang w:val="sl-SI"/>
        </w:rPr>
        <w:t xml:space="preserve"> </w:t>
      </w:r>
      <w:r w:rsidR="00DE25C3">
        <w:rPr>
          <w:rFonts w:ascii="Times New Roman" w:hAnsi="Times New Roman" w:cs="Times New Roman"/>
          <w:highlight w:val="darkGray"/>
          <w:lang w:val="sl-SI"/>
        </w:rPr>
        <w:t>šio vaistinio preparato kiekis</w:t>
      </w:r>
      <w:r w:rsidR="00DE25C3" w:rsidRPr="00976ED6">
        <w:rPr>
          <w:rFonts w:ascii="Times New Roman" w:hAnsi="Times New Roman" w:cs="Times New Roman"/>
          <w:highlight w:val="darkGray"/>
          <w:lang w:val="sl-SI"/>
        </w:rPr>
        <w:t xml:space="preserve"> </w:t>
      </w:r>
      <w:r w:rsidRPr="00976ED6">
        <w:rPr>
          <w:rFonts w:ascii="Times New Roman" w:hAnsi="Times New Roman" w:cs="Times New Roman"/>
          <w:highlight w:val="darkGray"/>
          <w:lang w:val="sl-SI"/>
        </w:rPr>
        <w:t>atitinka 80 ml alaus arba 33 ml vyno.</w:t>
      </w:r>
    </w:p>
    <w:p w14:paraId="7AF73EEA" w14:textId="1D0160BD" w:rsidR="003A7B6B" w:rsidRDefault="003A7B6B" w:rsidP="003A7B6B">
      <w:pPr>
        <w:widowControl w:val="0"/>
        <w:numPr>
          <w:ilvl w:val="12"/>
          <w:numId w:val="0"/>
        </w:numPr>
        <w:tabs>
          <w:tab w:val="left" w:pos="1296"/>
        </w:tabs>
        <w:ind w:right="-2"/>
        <w:rPr>
          <w:rFonts w:ascii="Times New Roman" w:hAnsi="Times New Roman" w:cs="Times New Roman"/>
          <w:lang w:val="sl-SI"/>
        </w:rPr>
      </w:pPr>
    </w:p>
    <w:p w14:paraId="58E8FBDD" w14:textId="753CB229" w:rsidR="00E3141C" w:rsidRDefault="00100814" w:rsidP="003A7B6B">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lastRenderedPageBreak/>
        <w:t>Š</w:t>
      </w:r>
      <w:r w:rsidR="00E3141C">
        <w:rPr>
          <w:rFonts w:ascii="Times New Roman" w:hAnsi="Times New Roman" w:cs="Times New Roman"/>
          <w:lang w:val="sl-SI"/>
        </w:rPr>
        <w:t>io vaistinio preparato</w:t>
      </w:r>
      <w:r w:rsidR="00E3141C" w:rsidRPr="00E3141C">
        <w:rPr>
          <w:rFonts w:ascii="Times New Roman" w:hAnsi="Times New Roman" w:cs="Times New Roman"/>
          <w:lang w:val="sl-SI"/>
        </w:rPr>
        <w:t xml:space="preserve"> dozė</w:t>
      </w:r>
      <w:r>
        <w:rPr>
          <w:rFonts w:ascii="Times New Roman" w:hAnsi="Times New Roman" w:cs="Times New Roman"/>
          <w:lang w:val="sl-SI"/>
        </w:rPr>
        <w:t xml:space="preserve"> </w:t>
      </w:r>
      <w:r w:rsidR="00000706" w:rsidRPr="005D0FE7">
        <w:rPr>
          <w:rFonts w:ascii="Times New Roman" w:hAnsi="Times New Roman" w:cs="Times New Roman"/>
        </w:rPr>
        <w:t>100 mg/m</w:t>
      </w:r>
      <w:r w:rsidR="00000706" w:rsidRPr="005D0FE7">
        <w:rPr>
          <w:rFonts w:ascii="Times New Roman" w:hAnsi="Times New Roman" w:cs="Times New Roman"/>
          <w:vertAlign w:val="superscript"/>
        </w:rPr>
        <w:t>2</w:t>
      </w:r>
      <w:r w:rsidR="00000706">
        <w:rPr>
          <w:rFonts w:ascii="Times New Roman" w:hAnsi="Times New Roman" w:cs="Times New Roman"/>
          <w:lang w:val="sl-SI"/>
        </w:rPr>
        <w:t xml:space="preserve"> </w:t>
      </w:r>
      <w:r>
        <w:rPr>
          <w:rFonts w:ascii="Times New Roman" w:hAnsi="Times New Roman" w:cs="Times New Roman"/>
          <w:lang w:val="sl-SI"/>
        </w:rPr>
        <w:t xml:space="preserve">vartojama </w:t>
      </w:r>
      <w:r w:rsidR="00ED0F98">
        <w:rPr>
          <w:rFonts w:ascii="Times New Roman" w:hAnsi="Times New Roman" w:cs="Times New Roman"/>
          <w:lang w:val="sl-SI"/>
        </w:rPr>
        <w:t>suaugusiojo, sveriančio 70 </w:t>
      </w:r>
      <w:r w:rsidR="00000706">
        <w:rPr>
          <w:rFonts w:ascii="Times New Roman" w:hAnsi="Times New Roman" w:cs="Times New Roman"/>
          <w:lang w:val="sl-SI"/>
        </w:rPr>
        <w:t>kg, sukeltų</w:t>
      </w:r>
      <w:r w:rsidR="00ED0F98">
        <w:rPr>
          <w:rFonts w:ascii="Times New Roman" w:hAnsi="Times New Roman" w:cs="Times New Roman"/>
          <w:lang w:val="sl-SI"/>
        </w:rPr>
        <w:t xml:space="preserve"> 48 </w:t>
      </w:r>
      <w:r w:rsidR="00E3141C">
        <w:rPr>
          <w:rFonts w:ascii="Times New Roman" w:hAnsi="Times New Roman" w:cs="Times New Roman"/>
          <w:lang w:val="sl-SI"/>
        </w:rPr>
        <w:t>mg/</w:t>
      </w:r>
      <w:r w:rsidR="00000706">
        <w:rPr>
          <w:rFonts w:ascii="Times New Roman" w:hAnsi="Times New Roman" w:cs="Times New Roman"/>
          <w:lang w:val="sl-SI"/>
        </w:rPr>
        <w:t>kg etanolio suvartojimą</w:t>
      </w:r>
      <w:r w:rsidR="00E3141C" w:rsidRPr="00E3141C">
        <w:rPr>
          <w:rFonts w:ascii="Times New Roman" w:hAnsi="Times New Roman" w:cs="Times New Roman"/>
          <w:lang w:val="sl-SI"/>
        </w:rPr>
        <w:t xml:space="preserve">, </w:t>
      </w:r>
      <w:r w:rsidR="00000706">
        <w:rPr>
          <w:rFonts w:ascii="Times New Roman" w:hAnsi="Times New Roman" w:cs="Times New Roman"/>
          <w:lang w:val="sl-SI"/>
        </w:rPr>
        <w:t>kuris</w:t>
      </w:r>
      <w:r w:rsidR="00E3141C" w:rsidRPr="00E3141C">
        <w:rPr>
          <w:rFonts w:ascii="Times New Roman" w:hAnsi="Times New Roman" w:cs="Times New Roman"/>
          <w:lang w:val="sl-SI"/>
        </w:rPr>
        <w:t xml:space="preserve"> gali padidinti alkoh</w:t>
      </w:r>
      <w:r w:rsidR="00E3141C">
        <w:rPr>
          <w:rFonts w:ascii="Times New Roman" w:hAnsi="Times New Roman" w:cs="Times New Roman"/>
          <w:lang w:val="sl-SI"/>
        </w:rPr>
        <w:t>olio koncentraciją kraujyje (AKK</w:t>
      </w:r>
      <w:r w:rsidR="00000706">
        <w:rPr>
          <w:rFonts w:ascii="Times New Roman" w:hAnsi="Times New Roman" w:cs="Times New Roman"/>
          <w:lang w:val="sl-SI"/>
        </w:rPr>
        <w:t>) apytikriai iki</w:t>
      </w:r>
      <w:r w:rsidR="00ED0F98">
        <w:rPr>
          <w:rFonts w:ascii="Times New Roman" w:hAnsi="Times New Roman" w:cs="Times New Roman"/>
          <w:lang w:val="sl-SI"/>
        </w:rPr>
        <w:t xml:space="preserve"> 8 mg / 100 </w:t>
      </w:r>
      <w:r w:rsidR="00E3141C" w:rsidRPr="00E3141C">
        <w:rPr>
          <w:rFonts w:ascii="Times New Roman" w:hAnsi="Times New Roman" w:cs="Times New Roman"/>
          <w:lang w:val="sl-SI"/>
        </w:rPr>
        <w:t>ml.</w:t>
      </w:r>
    </w:p>
    <w:p w14:paraId="7942271F" w14:textId="18C07269" w:rsidR="00E3141C" w:rsidRDefault="00CA090A" w:rsidP="003A7B6B">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Palyginimui, suaugusiojo, išgerusio taurę</w:t>
      </w:r>
      <w:r w:rsidR="00ED0F98">
        <w:rPr>
          <w:rFonts w:ascii="Times New Roman" w:hAnsi="Times New Roman" w:cs="Times New Roman"/>
          <w:lang w:val="sl-SI"/>
        </w:rPr>
        <w:t xml:space="preserve"> vyno ar 500 ml </w:t>
      </w:r>
      <w:r w:rsidR="00E3141C">
        <w:rPr>
          <w:rFonts w:ascii="Times New Roman" w:hAnsi="Times New Roman" w:cs="Times New Roman"/>
          <w:lang w:val="sl-SI"/>
        </w:rPr>
        <w:t xml:space="preserve">alaus, </w:t>
      </w:r>
      <w:r w:rsidR="00DE25C3">
        <w:rPr>
          <w:rFonts w:ascii="Times New Roman" w:hAnsi="Times New Roman" w:cs="Times New Roman"/>
          <w:lang w:val="sl-SI"/>
        </w:rPr>
        <w:t xml:space="preserve">AKK </w:t>
      </w:r>
      <w:r>
        <w:rPr>
          <w:rFonts w:ascii="Times New Roman" w:hAnsi="Times New Roman" w:cs="Times New Roman"/>
          <w:lang w:val="sl-SI"/>
        </w:rPr>
        <w:t xml:space="preserve">reikšmė būna apytikriai </w:t>
      </w:r>
      <w:r w:rsidR="00ED0F98">
        <w:rPr>
          <w:rFonts w:ascii="Times New Roman" w:hAnsi="Times New Roman" w:cs="Times New Roman"/>
          <w:lang w:val="sl-SI"/>
        </w:rPr>
        <w:t>50 mg/ 100 </w:t>
      </w:r>
      <w:r w:rsidR="00AE551E">
        <w:rPr>
          <w:rFonts w:ascii="Times New Roman" w:hAnsi="Times New Roman" w:cs="Times New Roman"/>
          <w:lang w:val="sl-SI"/>
        </w:rPr>
        <w:t>ml.</w:t>
      </w:r>
    </w:p>
    <w:p w14:paraId="2A025062" w14:textId="752AA69B" w:rsidR="00AE551E" w:rsidRDefault="00AE551E" w:rsidP="003A7B6B">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Va</w:t>
      </w:r>
      <w:r w:rsidR="00CA090A">
        <w:rPr>
          <w:rFonts w:ascii="Times New Roman" w:hAnsi="Times New Roman" w:cs="Times New Roman"/>
          <w:lang w:val="sl-SI"/>
        </w:rPr>
        <w:t>rtojimas</w:t>
      </w:r>
      <w:r>
        <w:rPr>
          <w:rFonts w:ascii="Times New Roman" w:hAnsi="Times New Roman" w:cs="Times New Roman"/>
          <w:lang w:val="sl-SI"/>
        </w:rPr>
        <w:t xml:space="preserve"> su vaistinia</w:t>
      </w:r>
      <w:r w:rsidRPr="00AE551E">
        <w:rPr>
          <w:rFonts w:ascii="Times New Roman" w:hAnsi="Times New Roman" w:cs="Times New Roman"/>
          <w:lang w:val="sl-SI"/>
        </w:rPr>
        <w:t>is</w:t>
      </w:r>
      <w:r>
        <w:rPr>
          <w:rFonts w:ascii="Times New Roman" w:hAnsi="Times New Roman" w:cs="Times New Roman"/>
          <w:lang w:val="sl-SI"/>
        </w:rPr>
        <w:t xml:space="preserve"> preparatais, kurių sudėtyje</w:t>
      </w:r>
      <w:r w:rsidRPr="00AE551E">
        <w:rPr>
          <w:rFonts w:ascii="Times New Roman" w:hAnsi="Times New Roman" w:cs="Times New Roman"/>
          <w:lang w:val="sl-SI"/>
        </w:rPr>
        <w:t xml:space="preserve"> yra pvz. propilenglikoli</w:t>
      </w:r>
      <w:r>
        <w:rPr>
          <w:rFonts w:ascii="Times New Roman" w:hAnsi="Times New Roman" w:cs="Times New Roman"/>
          <w:lang w:val="sl-SI"/>
        </w:rPr>
        <w:t>o arba etanolio</w:t>
      </w:r>
      <w:r w:rsidR="00CA090A">
        <w:rPr>
          <w:rFonts w:ascii="Times New Roman" w:hAnsi="Times New Roman" w:cs="Times New Roman"/>
          <w:lang w:val="sl-SI"/>
        </w:rPr>
        <w:t>,</w:t>
      </w:r>
      <w:r w:rsidRPr="00AE551E">
        <w:rPr>
          <w:rFonts w:ascii="Times New Roman" w:hAnsi="Times New Roman" w:cs="Times New Roman"/>
          <w:lang w:val="sl-SI"/>
        </w:rPr>
        <w:t xml:space="preserve"> gali sukelti etanolio kaupi</w:t>
      </w:r>
      <w:r w:rsidR="00110C91">
        <w:rPr>
          <w:rFonts w:ascii="Times New Roman" w:hAnsi="Times New Roman" w:cs="Times New Roman"/>
          <w:lang w:val="sl-SI"/>
        </w:rPr>
        <w:t xml:space="preserve">mąsi ir </w:t>
      </w:r>
      <w:r w:rsidR="00CA090A">
        <w:rPr>
          <w:rFonts w:ascii="Times New Roman" w:hAnsi="Times New Roman" w:cs="Times New Roman"/>
          <w:lang w:val="sl-SI"/>
        </w:rPr>
        <w:t>nepageidaujamas reakcijas</w:t>
      </w:r>
      <w:r w:rsidRPr="00AE551E">
        <w:rPr>
          <w:rFonts w:ascii="Times New Roman" w:hAnsi="Times New Roman" w:cs="Times New Roman"/>
          <w:lang w:val="sl-SI"/>
        </w:rPr>
        <w:t>, ypač mažiems vaikams</w:t>
      </w:r>
      <w:r w:rsidR="00CA090A">
        <w:rPr>
          <w:rFonts w:ascii="Times New Roman" w:hAnsi="Times New Roman" w:cs="Times New Roman"/>
          <w:lang w:val="sl-SI"/>
        </w:rPr>
        <w:t xml:space="preserve">, kurių metabolinė sistema </w:t>
      </w:r>
      <w:r w:rsidR="00100814">
        <w:rPr>
          <w:rFonts w:ascii="Times New Roman" w:hAnsi="Times New Roman" w:cs="Times New Roman"/>
          <w:lang w:val="sl-SI"/>
        </w:rPr>
        <w:t>yra nepakankamai susiformavusi</w:t>
      </w:r>
      <w:r>
        <w:rPr>
          <w:rFonts w:ascii="Times New Roman" w:hAnsi="Times New Roman" w:cs="Times New Roman"/>
          <w:lang w:val="sl-SI"/>
        </w:rPr>
        <w:t>.</w:t>
      </w:r>
    </w:p>
    <w:p w14:paraId="6CA33D7C" w14:textId="250E2BE6" w:rsidR="00DE25C3" w:rsidRDefault="00DE25C3" w:rsidP="003A7B6B">
      <w:pPr>
        <w:widowControl w:val="0"/>
        <w:numPr>
          <w:ilvl w:val="12"/>
          <w:numId w:val="0"/>
        </w:numPr>
        <w:tabs>
          <w:tab w:val="left" w:pos="1296"/>
        </w:tabs>
        <w:ind w:right="-2"/>
        <w:rPr>
          <w:rFonts w:ascii="Times New Roman" w:hAnsi="Times New Roman" w:cs="Times New Roman"/>
          <w:lang w:val="sl-SI"/>
        </w:rPr>
      </w:pPr>
      <w:r w:rsidRPr="00DE25C3">
        <w:rPr>
          <w:rFonts w:ascii="Times New Roman" w:hAnsi="Times New Roman" w:cs="Times New Roman"/>
          <w:lang w:val="sl-SI"/>
        </w:rPr>
        <w:t>Kadangi šis vaist</w:t>
      </w:r>
      <w:r>
        <w:rPr>
          <w:rFonts w:ascii="Times New Roman" w:hAnsi="Times New Roman" w:cs="Times New Roman"/>
          <w:lang w:val="sl-SI"/>
        </w:rPr>
        <w:t>inis preparat</w:t>
      </w:r>
      <w:r w:rsidR="00857EA2">
        <w:rPr>
          <w:rFonts w:ascii="Times New Roman" w:hAnsi="Times New Roman" w:cs="Times New Roman"/>
          <w:lang w:val="sl-SI"/>
        </w:rPr>
        <w:t xml:space="preserve">as </w:t>
      </w:r>
      <w:r w:rsidR="00FB3408">
        <w:rPr>
          <w:rFonts w:ascii="Times New Roman" w:hAnsi="Times New Roman" w:cs="Times New Roman"/>
          <w:lang w:val="sl-SI"/>
        </w:rPr>
        <w:t>su</w:t>
      </w:r>
      <w:r w:rsidRPr="00DE25C3">
        <w:rPr>
          <w:rFonts w:ascii="Times New Roman" w:hAnsi="Times New Roman" w:cs="Times New Roman"/>
          <w:lang w:val="sl-SI"/>
        </w:rPr>
        <w:t xml:space="preserve">vartojamas </w:t>
      </w:r>
      <w:r w:rsidR="00FB3408">
        <w:rPr>
          <w:rFonts w:ascii="Times New Roman" w:hAnsi="Times New Roman" w:cs="Times New Roman"/>
          <w:lang w:val="sl-SI"/>
        </w:rPr>
        <w:t>iš lėto</w:t>
      </w:r>
      <w:r w:rsidR="00ED0F98">
        <w:rPr>
          <w:rFonts w:ascii="Times New Roman" w:hAnsi="Times New Roman" w:cs="Times New Roman"/>
          <w:lang w:val="sl-SI"/>
        </w:rPr>
        <w:t xml:space="preserve"> per 1 </w:t>
      </w:r>
      <w:r w:rsidRPr="00DE25C3">
        <w:rPr>
          <w:rFonts w:ascii="Times New Roman" w:hAnsi="Times New Roman" w:cs="Times New Roman"/>
          <w:lang w:val="sl-SI"/>
        </w:rPr>
        <w:t>valandą, al</w:t>
      </w:r>
      <w:r w:rsidR="00FB3408">
        <w:rPr>
          <w:rFonts w:ascii="Times New Roman" w:hAnsi="Times New Roman" w:cs="Times New Roman"/>
          <w:lang w:val="sl-SI"/>
        </w:rPr>
        <w:t xml:space="preserve">koholio poveikis gali </w:t>
      </w:r>
      <w:r w:rsidR="00857EA2">
        <w:rPr>
          <w:rFonts w:ascii="Times New Roman" w:hAnsi="Times New Roman" w:cs="Times New Roman"/>
          <w:lang w:val="sl-SI"/>
        </w:rPr>
        <w:t xml:space="preserve">būti </w:t>
      </w:r>
      <w:r w:rsidR="00FB3408">
        <w:rPr>
          <w:rFonts w:ascii="Times New Roman" w:hAnsi="Times New Roman" w:cs="Times New Roman"/>
          <w:lang w:val="sl-SI"/>
        </w:rPr>
        <w:t>susilpnesnis</w:t>
      </w:r>
      <w:r w:rsidR="002075BA">
        <w:rPr>
          <w:rFonts w:ascii="Times New Roman" w:hAnsi="Times New Roman" w:cs="Times New Roman"/>
          <w:lang w:val="sl-SI"/>
        </w:rPr>
        <w:t>.</w:t>
      </w:r>
    </w:p>
    <w:p w14:paraId="32A67F8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876A09A"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4.5</w:t>
      </w:r>
      <w:r w:rsidRPr="00976ED6">
        <w:rPr>
          <w:rFonts w:ascii="Times New Roman" w:hAnsi="Times New Roman" w:cs="Times New Roman"/>
          <w:b/>
          <w:lang w:val="sl-SI"/>
        </w:rPr>
        <w:tab/>
        <w:t>Sąveika su kitais vaistiniais preparatais ir kitokia sąveika</w:t>
      </w:r>
    </w:p>
    <w:p w14:paraId="39FC0FE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5FA261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Alkoholio kiekis, esantis šio vaistinio preparato sudėtyje, gali keisti kitų vaistinių preparatų poveikį.</w:t>
      </w:r>
    </w:p>
    <w:p w14:paraId="389359A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7E24E3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Tyrimai </w:t>
      </w:r>
      <w:r w:rsidRPr="00976ED6">
        <w:rPr>
          <w:rFonts w:ascii="Times New Roman" w:hAnsi="Times New Roman" w:cs="Times New Roman"/>
          <w:i/>
          <w:lang w:val="sl-SI"/>
        </w:rPr>
        <w:t>in vitro</w:t>
      </w:r>
      <w:r w:rsidRPr="00976ED6">
        <w:rPr>
          <w:rFonts w:ascii="Times New Roman" w:hAnsi="Times New Roman" w:cs="Times New Roman"/>
          <w:lang w:val="sl-SI"/>
        </w:rPr>
        <w:t xml:space="preserve"> parodė, kad docetakselio metabolizmui įtakos gali turėti kartu vartojamos medžiagos, kurios stimuliuoja ar slopina citochromą P450-3A, arba yra jo metabolizuojamos (pastarosios gali slopinti šį fermentą konkurenciniu būdu), pvz., ciklosporinas, ketokonazolas ir eritromicinas. Galima sąveika yra reikšminga, todėl kartu su minėtais vaistiniais preparatais docetakselis vartojamas atsargiai.</w:t>
      </w:r>
    </w:p>
    <w:p w14:paraId="0FDEFD2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8A1A57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Vartojant docetakselį su CYP3A4 inhibitoriais, docetakselio sukeltos nepageidaujamos reakcijos gali būti dažnesnės dėl sumažėjusio metabolizmo. Jeigu kartu su docetakseliu vartoti stiprų CYP3A4 inhibitorių (pvz., ketokonazolą, itrakonazolą, klaritromiciną, indinavirą, nefazodoną, nelfinavirą, ritonavirą, sakvinavirą, telitromiciną ir vorikonazolą) būtina, turi būti užtikrinta atidi klinikinė priežiūra, o gydymo stipriu CYP3A4 inhibitoriumi laikotarpiu gali būti reikalingas docetakselio dozės koregavimas (žr. 4.4 skyrių). Farmakokinetikos tyrime, kur dalyvavo septyni pacientai, docetakselio vartojimas kartu su stipriu CYP3A4 inhibitoriumi ketokonazolu lėmė reikšmingai, t.y. 49%, sumažėjusį docetakselio klirensą.</w:t>
      </w:r>
    </w:p>
    <w:p w14:paraId="6C55B53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F153FD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Tirta docetakselio farmakokinetika metastazavusiu prostatos vėžiu sergančių pacientų, kartu vartojančių prednizoną, organizme. CYP3A4 metabolizuoja docetakselį, o prednizonas indukuoja CYP3A4. Statistiškai reikšmingos prednizono įtakos docetakselio farmakokinetikai nenustatyta.</w:t>
      </w:r>
    </w:p>
    <w:p w14:paraId="5D3E0A1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0170EE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Didelė docetakselio dalis (daugiau kaip 95%) būna prisijungusi prie plazmos baltymų. Galima docetakselio sąveika su kartu vartojamais vaistiniais preparatais </w:t>
      </w:r>
      <w:r w:rsidRPr="00976ED6">
        <w:rPr>
          <w:rFonts w:ascii="Times New Roman" w:hAnsi="Times New Roman" w:cs="Times New Roman"/>
          <w:i/>
          <w:lang w:val="sl-SI"/>
        </w:rPr>
        <w:t>in vivo</w:t>
      </w:r>
      <w:r w:rsidRPr="00976ED6">
        <w:rPr>
          <w:rFonts w:ascii="Times New Roman" w:hAnsi="Times New Roman" w:cs="Times New Roman"/>
          <w:lang w:val="sl-SI"/>
        </w:rPr>
        <w:t xml:space="preserve"> formaliai netirta, tačiau medžiagos, kurios stipriai jungiasi prie plazmos baltymų (pvz., eritromicinas, difenhidraminas, propranololis, propafenonas, fenitoinas, salicilatai, sulfametoksazolas ir natrio valproatas) įtakos docetakselio jungimuisi su baltymais </w:t>
      </w:r>
      <w:r w:rsidRPr="00976ED6">
        <w:rPr>
          <w:rFonts w:ascii="Times New Roman" w:hAnsi="Times New Roman" w:cs="Times New Roman"/>
          <w:i/>
          <w:lang w:val="sl-SI"/>
        </w:rPr>
        <w:t>in vitro</w:t>
      </w:r>
      <w:r w:rsidRPr="00976ED6">
        <w:rPr>
          <w:rFonts w:ascii="Times New Roman" w:hAnsi="Times New Roman" w:cs="Times New Roman"/>
          <w:lang w:val="sl-SI"/>
        </w:rPr>
        <w:t xml:space="preserve"> neturi. Docetakselio jungimosi su baltymais neveikia ir deksametazonas. Docetakselis neturi įtakos digitoksino jungimuisi su baltymais.</w:t>
      </w:r>
    </w:p>
    <w:p w14:paraId="7FA3338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2FD38D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Kartu vartojami docetakselis, doksorubicinas ir ciklofosfamidas vienas kito farmakokinetikos nekeičia. Ribotas kiekis duomenų, gautų vieno nekontroliuojamo tyrimo metu, rodo sąveiką tarp docetakselio ir karboplatinos: kartu su docetakseliu vartojamos karboplatinos klirensas buvo maždaug 50% didesnis už anksčiau nustatytą monoterapijos karboplatina metu.</w:t>
      </w:r>
    </w:p>
    <w:p w14:paraId="377B0FF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7211C01"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4.6</w:t>
      </w:r>
      <w:r w:rsidRPr="00976ED6">
        <w:rPr>
          <w:rFonts w:ascii="Times New Roman" w:hAnsi="Times New Roman" w:cs="Times New Roman"/>
          <w:b/>
          <w:lang w:val="sl-SI"/>
        </w:rPr>
        <w:tab/>
        <w:t>Vaisingumas, nėštumo ir žindymo laikotarpis</w:t>
      </w:r>
    </w:p>
    <w:p w14:paraId="1C3C039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5629EA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u w:val="single"/>
          <w:lang w:val="sl-SI"/>
        </w:rPr>
        <w:t>Nėštumas</w:t>
      </w:r>
    </w:p>
    <w:p w14:paraId="736D74F6" w14:textId="77777777" w:rsidR="003A7B6B" w:rsidRPr="00C91F0E"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Informacijos apie docetakselio vartojimą nėštumo metu nėra. Nustatyta, kad docetakselis yra embriotoksiškas ir fetotoksiškas triušiams ir žiurkėms, mažina žiurkių vaisingumą. Nėščios moters </w:t>
      </w:r>
      <w:r w:rsidRPr="00C91F0E">
        <w:rPr>
          <w:rFonts w:ascii="Times New Roman" w:hAnsi="Times New Roman" w:cs="Times New Roman"/>
          <w:lang w:val="sl-SI"/>
        </w:rPr>
        <w:t>vartojamas docetakselis (kaip ir kiti citotoksiniai vaistiniai preparatai) gali pakenkti vaisiui, todėl nėštumo metu jo vartoti negalima, išskyrus neabejotinai būtinus atvejus.</w:t>
      </w:r>
    </w:p>
    <w:p w14:paraId="492CEAB7" w14:textId="77777777" w:rsidR="003A7B6B" w:rsidRPr="00C91F0E" w:rsidRDefault="003A7B6B" w:rsidP="003A7B6B">
      <w:pPr>
        <w:widowControl w:val="0"/>
        <w:tabs>
          <w:tab w:val="left" w:pos="567"/>
          <w:tab w:val="left" w:pos="1296"/>
        </w:tabs>
        <w:ind w:left="0" w:firstLine="0"/>
        <w:rPr>
          <w:rFonts w:ascii="Times New Roman" w:hAnsi="Times New Roman" w:cs="Times New Roman"/>
          <w:lang w:val="sl-SI"/>
        </w:rPr>
      </w:pPr>
    </w:p>
    <w:p w14:paraId="5B35574E" w14:textId="24AD08F0" w:rsidR="003A7B6B" w:rsidRPr="00C91F0E" w:rsidRDefault="003A7B6B" w:rsidP="003A7B6B">
      <w:pPr>
        <w:widowControl w:val="0"/>
        <w:tabs>
          <w:tab w:val="left" w:pos="567"/>
          <w:tab w:val="left" w:pos="1296"/>
        </w:tabs>
        <w:ind w:left="0" w:firstLine="0"/>
        <w:rPr>
          <w:rFonts w:ascii="Times New Roman" w:hAnsi="Times New Roman" w:cs="Times New Roman"/>
          <w:u w:val="single"/>
          <w:lang w:val="sl-SI"/>
        </w:rPr>
      </w:pPr>
      <w:r w:rsidRPr="00C91F0E">
        <w:rPr>
          <w:rFonts w:ascii="Times New Roman" w:hAnsi="Times New Roman" w:cs="Times New Roman"/>
          <w:u w:val="single"/>
          <w:lang w:val="sl-SI"/>
        </w:rPr>
        <w:t>Vaisingo</w:t>
      </w:r>
      <w:r w:rsidR="00DA5DB9" w:rsidRPr="00C91F0E">
        <w:rPr>
          <w:rFonts w:ascii="Times New Roman" w:hAnsi="Times New Roman" w:cs="Times New Roman"/>
          <w:u w:val="single"/>
          <w:lang w:val="sl-SI"/>
        </w:rPr>
        <w:t>s</w:t>
      </w:r>
      <w:r w:rsidRPr="00C91F0E">
        <w:rPr>
          <w:rFonts w:ascii="Times New Roman" w:hAnsi="Times New Roman" w:cs="Times New Roman"/>
          <w:u w:val="single"/>
          <w:lang w:val="sl-SI"/>
        </w:rPr>
        <w:t xml:space="preserve">  moter</w:t>
      </w:r>
      <w:r w:rsidR="00DA5DB9" w:rsidRPr="00C91F0E">
        <w:rPr>
          <w:rFonts w:ascii="Times New Roman" w:hAnsi="Times New Roman" w:cs="Times New Roman"/>
          <w:u w:val="single"/>
          <w:lang w:val="sl-SI"/>
        </w:rPr>
        <w:t>y</w:t>
      </w:r>
      <w:r w:rsidRPr="00C91F0E">
        <w:rPr>
          <w:rFonts w:ascii="Times New Roman" w:hAnsi="Times New Roman" w:cs="Times New Roman"/>
          <w:u w:val="single"/>
          <w:lang w:val="sl-SI"/>
        </w:rPr>
        <w:t>s</w:t>
      </w:r>
    </w:p>
    <w:p w14:paraId="2863299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C91F0E">
        <w:rPr>
          <w:rFonts w:ascii="Times New Roman" w:hAnsi="Times New Roman" w:cs="Times New Roman"/>
          <w:lang w:val="sl-SI"/>
        </w:rPr>
        <w:t>Vaisingo amžiaus moterims, vartojančioms šį vaistinį preparatą, reikia patarti saugotis pastojimo. Jei docetakselį</w:t>
      </w:r>
      <w:r w:rsidRPr="00976ED6">
        <w:rPr>
          <w:rFonts w:ascii="Times New Roman" w:hAnsi="Times New Roman" w:cs="Times New Roman"/>
          <w:lang w:val="sl-SI"/>
        </w:rPr>
        <w:t xml:space="preserve"> vartojanti moteris pastoja, apie tai nedelsdama turi informuoti gydytoją.</w:t>
      </w:r>
    </w:p>
    <w:p w14:paraId="7F3F996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5EC5DC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u w:val="single"/>
          <w:lang w:val="sl-SI"/>
        </w:rPr>
        <w:t>Žindymas</w:t>
      </w:r>
    </w:p>
    <w:p w14:paraId="17D5997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yra lipofiliška medžiaga, tačiau nežinoma, ar jo išsiskiria į moters pieną. Maitinamam kūdikiui gali pasireikšti nepageidaujamų reakcijų, todėl docetakselį vartojančioms moterims žindyti negalima.</w:t>
      </w:r>
    </w:p>
    <w:p w14:paraId="786C663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199D724"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Vyrų ir moterų kontracepcija</w:t>
      </w:r>
    </w:p>
    <w:p w14:paraId="35DF82D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Gydymo laikotarpiu turi būti taikoma efektyvi kontracepcija.</w:t>
      </w:r>
    </w:p>
    <w:p w14:paraId="5AAAD78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71A5D8E"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Vaisingumas</w:t>
      </w:r>
    </w:p>
    <w:p w14:paraId="79840DC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Ne klinikinių tyrimų metu nustatyta, kad docetakselis turi genotoksinių savybių ir gali trikdyti vyrų vaisingumą (žr. 5.3 skyrių). Todėl vyrams, gydymo docetakseliu metu ir bent 6 mėnesius po gydymo, patariama neapvaisinti moters bei kreiptis dėl spermos užšaldymo galimybės iki gydymo pradžios.</w:t>
      </w:r>
    </w:p>
    <w:p w14:paraId="5A11EC3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CA051FF"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4.7</w:t>
      </w:r>
      <w:r w:rsidRPr="00976ED6">
        <w:rPr>
          <w:rFonts w:ascii="Times New Roman" w:hAnsi="Times New Roman" w:cs="Times New Roman"/>
          <w:b/>
          <w:lang w:val="sl-SI"/>
        </w:rPr>
        <w:tab/>
        <w:t>Poveikis gebėjimui vairuoti ir valdyti mechanizmus</w:t>
      </w:r>
    </w:p>
    <w:p w14:paraId="2D76972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99276C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Poveikio gebėjimui vairuoti ir valdyti mechanizmus tyrimų neatlikta. Alkoholio kiekis, esantis šio</w:t>
      </w:r>
    </w:p>
    <w:p w14:paraId="42E3C3E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vaistinio preparato sudėtyje, </w:t>
      </w:r>
      <w:r w:rsidRPr="00976ED6">
        <w:rPr>
          <w:rFonts w:ascii="Times New Roman" w:eastAsia="Times New Roman" w:hAnsi="Times New Roman" w:cs="Times New Roman"/>
          <w:lang w:val="sl-SI" w:eastAsia="sl-SI"/>
        </w:rPr>
        <w:t xml:space="preserve">ir šalutinis produkto poveikis </w:t>
      </w:r>
      <w:r w:rsidRPr="00976ED6">
        <w:rPr>
          <w:rFonts w:ascii="Times New Roman" w:hAnsi="Times New Roman" w:cs="Times New Roman"/>
          <w:lang w:val="sl-SI"/>
        </w:rPr>
        <w:t xml:space="preserve">gali trikdyti gebėjimą vairuoti ar valdyti mechanizmus (žr. </w:t>
      </w:r>
      <w:r w:rsidRPr="00976ED6">
        <w:rPr>
          <w:rFonts w:ascii="Times New Roman" w:eastAsia="Times New Roman" w:hAnsi="Times New Roman" w:cs="Times New Roman"/>
          <w:lang w:val="sl-SI" w:eastAsia="sl-SI"/>
        </w:rPr>
        <w:t>4.4 ir 4.8 skyrius).</w:t>
      </w:r>
      <w:r w:rsidRPr="00976ED6">
        <w:rPr>
          <w:rFonts w:ascii="Times New Roman" w:hAnsi="Times New Roman" w:cs="Times New Roman"/>
        </w:rPr>
        <w:t xml:space="preserve"> </w:t>
      </w:r>
      <w:r w:rsidRPr="00976ED6">
        <w:rPr>
          <w:rFonts w:ascii="Times New Roman" w:eastAsia="Times New Roman" w:hAnsi="Times New Roman" w:cs="Times New Roman"/>
          <w:lang w:val="sl-SI" w:eastAsia="sl-SI"/>
        </w:rPr>
        <w:t>Todėl pacientus reikia įspėti apie galimą alkoholio kiekio ir šio vaistinio preparato šalutinio poveikio įtaką gebėjimui vairuoti ar valdyti mechanizmus poveikį ir patarti nevairuoti ar nevaldyti mechanizmų, jei gydymo metu pasireiškia šis šalutinis poveikis.</w:t>
      </w:r>
    </w:p>
    <w:p w14:paraId="36DF485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EE60546"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4.8</w:t>
      </w:r>
      <w:r w:rsidRPr="00976ED6">
        <w:rPr>
          <w:rFonts w:ascii="Times New Roman" w:hAnsi="Times New Roman" w:cs="Times New Roman"/>
          <w:b/>
          <w:lang w:val="sl-SI"/>
        </w:rPr>
        <w:tab/>
        <w:t>Nepageidaujamas poveikis</w:t>
      </w:r>
    </w:p>
    <w:p w14:paraId="49650A9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45463F4"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Saugumo savybių apibendrinimas visoms indikacijoms</w:t>
      </w:r>
    </w:p>
    <w:p w14:paraId="1F6FDCA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Duomenys apie nepageidaujamas reakcijas, laikomas galbūt arba tikriausiai susijusiomis su docetakselio vartojimu, gauti stebint:</w:t>
      </w:r>
    </w:p>
    <w:p w14:paraId="2170CBE9" w14:textId="77777777" w:rsidR="003A7B6B" w:rsidRPr="00976ED6" w:rsidRDefault="003A7B6B" w:rsidP="003A7B6B">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atitinkamai 1312 ir 121 pacientą, vartojusį 100 mg/m² ir 75 mg/m² docetakselio monoterapijai.</w:t>
      </w:r>
    </w:p>
    <w:p w14:paraId="7F4B69EE" w14:textId="77777777" w:rsidR="003A7B6B" w:rsidRPr="00976ED6" w:rsidRDefault="003A7B6B" w:rsidP="003A7B6B">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258 pacientą, vartojusį docetakselio kartu su doksorubicinu.</w:t>
      </w:r>
    </w:p>
    <w:p w14:paraId="0B2BC9D3" w14:textId="77777777" w:rsidR="003A7B6B" w:rsidRPr="00976ED6" w:rsidRDefault="003A7B6B" w:rsidP="003A7B6B">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406 pacientus, vartojusius docetakselio kartu su cisplatina.</w:t>
      </w:r>
    </w:p>
    <w:p w14:paraId="29EA4898" w14:textId="77777777" w:rsidR="003A7B6B" w:rsidRPr="00976ED6" w:rsidRDefault="003A7B6B" w:rsidP="003A7B6B">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92 pacientus, vartojusius docetakselio kartu su trastuzumabu.</w:t>
      </w:r>
    </w:p>
    <w:p w14:paraId="1BEFB7C0" w14:textId="77777777" w:rsidR="003A7B6B" w:rsidRPr="00976ED6" w:rsidRDefault="003A7B6B" w:rsidP="003A7B6B">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255 pacientus, vartojusius docetakselio kartu su kapecitabinu.</w:t>
      </w:r>
    </w:p>
    <w:p w14:paraId="566913FF" w14:textId="77777777" w:rsidR="003A7B6B" w:rsidRPr="00976ED6" w:rsidRDefault="003A7B6B" w:rsidP="002D2EC4">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332 pacientus</w:t>
      </w:r>
      <w:r>
        <w:rPr>
          <w:rFonts w:ascii="Times New Roman" w:hAnsi="Times New Roman" w:cs="Times New Roman"/>
          <w:lang w:val="sl-SI"/>
        </w:rPr>
        <w:t xml:space="preserve"> </w:t>
      </w:r>
      <w:r w:rsidRPr="007417E0">
        <w:rPr>
          <w:rFonts w:ascii="Times New Roman" w:hAnsi="Times New Roman" w:cs="Times New Roman"/>
          <w:lang w:val="sl-SI"/>
        </w:rPr>
        <w:t>(TAX327)</w:t>
      </w:r>
      <w:r w:rsidRPr="00976ED6">
        <w:rPr>
          <w:rFonts w:ascii="Times New Roman" w:hAnsi="Times New Roman" w:cs="Times New Roman"/>
          <w:lang w:val="sl-SI"/>
        </w:rPr>
        <w:t>, vartojusius docetakselio kartu su prednizonu ar prednizolonu (kliniškai svarbūs su vaistais susiję nepageidaujami reiškiniai pateikiami žemiau).</w:t>
      </w:r>
    </w:p>
    <w:p w14:paraId="1830EFE9" w14:textId="77777777" w:rsidR="003A7B6B" w:rsidRPr="00976ED6" w:rsidRDefault="003A7B6B" w:rsidP="003A7B6B">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1276 pacientus (744 pacientai TAX 316 ir 532 pacientai GEICAM 9805), vartojusius docetakselio kartu su doksorubicinu ir ciklofosfamidu (kliniškai svarbūs su vaistais susiję nepageidaujami reiškiniai pateikiami žemiau).</w:t>
      </w:r>
    </w:p>
    <w:p w14:paraId="2870820E" w14:textId="77777777" w:rsidR="003A7B6B" w:rsidRPr="00976ED6" w:rsidRDefault="003A7B6B" w:rsidP="003A7B6B">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300 skrandžio adenokarcinoma sirgusių pacientų, vartojusių docetakselio kartu su cisplatina ir 5-fluorouracilu (221 pacientas – III fazės tyrimo dalyje, 79 – II fazės tyrimo dalyje) (kliniškai svarbūs su gydymu susiję nepageidaujami reiškiniai pateikiami žemiau).</w:t>
      </w:r>
    </w:p>
    <w:p w14:paraId="7F3A26B4" w14:textId="77777777" w:rsidR="003A7B6B" w:rsidRDefault="003A7B6B" w:rsidP="003A7B6B">
      <w:pPr>
        <w:widowControl w:val="0"/>
        <w:numPr>
          <w:ilvl w:val="0"/>
          <w:numId w:val="1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174 ir 251 galvos ir kaklo vėžiu sirgęs pacientas, vartoję docetakselio kartu su cisplatina ir 5-fluorouracilu (221 pacientas – III fazės tyrimo dalyje, 79 – II fazės tyrimo dalyje) (kliniškai svarbūs su gydymu susiję nepageidaujami reiškiniai pateikiami žemiau).</w:t>
      </w:r>
    </w:p>
    <w:p w14:paraId="74EBBC80" w14:textId="77777777" w:rsidR="003A7B6B" w:rsidRPr="007417E0" w:rsidRDefault="003A7B6B" w:rsidP="003A7B6B">
      <w:pPr>
        <w:widowControl w:val="0"/>
        <w:numPr>
          <w:ilvl w:val="0"/>
          <w:numId w:val="14"/>
        </w:numPr>
        <w:tabs>
          <w:tab w:val="left" w:pos="1296"/>
        </w:tabs>
        <w:ind w:left="567" w:hanging="567"/>
        <w:rPr>
          <w:rFonts w:ascii="Times New Roman" w:hAnsi="Times New Roman" w:cs="Times New Roman"/>
          <w:lang w:val="sl-SI"/>
        </w:rPr>
      </w:pPr>
      <w:r w:rsidRPr="002D2EC4">
        <w:rPr>
          <w:rFonts w:ascii="Times New Roman" w:hAnsi="Times New Roman" w:cs="Times New Roman"/>
        </w:rPr>
        <w:t>545 pacientus (STAMPEDE tyrime), vartojusius docetakselio kartu su prednizonu arba prednizolonu ir ADT.</w:t>
      </w:r>
    </w:p>
    <w:p w14:paraId="12AB771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705235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Šios reakcijos apibūdintos remiantis NCI (Nacionalinio vėžio instituto) nustatytais bendraisiais toksiškumo kriterijais (lapsnis 3 = G3; laipsnis 3-4 = G3/4; laipsnis 4 = G4) COSTART ir MedDRA terminais. Dažnio apibūdinimai: labai dažni (≥ 1/10), dažni (nuo ≥ 1/100 iki &lt; 1/10), nedažni (nuo ≥ 1/1000 iki &lt; 1/100), reti (nuo ≥ 1/10000 iki &lt; 1/1000), labai reti (&lt; 1/10000), dažnis nežinomas (negali būti įvertintas pagal turimus duomenis).</w:t>
      </w:r>
    </w:p>
    <w:p w14:paraId="7B29CD5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Kiekvienoje dažnio grupėje nepageidaujamas poveikis pateikiamas mažėjančio sunkumo tvarka.</w:t>
      </w:r>
    </w:p>
    <w:p w14:paraId="0DB6A14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255D63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Vartojant vien docetakselio, dažniausiai pasireiškusios nepageidaujamos reakcijos – neutropenija, kuri būdavo laikina ir nekumuliavo (laikotarpio, po kurio neutrofilų skaičius buvo mažiausias, mediana buvo 7 dienos po vaisto vartojimo, sunkios neutropenijos (neutrofilų mažiau kaip 500/m</w:t>
      </w:r>
      <w:r w:rsidRPr="00976ED6">
        <w:rPr>
          <w:rFonts w:ascii="Times New Roman" w:hAnsi="Times New Roman" w:cs="Times New Roman"/>
          <w:vertAlign w:val="superscript"/>
          <w:lang w:val="sl-SI"/>
        </w:rPr>
        <w:t>3</w:t>
      </w:r>
      <w:r w:rsidRPr="00976ED6">
        <w:rPr>
          <w:rFonts w:ascii="Times New Roman" w:hAnsi="Times New Roman" w:cs="Times New Roman"/>
          <w:lang w:val="sl-SI"/>
        </w:rPr>
        <w:t xml:space="preserve">) trukmės mediana – 7 dienos), anemija, alopecija, pykinimas, vėmimas, stomatitas, viduriavimas ir astenija. </w:t>
      </w:r>
      <w:r w:rsidRPr="00976ED6">
        <w:rPr>
          <w:rFonts w:ascii="Times New Roman" w:hAnsi="Times New Roman" w:cs="Times New Roman"/>
          <w:lang w:val="sl-SI"/>
        </w:rPr>
        <w:lastRenderedPageBreak/>
        <w:t>Nepageidaujamų docetakselio reiškinių sunkumas gali padidėti, jei kartu vartojama kitokių chemoterapinių preparatų.</w:t>
      </w:r>
    </w:p>
    <w:p w14:paraId="2207E96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490E93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ir trastuzumabo deriniui pateikiami visų laipsnių nepageidaujami reiškiniai, pasireiškę ≥10% pacienčių. Docetakselio ir trastuzumabo derinio grupėje dažniau negu docetakselio monoterapijos grupėje pasireiškė sunkių (atitinkamai 40% ir 31%) ir 4 laipsnio (atitinkamai 34% ir 23%) nepageidaujamų reiškinių.</w:t>
      </w:r>
    </w:p>
    <w:p w14:paraId="664F6E3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0443DA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ir kapecitabino deriniui pateikiami dažniausi (≥5%) su gydymu susiję nepageidaujami poveikiai, pastebėti III fazės tyrimų metu krūties vėžiu sergančioms pacientėms, kurioms buvo neveiksminga chemoterapija antraciklinu (žr. kapecitabino preparato charakteristikų santrauką).</w:t>
      </w:r>
    </w:p>
    <w:p w14:paraId="24FCF074" w14:textId="77777777" w:rsidR="003A7B6B" w:rsidRDefault="003A7B6B" w:rsidP="003A7B6B">
      <w:pPr>
        <w:widowControl w:val="0"/>
        <w:tabs>
          <w:tab w:val="left" w:pos="567"/>
          <w:tab w:val="left" w:pos="1296"/>
        </w:tabs>
        <w:ind w:left="0" w:firstLine="0"/>
      </w:pPr>
    </w:p>
    <w:p w14:paraId="16A15701" w14:textId="77777777" w:rsidR="003A7B6B" w:rsidRPr="002D2EC4" w:rsidRDefault="003A7B6B" w:rsidP="003A7B6B">
      <w:pPr>
        <w:widowControl w:val="0"/>
        <w:tabs>
          <w:tab w:val="left" w:pos="567"/>
          <w:tab w:val="left" w:pos="1296"/>
        </w:tabs>
        <w:ind w:left="0" w:firstLine="0"/>
        <w:rPr>
          <w:rFonts w:ascii="Times New Roman" w:hAnsi="Times New Roman" w:cs="Times New Roman"/>
        </w:rPr>
      </w:pPr>
      <w:r w:rsidRPr="002D2EC4">
        <w:rPr>
          <w:rFonts w:ascii="Times New Roman" w:hAnsi="Times New Roman" w:cs="Times New Roman"/>
        </w:rPr>
        <w:t>Nepageidaujami reiškiniai, nustatyti 6 gydymo ciklų docetakseliu kartu su ADT ir prednizonu ar prednizolonu (STAMPEDE tyrimas) metu ir pasireiškę ne mažiau kaip 2 % dažniau gydymo docetakseliu grupėje, palyginti su kontroline grupe, pateikti naudojant CTCAE sunkumo klasifikacijos skalę.</w:t>
      </w:r>
    </w:p>
    <w:p w14:paraId="4693721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18BD29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Vartojant docetakselio dažnai pasireiškė toliau išvardytas nepageidaujamas poveikis.</w:t>
      </w:r>
    </w:p>
    <w:p w14:paraId="0C19B6B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183E44C"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Imuninės sistemos sutrikimai</w:t>
      </w:r>
    </w:p>
    <w:p w14:paraId="4BDA129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Paprastai padidėjusio jautrumo reakcijų pasireikšdavo per kelias minutes nuo docetakselio infuzijos pradžios, dažniausiai jos būdavo lengvos arba vidutinio sunkumo. Dažniausiai pastebėti simptomai buvo kraujo priplūdimas į veidą ir kaklą, išbėrimas, lydimas niežėjimo arba be jo, krūtinės gniaužimas, nugaros skausmas, dusulys ir karščiavimas ar šaltkrėtis. Sunkių reakcijų metu pasireikšdavo hipotenzija ir (arba) bronchų spazmas bei išplitęs išbėrimas arba raudonė (žr. 4.4 skyrių).</w:t>
      </w:r>
    </w:p>
    <w:p w14:paraId="0807588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CDB5B87"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Nervų sistemos sutrikimai</w:t>
      </w:r>
    </w:p>
    <w:p w14:paraId="26531DE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Pasireiškus sunkiam periferiniam neurotoksiniam poveikiui, reikia mažinti dozę (žr. 4.2 ir 4.4 skyrius). Lengviems ir vidutinio sunkumo neurosensoriniams sutrikimams būdinga parestezija, disestezija ir skausmas (įskaitant deginimo pojūtį). Neuromotorikos sutrikimai dažniausiai pasireiškė silpnumu.</w:t>
      </w:r>
    </w:p>
    <w:p w14:paraId="5DAE711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8367C1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u w:val="single"/>
          <w:lang w:val="sl-SI"/>
        </w:rPr>
        <w:t>Odos ir poodinio audinio sutrikimai</w:t>
      </w:r>
    </w:p>
    <w:p w14:paraId="2D426EC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Buvo laikinų odos reakcijų, iš kurių dauguma laikytos lengvomis arba vidutinio sunkumo. Šioms reakcijoms buvo būdingas išbėrimas (lokalizuotas, dažniausiai pėdų ir plaštakų, įskaitant išreikštą rankų ir pėdų sindromą, rečiau – rankų, veido ir krūtinės), dažnai kartu būdavo niežulys. Paprastai išberdavo per savaitę po docetakselio infuzijos. Rečiau atsirasdavo sunkių simptomų (išbėrimas, paskui deskvamacija), dėl kurių retais atvejais tekdavo laikinai ar visam laikui nutraukti docetakselio vartojimą (žr. 4.2 ir 4.4 skyrius). Sunkiems nagų pažeidimams būdinga hipopigmentacija arba hiperpigmentacija, kartais – skausmas ir onicholizė.</w:t>
      </w:r>
    </w:p>
    <w:p w14:paraId="68A13AA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C553CB8"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Bendrieji sutrikimai ir vartojimo vietos pažeidimai</w:t>
      </w:r>
    </w:p>
    <w:p w14:paraId="3D071CF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Reakcijos infuzijos vietoje paprastai būdavo lengvos ir pasireikšdavo odos hiperpigmentacija, uždegimu, paraudimu ar sausumu, flebitu ar ekstravazacija, venos išsiplėtimu.</w:t>
      </w:r>
    </w:p>
    <w:p w14:paraId="54EED31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Buvo skysčių susilaikymo, įskaitant periferinę edemą, rečiau - pleuros efuziją, perikardo efuziją, ascitą ir svorio didėjimo atvejų. Periferinė edema paprastai prasideda nuo kojų ir gali išplisti (svoris gali padidėti 3 kg ar daugiau). Skysčių susilaikymo dažnis ir sunkumas kumuliuoja (žr. 4.4 skyrių).</w:t>
      </w:r>
    </w:p>
    <w:p w14:paraId="692535B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38B23FE"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docetakselio 100 mg/m² dozę krūties vėžio monoterapijai, sąrašas lentelės forma</w:t>
      </w:r>
    </w:p>
    <w:p w14:paraId="1BF0B80B"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3A7B6B" w:rsidRPr="00976ED6" w14:paraId="48AAE331"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CD13FA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250" w:type="pct"/>
            <w:tcBorders>
              <w:top w:val="single" w:sz="4" w:space="0" w:color="auto"/>
              <w:left w:val="single" w:sz="4" w:space="0" w:color="auto"/>
              <w:bottom w:val="single" w:sz="4" w:space="0" w:color="auto"/>
              <w:right w:val="single" w:sz="4" w:space="0" w:color="auto"/>
            </w:tcBorders>
            <w:hideMark/>
          </w:tcPr>
          <w:p w14:paraId="0283083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77DDE74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16FED12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Nedažnos nepageidaujamos reakcijos</w:t>
            </w:r>
          </w:p>
        </w:tc>
      </w:tr>
      <w:tr w:rsidR="003A7B6B" w:rsidRPr="00976ED6" w14:paraId="60F476CA"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EDAABB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Infekcijos ir infestacijos </w:t>
            </w:r>
          </w:p>
        </w:tc>
        <w:tc>
          <w:tcPr>
            <w:tcW w:w="1250" w:type="pct"/>
            <w:tcBorders>
              <w:top w:val="single" w:sz="4" w:space="0" w:color="auto"/>
              <w:left w:val="single" w:sz="4" w:space="0" w:color="auto"/>
              <w:bottom w:val="single" w:sz="4" w:space="0" w:color="auto"/>
              <w:right w:val="single" w:sz="4" w:space="0" w:color="auto"/>
            </w:tcBorders>
            <w:hideMark/>
          </w:tcPr>
          <w:p w14:paraId="05FA47F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Infekcijos (3-4 laipsnio – 5,7%, įskaitant sepsį ir pneumoniją; 1,7% </w:t>
            </w:r>
            <w:r w:rsidRPr="00976ED6">
              <w:rPr>
                <w:rFonts w:ascii="Times New Roman" w:hAnsi="Times New Roman" w:cs="Times New Roman"/>
                <w:color w:val="000000"/>
                <w:lang w:val="sl-SI"/>
              </w:rPr>
              <w:lastRenderedPageBreak/>
              <w:t>lėmė mirtį)</w:t>
            </w:r>
          </w:p>
        </w:tc>
        <w:tc>
          <w:tcPr>
            <w:tcW w:w="1250" w:type="pct"/>
            <w:tcBorders>
              <w:top w:val="single" w:sz="4" w:space="0" w:color="auto"/>
              <w:left w:val="single" w:sz="4" w:space="0" w:color="auto"/>
              <w:bottom w:val="single" w:sz="4" w:space="0" w:color="auto"/>
              <w:right w:val="single" w:sz="4" w:space="0" w:color="auto"/>
            </w:tcBorders>
            <w:hideMark/>
          </w:tcPr>
          <w:p w14:paraId="6DA6FF2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Infekcija, esant 4 laipsnio neutropenijai (3-4 laipsnio – 4,6%)</w:t>
            </w:r>
          </w:p>
        </w:tc>
        <w:tc>
          <w:tcPr>
            <w:tcW w:w="1250" w:type="pct"/>
            <w:tcBorders>
              <w:top w:val="single" w:sz="4" w:space="0" w:color="auto"/>
              <w:left w:val="single" w:sz="4" w:space="0" w:color="auto"/>
              <w:bottom w:val="single" w:sz="4" w:space="0" w:color="auto"/>
              <w:right w:val="single" w:sz="4" w:space="0" w:color="auto"/>
            </w:tcBorders>
            <w:hideMark/>
          </w:tcPr>
          <w:p w14:paraId="3A977F1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2142381"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1D7E1B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09FFF07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 (4 laipsnio – 76,4%) Anemija (3-4 laipsnio – 8,9%)</w:t>
            </w:r>
          </w:p>
          <w:p w14:paraId="3AB9A0E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tc>
        <w:tc>
          <w:tcPr>
            <w:tcW w:w="1250" w:type="pct"/>
            <w:tcBorders>
              <w:top w:val="single" w:sz="4" w:space="0" w:color="auto"/>
              <w:left w:val="single" w:sz="4" w:space="0" w:color="auto"/>
              <w:bottom w:val="single" w:sz="4" w:space="0" w:color="auto"/>
              <w:right w:val="single" w:sz="4" w:space="0" w:color="auto"/>
            </w:tcBorders>
            <w:hideMark/>
          </w:tcPr>
          <w:p w14:paraId="7E5ED8A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Trombocitopenija (4 laipsnio – 0,2%)</w:t>
            </w:r>
          </w:p>
        </w:tc>
        <w:tc>
          <w:tcPr>
            <w:tcW w:w="1250" w:type="pct"/>
            <w:tcBorders>
              <w:top w:val="single" w:sz="4" w:space="0" w:color="auto"/>
              <w:left w:val="single" w:sz="4" w:space="0" w:color="auto"/>
              <w:bottom w:val="single" w:sz="4" w:space="0" w:color="auto"/>
              <w:right w:val="single" w:sz="4" w:space="0" w:color="auto"/>
            </w:tcBorders>
            <w:hideMark/>
          </w:tcPr>
          <w:p w14:paraId="17AA0F2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D271622"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9A311F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4FF5CFC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 (3-4 laipsnio – 5,3%)</w:t>
            </w:r>
          </w:p>
        </w:tc>
        <w:tc>
          <w:tcPr>
            <w:tcW w:w="1250" w:type="pct"/>
            <w:tcBorders>
              <w:top w:val="single" w:sz="4" w:space="0" w:color="auto"/>
              <w:left w:val="single" w:sz="4" w:space="0" w:color="auto"/>
              <w:bottom w:val="single" w:sz="4" w:space="0" w:color="auto"/>
              <w:right w:val="single" w:sz="4" w:space="0" w:color="auto"/>
            </w:tcBorders>
            <w:hideMark/>
          </w:tcPr>
          <w:p w14:paraId="2431005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06E653B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A7DE9C9"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F88F11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250" w:type="pct"/>
            <w:tcBorders>
              <w:top w:val="single" w:sz="4" w:space="0" w:color="auto"/>
              <w:left w:val="single" w:sz="4" w:space="0" w:color="auto"/>
              <w:bottom w:val="single" w:sz="4" w:space="0" w:color="auto"/>
              <w:right w:val="single" w:sz="4" w:space="0" w:color="auto"/>
            </w:tcBorders>
            <w:hideMark/>
          </w:tcPr>
          <w:p w14:paraId="7395D7E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w:t>
            </w:r>
          </w:p>
        </w:tc>
        <w:tc>
          <w:tcPr>
            <w:tcW w:w="1250" w:type="pct"/>
            <w:tcBorders>
              <w:top w:val="single" w:sz="4" w:space="0" w:color="auto"/>
              <w:left w:val="single" w:sz="4" w:space="0" w:color="auto"/>
              <w:bottom w:val="single" w:sz="4" w:space="0" w:color="auto"/>
              <w:right w:val="single" w:sz="4" w:space="0" w:color="auto"/>
            </w:tcBorders>
            <w:hideMark/>
          </w:tcPr>
          <w:p w14:paraId="5689472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B7CB6C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5153C7F"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B7E7BB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7E5C0D9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(3-4 laipsnio – 4,1%)</w:t>
            </w:r>
          </w:p>
          <w:p w14:paraId="2C814C7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motorinė neuropatija (3-4 laipsnio – 4%)</w:t>
            </w:r>
          </w:p>
          <w:p w14:paraId="775F548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Disgeuzija (sunki – 0,07%)</w:t>
            </w:r>
          </w:p>
        </w:tc>
        <w:tc>
          <w:tcPr>
            <w:tcW w:w="1250" w:type="pct"/>
            <w:tcBorders>
              <w:top w:val="single" w:sz="4" w:space="0" w:color="auto"/>
              <w:left w:val="single" w:sz="4" w:space="0" w:color="auto"/>
              <w:bottom w:val="single" w:sz="4" w:space="0" w:color="auto"/>
              <w:right w:val="single" w:sz="4" w:space="0" w:color="auto"/>
            </w:tcBorders>
            <w:hideMark/>
          </w:tcPr>
          <w:p w14:paraId="1F39F2E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0D28E63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3097957A"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ABED6E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250" w:type="pct"/>
            <w:tcBorders>
              <w:top w:val="single" w:sz="4" w:space="0" w:color="auto"/>
              <w:left w:val="single" w:sz="4" w:space="0" w:color="auto"/>
              <w:bottom w:val="single" w:sz="4" w:space="0" w:color="auto"/>
              <w:right w:val="single" w:sz="4" w:space="0" w:color="auto"/>
            </w:tcBorders>
            <w:hideMark/>
          </w:tcPr>
          <w:p w14:paraId="16469AF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DB3705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Aritmija (3-4 laipsnio – 0,7%)</w:t>
            </w:r>
          </w:p>
        </w:tc>
        <w:tc>
          <w:tcPr>
            <w:tcW w:w="1250" w:type="pct"/>
            <w:tcBorders>
              <w:top w:val="single" w:sz="4" w:space="0" w:color="auto"/>
              <w:left w:val="single" w:sz="4" w:space="0" w:color="auto"/>
              <w:bottom w:val="single" w:sz="4" w:space="0" w:color="auto"/>
              <w:right w:val="single" w:sz="4" w:space="0" w:color="auto"/>
            </w:tcBorders>
            <w:hideMark/>
          </w:tcPr>
          <w:p w14:paraId="57E96A1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nepakankamumas</w:t>
            </w:r>
          </w:p>
        </w:tc>
      </w:tr>
      <w:tr w:rsidR="003A7B6B" w:rsidRPr="00976ED6" w14:paraId="31380280"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24E27B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Kraujagyslių sutrikimai</w:t>
            </w:r>
          </w:p>
        </w:tc>
        <w:tc>
          <w:tcPr>
            <w:tcW w:w="1250" w:type="pct"/>
            <w:tcBorders>
              <w:top w:val="single" w:sz="4" w:space="0" w:color="auto"/>
              <w:left w:val="single" w:sz="4" w:space="0" w:color="auto"/>
              <w:bottom w:val="single" w:sz="4" w:space="0" w:color="auto"/>
              <w:right w:val="single" w:sz="4" w:space="0" w:color="auto"/>
            </w:tcBorders>
            <w:hideMark/>
          </w:tcPr>
          <w:p w14:paraId="4B573CE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CC8291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Hipotenzija</w:t>
            </w:r>
          </w:p>
          <w:p w14:paraId="55DCE93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Hipertenzija</w:t>
            </w:r>
          </w:p>
          <w:p w14:paraId="16EAB94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Kraujavimas</w:t>
            </w:r>
          </w:p>
        </w:tc>
        <w:tc>
          <w:tcPr>
            <w:tcW w:w="1250" w:type="pct"/>
            <w:tcBorders>
              <w:top w:val="single" w:sz="4" w:space="0" w:color="auto"/>
              <w:left w:val="single" w:sz="4" w:space="0" w:color="auto"/>
              <w:bottom w:val="single" w:sz="4" w:space="0" w:color="auto"/>
              <w:right w:val="single" w:sz="4" w:space="0" w:color="auto"/>
            </w:tcBorders>
            <w:hideMark/>
          </w:tcPr>
          <w:p w14:paraId="45D255F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96F9B00"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CC4BD5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Kvėpavimo sistemos, krūtinės ląstos ir tarpuplaučio sutrikimai</w:t>
            </w:r>
          </w:p>
        </w:tc>
        <w:tc>
          <w:tcPr>
            <w:tcW w:w="1250" w:type="pct"/>
            <w:tcBorders>
              <w:top w:val="single" w:sz="4" w:space="0" w:color="auto"/>
              <w:left w:val="single" w:sz="4" w:space="0" w:color="auto"/>
              <w:bottom w:val="single" w:sz="4" w:space="0" w:color="auto"/>
              <w:right w:val="single" w:sz="4" w:space="0" w:color="auto"/>
            </w:tcBorders>
            <w:hideMark/>
          </w:tcPr>
          <w:p w14:paraId="329FBDF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Dusulys (sunkus – 2,7%)</w:t>
            </w:r>
          </w:p>
        </w:tc>
        <w:tc>
          <w:tcPr>
            <w:tcW w:w="1250" w:type="pct"/>
            <w:tcBorders>
              <w:top w:val="single" w:sz="4" w:space="0" w:color="auto"/>
              <w:left w:val="single" w:sz="4" w:space="0" w:color="auto"/>
              <w:bottom w:val="single" w:sz="4" w:space="0" w:color="auto"/>
              <w:right w:val="single" w:sz="4" w:space="0" w:color="auto"/>
            </w:tcBorders>
            <w:hideMark/>
          </w:tcPr>
          <w:p w14:paraId="3546A78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29501B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17E050B"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99A40D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w:t>
            </w:r>
          </w:p>
          <w:p w14:paraId="1DB5686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sutrikimai</w:t>
            </w:r>
          </w:p>
        </w:tc>
        <w:tc>
          <w:tcPr>
            <w:tcW w:w="1250" w:type="pct"/>
            <w:tcBorders>
              <w:top w:val="single" w:sz="4" w:space="0" w:color="auto"/>
              <w:left w:val="single" w:sz="4" w:space="0" w:color="auto"/>
              <w:bottom w:val="single" w:sz="4" w:space="0" w:color="auto"/>
              <w:right w:val="single" w:sz="4" w:space="0" w:color="auto"/>
            </w:tcBorders>
            <w:hideMark/>
          </w:tcPr>
          <w:p w14:paraId="5372B5B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(3-4 laipsnio – 5,3%)</w:t>
            </w:r>
          </w:p>
          <w:p w14:paraId="72B140A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 (3-4 laipsnio – 4%)</w:t>
            </w:r>
          </w:p>
          <w:p w14:paraId="150B5D4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 4%)</w:t>
            </w:r>
          </w:p>
          <w:p w14:paraId="70074A2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 – 3%)</w:t>
            </w:r>
          </w:p>
        </w:tc>
        <w:tc>
          <w:tcPr>
            <w:tcW w:w="1250" w:type="pct"/>
            <w:tcBorders>
              <w:top w:val="single" w:sz="4" w:space="0" w:color="auto"/>
              <w:left w:val="single" w:sz="4" w:space="0" w:color="auto"/>
              <w:bottom w:val="single" w:sz="4" w:space="0" w:color="auto"/>
              <w:right w:val="single" w:sz="4" w:space="0" w:color="auto"/>
            </w:tcBorders>
            <w:hideMark/>
          </w:tcPr>
          <w:p w14:paraId="62B5C68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Vidurių užkietėjimas (sunkus – 0,2%)</w:t>
            </w:r>
          </w:p>
          <w:p w14:paraId="728E717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Pilvo skausmas (sunkus – 1%)</w:t>
            </w:r>
          </w:p>
          <w:p w14:paraId="5DA42AE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Kraujavimas iš virškinimo takto (sunkus – 0,3%)</w:t>
            </w:r>
          </w:p>
        </w:tc>
        <w:tc>
          <w:tcPr>
            <w:tcW w:w="1250" w:type="pct"/>
            <w:tcBorders>
              <w:top w:val="single" w:sz="4" w:space="0" w:color="auto"/>
              <w:left w:val="single" w:sz="4" w:space="0" w:color="auto"/>
              <w:bottom w:val="single" w:sz="4" w:space="0" w:color="auto"/>
              <w:right w:val="single" w:sz="4" w:space="0" w:color="auto"/>
            </w:tcBorders>
            <w:hideMark/>
          </w:tcPr>
          <w:p w14:paraId="7E0E311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Ezofagitas (sunkus – 0,4%)</w:t>
            </w:r>
          </w:p>
        </w:tc>
      </w:tr>
      <w:tr w:rsidR="003A7B6B" w:rsidRPr="00976ED6" w14:paraId="72F5793A"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A9427C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00C6BA4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w:t>
            </w:r>
          </w:p>
          <w:p w14:paraId="62E5624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reakcija (3-4 laipsnio – 5,9%)</w:t>
            </w:r>
          </w:p>
          <w:p w14:paraId="14F81CE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Nagų pažeidimai (sunkūs – 2,6%)</w:t>
            </w:r>
          </w:p>
        </w:tc>
        <w:tc>
          <w:tcPr>
            <w:tcW w:w="1250" w:type="pct"/>
            <w:tcBorders>
              <w:top w:val="single" w:sz="4" w:space="0" w:color="auto"/>
              <w:left w:val="single" w:sz="4" w:space="0" w:color="auto"/>
              <w:bottom w:val="single" w:sz="4" w:space="0" w:color="auto"/>
              <w:right w:val="single" w:sz="4" w:space="0" w:color="auto"/>
            </w:tcBorders>
            <w:hideMark/>
          </w:tcPr>
          <w:p w14:paraId="0D78B5F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AE875A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70C67B4"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E389AE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Skeleto, raumenų ir jungiamojo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6C9AB0D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Mialgija (sunki – 1,4%)</w:t>
            </w:r>
          </w:p>
        </w:tc>
        <w:tc>
          <w:tcPr>
            <w:tcW w:w="1250" w:type="pct"/>
            <w:tcBorders>
              <w:top w:val="single" w:sz="4" w:space="0" w:color="auto"/>
              <w:left w:val="single" w:sz="4" w:space="0" w:color="auto"/>
              <w:bottom w:val="single" w:sz="4" w:space="0" w:color="auto"/>
              <w:right w:val="single" w:sz="4" w:space="0" w:color="auto"/>
            </w:tcBorders>
            <w:hideMark/>
          </w:tcPr>
          <w:p w14:paraId="057EC85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Artralgija</w:t>
            </w:r>
          </w:p>
        </w:tc>
        <w:tc>
          <w:tcPr>
            <w:tcW w:w="1250" w:type="pct"/>
            <w:tcBorders>
              <w:top w:val="single" w:sz="4" w:space="0" w:color="auto"/>
              <w:left w:val="single" w:sz="4" w:space="0" w:color="auto"/>
              <w:bottom w:val="single" w:sz="4" w:space="0" w:color="auto"/>
              <w:right w:val="single" w:sz="4" w:space="0" w:color="auto"/>
            </w:tcBorders>
            <w:hideMark/>
          </w:tcPr>
          <w:p w14:paraId="6BD7F62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EDC623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11F33D5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250" w:type="pct"/>
            <w:tcBorders>
              <w:top w:val="single" w:sz="4" w:space="0" w:color="auto"/>
              <w:left w:val="single" w:sz="4" w:space="0" w:color="auto"/>
              <w:bottom w:val="single" w:sz="4" w:space="0" w:color="auto"/>
              <w:right w:val="single" w:sz="4" w:space="0" w:color="auto"/>
            </w:tcBorders>
            <w:hideMark/>
          </w:tcPr>
          <w:p w14:paraId="3B84B0A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Skysčių susilaikymas (sunkus – 6,5%)</w:t>
            </w:r>
          </w:p>
          <w:p w14:paraId="6C7A018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Astenija (sunki – 11,2%);</w:t>
            </w:r>
          </w:p>
          <w:p w14:paraId="1F98C85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Skausmas</w:t>
            </w:r>
          </w:p>
        </w:tc>
        <w:tc>
          <w:tcPr>
            <w:tcW w:w="1250" w:type="pct"/>
            <w:tcBorders>
              <w:top w:val="single" w:sz="4" w:space="0" w:color="auto"/>
              <w:left w:val="single" w:sz="4" w:space="0" w:color="auto"/>
              <w:bottom w:val="single" w:sz="4" w:space="0" w:color="auto"/>
              <w:right w:val="single" w:sz="4" w:space="0" w:color="auto"/>
            </w:tcBorders>
            <w:hideMark/>
          </w:tcPr>
          <w:p w14:paraId="4349C17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Infuzijos vietos reakcija</w:t>
            </w:r>
          </w:p>
          <w:p w14:paraId="7F8EC2B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Krūtinės skausmas, nesant širdies pažeidimo (sunkus – 0,4%)</w:t>
            </w:r>
          </w:p>
        </w:tc>
        <w:tc>
          <w:tcPr>
            <w:tcW w:w="1250" w:type="pct"/>
            <w:tcBorders>
              <w:top w:val="single" w:sz="4" w:space="0" w:color="auto"/>
              <w:left w:val="single" w:sz="4" w:space="0" w:color="auto"/>
              <w:bottom w:val="single" w:sz="4" w:space="0" w:color="auto"/>
              <w:right w:val="single" w:sz="4" w:space="0" w:color="auto"/>
            </w:tcBorders>
            <w:hideMark/>
          </w:tcPr>
          <w:p w14:paraId="22D20A2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1521D746"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17B1C9D4"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color w:val="000000"/>
                <w:lang w:val="sl-SI"/>
              </w:rPr>
              <w:t>Tyrimai</w:t>
            </w:r>
          </w:p>
        </w:tc>
        <w:tc>
          <w:tcPr>
            <w:tcW w:w="1250" w:type="pct"/>
            <w:tcBorders>
              <w:top w:val="single" w:sz="4" w:space="0" w:color="auto"/>
              <w:left w:val="single" w:sz="4" w:space="0" w:color="auto"/>
              <w:bottom w:val="single" w:sz="4" w:space="0" w:color="auto"/>
              <w:right w:val="single" w:sz="4" w:space="0" w:color="auto"/>
            </w:tcBorders>
            <w:hideMark/>
          </w:tcPr>
          <w:p w14:paraId="1A9893A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A65F62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bilirubino koncentracijos kraujyje padidėjimas (&lt; 5%);</w:t>
            </w:r>
          </w:p>
          <w:p w14:paraId="64A18A7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šarminės fosfatazės aktyvumo kraujyje padidėjimas (&lt; 4%);</w:t>
            </w:r>
          </w:p>
          <w:p w14:paraId="2448DB1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3-4 laipsnio AST </w:t>
            </w:r>
            <w:r w:rsidRPr="00976ED6">
              <w:rPr>
                <w:rFonts w:ascii="Times New Roman" w:hAnsi="Times New Roman" w:cs="Times New Roman"/>
                <w:color w:val="000000"/>
                <w:lang w:val="sl-SI"/>
              </w:rPr>
              <w:lastRenderedPageBreak/>
              <w:t>aktyvumo padidėjimas (&lt; 3%);</w:t>
            </w:r>
          </w:p>
          <w:p w14:paraId="1A0979C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ALT aktyvumo padidėjimas (&lt; 2%)</w:t>
            </w:r>
          </w:p>
        </w:tc>
        <w:tc>
          <w:tcPr>
            <w:tcW w:w="1250" w:type="pct"/>
            <w:tcBorders>
              <w:top w:val="single" w:sz="4" w:space="0" w:color="auto"/>
              <w:left w:val="single" w:sz="4" w:space="0" w:color="auto"/>
              <w:bottom w:val="single" w:sz="4" w:space="0" w:color="auto"/>
              <w:right w:val="single" w:sz="4" w:space="0" w:color="auto"/>
            </w:tcBorders>
            <w:hideMark/>
          </w:tcPr>
          <w:p w14:paraId="789206F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 </w:t>
            </w:r>
          </w:p>
        </w:tc>
      </w:tr>
    </w:tbl>
    <w:p w14:paraId="4E4C4C0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00E94B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u w:val="single"/>
          <w:lang w:val="sl-SI"/>
        </w:rPr>
        <w:t>Pasirinktų nepageidaujamų reakcijų, atsiradusių vartojant docetakselio 100 mg/m² dozę krūties vėžio monoterapijai, aprašymas</w:t>
      </w:r>
    </w:p>
    <w:p w14:paraId="2A6B41D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FC89789"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Kraujo ir limfinės sistemos sutrikimai</w:t>
      </w:r>
    </w:p>
    <w:p w14:paraId="7D6A4DD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Reti: kraujavimo epizodai esant 3-4 laipsnio trombocitopenijai.</w:t>
      </w:r>
    </w:p>
    <w:p w14:paraId="723920A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4A75229"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Nervų sistemos sutrikimai</w:t>
      </w:r>
    </w:p>
    <w:p w14:paraId="7207A31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Yra duomenų apie 100 mg/m² dozėmis monoterapijai vartojamo docetakselio neurotoksinio poveikio grįžtamumą 35,3% pacientų (jiems šis poveikis savaime praėjo per 3 mėnesius).</w:t>
      </w:r>
    </w:p>
    <w:p w14:paraId="2A09A6E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F544F5F"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Odos ir poodinio audinio sutrikimai</w:t>
      </w:r>
    </w:p>
    <w:p w14:paraId="7075C17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Labai reti: vienu atveju pasireiškusi alopecija nepraėjo iki tyrimo pabaigos. 73% odos reakcijų praėjo per 21 dieną.</w:t>
      </w:r>
    </w:p>
    <w:p w14:paraId="708C80F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93BA818"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Bendrieji sutrikimai ir vartojimo vietos pažeidimai</w:t>
      </w:r>
    </w:p>
    <w:p w14:paraId="60AC750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Kumuliacinės dozės, kurią pasiekus tekdavo nutraukti gydymą, mediana buvo didesnė kaip 1000 mg/m², skysčių susilaikymo trukmės mediana – 16,4 savaitės (nuo 0 iki 42 savaičių). Atlikus premedikaciją, vidutinio sunkumo ir sunkus skysčių susilaikymas pasireikšdavo vėliau (kumuliacinės dozės mediana – 818,9 mg/m²) negu jos neatlikus (kumuliacinės dozės mediana – 489,7 mg/m²). Vis dėlto kai kuriems pacientams ši komplikacija pasireiškė pirmųjų gydymo ciklų metu.</w:t>
      </w:r>
    </w:p>
    <w:p w14:paraId="5311DB3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F12BE3D"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docetakselio 75 mg/m² nesmulkiųjų ląstelių plaučių vėžio monoterapijai, sąrašas lentelės forma</w:t>
      </w:r>
    </w:p>
    <w:p w14:paraId="3D192964"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2"/>
        <w:gridCol w:w="2647"/>
        <w:gridCol w:w="4111"/>
      </w:tblGrid>
      <w:tr w:rsidR="003A7B6B" w:rsidRPr="00976ED6" w14:paraId="0479003C"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0955A54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461" w:type="pct"/>
            <w:tcBorders>
              <w:top w:val="single" w:sz="4" w:space="0" w:color="auto"/>
              <w:left w:val="single" w:sz="4" w:space="0" w:color="auto"/>
              <w:bottom w:val="single" w:sz="4" w:space="0" w:color="auto"/>
              <w:right w:val="single" w:sz="4" w:space="0" w:color="auto"/>
            </w:tcBorders>
            <w:hideMark/>
          </w:tcPr>
          <w:p w14:paraId="35B2D80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 xml:space="preserve">Labai dažni </w:t>
            </w:r>
          </w:p>
        </w:tc>
        <w:tc>
          <w:tcPr>
            <w:tcW w:w="2269" w:type="pct"/>
            <w:tcBorders>
              <w:top w:val="single" w:sz="4" w:space="0" w:color="auto"/>
              <w:left w:val="single" w:sz="4" w:space="0" w:color="auto"/>
              <w:bottom w:val="single" w:sz="4" w:space="0" w:color="auto"/>
              <w:right w:val="single" w:sz="4" w:space="0" w:color="auto"/>
            </w:tcBorders>
            <w:hideMark/>
          </w:tcPr>
          <w:p w14:paraId="2917789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Dažni</w:t>
            </w:r>
          </w:p>
        </w:tc>
      </w:tr>
      <w:tr w:rsidR="003A7B6B" w:rsidRPr="00976ED6" w14:paraId="6D598F62"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310AC20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Infekcijos ir infestacijos</w:t>
            </w:r>
          </w:p>
        </w:tc>
        <w:tc>
          <w:tcPr>
            <w:tcW w:w="1461" w:type="pct"/>
            <w:tcBorders>
              <w:top w:val="single" w:sz="4" w:space="0" w:color="auto"/>
              <w:left w:val="single" w:sz="4" w:space="0" w:color="auto"/>
              <w:bottom w:val="single" w:sz="4" w:space="0" w:color="auto"/>
              <w:right w:val="single" w:sz="4" w:space="0" w:color="auto"/>
            </w:tcBorders>
            <w:hideMark/>
          </w:tcPr>
          <w:p w14:paraId="04C37F2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Infekcija (3-4 laipsnio – 5%)</w:t>
            </w:r>
          </w:p>
        </w:tc>
        <w:tc>
          <w:tcPr>
            <w:tcW w:w="2269" w:type="pct"/>
            <w:tcBorders>
              <w:top w:val="single" w:sz="4" w:space="0" w:color="auto"/>
              <w:left w:val="single" w:sz="4" w:space="0" w:color="auto"/>
              <w:bottom w:val="single" w:sz="4" w:space="0" w:color="auto"/>
              <w:right w:val="single" w:sz="4" w:space="0" w:color="auto"/>
            </w:tcBorders>
            <w:hideMark/>
          </w:tcPr>
          <w:p w14:paraId="5AF1125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90E35B8"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1FDEA58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461" w:type="pct"/>
            <w:tcBorders>
              <w:top w:val="single" w:sz="4" w:space="0" w:color="auto"/>
              <w:left w:val="single" w:sz="4" w:space="0" w:color="auto"/>
              <w:bottom w:val="single" w:sz="4" w:space="0" w:color="auto"/>
              <w:right w:val="single" w:sz="4" w:space="0" w:color="auto"/>
            </w:tcBorders>
            <w:hideMark/>
          </w:tcPr>
          <w:p w14:paraId="3B8005E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 (4 laipsnio – 54,2%)</w:t>
            </w:r>
          </w:p>
          <w:p w14:paraId="39703A8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Anemija (3-4 laipsnio – 10,8%)</w:t>
            </w:r>
          </w:p>
          <w:p w14:paraId="21830AD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highlight w:val="yellow"/>
                <w:lang w:val="sl-SI"/>
              </w:rPr>
            </w:pPr>
            <w:r w:rsidRPr="00976ED6">
              <w:rPr>
                <w:rFonts w:ascii="Times New Roman" w:hAnsi="Times New Roman" w:cs="Times New Roman"/>
                <w:color w:val="000000"/>
                <w:lang w:val="sl-SI"/>
              </w:rPr>
              <w:t>Trombocitopenija (4 laipsnio – 1,7%)</w:t>
            </w:r>
          </w:p>
        </w:tc>
        <w:tc>
          <w:tcPr>
            <w:tcW w:w="2269" w:type="pct"/>
            <w:tcBorders>
              <w:top w:val="single" w:sz="4" w:space="0" w:color="auto"/>
              <w:left w:val="single" w:sz="4" w:space="0" w:color="auto"/>
              <w:bottom w:val="single" w:sz="4" w:space="0" w:color="auto"/>
              <w:right w:val="single" w:sz="4" w:space="0" w:color="auto"/>
            </w:tcBorders>
            <w:hideMark/>
          </w:tcPr>
          <w:p w14:paraId="3B42B45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tc>
      </w:tr>
      <w:tr w:rsidR="003A7B6B" w:rsidRPr="00976ED6" w14:paraId="091DD5AE"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012F96D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461" w:type="pct"/>
            <w:tcBorders>
              <w:top w:val="single" w:sz="4" w:space="0" w:color="auto"/>
              <w:left w:val="single" w:sz="4" w:space="0" w:color="auto"/>
              <w:bottom w:val="single" w:sz="4" w:space="0" w:color="auto"/>
              <w:right w:val="single" w:sz="4" w:space="0" w:color="auto"/>
            </w:tcBorders>
            <w:hideMark/>
          </w:tcPr>
          <w:p w14:paraId="19BA2BB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2269" w:type="pct"/>
            <w:tcBorders>
              <w:top w:val="single" w:sz="4" w:space="0" w:color="auto"/>
              <w:left w:val="single" w:sz="4" w:space="0" w:color="auto"/>
              <w:bottom w:val="single" w:sz="4" w:space="0" w:color="auto"/>
              <w:right w:val="single" w:sz="4" w:space="0" w:color="auto"/>
            </w:tcBorders>
            <w:hideMark/>
          </w:tcPr>
          <w:p w14:paraId="162AF5A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 (nesunkus)</w:t>
            </w:r>
          </w:p>
        </w:tc>
      </w:tr>
      <w:tr w:rsidR="003A7B6B" w:rsidRPr="00976ED6" w14:paraId="13B7FB4B"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589B282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461" w:type="pct"/>
            <w:tcBorders>
              <w:top w:val="single" w:sz="4" w:space="0" w:color="auto"/>
              <w:left w:val="single" w:sz="4" w:space="0" w:color="auto"/>
              <w:bottom w:val="single" w:sz="4" w:space="0" w:color="auto"/>
              <w:right w:val="single" w:sz="4" w:space="0" w:color="auto"/>
            </w:tcBorders>
            <w:hideMark/>
          </w:tcPr>
          <w:p w14:paraId="53610BC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w:t>
            </w:r>
          </w:p>
        </w:tc>
        <w:tc>
          <w:tcPr>
            <w:tcW w:w="2269" w:type="pct"/>
            <w:tcBorders>
              <w:top w:val="single" w:sz="4" w:space="0" w:color="auto"/>
              <w:left w:val="single" w:sz="4" w:space="0" w:color="auto"/>
              <w:bottom w:val="single" w:sz="4" w:space="0" w:color="auto"/>
              <w:right w:val="single" w:sz="4" w:space="0" w:color="auto"/>
            </w:tcBorders>
            <w:hideMark/>
          </w:tcPr>
          <w:p w14:paraId="4D0D566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402C44C"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1430323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461" w:type="pct"/>
            <w:tcBorders>
              <w:top w:val="single" w:sz="4" w:space="0" w:color="auto"/>
              <w:left w:val="single" w:sz="4" w:space="0" w:color="auto"/>
              <w:bottom w:val="single" w:sz="4" w:space="0" w:color="auto"/>
              <w:right w:val="single" w:sz="4" w:space="0" w:color="auto"/>
            </w:tcBorders>
            <w:hideMark/>
          </w:tcPr>
          <w:p w14:paraId="1803CDF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(3-4 laipsnio – 0,8%)</w:t>
            </w:r>
          </w:p>
        </w:tc>
        <w:tc>
          <w:tcPr>
            <w:tcW w:w="2269" w:type="pct"/>
            <w:tcBorders>
              <w:top w:val="single" w:sz="4" w:space="0" w:color="auto"/>
              <w:left w:val="single" w:sz="4" w:space="0" w:color="auto"/>
              <w:bottom w:val="single" w:sz="4" w:space="0" w:color="auto"/>
              <w:right w:val="single" w:sz="4" w:space="0" w:color="auto"/>
            </w:tcBorders>
            <w:hideMark/>
          </w:tcPr>
          <w:p w14:paraId="6500351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motorinė neuropatija (3-4 laipsnio – 2,5%)</w:t>
            </w:r>
          </w:p>
        </w:tc>
      </w:tr>
      <w:tr w:rsidR="003A7B6B" w:rsidRPr="00976ED6" w14:paraId="454CB697"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09316FE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461" w:type="pct"/>
            <w:tcBorders>
              <w:top w:val="single" w:sz="4" w:space="0" w:color="auto"/>
              <w:left w:val="single" w:sz="4" w:space="0" w:color="auto"/>
              <w:bottom w:val="single" w:sz="4" w:space="0" w:color="auto"/>
              <w:right w:val="single" w:sz="4" w:space="0" w:color="auto"/>
            </w:tcBorders>
            <w:hideMark/>
          </w:tcPr>
          <w:p w14:paraId="489DBD2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2269" w:type="pct"/>
            <w:tcBorders>
              <w:top w:val="single" w:sz="4" w:space="0" w:color="auto"/>
              <w:left w:val="single" w:sz="4" w:space="0" w:color="auto"/>
              <w:bottom w:val="single" w:sz="4" w:space="0" w:color="auto"/>
              <w:right w:val="single" w:sz="4" w:space="0" w:color="auto"/>
            </w:tcBorders>
            <w:hideMark/>
          </w:tcPr>
          <w:p w14:paraId="666ED77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Aritmija (nesunki)</w:t>
            </w:r>
          </w:p>
        </w:tc>
      </w:tr>
      <w:tr w:rsidR="003A7B6B" w:rsidRPr="00976ED6" w14:paraId="5937C974"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2B0587D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Kraujagyslių sutrikimai</w:t>
            </w:r>
          </w:p>
        </w:tc>
        <w:tc>
          <w:tcPr>
            <w:tcW w:w="1461" w:type="pct"/>
            <w:tcBorders>
              <w:top w:val="single" w:sz="4" w:space="0" w:color="auto"/>
              <w:left w:val="single" w:sz="4" w:space="0" w:color="auto"/>
              <w:bottom w:val="single" w:sz="4" w:space="0" w:color="auto"/>
              <w:right w:val="single" w:sz="4" w:space="0" w:color="auto"/>
            </w:tcBorders>
            <w:hideMark/>
          </w:tcPr>
          <w:p w14:paraId="0E38F37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2269" w:type="pct"/>
            <w:tcBorders>
              <w:top w:val="single" w:sz="4" w:space="0" w:color="auto"/>
              <w:left w:val="single" w:sz="4" w:space="0" w:color="auto"/>
              <w:bottom w:val="single" w:sz="4" w:space="0" w:color="auto"/>
              <w:right w:val="single" w:sz="4" w:space="0" w:color="auto"/>
            </w:tcBorders>
            <w:hideMark/>
          </w:tcPr>
          <w:p w14:paraId="39DFC93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Hipotenzija</w:t>
            </w:r>
          </w:p>
        </w:tc>
      </w:tr>
      <w:tr w:rsidR="003A7B6B" w:rsidRPr="00976ED6" w14:paraId="45746747"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4C384BF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461" w:type="pct"/>
            <w:tcBorders>
              <w:top w:val="single" w:sz="4" w:space="0" w:color="auto"/>
              <w:left w:val="single" w:sz="4" w:space="0" w:color="auto"/>
              <w:bottom w:val="single" w:sz="4" w:space="0" w:color="auto"/>
              <w:right w:val="single" w:sz="4" w:space="0" w:color="auto"/>
            </w:tcBorders>
            <w:hideMark/>
          </w:tcPr>
          <w:p w14:paraId="26C83BD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 3,3%)</w:t>
            </w:r>
          </w:p>
          <w:p w14:paraId="6AACAEE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(3-4 laipsnio – 1,7%)</w:t>
            </w:r>
          </w:p>
          <w:p w14:paraId="7DBDA64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 – 0,8%)</w:t>
            </w:r>
          </w:p>
          <w:p w14:paraId="6FA203D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 (3-4 laipsnio – 1,7%)</w:t>
            </w:r>
          </w:p>
        </w:tc>
        <w:tc>
          <w:tcPr>
            <w:tcW w:w="2269" w:type="pct"/>
            <w:tcBorders>
              <w:top w:val="single" w:sz="4" w:space="0" w:color="auto"/>
              <w:left w:val="single" w:sz="4" w:space="0" w:color="auto"/>
              <w:bottom w:val="single" w:sz="4" w:space="0" w:color="auto"/>
              <w:right w:val="single" w:sz="4" w:space="0" w:color="auto"/>
            </w:tcBorders>
            <w:hideMark/>
          </w:tcPr>
          <w:p w14:paraId="357ADCC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Vidurių užkietėjimas</w:t>
            </w:r>
          </w:p>
        </w:tc>
      </w:tr>
      <w:tr w:rsidR="003A7B6B" w:rsidRPr="00976ED6" w14:paraId="6EAF5D7B"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1DAAF65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Odos ir poodinio audinio sutrikimai</w:t>
            </w:r>
          </w:p>
        </w:tc>
        <w:tc>
          <w:tcPr>
            <w:tcW w:w="1461" w:type="pct"/>
            <w:tcBorders>
              <w:top w:val="single" w:sz="4" w:space="0" w:color="auto"/>
              <w:left w:val="single" w:sz="4" w:space="0" w:color="auto"/>
              <w:bottom w:val="single" w:sz="4" w:space="0" w:color="auto"/>
              <w:right w:val="single" w:sz="4" w:space="0" w:color="auto"/>
            </w:tcBorders>
            <w:hideMark/>
          </w:tcPr>
          <w:p w14:paraId="42B968D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w:t>
            </w:r>
          </w:p>
          <w:p w14:paraId="5DF8800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reakcija (3-4 laipsnio – 0,8%)</w:t>
            </w:r>
          </w:p>
        </w:tc>
        <w:tc>
          <w:tcPr>
            <w:tcW w:w="2269" w:type="pct"/>
            <w:tcBorders>
              <w:top w:val="single" w:sz="4" w:space="0" w:color="auto"/>
              <w:left w:val="single" w:sz="4" w:space="0" w:color="auto"/>
              <w:bottom w:val="single" w:sz="4" w:space="0" w:color="auto"/>
              <w:right w:val="single" w:sz="4" w:space="0" w:color="auto"/>
            </w:tcBorders>
            <w:hideMark/>
          </w:tcPr>
          <w:p w14:paraId="2155AB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Nagų pažeidimai (sunkūs – 0,8%)</w:t>
            </w:r>
          </w:p>
        </w:tc>
      </w:tr>
      <w:tr w:rsidR="003A7B6B" w:rsidRPr="00976ED6" w14:paraId="21D07134"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58A21ED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Skeleto, raumenų ir jungiamojo audinio sutrikimai</w:t>
            </w:r>
          </w:p>
        </w:tc>
        <w:tc>
          <w:tcPr>
            <w:tcW w:w="1461" w:type="pct"/>
            <w:tcBorders>
              <w:top w:val="single" w:sz="4" w:space="0" w:color="auto"/>
              <w:left w:val="single" w:sz="4" w:space="0" w:color="auto"/>
              <w:bottom w:val="single" w:sz="4" w:space="0" w:color="auto"/>
              <w:right w:val="single" w:sz="4" w:space="0" w:color="auto"/>
            </w:tcBorders>
            <w:hideMark/>
          </w:tcPr>
          <w:p w14:paraId="5E86BC6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2269" w:type="pct"/>
            <w:tcBorders>
              <w:top w:val="single" w:sz="4" w:space="0" w:color="auto"/>
              <w:left w:val="single" w:sz="4" w:space="0" w:color="auto"/>
              <w:bottom w:val="single" w:sz="4" w:space="0" w:color="auto"/>
              <w:right w:val="single" w:sz="4" w:space="0" w:color="auto"/>
            </w:tcBorders>
            <w:hideMark/>
          </w:tcPr>
          <w:p w14:paraId="71F6BD7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Mialgija</w:t>
            </w:r>
          </w:p>
        </w:tc>
      </w:tr>
      <w:tr w:rsidR="003A7B6B" w:rsidRPr="00976ED6" w14:paraId="3A81C86F"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5493970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461" w:type="pct"/>
            <w:tcBorders>
              <w:top w:val="single" w:sz="4" w:space="0" w:color="auto"/>
              <w:left w:val="single" w:sz="4" w:space="0" w:color="auto"/>
              <w:bottom w:val="single" w:sz="4" w:space="0" w:color="auto"/>
              <w:right w:val="single" w:sz="4" w:space="0" w:color="auto"/>
            </w:tcBorders>
            <w:hideMark/>
          </w:tcPr>
          <w:p w14:paraId="3D16D2A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Astenija (sunki – 12,4%)</w:t>
            </w:r>
          </w:p>
          <w:p w14:paraId="2F9BE6A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Skysčių susilaikymas (sunkus – 0,8%)</w:t>
            </w:r>
          </w:p>
          <w:p w14:paraId="0AEB441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Skausmas</w:t>
            </w:r>
          </w:p>
        </w:tc>
        <w:tc>
          <w:tcPr>
            <w:tcW w:w="2269" w:type="pct"/>
            <w:tcBorders>
              <w:top w:val="single" w:sz="4" w:space="0" w:color="auto"/>
              <w:left w:val="single" w:sz="4" w:space="0" w:color="auto"/>
              <w:bottom w:val="single" w:sz="4" w:space="0" w:color="auto"/>
              <w:right w:val="single" w:sz="4" w:space="0" w:color="auto"/>
            </w:tcBorders>
            <w:hideMark/>
          </w:tcPr>
          <w:p w14:paraId="7E9F260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6FC6C24" w14:textId="77777777" w:rsidTr="005E6418">
        <w:tc>
          <w:tcPr>
            <w:tcW w:w="1270" w:type="pct"/>
            <w:tcBorders>
              <w:top w:val="single" w:sz="4" w:space="0" w:color="auto"/>
              <w:left w:val="single" w:sz="4" w:space="0" w:color="auto"/>
              <w:bottom w:val="single" w:sz="4" w:space="0" w:color="auto"/>
              <w:right w:val="single" w:sz="4" w:space="0" w:color="auto"/>
            </w:tcBorders>
            <w:hideMark/>
          </w:tcPr>
          <w:p w14:paraId="1FF31CA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Tyrimai</w:t>
            </w:r>
          </w:p>
        </w:tc>
        <w:tc>
          <w:tcPr>
            <w:tcW w:w="1461" w:type="pct"/>
            <w:tcBorders>
              <w:top w:val="single" w:sz="4" w:space="0" w:color="auto"/>
              <w:left w:val="single" w:sz="4" w:space="0" w:color="auto"/>
              <w:bottom w:val="single" w:sz="4" w:space="0" w:color="auto"/>
              <w:right w:val="single" w:sz="4" w:space="0" w:color="auto"/>
            </w:tcBorders>
            <w:hideMark/>
          </w:tcPr>
          <w:p w14:paraId="4C9FBDD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2269" w:type="pct"/>
            <w:tcBorders>
              <w:top w:val="single" w:sz="4" w:space="0" w:color="auto"/>
              <w:left w:val="single" w:sz="4" w:space="0" w:color="auto"/>
              <w:bottom w:val="single" w:sz="4" w:space="0" w:color="auto"/>
              <w:right w:val="single" w:sz="4" w:space="0" w:color="auto"/>
            </w:tcBorders>
            <w:hideMark/>
          </w:tcPr>
          <w:p w14:paraId="274396C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bilirubino koncentracijos kraujyje padidėjimas (&lt; 2%)</w:t>
            </w:r>
          </w:p>
        </w:tc>
      </w:tr>
    </w:tbl>
    <w:p w14:paraId="7CCD9A1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69D253E"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docetakselio 75 mg/m² su doksorubicinu dozę krūties vėžio kombinuotai terapijai, sąrašas lentelės forma</w:t>
      </w:r>
    </w:p>
    <w:p w14:paraId="05AAA10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3A7B6B" w:rsidRPr="00976ED6" w14:paraId="05ACF8A9"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DF14E5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250" w:type="pct"/>
            <w:tcBorders>
              <w:top w:val="single" w:sz="4" w:space="0" w:color="auto"/>
              <w:left w:val="single" w:sz="4" w:space="0" w:color="auto"/>
              <w:bottom w:val="single" w:sz="4" w:space="0" w:color="auto"/>
              <w:right w:val="single" w:sz="4" w:space="0" w:color="auto"/>
            </w:tcBorders>
            <w:hideMark/>
          </w:tcPr>
          <w:p w14:paraId="2D57E2B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1FA1181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0225F82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Nedažnos nepageidaujamos reakcijos</w:t>
            </w:r>
          </w:p>
        </w:tc>
      </w:tr>
      <w:tr w:rsidR="003A7B6B" w:rsidRPr="00976ED6" w14:paraId="5D9F74C6"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7CC29B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Infekcijos ir infestacijos</w:t>
            </w:r>
          </w:p>
        </w:tc>
        <w:tc>
          <w:tcPr>
            <w:tcW w:w="1250" w:type="pct"/>
            <w:tcBorders>
              <w:top w:val="single" w:sz="4" w:space="0" w:color="auto"/>
              <w:left w:val="single" w:sz="4" w:space="0" w:color="auto"/>
              <w:bottom w:val="single" w:sz="4" w:space="0" w:color="auto"/>
              <w:right w:val="single" w:sz="4" w:space="0" w:color="auto"/>
            </w:tcBorders>
            <w:hideMark/>
          </w:tcPr>
          <w:p w14:paraId="4E6A06E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Infekcija (3-4 laipsnio – 7,8%)</w:t>
            </w:r>
          </w:p>
        </w:tc>
        <w:tc>
          <w:tcPr>
            <w:tcW w:w="1250" w:type="pct"/>
            <w:tcBorders>
              <w:top w:val="single" w:sz="4" w:space="0" w:color="auto"/>
              <w:left w:val="single" w:sz="4" w:space="0" w:color="auto"/>
              <w:bottom w:val="single" w:sz="4" w:space="0" w:color="auto"/>
              <w:right w:val="single" w:sz="4" w:space="0" w:color="auto"/>
            </w:tcBorders>
            <w:hideMark/>
          </w:tcPr>
          <w:p w14:paraId="5498836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9F5969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DBFEC9D"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94FC03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138F157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 (3-4 laipsnio – 91,7%)</w:t>
            </w:r>
          </w:p>
          <w:p w14:paraId="733660B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Anemija (3-4 laipsnio – 9,4%)</w:t>
            </w:r>
          </w:p>
          <w:p w14:paraId="082A714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p w14:paraId="5F488E3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Trombocitopenija</w:t>
            </w:r>
          </w:p>
          <w:p w14:paraId="7D85345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(4 laipsnio – 0,8%)</w:t>
            </w:r>
          </w:p>
        </w:tc>
        <w:tc>
          <w:tcPr>
            <w:tcW w:w="1250" w:type="pct"/>
            <w:tcBorders>
              <w:top w:val="single" w:sz="4" w:space="0" w:color="auto"/>
              <w:left w:val="single" w:sz="4" w:space="0" w:color="auto"/>
              <w:bottom w:val="single" w:sz="4" w:space="0" w:color="auto"/>
              <w:right w:val="single" w:sz="4" w:space="0" w:color="auto"/>
            </w:tcBorders>
            <w:hideMark/>
          </w:tcPr>
          <w:p w14:paraId="7A34DAD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8BB8A9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4018FBC"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6E51A4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0E2CF39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D891E9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 (3-4 laipsnio – 1,2%)</w:t>
            </w:r>
          </w:p>
        </w:tc>
        <w:tc>
          <w:tcPr>
            <w:tcW w:w="1250" w:type="pct"/>
            <w:tcBorders>
              <w:top w:val="single" w:sz="4" w:space="0" w:color="auto"/>
              <w:left w:val="single" w:sz="4" w:space="0" w:color="auto"/>
              <w:bottom w:val="single" w:sz="4" w:space="0" w:color="auto"/>
              <w:right w:val="single" w:sz="4" w:space="0" w:color="auto"/>
            </w:tcBorders>
            <w:hideMark/>
          </w:tcPr>
          <w:p w14:paraId="4066D4E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C1BBC52"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AF3EA8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250" w:type="pct"/>
            <w:tcBorders>
              <w:top w:val="single" w:sz="4" w:space="0" w:color="auto"/>
              <w:left w:val="single" w:sz="4" w:space="0" w:color="auto"/>
              <w:bottom w:val="single" w:sz="4" w:space="0" w:color="auto"/>
              <w:right w:val="single" w:sz="4" w:space="0" w:color="auto"/>
            </w:tcBorders>
            <w:hideMark/>
          </w:tcPr>
          <w:p w14:paraId="4A78FE9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1ECC57A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w:t>
            </w:r>
          </w:p>
        </w:tc>
        <w:tc>
          <w:tcPr>
            <w:tcW w:w="1250" w:type="pct"/>
            <w:tcBorders>
              <w:top w:val="single" w:sz="4" w:space="0" w:color="auto"/>
              <w:left w:val="single" w:sz="4" w:space="0" w:color="auto"/>
              <w:bottom w:val="single" w:sz="4" w:space="0" w:color="auto"/>
              <w:right w:val="single" w:sz="4" w:space="0" w:color="auto"/>
            </w:tcBorders>
            <w:hideMark/>
          </w:tcPr>
          <w:p w14:paraId="204C59B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C80020F"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F1457A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0A736E8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 laipsnio – 0,4%)</w:t>
            </w:r>
          </w:p>
        </w:tc>
        <w:tc>
          <w:tcPr>
            <w:tcW w:w="1250" w:type="pct"/>
            <w:tcBorders>
              <w:top w:val="single" w:sz="4" w:space="0" w:color="auto"/>
              <w:left w:val="single" w:sz="4" w:space="0" w:color="auto"/>
              <w:bottom w:val="single" w:sz="4" w:space="0" w:color="auto"/>
              <w:right w:val="single" w:sz="4" w:space="0" w:color="auto"/>
            </w:tcBorders>
            <w:hideMark/>
          </w:tcPr>
          <w:p w14:paraId="0964B24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motorinė neuropatija (3-4 laipsnio – 0,4%)</w:t>
            </w:r>
          </w:p>
        </w:tc>
        <w:tc>
          <w:tcPr>
            <w:tcW w:w="1250" w:type="pct"/>
            <w:tcBorders>
              <w:top w:val="single" w:sz="4" w:space="0" w:color="auto"/>
              <w:left w:val="single" w:sz="4" w:space="0" w:color="auto"/>
              <w:bottom w:val="single" w:sz="4" w:space="0" w:color="auto"/>
              <w:right w:val="single" w:sz="4" w:space="0" w:color="auto"/>
            </w:tcBorders>
            <w:hideMark/>
          </w:tcPr>
          <w:p w14:paraId="7717F0D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3238FDBB"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5DBE71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250" w:type="pct"/>
            <w:tcBorders>
              <w:top w:val="single" w:sz="4" w:space="0" w:color="auto"/>
              <w:left w:val="single" w:sz="4" w:space="0" w:color="auto"/>
              <w:bottom w:val="single" w:sz="4" w:space="0" w:color="auto"/>
              <w:right w:val="single" w:sz="4" w:space="0" w:color="auto"/>
            </w:tcBorders>
            <w:hideMark/>
          </w:tcPr>
          <w:p w14:paraId="603C6D7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094126F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nepakankamumas Aritmija (nesunki)</w:t>
            </w:r>
          </w:p>
        </w:tc>
        <w:tc>
          <w:tcPr>
            <w:tcW w:w="1250" w:type="pct"/>
            <w:tcBorders>
              <w:top w:val="single" w:sz="4" w:space="0" w:color="auto"/>
              <w:left w:val="single" w:sz="4" w:space="0" w:color="auto"/>
              <w:bottom w:val="single" w:sz="4" w:space="0" w:color="auto"/>
              <w:right w:val="single" w:sz="4" w:space="0" w:color="auto"/>
            </w:tcBorders>
            <w:hideMark/>
          </w:tcPr>
          <w:p w14:paraId="23814B7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89E331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F6ABF2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Kraujagyslių sutrikimai</w:t>
            </w:r>
          </w:p>
        </w:tc>
        <w:tc>
          <w:tcPr>
            <w:tcW w:w="1250" w:type="pct"/>
            <w:tcBorders>
              <w:top w:val="single" w:sz="4" w:space="0" w:color="auto"/>
              <w:left w:val="single" w:sz="4" w:space="0" w:color="auto"/>
              <w:bottom w:val="single" w:sz="4" w:space="0" w:color="auto"/>
              <w:right w:val="single" w:sz="4" w:space="0" w:color="auto"/>
            </w:tcBorders>
            <w:hideMark/>
          </w:tcPr>
          <w:p w14:paraId="4D35362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0D6B6C5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D27BD8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Hipotenzija</w:t>
            </w:r>
          </w:p>
        </w:tc>
      </w:tr>
      <w:tr w:rsidR="003A7B6B" w:rsidRPr="00976ED6" w14:paraId="0C9097A3"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81BC85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250" w:type="pct"/>
            <w:tcBorders>
              <w:top w:val="single" w:sz="4" w:space="0" w:color="auto"/>
              <w:left w:val="single" w:sz="4" w:space="0" w:color="auto"/>
              <w:bottom w:val="single" w:sz="4" w:space="0" w:color="auto"/>
              <w:right w:val="single" w:sz="4" w:space="0" w:color="auto"/>
            </w:tcBorders>
            <w:hideMark/>
          </w:tcPr>
          <w:p w14:paraId="3CE24FA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 5%)</w:t>
            </w:r>
          </w:p>
          <w:p w14:paraId="5117B36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(3-4 laipsnio– 7,8%)</w:t>
            </w:r>
          </w:p>
          <w:p w14:paraId="1549830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w:t>
            </w:r>
          </w:p>
          <w:p w14:paraId="403487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6,2%)</w:t>
            </w:r>
          </w:p>
          <w:p w14:paraId="3A4D582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 – 5%)</w:t>
            </w:r>
          </w:p>
          <w:p w14:paraId="443C418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Vidurių užkietėjimas</w:t>
            </w:r>
          </w:p>
        </w:tc>
        <w:tc>
          <w:tcPr>
            <w:tcW w:w="1250" w:type="pct"/>
            <w:tcBorders>
              <w:top w:val="single" w:sz="4" w:space="0" w:color="auto"/>
              <w:left w:val="single" w:sz="4" w:space="0" w:color="auto"/>
              <w:bottom w:val="single" w:sz="4" w:space="0" w:color="auto"/>
              <w:right w:val="single" w:sz="4" w:space="0" w:color="auto"/>
            </w:tcBorders>
            <w:hideMark/>
          </w:tcPr>
          <w:p w14:paraId="56AA1AE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6D6E15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E863329"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215FC7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408245A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w:t>
            </w:r>
          </w:p>
          <w:p w14:paraId="60B7FAC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Nagų pažeidimai (sunkūs – 0,4%)</w:t>
            </w:r>
          </w:p>
          <w:p w14:paraId="0D1B901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reakcijos</w:t>
            </w:r>
          </w:p>
          <w:p w14:paraId="75736AE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(nesunkios)</w:t>
            </w:r>
          </w:p>
        </w:tc>
        <w:tc>
          <w:tcPr>
            <w:tcW w:w="1250" w:type="pct"/>
            <w:tcBorders>
              <w:top w:val="single" w:sz="4" w:space="0" w:color="auto"/>
              <w:left w:val="single" w:sz="4" w:space="0" w:color="auto"/>
              <w:bottom w:val="single" w:sz="4" w:space="0" w:color="auto"/>
              <w:right w:val="single" w:sz="4" w:space="0" w:color="auto"/>
            </w:tcBorders>
            <w:hideMark/>
          </w:tcPr>
          <w:p w14:paraId="67D890E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A3CEE1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16737A3"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D6560D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Skeleto, raumenų ir jungiamojo audinio </w:t>
            </w:r>
            <w:r w:rsidRPr="00976ED6">
              <w:rPr>
                <w:rFonts w:ascii="Times New Roman" w:hAnsi="Times New Roman" w:cs="Times New Roman"/>
                <w:color w:val="000000"/>
                <w:lang w:val="sl-SI"/>
              </w:rPr>
              <w:lastRenderedPageBreak/>
              <w:t>sutrikimai</w:t>
            </w:r>
          </w:p>
        </w:tc>
        <w:tc>
          <w:tcPr>
            <w:tcW w:w="1250" w:type="pct"/>
            <w:tcBorders>
              <w:top w:val="single" w:sz="4" w:space="0" w:color="auto"/>
              <w:left w:val="single" w:sz="4" w:space="0" w:color="auto"/>
              <w:bottom w:val="single" w:sz="4" w:space="0" w:color="auto"/>
              <w:right w:val="single" w:sz="4" w:space="0" w:color="auto"/>
            </w:tcBorders>
            <w:hideMark/>
          </w:tcPr>
          <w:p w14:paraId="45420E9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 </w:t>
            </w:r>
          </w:p>
        </w:tc>
        <w:tc>
          <w:tcPr>
            <w:tcW w:w="1250" w:type="pct"/>
            <w:tcBorders>
              <w:top w:val="single" w:sz="4" w:space="0" w:color="auto"/>
              <w:left w:val="single" w:sz="4" w:space="0" w:color="auto"/>
              <w:bottom w:val="single" w:sz="4" w:space="0" w:color="auto"/>
              <w:right w:val="single" w:sz="4" w:space="0" w:color="auto"/>
            </w:tcBorders>
            <w:hideMark/>
          </w:tcPr>
          <w:p w14:paraId="1236D74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Mialgija</w:t>
            </w:r>
          </w:p>
        </w:tc>
        <w:tc>
          <w:tcPr>
            <w:tcW w:w="1250" w:type="pct"/>
            <w:tcBorders>
              <w:top w:val="single" w:sz="4" w:space="0" w:color="auto"/>
              <w:left w:val="single" w:sz="4" w:space="0" w:color="auto"/>
              <w:bottom w:val="single" w:sz="4" w:space="0" w:color="auto"/>
              <w:right w:val="single" w:sz="4" w:space="0" w:color="auto"/>
            </w:tcBorders>
            <w:hideMark/>
          </w:tcPr>
          <w:p w14:paraId="5CED948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A9D136D"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FCE3E1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250" w:type="pct"/>
            <w:tcBorders>
              <w:top w:val="single" w:sz="4" w:space="0" w:color="auto"/>
              <w:left w:val="single" w:sz="4" w:space="0" w:color="auto"/>
              <w:bottom w:val="single" w:sz="4" w:space="0" w:color="auto"/>
              <w:right w:val="single" w:sz="4" w:space="0" w:color="auto"/>
            </w:tcBorders>
            <w:hideMark/>
          </w:tcPr>
          <w:p w14:paraId="76308B9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Astenija (sunki – 8,1%)</w:t>
            </w:r>
          </w:p>
          <w:p w14:paraId="3F68D3A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Skysčių susilaikymas (sunkus – 1,2%)</w:t>
            </w:r>
          </w:p>
          <w:p w14:paraId="338CDB2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Skausmas</w:t>
            </w:r>
          </w:p>
        </w:tc>
        <w:tc>
          <w:tcPr>
            <w:tcW w:w="1250" w:type="pct"/>
            <w:tcBorders>
              <w:top w:val="single" w:sz="4" w:space="0" w:color="auto"/>
              <w:left w:val="single" w:sz="4" w:space="0" w:color="auto"/>
              <w:bottom w:val="single" w:sz="4" w:space="0" w:color="auto"/>
              <w:right w:val="single" w:sz="4" w:space="0" w:color="auto"/>
            </w:tcBorders>
            <w:hideMark/>
          </w:tcPr>
          <w:p w14:paraId="3DBF479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Infuzijos vietos reakcija</w:t>
            </w:r>
          </w:p>
        </w:tc>
        <w:tc>
          <w:tcPr>
            <w:tcW w:w="1250" w:type="pct"/>
            <w:tcBorders>
              <w:top w:val="single" w:sz="4" w:space="0" w:color="auto"/>
              <w:left w:val="single" w:sz="4" w:space="0" w:color="auto"/>
              <w:bottom w:val="single" w:sz="4" w:space="0" w:color="auto"/>
              <w:right w:val="single" w:sz="4" w:space="0" w:color="auto"/>
            </w:tcBorders>
            <w:hideMark/>
          </w:tcPr>
          <w:p w14:paraId="6E2989E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AED738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6FF1DA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Tyrimai</w:t>
            </w:r>
          </w:p>
        </w:tc>
        <w:tc>
          <w:tcPr>
            <w:tcW w:w="1250" w:type="pct"/>
            <w:tcBorders>
              <w:top w:val="single" w:sz="4" w:space="0" w:color="auto"/>
              <w:left w:val="single" w:sz="4" w:space="0" w:color="auto"/>
              <w:bottom w:val="single" w:sz="4" w:space="0" w:color="auto"/>
              <w:right w:val="single" w:sz="4" w:space="0" w:color="auto"/>
            </w:tcBorders>
            <w:hideMark/>
          </w:tcPr>
          <w:p w14:paraId="04208BF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FA5905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bilirubino koncentracijos kraujyje padidėjimas (&lt; 2,5%); 3-4 laipsnio šarminės fosfatazės aktyvumo kraujyje padidėjimas (&lt; 2,5%)</w:t>
            </w:r>
          </w:p>
        </w:tc>
        <w:tc>
          <w:tcPr>
            <w:tcW w:w="1250" w:type="pct"/>
            <w:tcBorders>
              <w:top w:val="single" w:sz="4" w:space="0" w:color="auto"/>
              <w:left w:val="single" w:sz="4" w:space="0" w:color="auto"/>
              <w:bottom w:val="single" w:sz="4" w:space="0" w:color="auto"/>
              <w:right w:val="single" w:sz="4" w:space="0" w:color="auto"/>
            </w:tcBorders>
            <w:hideMark/>
          </w:tcPr>
          <w:p w14:paraId="3D9E3F4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AST aktyvumo padidėjimas (&lt; 1%); 3-4 laipsnio ALT aktyvumo padidėjimas (&lt; 1%)</w:t>
            </w:r>
          </w:p>
        </w:tc>
      </w:tr>
    </w:tbl>
    <w:p w14:paraId="027711B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CEF482A"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docetakselio 75 mg/m² su cisplatina dozę nesmulkiųjų ląstelių plaučių vėžio kombinuotai terapijai, sąrašas lentelės forma</w:t>
      </w:r>
    </w:p>
    <w:p w14:paraId="72B02CF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3A7B6B" w:rsidRPr="00976ED6" w14:paraId="50FA4275"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BB9783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250" w:type="pct"/>
            <w:tcBorders>
              <w:top w:val="single" w:sz="4" w:space="0" w:color="auto"/>
              <w:left w:val="single" w:sz="4" w:space="0" w:color="auto"/>
              <w:bottom w:val="single" w:sz="4" w:space="0" w:color="auto"/>
              <w:right w:val="single" w:sz="4" w:space="0" w:color="auto"/>
            </w:tcBorders>
            <w:hideMark/>
          </w:tcPr>
          <w:p w14:paraId="45468FB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3F03DA9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11E673E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Nedažnos nepageidaujamos reakcijos</w:t>
            </w:r>
          </w:p>
        </w:tc>
      </w:tr>
      <w:tr w:rsidR="003A7B6B" w:rsidRPr="00976ED6" w14:paraId="00936055"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BD469E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Infekcijos ir infestacijos</w:t>
            </w:r>
          </w:p>
        </w:tc>
        <w:tc>
          <w:tcPr>
            <w:tcW w:w="1250" w:type="pct"/>
            <w:tcBorders>
              <w:top w:val="single" w:sz="4" w:space="0" w:color="auto"/>
              <w:left w:val="single" w:sz="4" w:space="0" w:color="auto"/>
              <w:bottom w:val="single" w:sz="4" w:space="0" w:color="auto"/>
              <w:right w:val="single" w:sz="4" w:space="0" w:color="auto"/>
            </w:tcBorders>
            <w:hideMark/>
          </w:tcPr>
          <w:p w14:paraId="0EEFB63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Infekcija (3-4 laipsnio – 5,7%)</w:t>
            </w:r>
          </w:p>
        </w:tc>
        <w:tc>
          <w:tcPr>
            <w:tcW w:w="1250" w:type="pct"/>
            <w:tcBorders>
              <w:top w:val="single" w:sz="4" w:space="0" w:color="auto"/>
              <w:left w:val="single" w:sz="4" w:space="0" w:color="auto"/>
              <w:bottom w:val="single" w:sz="4" w:space="0" w:color="auto"/>
              <w:right w:val="single" w:sz="4" w:space="0" w:color="auto"/>
            </w:tcBorders>
            <w:hideMark/>
          </w:tcPr>
          <w:p w14:paraId="1D2EE42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AF47E0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26F953F"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0E3608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1DFB68C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w:t>
            </w:r>
          </w:p>
          <w:p w14:paraId="50F0373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51,5%)</w:t>
            </w:r>
          </w:p>
          <w:p w14:paraId="2A82CD5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Anemija</w:t>
            </w:r>
          </w:p>
          <w:p w14:paraId="770BBB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6,9%)</w:t>
            </w:r>
          </w:p>
          <w:p w14:paraId="1833483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Trombocitopenija</w:t>
            </w:r>
          </w:p>
          <w:p w14:paraId="0266E0C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(4 laipsnio –0,5%)</w:t>
            </w:r>
          </w:p>
        </w:tc>
        <w:tc>
          <w:tcPr>
            <w:tcW w:w="1250" w:type="pct"/>
            <w:tcBorders>
              <w:top w:val="single" w:sz="4" w:space="0" w:color="auto"/>
              <w:left w:val="single" w:sz="4" w:space="0" w:color="auto"/>
              <w:bottom w:val="single" w:sz="4" w:space="0" w:color="auto"/>
              <w:right w:val="single" w:sz="4" w:space="0" w:color="auto"/>
            </w:tcBorders>
            <w:hideMark/>
          </w:tcPr>
          <w:p w14:paraId="3FC9972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tc>
        <w:tc>
          <w:tcPr>
            <w:tcW w:w="1250" w:type="pct"/>
            <w:tcBorders>
              <w:top w:val="single" w:sz="4" w:space="0" w:color="auto"/>
              <w:left w:val="single" w:sz="4" w:space="0" w:color="auto"/>
              <w:bottom w:val="single" w:sz="4" w:space="0" w:color="auto"/>
              <w:right w:val="single" w:sz="4" w:space="0" w:color="auto"/>
            </w:tcBorders>
            <w:hideMark/>
          </w:tcPr>
          <w:p w14:paraId="33B92FE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094E367"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DBD740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1819A1E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 (3-4 laipsnio – 2,5%)</w:t>
            </w:r>
          </w:p>
        </w:tc>
        <w:tc>
          <w:tcPr>
            <w:tcW w:w="1250" w:type="pct"/>
            <w:tcBorders>
              <w:top w:val="single" w:sz="4" w:space="0" w:color="auto"/>
              <w:left w:val="single" w:sz="4" w:space="0" w:color="auto"/>
              <w:bottom w:val="single" w:sz="4" w:space="0" w:color="auto"/>
              <w:right w:val="single" w:sz="4" w:space="0" w:color="auto"/>
            </w:tcBorders>
            <w:hideMark/>
          </w:tcPr>
          <w:p w14:paraId="2A645DD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7714C9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E0FD13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AE49B0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250" w:type="pct"/>
            <w:tcBorders>
              <w:top w:val="single" w:sz="4" w:space="0" w:color="auto"/>
              <w:left w:val="single" w:sz="4" w:space="0" w:color="auto"/>
              <w:bottom w:val="single" w:sz="4" w:space="0" w:color="auto"/>
              <w:right w:val="single" w:sz="4" w:space="0" w:color="auto"/>
            </w:tcBorders>
            <w:hideMark/>
          </w:tcPr>
          <w:p w14:paraId="5F1BD5E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w:t>
            </w:r>
          </w:p>
        </w:tc>
        <w:tc>
          <w:tcPr>
            <w:tcW w:w="1250" w:type="pct"/>
            <w:tcBorders>
              <w:top w:val="single" w:sz="4" w:space="0" w:color="auto"/>
              <w:left w:val="single" w:sz="4" w:space="0" w:color="auto"/>
              <w:bottom w:val="single" w:sz="4" w:space="0" w:color="auto"/>
              <w:right w:val="single" w:sz="4" w:space="0" w:color="auto"/>
            </w:tcBorders>
            <w:hideMark/>
          </w:tcPr>
          <w:p w14:paraId="49EAB2A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4BD4641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5263ECD"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FDB150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02C2C82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 laipsnio – 3,7%)</w:t>
            </w:r>
          </w:p>
          <w:p w14:paraId="05841C8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motorinė neuropatija (3-4 laipsnio – 2%)</w:t>
            </w:r>
          </w:p>
        </w:tc>
        <w:tc>
          <w:tcPr>
            <w:tcW w:w="1250" w:type="pct"/>
            <w:tcBorders>
              <w:top w:val="single" w:sz="4" w:space="0" w:color="auto"/>
              <w:left w:val="single" w:sz="4" w:space="0" w:color="auto"/>
              <w:bottom w:val="single" w:sz="4" w:space="0" w:color="auto"/>
              <w:right w:val="single" w:sz="4" w:space="0" w:color="auto"/>
            </w:tcBorders>
            <w:hideMark/>
          </w:tcPr>
          <w:p w14:paraId="3847945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D1336B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95E38BF"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7442D2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250" w:type="pct"/>
            <w:tcBorders>
              <w:top w:val="single" w:sz="4" w:space="0" w:color="auto"/>
              <w:left w:val="single" w:sz="4" w:space="0" w:color="auto"/>
              <w:bottom w:val="single" w:sz="4" w:space="0" w:color="auto"/>
              <w:right w:val="single" w:sz="4" w:space="0" w:color="auto"/>
            </w:tcBorders>
            <w:hideMark/>
          </w:tcPr>
          <w:p w14:paraId="4D84A2C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465B14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Aritmija (3-4 laipsnio – 0,7%)</w:t>
            </w:r>
          </w:p>
        </w:tc>
        <w:tc>
          <w:tcPr>
            <w:tcW w:w="1250" w:type="pct"/>
            <w:tcBorders>
              <w:top w:val="single" w:sz="4" w:space="0" w:color="auto"/>
              <w:left w:val="single" w:sz="4" w:space="0" w:color="auto"/>
              <w:bottom w:val="single" w:sz="4" w:space="0" w:color="auto"/>
              <w:right w:val="single" w:sz="4" w:space="0" w:color="auto"/>
            </w:tcBorders>
            <w:hideMark/>
          </w:tcPr>
          <w:p w14:paraId="7C4F4D8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nepakankamumas</w:t>
            </w:r>
          </w:p>
        </w:tc>
      </w:tr>
      <w:tr w:rsidR="003A7B6B" w:rsidRPr="00976ED6" w14:paraId="21103EFB"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EB39E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Kraujagyslių sutrikimai</w:t>
            </w:r>
          </w:p>
        </w:tc>
        <w:tc>
          <w:tcPr>
            <w:tcW w:w="1250" w:type="pct"/>
            <w:tcBorders>
              <w:top w:val="single" w:sz="4" w:space="0" w:color="auto"/>
              <w:left w:val="single" w:sz="4" w:space="0" w:color="auto"/>
              <w:bottom w:val="single" w:sz="4" w:space="0" w:color="auto"/>
              <w:right w:val="single" w:sz="4" w:space="0" w:color="auto"/>
            </w:tcBorders>
            <w:hideMark/>
          </w:tcPr>
          <w:p w14:paraId="4BE2C6A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5EBAF0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Hipotenzija</w:t>
            </w:r>
          </w:p>
          <w:p w14:paraId="4DA6D93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0,7%)</w:t>
            </w:r>
          </w:p>
        </w:tc>
        <w:tc>
          <w:tcPr>
            <w:tcW w:w="1250" w:type="pct"/>
            <w:tcBorders>
              <w:top w:val="single" w:sz="4" w:space="0" w:color="auto"/>
              <w:left w:val="single" w:sz="4" w:space="0" w:color="auto"/>
              <w:bottom w:val="single" w:sz="4" w:space="0" w:color="auto"/>
              <w:right w:val="single" w:sz="4" w:space="0" w:color="auto"/>
            </w:tcBorders>
            <w:hideMark/>
          </w:tcPr>
          <w:p w14:paraId="14E7F0D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1A05D14"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74CDDD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250" w:type="pct"/>
            <w:tcBorders>
              <w:top w:val="single" w:sz="4" w:space="0" w:color="auto"/>
              <w:left w:val="single" w:sz="4" w:space="0" w:color="auto"/>
              <w:bottom w:val="single" w:sz="4" w:space="0" w:color="auto"/>
              <w:right w:val="single" w:sz="4" w:space="0" w:color="auto"/>
            </w:tcBorders>
            <w:hideMark/>
          </w:tcPr>
          <w:p w14:paraId="2AE7D6A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 9,6%)</w:t>
            </w:r>
          </w:p>
          <w:p w14:paraId="1B22921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 – 7,6%)</w:t>
            </w:r>
          </w:p>
          <w:p w14:paraId="184A885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w:t>
            </w:r>
          </w:p>
          <w:p w14:paraId="7E5E511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6,4%)</w:t>
            </w:r>
          </w:p>
          <w:p w14:paraId="0359E27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(3-4 laipsnio –: 2%)</w:t>
            </w:r>
          </w:p>
        </w:tc>
        <w:tc>
          <w:tcPr>
            <w:tcW w:w="1250" w:type="pct"/>
            <w:tcBorders>
              <w:top w:val="single" w:sz="4" w:space="0" w:color="auto"/>
              <w:left w:val="single" w:sz="4" w:space="0" w:color="auto"/>
              <w:bottom w:val="single" w:sz="4" w:space="0" w:color="auto"/>
              <w:right w:val="single" w:sz="4" w:space="0" w:color="auto"/>
            </w:tcBorders>
            <w:hideMark/>
          </w:tcPr>
          <w:p w14:paraId="2A525DB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Vidurių užkietėjimas</w:t>
            </w:r>
          </w:p>
        </w:tc>
        <w:tc>
          <w:tcPr>
            <w:tcW w:w="1250" w:type="pct"/>
            <w:tcBorders>
              <w:top w:val="single" w:sz="4" w:space="0" w:color="auto"/>
              <w:left w:val="single" w:sz="4" w:space="0" w:color="auto"/>
              <w:bottom w:val="single" w:sz="4" w:space="0" w:color="auto"/>
              <w:right w:val="single" w:sz="4" w:space="0" w:color="auto"/>
            </w:tcBorders>
            <w:hideMark/>
          </w:tcPr>
          <w:p w14:paraId="34E288A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A3F5F7F"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01FCB3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4EC4D07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w:t>
            </w:r>
          </w:p>
          <w:p w14:paraId="6F7ED90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Nagų pažeidimai (sunkūs – 0,7%)</w:t>
            </w:r>
          </w:p>
          <w:p w14:paraId="70597D7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reakcija</w:t>
            </w:r>
          </w:p>
          <w:p w14:paraId="342E616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0,2%)</w:t>
            </w:r>
          </w:p>
        </w:tc>
        <w:tc>
          <w:tcPr>
            <w:tcW w:w="1250" w:type="pct"/>
            <w:tcBorders>
              <w:top w:val="single" w:sz="4" w:space="0" w:color="auto"/>
              <w:left w:val="single" w:sz="4" w:space="0" w:color="auto"/>
              <w:bottom w:val="single" w:sz="4" w:space="0" w:color="auto"/>
              <w:right w:val="single" w:sz="4" w:space="0" w:color="auto"/>
            </w:tcBorders>
            <w:hideMark/>
          </w:tcPr>
          <w:p w14:paraId="725B379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30702B7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E954D90"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C3F75F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Skeleto, raumenų ir </w:t>
            </w:r>
            <w:r w:rsidRPr="00976ED6">
              <w:rPr>
                <w:rFonts w:ascii="Times New Roman" w:hAnsi="Times New Roman" w:cs="Times New Roman"/>
                <w:color w:val="000000"/>
                <w:lang w:val="sl-SI"/>
              </w:rPr>
              <w:lastRenderedPageBreak/>
              <w:t>jungiamojo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399E1F2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 xml:space="preserve">Mialgija (sunki - </w:t>
            </w:r>
            <w:r w:rsidRPr="00976ED6">
              <w:rPr>
                <w:rFonts w:ascii="Times New Roman" w:hAnsi="Times New Roman" w:cs="Times New Roman"/>
                <w:color w:val="000000"/>
                <w:lang w:val="sl-SI"/>
              </w:rPr>
              <w:lastRenderedPageBreak/>
              <w:t>0,5%)</w:t>
            </w:r>
          </w:p>
        </w:tc>
        <w:tc>
          <w:tcPr>
            <w:tcW w:w="1250" w:type="pct"/>
            <w:tcBorders>
              <w:top w:val="single" w:sz="4" w:space="0" w:color="auto"/>
              <w:left w:val="single" w:sz="4" w:space="0" w:color="auto"/>
              <w:bottom w:val="single" w:sz="4" w:space="0" w:color="auto"/>
              <w:right w:val="single" w:sz="4" w:space="0" w:color="auto"/>
            </w:tcBorders>
            <w:hideMark/>
          </w:tcPr>
          <w:p w14:paraId="021D4C5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 </w:t>
            </w:r>
          </w:p>
        </w:tc>
        <w:tc>
          <w:tcPr>
            <w:tcW w:w="1250" w:type="pct"/>
            <w:tcBorders>
              <w:top w:val="single" w:sz="4" w:space="0" w:color="auto"/>
              <w:left w:val="single" w:sz="4" w:space="0" w:color="auto"/>
              <w:bottom w:val="single" w:sz="4" w:space="0" w:color="auto"/>
              <w:right w:val="single" w:sz="4" w:space="0" w:color="auto"/>
            </w:tcBorders>
            <w:hideMark/>
          </w:tcPr>
          <w:p w14:paraId="3906A28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DAD4E88"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0CD733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250" w:type="pct"/>
            <w:tcBorders>
              <w:top w:val="single" w:sz="4" w:space="0" w:color="auto"/>
              <w:left w:val="single" w:sz="4" w:space="0" w:color="auto"/>
              <w:bottom w:val="single" w:sz="4" w:space="0" w:color="auto"/>
              <w:right w:val="single" w:sz="4" w:space="0" w:color="auto"/>
            </w:tcBorders>
            <w:hideMark/>
          </w:tcPr>
          <w:p w14:paraId="74C9E00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Astenija (sunki – 9,9%)</w:t>
            </w:r>
          </w:p>
          <w:p w14:paraId="7FA3EDE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Skysčių susilaikymas (sunkus – 0,7%)</w:t>
            </w:r>
          </w:p>
          <w:p w14:paraId="4EEA282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Karščiavimas</w:t>
            </w:r>
          </w:p>
          <w:p w14:paraId="081368C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1,2%)</w:t>
            </w:r>
          </w:p>
        </w:tc>
        <w:tc>
          <w:tcPr>
            <w:tcW w:w="1250" w:type="pct"/>
            <w:tcBorders>
              <w:top w:val="single" w:sz="4" w:space="0" w:color="auto"/>
              <w:left w:val="single" w:sz="4" w:space="0" w:color="auto"/>
              <w:bottom w:val="single" w:sz="4" w:space="0" w:color="auto"/>
              <w:right w:val="single" w:sz="4" w:space="0" w:color="auto"/>
            </w:tcBorders>
            <w:hideMark/>
          </w:tcPr>
          <w:p w14:paraId="6BA6DFB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Infuzijos vietos reakcija</w:t>
            </w:r>
          </w:p>
          <w:p w14:paraId="7BE0AE3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Skausmas</w:t>
            </w:r>
          </w:p>
        </w:tc>
        <w:tc>
          <w:tcPr>
            <w:tcW w:w="1250" w:type="pct"/>
            <w:tcBorders>
              <w:top w:val="single" w:sz="4" w:space="0" w:color="auto"/>
              <w:left w:val="single" w:sz="4" w:space="0" w:color="auto"/>
              <w:bottom w:val="single" w:sz="4" w:space="0" w:color="auto"/>
              <w:right w:val="single" w:sz="4" w:space="0" w:color="auto"/>
            </w:tcBorders>
            <w:hideMark/>
          </w:tcPr>
          <w:p w14:paraId="75886C3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3FE7C47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CAA805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Tyrimai</w:t>
            </w:r>
          </w:p>
        </w:tc>
        <w:tc>
          <w:tcPr>
            <w:tcW w:w="1250" w:type="pct"/>
            <w:tcBorders>
              <w:top w:val="single" w:sz="4" w:space="0" w:color="auto"/>
              <w:left w:val="single" w:sz="4" w:space="0" w:color="auto"/>
              <w:bottom w:val="single" w:sz="4" w:space="0" w:color="auto"/>
              <w:right w:val="single" w:sz="4" w:space="0" w:color="auto"/>
            </w:tcBorders>
            <w:hideMark/>
          </w:tcPr>
          <w:p w14:paraId="44094CC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33D39F0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bilirubino koncentracijos kraujyje padidėjimas (2,1%);</w:t>
            </w:r>
          </w:p>
          <w:p w14:paraId="58897C0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ALT aktyvumo padidėjimas (1,3%)</w:t>
            </w:r>
          </w:p>
        </w:tc>
        <w:tc>
          <w:tcPr>
            <w:tcW w:w="1250" w:type="pct"/>
            <w:tcBorders>
              <w:top w:val="single" w:sz="4" w:space="0" w:color="auto"/>
              <w:left w:val="single" w:sz="4" w:space="0" w:color="auto"/>
              <w:bottom w:val="single" w:sz="4" w:space="0" w:color="auto"/>
              <w:right w:val="single" w:sz="4" w:space="0" w:color="auto"/>
            </w:tcBorders>
            <w:hideMark/>
          </w:tcPr>
          <w:p w14:paraId="2D671AB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AST aktyvumo padidėjimas (0,5%);</w:t>
            </w:r>
          </w:p>
          <w:p w14:paraId="67799F7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šarminės fosfatazės aktyvumo kraujyje padidėjimas (0,3%)</w:t>
            </w:r>
          </w:p>
        </w:tc>
      </w:tr>
    </w:tbl>
    <w:p w14:paraId="3969DFF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DC166BD"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lang w:val="sl-SI"/>
        </w:rPr>
        <w:t>Nepageidaujamų reakcijų, atsiradusių vartojant docetakselio</w:t>
      </w:r>
      <w:r w:rsidRPr="00976ED6">
        <w:rPr>
          <w:rFonts w:ascii="Times New Roman" w:hAnsi="Times New Roman" w:cs="Times New Roman"/>
          <w:u w:val="single"/>
          <w:lang w:val="sl-SI"/>
        </w:rPr>
        <w:t xml:space="preserve"> 100 mg/m² su trastuzumabu dozę krūties vėžio kombinuotai terapijai, sąrašas lentelės forma</w:t>
      </w:r>
    </w:p>
    <w:p w14:paraId="6F8F24F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0"/>
      </w:tblGrid>
      <w:tr w:rsidR="003A7B6B" w:rsidRPr="00976ED6" w14:paraId="64C1882F"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618B174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650" w:type="pct"/>
            <w:tcBorders>
              <w:top w:val="single" w:sz="4" w:space="0" w:color="auto"/>
              <w:left w:val="single" w:sz="4" w:space="0" w:color="auto"/>
              <w:bottom w:val="single" w:sz="4" w:space="0" w:color="auto"/>
              <w:right w:val="single" w:sz="4" w:space="0" w:color="auto"/>
            </w:tcBorders>
            <w:hideMark/>
          </w:tcPr>
          <w:p w14:paraId="300944D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650" w:type="pct"/>
            <w:tcBorders>
              <w:top w:val="single" w:sz="4" w:space="0" w:color="auto"/>
              <w:left w:val="single" w:sz="4" w:space="0" w:color="auto"/>
              <w:bottom w:val="single" w:sz="4" w:space="0" w:color="auto"/>
              <w:right w:val="single" w:sz="4" w:space="0" w:color="auto"/>
            </w:tcBorders>
            <w:hideMark/>
          </w:tcPr>
          <w:p w14:paraId="6EA255C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r>
      <w:tr w:rsidR="003A7B6B" w:rsidRPr="00976ED6" w14:paraId="33902D07"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6F926BA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650" w:type="pct"/>
            <w:tcBorders>
              <w:top w:val="single" w:sz="4" w:space="0" w:color="auto"/>
              <w:left w:val="single" w:sz="4" w:space="0" w:color="auto"/>
              <w:bottom w:val="single" w:sz="4" w:space="0" w:color="auto"/>
              <w:right w:val="single" w:sz="4" w:space="0" w:color="auto"/>
            </w:tcBorders>
            <w:hideMark/>
          </w:tcPr>
          <w:p w14:paraId="5F3809A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 (3-4 laipsnio – 32%)</w:t>
            </w:r>
          </w:p>
          <w:p w14:paraId="03D749C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 (įskaitant neutropeniją karščiuojant ir vartojant antibiotikus) arba neutropeninis sepsis</w:t>
            </w:r>
          </w:p>
        </w:tc>
        <w:tc>
          <w:tcPr>
            <w:tcW w:w="1650" w:type="pct"/>
            <w:tcBorders>
              <w:top w:val="single" w:sz="4" w:space="0" w:color="auto"/>
              <w:left w:val="single" w:sz="4" w:space="0" w:color="auto"/>
              <w:bottom w:val="single" w:sz="4" w:space="0" w:color="auto"/>
              <w:right w:val="single" w:sz="4" w:space="0" w:color="auto"/>
            </w:tcBorders>
            <w:hideMark/>
          </w:tcPr>
          <w:p w14:paraId="7535FF4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560ECFA"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3D1C295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650" w:type="pct"/>
            <w:tcBorders>
              <w:top w:val="single" w:sz="4" w:space="0" w:color="auto"/>
              <w:left w:val="single" w:sz="4" w:space="0" w:color="auto"/>
              <w:bottom w:val="single" w:sz="4" w:space="0" w:color="auto"/>
              <w:right w:val="single" w:sz="4" w:space="0" w:color="auto"/>
            </w:tcBorders>
            <w:hideMark/>
          </w:tcPr>
          <w:p w14:paraId="7C6B4A4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w:t>
            </w:r>
          </w:p>
        </w:tc>
        <w:tc>
          <w:tcPr>
            <w:tcW w:w="1650" w:type="pct"/>
            <w:tcBorders>
              <w:top w:val="single" w:sz="4" w:space="0" w:color="auto"/>
              <w:left w:val="single" w:sz="4" w:space="0" w:color="auto"/>
              <w:bottom w:val="single" w:sz="4" w:space="0" w:color="auto"/>
              <w:right w:val="single" w:sz="4" w:space="0" w:color="auto"/>
            </w:tcBorders>
            <w:hideMark/>
          </w:tcPr>
          <w:p w14:paraId="3B0E0EF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A70DE6C"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1270051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Psichikos sutrikimai</w:t>
            </w:r>
          </w:p>
        </w:tc>
        <w:tc>
          <w:tcPr>
            <w:tcW w:w="1650" w:type="pct"/>
            <w:tcBorders>
              <w:top w:val="single" w:sz="4" w:space="0" w:color="auto"/>
              <w:left w:val="single" w:sz="4" w:space="0" w:color="auto"/>
              <w:bottom w:val="single" w:sz="4" w:space="0" w:color="auto"/>
              <w:right w:val="single" w:sz="4" w:space="0" w:color="auto"/>
            </w:tcBorders>
            <w:hideMark/>
          </w:tcPr>
          <w:p w14:paraId="6E802E2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Nemiga</w:t>
            </w:r>
          </w:p>
        </w:tc>
        <w:tc>
          <w:tcPr>
            <w:tcW w:w="1650" w:type="pct"/>
            <w:tcBorders>
              <w:top w:val="single" w:sz="4" w:space="0" w:color="auto"/>
              <w:left w:val="single" w:sz="4" w:space="0" w:color="auto"/>
              <w:bottom w:val="single" w:sz="4" w:space="0" w:color="auto"/>
              <w:right w:val="single" w:sz="4" w:space="0" w:color="auto"/>
            </w:tcBorders>
            <w:hideMark/>
          </w:tcPr>
          <w:p w14:paraId="46767B9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395A2509"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6711AB6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650" w:type="pct"/>
            <w:tcBorders>
              <w:top w:val="single" w:sz="4" w:space="0" w:color="auto"/>
              <w:left w:val="single" w:sz="4" w:space="0" w:color="auto"/>
              <w:bottom w:val="single" w:sz="4" w:space="0" w:color="auto"/>
              <w:right w:val="single" w:sz="4" w:space="0" w:color="auto"/>
            </w:tcBorders>
            <w:hideMark/>
          </w:tcPr>
          <w:p w14:paraId="2BE963E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Parestezija; galvos skausmas; disgeuzija; hipoestezija</w:t>
            </w:r>
          </w:p>
        </w:tc>
        <w:tc>
          <w:tcPr>
            <w:tcW w:w="1650" w:type="pct"/>
            <w:tcBorders>
              <w:top w:val="single" w:sz="4" w:space="0" w:color="auto"/>
              <w:left w:val="single" w:sz="4" w:space="0" w:color="auto"/>
              <w:bottom w:val="single" w:sz="4" w:space="0" w:color="auto"/>
              <w:right w:val="single" w:sz="4" w:space="0" w:color="auto"/>
            </w:tcBorders>
            <w:hideMark/>
          </w:tcPr>
          <w:p w14:paraId="33AAC52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CB4EB48"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524BA92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Akių sutrikimai</w:t>
            </w:r>
          </w:p>
        </w:tc>
        <w:tc>
          <w:tcPr>
            <w:tcW w:w="1650" w:type="pct"/>
            <w:tcBorders>
              <w:top w:val="single" w:sz="4" w:space="0" w:color="auto"/>
              <w:left w:val="single" w:sz="4" w:space="0" w:color="auto"/>
              <w:bottom w:val="single" w:sz="4" w:space="0" w:color="auto"/>
              <w:right w:val="single" w:sz="4" w:space="0" w:color="auto"/>
            </w:tcBorders>
            <w:hideMark/>
          </w:tcPr>
          <w:p w14:paraId="3BA42F2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Ašarojimo sustiprėjimas;</w:t>
            </w:r>
          </w:p>
          <w:p w14:paraId="24B2C98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Konjuktyvitas</w:t>
            </w:r>
          </w:p>
        </w:tc>
        <w:tc>
          <w:tcPr>
            <w:tcW w:w="1650" w:type="pct"/>
            <w:tcBorders>
              <w:top w:val="single" w:sz="4" w:space="0" w:color="auto"/>
              <w:left w:val="single" w:sz="4" w:space="0" w:color="auto"/>
              <w:bottom w:val="single" w:sz="4" w:space="0" w:color="auto"/>
              <w:right w:val="single" w:sz="4" w:space="0" w:color="auto"/>
            </w:tcBorders>
            <w:hideMark/>
          </w:tcPr>
          <w:p w14:paraId="79EA4DB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AB95EF8"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33B2F5C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650" w:type="pct"/>
            <w:tcBorders>
              <w:top w:val="single" w:sz="4" w:space="0" w:color="auto"/>
              <w:left w:val="single" w:sz="4" w:space="0" w:color="auto"/>
              <w:bottom w:val="single" w:sz="4" w:space="0" w:color="auto"/>
              <w:right w:val="single" w:sz="4" w:space="0" w:color="auto"/>
            </w:tcBorders>
            <w:hideMark/>
          </w:tcPr>
          <w:p w14:paraId="738CD91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50" w:type="pct"/>
            <w:tcBorders>
              <w:top w:val="single" w:sz="4" w:space="0" w:color="auto"/>
              <w:left w:val="single" w:sz="4" w:space="0" w:color="auto"/>
              <w:bottom w:val="single" w:sz="4" w:space="0" w:color="auto"/>
              <w:right w:val="single" w:sz="4" w:space="0" w:color="auto"/>
            </w:tcBorders>
            <w:hideMark/>
          </w:tcPr>
          <w:p w14:paraId="7D705D5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nepakankamumas</w:t>
            </w:r>
          </w:p>
        </w:tc>
      </w:tr>
      <w:tr w:rsidR="003A7B6B" w:rsidRPr="00976ED6" w14:paraId="1B32626F"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147D28E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Kraujagyslių sutrikimai</w:t>
            </w:r>
          </w:p>
        </w:tc>
        <w:tc>
          <w:tcPr>
            <w:tcW w:w="1650" w:type="pct"/>
            <w:tcBorders>
              <w:top w:val="single" w:sz="4" w:space="0" w:color="auto"/>
              <w:left w:val="single" w:sz="4" w:space="0" w:color="auto"/>
              <w:bottom w:val="single" w:sz="4" w:space="0" w:color="auto"/>
              <w:right w:val="single" w:sz="4" w:space="0" w:color="auto"/>
            </w:tcBorders>
            <w:hideMark/>
          </w:tcPr>
          <w:p w14:paraId="2096494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Limfedema</w:t>
            </w:r>
          </w:p>
        </w:tc>
        <w:tc>
          <w:tcPr>
            <w:tcW w:w="1650" w:type="pct"/>
            <w:tcBorders>
              <w:top w:val="single" w:sz="4" w:space="0" w:color="auto"/>
              <w:left w:val="single" w:sz="4" w:space="0" w:color="auto"/>
              <w:bottom w:val="single" w:sz="4" w:space="0" w:color="auto"/>
              <w:right w:val="single" w:sz="4" w:space="0" w:color="auto"/>
            </w:tcBorders>
            <w:hideMark/>
          </w:tcPr>
          <w:p w14:paraId="4087220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BC9EA2A"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76F6ECA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Kvėpavimo sistemos,</w:t>
            </w:r>
            <w:r w:rsidRPr="00976ED6">
              <w:rPr>
                <w:rFonts w:ascii="Times New Roman" w:hAnsi="Times New Roman" w:cs="Times New Roman"/>
                <w:lang w:val="sl-SI"/>
              </w:rPr>
              <w:t xml:space="preserve"> </w:t>
            </w:r>
            <w:r w:rsidRPr="00976ED6">
              <w:rPr>
                <w:rFonts w:ascii="Times New Roman" w:hAnsi="Times New Roman" w:cs="Times New Roman"/>
                <w:color w:val="000000"/>
                <w:lang w:val="sl-SI"/>
              </w:rPr>
              <w:t>krūtinės ląstos ir tarpuplaučio sutrikimai</w:t>
            </w:r>
          </w:p>
        </w:tc>
        <w:tc>
          <w:tcPr>
            <w:tcW w:w="1650" w:type="pct"/>
            <w:tcBorders>
              <w:top w:val="single" w:sz="4" w:space="0" w:color="auto"/>
              <w:left w:val="single" w:sz="4" w:space="0" w:color="auto"/>
              <w:bottom w:val="single" w:sz="4" w:space="0" w:color="auto"/>
              <w:right w:val="single" w:sz="4" w:space="0" w:color="auto"/>
            </w:tcBorders>
            <w:hideMark/>
          </w:tcPr>
          <w:p w14:paraId="79E1A29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Epistaksė; ryklės ir gerklų skausmas; nazofaringitas; dusulys; kosulys; rinorėja</w:t>
            </w:r>
          </w:p>
        </w:tc>
        <w:tc>
          <w:tcPr>
            <w:tcW w:w="1650" w:type="pct"/>
            <w:tcBorders>
              <w:top w:val="single" w:sz="4" w:space="0" w:color="auto"/>
              <w:left w:val="single" w:sz="4" w:space="0" w:color="auto"/>
              <w:bottom w:val="single" w:sz="4" w:space="0" w:color="auto"/>
              <w:right w:val="single" w:sz="4" w:space="0" w:color="auto"/>
            </w:tcBorders>
            <w:hideMark/>
          </w:tcPr>
          <w:p w14:paraId="6026CE6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1C094D2"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1C291A7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650" w:type="pct"/>
            <w:tcBorders>
              <w:top w:val="single" w:sz="4" w:space="0" w:color="auto"/>
              <w:left w:val="single" w:sz="4" w:space="0" w:color="auto"/>
              <w:bottom w:val="single" w:sz="4" w:space="0" w:color="auto"/>
              <w:right w:val="single" w:sz="4" w:space="0" w:color="auto"/>
            </w:tcBorders>
            <w:hideMark/>
          </w:tcPr>
          <w:p w14:paraId="6FE7F19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viduriavimas; vėmimas; vidurių užkietėjimas; stomatitas; dispepsija; pilvo skausmas</w:t>
            </w:r>
          </w:p>
        </w:tc>
        <w:tc>
          <w:tcPr>
            <w:tcW w:w="1650" w:type="pct"/>
            <w:tcBorders>
              <w:top w:val="single" w:sz="4" w:space="0" w:color="auto"/>
              <w:left w:val="single" w:sz="4" w:space="0" w:color="auto"/>
              <w:bottom w:val="single" w:sz="4" w:space="0" w:color="auto"/>
              <w:right w:val="single" w:sz="4" w:space="0" w:color="auto"/>
            </w:tcBorders>
            <w:hideMark/>
          </w:tcPr>
          <w:p w14:paraId="302CCCF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C87F173"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141A1BC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650" w:type="pct"/>
            <w:tcBorders>
              <w:top w:val="single" w:sz="4" w:space="0" w:color="auto"/>
              <w:left w:val="single" w:sz="4" w:space="0" w:color="auto"/>
              <w:bottom w:val="single" w:sz="4" w:space="0" w:color="auto"/>
              <w:right w:val="single" w:sz="4" w:space="0" w:color="auto"/>
            </w:tcBorders>
            <w:hideMark/>
          </w:tcPr>
          <w:p w14:paraId="48A757F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 eritema; išbėrimas; nagų pažeidimai</w:t>
            </w:r>
          </w:p>
        </w:tc>
        <w:tc>
          <w:tcPr>
            <w:tcW w:w="1650" w:type="pct"/>
            <w:tcBorders>
              <w:top w:val="single" w:sz="4" w:space="0" w:color="auto"/>
              <w:left w:val="single" w:sz="4" w:space="0" w:color="auto"/>
              <w:bottom w:val="single" w:sz="4" w:space="0" w:color="auto"/>
              <w:right w:val="single" w:sz="4" w:space="0" w:color="auto"/>
            </w:tcBorders>
            <w:hideMark/>
          </w:tcPr>
          <w:p w14:paraId="56E64F9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3FFD658"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6646BF5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Skeleto, raumenų ir jungiamojo audinio sutrikimai</w:t>
            </w:r>
          </w:p>
        </w:tc>
        <w:tc>
          <w:tcPr>
            <w:tcW w:w="1650" w:type="pct"/>
            <w:tcBorders>
              <w:top w:val="single" w:sz="4" w:space="0" w:color="auto"/>
              <w:left w:val="single" w:sz="4" w:space="0" w:color="auto"/>
              <w:bottom w:val="single" w:sz="4" w:space="0" w:color="auto"/>
              <w:right w:val="single" w:sz="4" w:space="0" w:color="auto"/>
            </w:tcBorders>
            <w:hideMark/>
          </w:tcPr>
          <w:p w14:paraId="4326478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Mialgija; artralgija; galūnių skausmas; kaulų skausmas; nugaros skausmas</w:t>
            </w:r>
          </w:p>
        </w:tc>
        <w:tc>
          <w:tcPr>
            <w:tcW w:w="1650" w:type="pct"/>
            <w:tcBorders>
              <w:top w:val="single" w:sz="4" w:space="0" w:color="auto"/>
              <w:left w:val="single" w:sz="4" w:space="0" w:color="auto"/>
              <w:bottom w:val="single" w:sz="4" w:space="0" w:color="auto"/>
              <w:right w:val="single" w:sz="4" w:space="0" w:color="auto"/>
            </w:tcBorders>
            <w:hideMark/>
          </w:tcPr>
          <w:p w14:paraId="2E934D0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35DFBEA"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68CEDA0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650" w:type="pct"/>
            <w:tcBorders>
              <w:top w:val="single" w:sz="4" w:space="0" w:color="auto"/>
              <w:left w:val="single" w:sz="4" w:space="0" w:color="auto"/>
              <w:bottom w:val="single" w:sz="4" w:space="0" w:color="auto"/>
              <w:right w:val="single" w:sz="4" w:space="0" w:color="auto"/>
            </w:tcBorders>
            <w:hideMark/>
          </w:tcPr>
          <w:p w14:paraId="628EA27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Astenija; periferinė edema; pireksija; nuovargis; gleivinės uždegimas; į gripą panašus sindromas; krūtinės skausmas; šaltkrėtis</w:t>
            </w:r>
          </w:p>
        </w:tc>
        <w:tc>
          <w:tcPr>
            <w:tcW w:w="1650" w:type="pct"/>
            <w:tcBorders>
              <w:top w:val="single" w:sz="4" w:space="0" w:color="auto"/>
              <w:left w:val="single" w:sz="4" w:space="0" w:color="auto"/>
              <w:bottom w:val="single" w:sz="4" w:space="0" w:color="auto"/>
              <w:right w:val="single" w:sz="4" w:space="0" w:color="auto"/>
            </w:tcBorders>
            <w:hideMark/>
          </w:tcPr>
          <w:p w14:paraId="14FAC4D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Letargija</w:t>
            </w:r>
          </w:p>
        </w:tc>
      </w:tr>
      <w:tr w:rsidR="003A7B6B" w:rsidRPr="00976ED6" w14:paraId="6D804A5A"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7796265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Tyrimai</w:t>
            </w:r>
          </w:p>
        </w:tc>
        <w:tc>
          <w:tcPr>
            <w:tcW w:w="1650" w:type="pct"/>
            <w:tcBorders>
              <w:top w:val="single" w:sz="4" w:space="0" w:color="auto"/>
              <w:left w:val="single" w:sz="4" w:space="0" w:color="auto"/>
              <w:bottom w:val="single" w:sz="4" w:space="0" w:color="auto"/>
              <w:right w:val="single" w:sz="4" w:space="0" w:color="auto"/>
            </w:tcBorders>
            <w:hideMark/>
          </w:tcPr>
          <w:p w14:paraId="564A760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Svorio padidėjimas</w:t>
            </w:r>
          </w:p>
        </w:tc>
        <w:tc>
          <w:tcPr>
            <w:tcW w:w="1650" w:type="pct"/>
            <w:tcBorders>
              <w:top w:val="single" w:sz="4" w:space="0" w:color="auto"/>
              <w:left w:val="single" w:sz="4" w:space="0" w:color="auto"/>
              <w:bottom w:val="single" w:sz="4" w:space="0" w:color="auto"/>
              <w:right w:val="single" w:sz="4" w:space="0" w:color="auto"/>
            </w:tcBorders>
            <w:hideMark/>
          </w:tcPr>
          <w:p w14:paraId="019FE0D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bl>
    <w:p w14:paraId="6DB140C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40EEED4"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lastRenderedPageBreak/>
        <w:t>Pasirinktų nepageidaujamų reakcijų, atsiradusių vartojant docetakselio 100 mg/m² su trastuzumabu dozę krūties vėžio kombinuotai terapijai, aprašymas</w:t>
      </w:r>
    </w:p>
    <w:p w14:paraId="0BED2172"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p>
    <w:p w14:paraId="2328D181"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Kraujo ir limfinės sistemos sutrikimai</w:t>
      </w:r>
    </w:p>
    <w:p w14:paraId="6FFA197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Labai dažni: vartojant trastuzumabą ir docetakselį, nustatytas stipresnis hematotoksinis poveikis negu docetakselį vartojant atskirai (3-4 laipsnio neutropenijos dažnis, remiantis NCI bendraisiais toksinio poveikio kriterijais, buvo atitinkamai 32% ir 22%). Būtina atkreipti dėmesį, jog toks poveikis tikriausiai yra nepakankamai įvertintas, kadangi vartojant vien tik docetakselio (dozė - 100 mg/m²), neutropenija pasireiškia 97% pacientų, iš jų 76% - 4 laipsnio (vertinant mažiausią kraujo ląstelių skaičių). Vartojant Herceptin ir docetakselio derinį, taip pat dažniau pasireiškė febrilinė neutropenija ar su neutropenija susijęs sepsis negu docetakselį vartojant atskirai (atitinkamai 23% ir 17% pacientų).</w:t>
      </w:r>
    </w:p>
    <w:p w14:paraId="68AF5DF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AB3C87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i/>
          <w:lang w:val="sl-SI"/>
        </w:rPr>
        <w:t>Širdies sutrikimai</w:t>
      </w:r>
    </w:p>
    <w:p w14:paraId="4E1F000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Simptominis širdies nepakankamumas pasireiškė 2,2% pacientų, kartu vartojusių docetakselį ir trastuzumabą bei 0% pacientų, vartojusių vien docetakselio. Iš pacientų, kartu vartojusių docetakselį ir trastuzumabą, 64% anksčiau vartojo antracikliną adjuvantiniam gydymui, iš vartojusių vien docetakselio – 55%.</w:t>
      </w:r>
    </w:p>
    <w:p w14:paraId="16511B9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09BF374"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docetakselio 75 mg/m² su kapecitabinu dozę krūties vėžio kombinuotai terapijai, sąrašas lentelės forma</w:t>
      </w:r>
    </w:p>
    <w:p w14:paraId="39D7783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Style w:val="Lentelstinklelis"/>
        <w:tblW w:w="5000" w:type="pct"/>
        <w:tblInd w:w="-5" w:type="dxa"/>
        <w:tblLook w:val="00A0" w:firstRow="1" w:lastRow="0" w:firstColumn="1" w:lastColumn="0" w:noHBand="0" w:noVBand="0"/>
      </w:tblPr>
      <w:tblGrid>
        <w:gridCol w:w="3020"/>
        <w:gridCol w:w="3020"/>
        <w:gridCol w:w="3020"/>
      </w:tblGrid>
      <w:tr w:rsidR="003A7B6B" w:rsidRPr="00976ED6" w14:paraId="3960157B" w14:textId="77777777" w:rsidTr="005E6418">
        <w:tc>
          <w:tcPr>
            <w:tcW w:w="1650" w:type="pct"/>
            <w:hideMark/>
          </w:tcPr>
          <w:p w14:paraId="1A2ABB7B" w14:textId="77777777" w:rsidR="003A7B6B" w:rsidRPr="00976ED6" w:rsidRDefault="003A7B6B" w:rsidP="005E6418">
            <w:pPr>
              <w:widowControl w:val="0"/>
              <w:tabs>
                <w:tab w:val="left" w:pos="567"/>
                <w:tab w:val="left" w:pos="1296"/>
              </w:tabs>
              <w:rPr>
                <w:color w:val="000000"/>
                <w:lang w:val="sl-SI"/>
              </w:rPr>
            </w:pPr>
            <w:r w:rsidRPr="00976ED6">
              <w:rPr>
                <w:b/>
                <w:color w:val="000000"/>
                <w:lang w:val="sl-SI"/>
              </w:rPr>
              <w:t>MedDRA organų sistemų klasės</w:t>
            </w:r>
          </w:p>
        </w:tc>
        <w:tc>
          <w:tcPr>
            <w:tcW w:w="1650" w:type="pct"/>
            <w:hideMark/>
          </w:tcPr>
          <w:p w14:paraId="746722B1" w14:textId="77777777" w:rsidR="003A7B6B" w:rsidRPr="00976ED6" w:rsidRDefault="003A7B6B" w:rsidP="005E6418">
            <w:pPr>
              <w:widowControl w:val="0"/>
              <w:tabs>
                <w:tab w:val="left" w:pos="567"/>
                <w:tab w:val="left" w:pos="1296"/>
              </w:tabs>
              <w:rPr>
                <w:color w:val="000000"/>
                <w:lang w:val="sl-SI"/>
              </w:rPr>
            </w:pPr>
            <w:r w:rsidRPr="00976ED6">
              <w:rPr>
                <w:b/>
                <w:color w:val="000000"/>
                <w:lang w:val="sl-SI"/>
              </w:rPr>
              <w:t>Labai dažnos nepageidaujamos reakcijos</w:t>
            </w:r>
          </w:p>
        </w:tc>
        <w:tc>
          <w:tcPr>
            <w:tcW w:w="1650" w:type="pct"/>
            <w:hideMark/>
          </w:tcPr>
          <w:p w14:paraId="33AAC54E" w14:textId="77777777" w:rsidR="003A7B6B" w:rsidRPr="00976ED6" w:rsidRDefault="003A7B6B" w:rsidP="005E6418">
            <w:pPr>
              <w:widowControl w:val="0"/>
              <w:tabs>
                <w:tab w:val="left" w:pos="567"/>
                <w:tab w:val="left" w:pos="1296"/>
              </w:tabs>
              <w:rPr>
                <w:color w:val="000000"/>
                <w:lang w:val="sl-SI"/>
              </w:rPr>
            </w:pPr>
            <w:r w:rsidRPr="00976ED6">
              <w:rPr>
                <w:b/>
                <w:color w:val="000000"/>
                <w:lang w:val="sl-SI"/>
              </w:rPr>
              <w:t>Dažnos nepageidaujamos reakcijos</w:t>
            </w:r>
          </w:p>
        </w:tc>
      </w:tr>
      <w:tr w:rsidR="003A7B6B" w:rsidRPr="00976ED6" w14:paraId="76844CC6" w14:textId="77777777" w:rsidTr="005E6418">
        <w:tc>
          <w:tcPr>
            <w:tcW w:w="1650" w:type="pct"/>
            <w:hideMark/>
          </w:tcPr>
          <w:p w14:paraId="3624E8D9"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Infekcijos ir infestacijos</w:t>
            </w:r>
          </w:p>
        </w:tc>
        <w:tc>
          <w:tcPr>
            <w:tcW w:w="1650" w:type="pct"/>
            <w:hideMark/>
          </w:tcPr>
          <w:p w14:paraId="4105AC8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w:t>
            </w:r>
          </w:p>
        </w:tc>
        <w:tc>
          <w:tcPr>
            <w:tcW w:w="1650" w:type="pct"/>
            <w:hideMark/>
          </w:tcPr>
          <w:p w14:paraId="11B81C1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Burnos kandidozė</w:t>
            </w:r>
          </w:p>
          <w:p w14:paraId="5F19A96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(3-4 laipsnio – &lt; 1%)</w:t>
            </w:r>
          </w:p>
        </w:tc>
      </w:tr>
      <w:tr w:rsidR="003A7B6B" w:rsidRPr="00976ED6" w14:paraId="32D3FB1D" w14:textId="77777777" w:rsidTr="005E6418">
        <w:tc>
          <w:tcPr>
            <w:tcW w:w="1650" w:type="pct"/>
            <w:hideMark/>
          </w:tcPr>
          <w:p w14:paraId="4C8233E7"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Kraujo ir limfinės sistemos sutrikimai</w:t>
            </w:r>
          </w:p>
        </w:tc>
        <w:tc>
          <w:tcPr>
            <w:tcW w:w="1650" w:type="pct"/>
          </w:tcPr>
          <w:p w14:paraId="3A0DF50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Neutropenija (3-4 laipsnio – 63%)</w:t>
            </w:r>
          </w:p>
          <w:p w14:paraId="447D7AF6"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Anemija (3-4 laipsnio – 10%)</w:t>
            </w:r>
          </w:p>
          <w:p w14:paraId="1CE30769" w14:textId="77777777" w:rsidR="003A7B6B" w:rsidRPr="00976ED6" w:rsidRDefault="003A7B6B" w:rsidP="005E6418">
            <w:pPr>
              <w:widowControl w:val="0"/>
              <w:tabs>
                <w:tab w:val="left" w:pos="567"/>
                <w:tab w:val="left" w:pos="1296"/>
              </w:tabs>
              <w:rPr>
                <w:color w:val="000000"/>
                <w:lang w:val="sl-SI"/>
              </w:rPr>
            </w:pPr>
          </w:p>
        </w:tc>
        <w:tc>
          <w:tcPr>
            <w:tcW w:w="1650" w:type="pct"/>
            <w:hideMark/>
          </w:tcPr>
          <w:p w14:paraId="4CA00B07"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Trombocitopenija (3-4 laipsnio – 3%)</w:t>
            </w:r>
          </w:p>
        </w:tc>
      </w:tr>
      <w:tr w:rsidR="003A7B6B" w:rsidRPr="00976ED6" w14:paraId="566F1399" w14:textId="77777777" w:rsidTr="005E6418">
        <w:tc>
          <w:tcPr>
            <w:tcW w:w="1650" w:type="pct"/>
            <w:hideMark/>
          </w:tcPr>
          <w:p w14:paraId="09554CC6"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Metabolizmo ir mitybos sutrikimai</w:t>
            </w:r>
          </w:p>
        </w:tc>
        <w:tc>
          <w:tcPr>
            <w:tcW w:w="1650" w:type="pct"/>
            <w:hideMark/>
          </w:tcPr>
          <w:p w14:paraId="286EF51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Anoreksija (3-4 laipsnio – 1%)</w:t>
            </w:r>
          </w:p>
          <w:p w14:paraId="43BE2151"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Apetito sumažėjimas</w:t>
            </w:r>
          </w:p>
        </w:tc>
        <w:tc>
          <w:tcPr>
            <w:tcW w:w="1650" w:type="pct"/>
            <w:hideMark/>
          </w:tcPr>
          <w:p w14:paraId="7010FAB6"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Dehidracija (3-4 laipsnio – 2%)</w:t>
            </w:r>
          </w:p>
        </w:tc>
      </w:tr>
      <w:tr w:rsidR="003A7B6B" w:rsidRPr="00976ED6" w14:paraId="18F49AB8" w14:textId="77777777" w:rsidTr="005E6418">
        <w:trPr>
          <w:trHeight w:val="1249"/>
        </w:trPr>
        <w:tc>
          <w:tcPr>
            <w:tcW w:w="1650" w:type="pct"/>
            <w:hideMark/>
          </w:tcPr>
          <w:p w14:paraId="7E4FBB9B"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Nervų sistemos sutrikimai</w:t>
            </w:r>
          </w:p>
        </w:tc>
        <w:tc>
          <w:tcPr>
            <w:tcW w:w="1650" w:type="pct"/>
            <w:hideMark/>
          </w:tcPr>
          <w:p w14:paraId="53DD202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Disgeuzija (3-4 laipsnio – &lt; 1%)</w:t>
            </w:r>
          </w:p>
          <w:p w14:paraId="65270893"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Parestezija (3-4 laipsnio – &lt; 1%)</w:t>
            </w:r>
          </w:p>
        </w:tc>
        <w:tc>
          <w:tcPr>
            <w:tcW w:w="1650" w:type="pct"/>
            <w:hideMark/>
          </w:tcPr>
          <w:p w14:paraId="2580E72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Svaigulys</w:t>
            </w:r>
          </w:p>
          <w:p w14:paraId="5D300D9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Galvos skausmas (3-4 laipsnio – &lt; 1%)</w:t>
            </w:r>
          </w:p>
          <w:p w14:paraId="17865EEE"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Periferinė neuropatija</w:t>
            </w:r>
          </w:p>
        </w:tc>
      </w:tr>
      <w:tr w:rsidR="003A7B6B" w:rsidRPr="00976ED6" w14:paraId="360C35AE" w14:textId="77777777" w:rsidTr="005E6418">
        <w:tc>
          <w:tcPr>
            <w:tcW w:w="1650" w:type="pct"/>
            <w:hideMark/>
          </w:tcPr>
          <w:p w14:paraId="7AE0388A"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Akių sutrikimai</w:t>
            </w:r>
          </w:p>
        </w:tc>
        <w:tc>
          <w:tcPr>
            <w:tcW w:w="1650" w:type="pct"/>
            <w:hideMark/>
          </w:tcPr>
          <w:p w14:paraId="06E6131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Ašarojimo sustiprėjimas</w:t>
            </w:r>
          </w:p>
        </w:tc>
        <w:tc>
          <w:tcPr>
            <w:tcW w:w="1650" w:type="pct"/>
            <w:hideMark/>
          </w:tcPr>
          <w:p w14:paraId="43768D01"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w:t>
            </w:r>
          </w:p>
        </w:tc>
      </w:tr>
      <w:tr w:rsidR="003A7B6B" w:rsidRPr="00976ED6" w14:paraId="70B39710" w14:textId="77777777" w:rsidTr="005E6418">
        <w:tc>
          <w:tcPr>
            <w:tcW w:w="1650" w:type="pct"/>
            <w:hideMark/>
          </w:tcPr>
          <w:p w14:paraId="0D7437A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Kvėpavimo sistemos, krūtinės ląstos ir tarpuplaučio sutrikimai</w:t>
            </w:r>
          </w:p>
        </w:tc>
        <w:tc>
          <w:tcPr>
            <w:tcW w:w="1650" w:type="pct"/>
            <w:hideMark/>
          </w:tcPr>
          <w:p w14:paraId="3E8769D7"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Ryklės ir gerklų skausmas (3-4 laipsnio – 2%)</w:t>
            </w:r>
          </w:p>
        </w:tc>
        <w:tc>
          <w:tcPr>
            <w:tcW w:w="1650" w:type="pct"/>
            <w:hideMark/>
          </w:tcPr>
          <w:p w14:paraId="6BF4401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Dusulys (3-4 laipsnio – 1%)</w:t>
            </w:r>
          </w:p>
          <w:p w14:paraId="144B63D0"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Kosulys (3-4 laipsnio – &lt; 1%)</w:t>
            </w:r>
          </w:p>
          <w:p w14:paraId="2B40D18B"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Epistaksė (3-4 laipsnio – &lt; 1%)</w:t>
            </w:r>
          </w:p>
        </w:tc>
      </w:tr>
      <w:tr w:rsidR="003A7B6B" w:rsidRPr="00976ED6" w14:paraId="1A01C1D5" w14:textId="77777777" w:rsidTr="005E6418">
        <w:tc>
          <w:tcPr>
            <w:tcW w:w="1650" w:type="pct"/>
            <w:hideMark/>
          </w:tcPr>
          <w:p w14:paraId="34B72B49"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Virškinimo trakto sutrikimai</w:t>
            </w:r>
          </w:p>
        </w:tc>
        <w:tc>
          <w:tcPr>
            <w:tcW w:w="1650" w:type="pct"/>
            <w:hideMark/>
          </w:tcPr>
          <w:p w14:paraId="72046DB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Stomatitas (3-4 laipsnio – 18%)</w:t>
            </w:r>
          </w:p>
          <w:p w14:paraId="2EF1789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Viduriavimas (3-4 laipsnio – 14%)</w:t>
            </w:r>
          </w:p>
          <w:p w14:paraId="00AC2FC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Pykinimas (3-4 laipsnio – 6%)</w:t>
            </w:r>
          </w:p>
          <w:p w14:paraId="68B1562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Vėmimas (3-4 laipsnio – 4%)</w:t>
            </w:r>
          </w:p>
          <w:p w14:paraId="7643223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Vidurių užkietėjimas (3-4 laipsnio – 1%)</w:t>
            </w:r>
          </w:p>
          <w:p w14:paraId="0884433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Pilvo skausmas (3-4 laipsnio – 2%)</w:t>
            </w:r>
          </w:p>
          <w:p w14:paraId="5513677A"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Dispepsija</w:t>
            </w:r>
          </w:p>
        </w:tc>
        <w:tc>
          <w:tcPr>
            <w:tcW w:w="1650" w:type="pct"/>
            <w:hideMark/>
          </w:tcPr>
          <w:p w14:paraId="64758CA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Viršutinio pilvo aukšto skausmas</w:t>
            </w:r>
          </w:p>
          <w:p w14:paraId="0CA1107A"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Burnos džiūvimas</w:t>
            </w:r>
          </w:p>
        </w:tc>
      </w:tr>
      <w:tr w:rsidR="003A7B6B" w:rsidRPr="00976ED6" w14:paraId="5792BC0E" w14:textId="77777777" w:rsidTr="005E6418">
        <w:tc>
          <w:tcPr>
            <w:tcW w:w="1650" w:type="pct"/>
            <w:hideMark/>
          </w:tcPr>
          <w:p w14:paraId="5075D3FB"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Odos ir poodinio audinio sutrikimai</w:t>
            </w:r>
          </w:p>
        </w:tc>
        <w:tc>
          <w:tcPr>
            <w:tcW w:w="1650" w:type="pct"/>
            <w:hideMark/>
          </w:tcPr>
          <w:p w14:paraId="53522896"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Rankų ir pėdų sindromas (3-4 laipsnio – 24%)</w:t>
            </w:r>
          </w:p>
          <w:p w14:paraId="11EBEB9F"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Alopecija (3-4 laipsnio – 6%)</w:t>
            </w:r>
          </w:p>
          <w:p w14:paraId="22BAE02C"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Nagų pažeidimai (3-4 laipsnio – 2%)</w:t>
            </w:r>
          </w:p>
        </w:tc>
        <w:tc>
          <w:tcPr>
            <w:tcW w:w="1650" w:type="pct"/>
            <w:hideMark/>
          </w:tcPr>
          <w:p w14:paraId="7636AE4E"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Dermatitas;</w:t>
            </w:r>
          </w:p>
          <w:p w14:paraId="2AC9DAA0"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Eriteminis išbėrimas (3-4 laipsnio – &lt; 1%)</w:t>
            </w:r>
          </w:p>
          <w:p w14:paraId="1CD5025F"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Nagų spalvos pokytis</w:t>
            </w:r>
          </w:p>
          <w:p w14:paraId="32C8AC9C"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Onicholizė (3-4 laipsnio – 1%)</w:t>
            </w:r>
          </w:p>
        </w:tc>
      </w:tr>
      <w:tr w:rsidR="003A7B6B" w:rsidRPr="00976ED6" w14:paraId="377FD678" w14:textId="77777777" w:rsidTr="005E6418">
        <w:tc>
          <w:tcPr>
            <w:tcW w:w="1650" w:type="pct"/>
            <w:hideMark/>
          </w:tcPr>
          <w:p w14:paraId="334547B1" w14:textId="77777777" w:rsidR="003A7B6B" w:rsidRPr="00976ED6" w:rsidRDefault="003A7B6B" w:rsidP="005E6418">
            <w:pPr>
              <w:widowControl w:val="0"/>
              <w:tabs>
                <w:tab w:val="left" w:pos="567"/>
                <w:tab w:val="left" w:pos="1296"/>
              </w:tabs>
              <w:rPr>
                <w:lang w:val="sl-SI"/>
              </w:rPr>
            </w:pPr>
            <w:r w:rsidRPr="00976ED6">
              <w:rPr>
                <w:lang w:val="sl-SI"/>
              </w:rPr>
              <w:t>Skeleto, raumenų ir jungiamojo audinio sutrikimai</w:t>
            </w:r>
          </w:p>
        </w:tc>
        <w:tc>
          <w:tcPr>
            <w:tcW w:w="1650" w:type="pct"/>
            <w:hideMark/>
          </w:tcPr>
          <w:p w14:paraId="03DC2CA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Mialgija (3-4 laipsnio – 2%)</w:t>
            </w:r>
          </w:p>
          <w:p w14:paraId="30A9532A"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Artralgija (3-4 laipsnio – 1%)</w:t>
            </w:r>
          </w:p>
        </w:tc>
        <w:tc>
          <w:tcPr>
            <w:tcW w:w="1650" w:type="pct"/>
            <w:hideMark/>
          </w:tcPr>
          <w:p w14:paraId="6AE845F3"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Galūnių skausmas (3-4 laipsnio – &lt; 1%)</w:t>
            </w:r>
          </w:p>
          <w:p w14:paraId="6BD0775B"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Nugaros skausmas (3-4 laipsnio – 1%)</w:t>
            </w:r>
          </w:p>
        </w:tc>
      </w:tr>
      <w:tr w:rsidR="003A7B6B" w:rsidRPr="00976ED6" w14:paraId="64B877BE" w14:textId="77777777" w:rsidTr="005E6418">
        <w:tc>
          <w:tcPr>
            <w:tcW w:w="1650" w:type="pct"/>
            <w:hideMark/>
          </w:tcPr>
          <w:p w14:paraId="3E538F89"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Bendrieji sutrikimai ir vartojimo vietos pažeidimai</w:t>
            </w:r>
          </w:p>
        </w:tc>
        <w:tc>
          <w:tcPr>
            <w:tcW w:w="1650" w:type="pct"/>
            <w:hideMark/>
          </w:tcPr>
          <w:p w14:paraId="26B661B9"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Astenija (3-4 laipsnio – 3%)</w:t>
            </w:r>
          </w:p>
          <w:p w14:paraId="3DCFBFB6"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Pireksija (3-4 laipsnio – 1%)</w:t>
            </w:r>
          </w:p>
          <w:p w14:paraId="65FA8A39"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Nuovargis arba silpnumas</w:t>
            </w:r>
          </w:p>
          <w:p w14:paraId="57959621"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lastRenderedPageBreak/>
              <w:t>(3-4 laipsnio – 5%)</w:t>
            </w:r>
          </w:p>
          <w:p w14:paraId="20AD5FA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Periferinė edema (3-4 laipsnio – 1%)</w:t>
            </w:r>
          </w:p>
        </w:tc>
        <w:tc>
          <w:tcPr>
            <w:tcW w:w="1650" w:type="pct"/>
            <w:hideMark/>
          </w:tcPr>
          <w:p w14:paraId="363A960E"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lastRenderedPageBreak/>
              <w:t>Letargija</w:t>
            </w:r>
          </w:p>
          <w:p w14:paraId="009B668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Skausmas</w:t>
            </w:r>
          </w:p>
        </w:tc>
      </w:tr>
      <w:tr w:rsidR="003A7B6B" w:rsidRPr="00976ED6" w14:paraId="323A38F2" w14:textId="77777777" w:rsidTr="005E6418">
        <w:tc>
          <w:tcPr>
            <w:tcW w:w="1650" w:type="pct"/>
            <w:hideMark/>
          </w:tcPr>
          <w:p w14:paraId="13D6B12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Tyrimai</w:t>
            </w:r>
          </w:p>
        </w:tc>
        <w:tc>
          <w:tcPr>
            <w:tcW w:w="1650" w:type="pct"/>
            <w:hideMark/>
          </w:tcPr>
          <w:p w14:paraId="2E571783"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w:t>
            </w:r>
          </w:p>
        </w:tc>
        <w:tc>
          <w:tcPr>
            <w:tcW w:w="1650" w:type="pct"/>
            <w:hideMark/>
          </w:tcPr>
          <w:p w14:paraId="5E2DB71B"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Svorio sumažėjimas 3-4 laipsnio</w:t>
            </w:r>
          </w:p>
          <w:p w14:paraId="1AD681B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Bilirubino koncentracijos kraujyje padidėjimas (9%)</w:t>
            </w:r>
          </w:p>
        </w:tc>
      </w:tr>
    </w:tbl>
    <w:p w14:paraId="7EA766F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726F842"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w:t>
      </w:r>
      <w:r>
        <w:rPr>
          <w:rFonts w:ascii="Times New Roman" w:hAnsi="Times New Roman" w:cs="Times New Roman"/>
          <w:u w:val="single"/>
          <w:lang w:val="sl-SI"/>
        </w:rPr>
        <w:t>a</w:t>
      </w:r>
      <w:r w:rsidRPr="00976ED6">
        <w:rPr>
          <w:rFonts w:ascii="Times New Roman" w:hAnsi="Times New Roman" w:cs="Times New Roman"/>
          <w:u w:val="single"/>
          <w:lang w:val="sl-SI"/>
        </w:rPr>
        <w:t xml:space="preserve">kselio 75 mg/m² su prednizonu arba prednizolonu dozę </w:t>
      </w:r>
      <w:r w:rsidRPr="002D2EC4">
        <w:rPr>
          <w:rFonts w:ascii="Times New Roman" w:hAnsi="Times New Roman" w:cs="Times New Roman"/>
          <w:u w:val="single"/>
        </w:rPr>
        <w:t>metastazavusio kastracijai atsparaus</w:t>
      </w:r>
      <w:r>
        <w:t xml:space="preserve"> </w:t>
      </w:r>
      <w:r w:rsidRPr="00976ED6">
        <w:rPr>
          <w:rFonts w:ascii="Times New Roman" w:hAnsi="Times New Roman" w:cs="Times New Roman"/>
          <w:u w:val="single"/>
          <w:lang w:val="sl-SI"/>
        </w:rPr>
        <w:t>prostatos vėžio kombinuotai terapijai, sąrašas lentelės forma</w:t>
      </w:r>
    </w:p>
    <w:p w14:paraId="2D0F020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3019"/>
      </w:tblGrid>
      <w:tr w:rsidR="003A7B6B" w:rsidRPr="00976ED6" w14:paraId="6614A14F"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33CD785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667" w:type="pct"/>
            <w:tcBorders>
              <w:top w:val="single" w:sz="4" w:space="0" w:color="auto"/>
              <w:left w:val="single" w:sz="4" w:space="0" w:color="auto"/>
              <w:bottom w:val="single" w:sz="4" w:space="0" w:color="auto"/>
              <w:right w:val="single" w:sz="4" w:space="0" w:color="auto"/>
            </w:tcBorders>
            <w:hideMark/>
          </w:tcPr>
          <w:p w14:paraId="6C8FA65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667" w:type="pct"/>
            <w:tcBorders>
              <w:top w:val="single" w:sz="4" w:space="0" w:color="auto"/>
              <w:left w:val="single" w:sz="4" w:space="0" w:color="auto"/>
              <w:bottom w:val="single" w:sz="4" w:space="0" w:color="auto"/>
              <w:right w:val="single" w:sz="4" w:space="0" w:color="auto"/>
            </w:tcBorders>
            <w:hideMark/>
          </w:tcPr>
          <w:p w14:paraId="5DECF23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r>
      <w:tr w:rsidR="003A7B6B" w:rsidRPr="00976ED6" w14:paraId="653AB5E0"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407D4D8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Infekcijos ir infestacijos</w:t>
            </w:r>
          </w:p>
        </w:tc>
        <w:tc>
          <w:tcPr>
            <w:tcW w:w="1667" w:type="pct"/>
            <w:tcBorders>
              <w:top w:val="single" w:sz="4" w:space="0" w:color="auto"/>
              <w:left w:val="single" w:sz="4" w:space="0" w:color="auto"/>
              <w:bottom w:val="single" w:sz="4" w:space="0" w:color="auto"/>
              <w:right w:val="single" w:sz="4" w:space="0" w:color="auto"/>
            </w:tcBorders>
            <w:hideMark/>
          </w:tcPr>
          <w:p w14:paraId="2214419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Infekcija (3-4 laipsnio – 3,3%)</w:t>
            </w:r>
          </w:p>
        </w:tc>
        <w:tc>
          <w:tcPr>
            <w:tcW w:w="1667" w:type="pct"/>
            <w:tcBorders>
              <w:top w:val="single" w:sz="4" w:space="0" w:color="auto"/>
              <w:left w:val="single" w:sz="4" w:space="0" w:color="auto"/>
              <w:bottom w:val="single" w:sz="4" w:space="0" w:color="auto"/>
              <w:right w:val="single" w:sz="4" w:space="0" w:color="auto"/>
            </w:tcBorders>
            <w:hideMark/>
          </w:tcPr>
          <w:p w14:paraId="7E24CF8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CB9D2F7"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18603D0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667" w:type="pct"/>
            <w:tcBorders>
              <w:top w:val="single" w:sz="4" w:space="0" w:color="auto"/>
              <w:left w:val="single" w:sz="4" w:space="0" w:color="auto"/>
              <w:bottom w:val="single" w:sz="4" w:space="0" w:color="auto"/>
              <w:right w:val="single" w:sz="4" w:space="0" w:color="auto"/>
            </w:tcBorders>
            <w:hideMark/>
          </w:tcPr>
          <w:p w14:paraId="3F10EEA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 (3-4 laipsnio – 32%)</w:t>
            </w:r>
          </w:p>
          <w:p w14:paraId="07A1869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Anemija (3-4 laipsnio – 4,9%)</w:t>
            </w:r>
          </w:p>
        </w:tc>
        <w:tc>
          <w:tcPr>
            <w:tcW w:w="1667" w:type="pct"/>
            <w:tcBorders>
              <w:top w:val="single" w:sz="4" w:space="0" w:color="auto"/>
              <w:left w:val="single" w:sz="4" w:space="0" w:color="auto"/>
              <w:bottom w:val="single" w:sz="4" w:space="0" w:color="auto"/>
              <w:right w:val="single" w:sz="4" w:space="0" w:color="auto"/>
            </w:tcBorders>
            <w:hideMark/>
          </w:tcPr>
          <w:p w14:paraId="5AB43E1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Trombocitopenija (3-4 laipsnio – 0,6%)</w:t>
            </w:r>
          </w:p>
          <w:p w14:paraId="4FBEFB4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tc>
      </w:tr>
      <w:tr w:rsidR="003A7B6B" w:rsidRPr="00976ED6" w14:paraId="4C8AE7EA"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2FDF2C3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667" w:type="pct"/>
            <w:tcBorders>
              <w:top w:val="single" w:sz="4" w:space="0" w:color="auto"/>
              <w:left w:val="single" w:sz="4" w:space="0" w:color="auto"/>
              <w:bottom w:val="single" w:sz="4" w:space="0" w:color="auto"/>
              <w:right w:val="single" w:sz="4" w:space="0" w:color="auto"/>
            </w:tcBorders>
            <w:hideMark/>
          </w:tcPr>
          <w:p w14:paraId="1FB015C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7" w:type="pct"/>
            <w:tcBorders>
              <w:top w:val="single" w:sz="4" w:space="0" w:color="auto"/>
              <w:left w:val="single" w:sz="4" w:space="0" w:color="auto"/>
              <w:bottom w:val="single" w:sz="4" w:space="0" w:color="auto"/>
              <w:right w:val="single" w:sz="4" w:space="0" w:color="auto"/>
            </w:tcBorders>
            <w:hideMark/>
          </w:tcPr>
          <w:p w14:paraId="413FED9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 (3-4 laipsnio – 0,6%)</w:t>
            </w:r>
          </w:p>
        </w:tc>
      </w:tr>
      <w:tr w:rsidR="003A7B6B" w:rsidRPr="00976ED6" w14:paraId="78551BC4"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07EFD3F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667" w:type="pct"/>
            <w:tcBorders>
              <w:top w:val="single" w:sz="4" w:space="0" w:color="auto"/>
              <w:left w:val="single" w:sz="4" w:space="0" w:color="auto"/>
              <w:bottom w:val="single" w:sz="4" w:space="0" w:color="auto"/>
              <w:right w:val="single" w:sz="4" w:space="0" w:color="auto"/>
            </w:tcBorders>
            <w:hideMark/>
          </w:tcPr>
          <w:p w14:paraId="16A3DAB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 (3-4 laipsnio – 0,6%)</w:t>
            </w:r>
          </w:p>
        </w:tc>
        <w:tc>
          <w:tcPr>
            <w:tcW w:w="1667" w:type="pct"/>
            <w:tcBorders>
              <w:top w:val="single" w:sz="4" w:space="0" w:color="auto"/>
              <w:left w:val="single" w:sz="4" w:space="0" w:color="auto"/>
              <w:bottom w:val="single" w:sz="4" w:space="0" w:color="auto"/>
              <w:right w:val="single" w:sz="4" w:space="0" w:color="auto"/>
            </w:tcBorders>
            <w:hideMark/>
          </w:tcPr>
          <w:p w14:paraId="270B51F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B8CF33E"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74172BA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667" w:type="pct"/>
            <w:tcBorders>
              <w:top w:val="single" w:sz="4" w:space="0" w:color="auto"/>
              <w:left w:val="single" w:sz="4" w:space="0" w:color="auto"/>
              <w:bottom w:val="single" w:sz="4" w:space="0" w:color="auto"/>
              <w:right w:val="single" w:sz="4" w:space="0" w:color="auto"/>
            </w:tcBorders>
            <w:hideMark/>
          </w:tcPr>
          <w:p w14:paraId="37F1C26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(3-4 laipsnio – 1,2%)</w:t>
            </w:r>
          </w:p>
          <w:p w14:paraId="50BB366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Disgeuzija (3-4 laipsnio – 0%)</w:t>
            </w:r>
          </w:p>
        </w:tc>
        <w:tc>
          <w:tcPr>
            <w:tcW w:w="1667" w:type="pct"/>
            <w:tcBorders>
              <w:top w:val="single" w:sz="4" w:space="0" w:color="auto"/>
              <w:left w:val="single" w:sz="4" w:space="0" w:color="auto"/>
              <w:bottom w:val="single" w:sz="4" w:space="0" w:color="auto"/>
              <w:right w:val="single" w:sz="4" w:space="0" w:color="auto"/>
            </w:tcBorders>
            <w:hideMark/>
          </w:tcPr>
          <w:p w14:paraId="39227FC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motorinė neuropatija (3-4 laipsnio – 0%)</w:t>
            </w:r>
          </w:p>
        </w:tc>
      </w:tr>
      <w:tr w:rsidR="003A7B6B" w:rsidRPr="00976ED6" w14:paraId="45B59750"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695C9EB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Akių sutrikimai</w:t>
            </w:r>
          </w:p>
        </w:tc>
        <w:tc>
          <w:tcPr>
            <w:tcW w:w="1667" w:type="pct"/>
            <w:tcBorders>
              <w:top w:val="single" w:sz="4" w:space="0" w:color="auto"/>
              <w:left w:val="single" w:sz="4" w:space="0" w:color="auto"/>
              <w:bottom w:val="single" w:sz="4" w:space="0" w:color="auto"/>
              <w:right w:val="single" w:sz="4" w:space="0" w:color="auto"/>
            </w:tcBorders>
            <w:hideMark/>
          </w:tcPr>
          <w:p w14:paraId="2140A7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7" w:type="pct"/>
            <w:tcBorders>
              <w:top w:val="single" w:sz="4" w:space="0" w:color="auto"/>
              <w:left w:val="single" w:sz="4" w:space="0" w:color="auto"/>
              <w:bottom w:val="single" w:sz="4" w:space="0" w:color="auto"/>
              <w:right w:val="single" w:sz="4" w:space="0" w:color="auto"/>
            </w:tcBorders>
            <w:hideMark/>
          </w:tcPr>
          <w:p w14:paraId="4874D8F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Ašarojimo sustiprėjimas (3-4 laipsnio – 0,6%)</w:t>
            </w:r>
          </w:p>
        </w:tc>
      </w:tr>
      <w:tr w:rsidR="003A7B6B" w:rsidRPr="00976ED6" w14:paraId="7018635C"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627AA86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667" w:type="pct"/>
            <w:tcBorders>
              <w:top w:val="single" w:sz="4" w:space="0" w:color="auto"/>
              <w:left w:val="single" w:sz="4" w:space="0" w:color="auto"/>
              <w:bottom w:val="single" w:sz="4" w:space="0" w:color="auto"/>
              <w:right w:val="single" w:sz="4" w:space="0" w:color="auto"/>
            </w:tcBorders>
            <w:hideMark/>
          </w:tcPr>
          <w:p w14:paraId="169AAD0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7" w:type="pct"/>
            <w:tcBorders>
              <w:top w:val="single" w:sz="4" w:space="0" w:color="auto"/>
              <w:left w:val="single" w:sz="4" w:space="0" w:color="auto"/>
              <w:bottom w:val="single" w:sz="4" w:space="0" w:color="auto"/>
              <w:right w:val="single" w:sz="4" w:space="0" w:color="auto"/>
            </w:tcBorders>
            <w:hideMark/>
          </w:tcPr>
          <w:p w14:paraId="46EC3E2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Kairiojo širdies skilvelio funkcijos susilpnėjimas (3-4 laipsnio – 0,3%)</w:t>
            </w:r>
          </w:p>
        </w:tc>
      </w:tr>
      <w:tr w:rsidR="003A7B6B" w:rsidRPr="00976ED6" w14:paraId="581CFA09"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72A8A56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Kvėpavimo sistemos, krūtinės ląstos ir tarpuplaučio sutrikimai</w:t>
            </w:r>
          </w:p>
        </w:tc>
        <w:tc>
          <w:tcPr>
            <w:tcW w:w="1667" w:type="pct"/>
            <w:tcBorders>
              <w:top w:val="single" w:sz="4" w:space="0" w:color="auto"/>
              <w:left w:val="single" w:sz="4" w:space="0" w:color="auto"/>
              <w:bottom w:val="single" w:sz="4" w:space="0" w:color="auto"/>
              <w:right w:val="single" w:sz="4" w:space="0" w:color="auto"/>
            </w:tcBorders>
            <w:hideMark/>
          </w:tcPr>
          <w:p w14:paraId="4ADF1AB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7" w:type="pct"/>
            <w:tcBorders>
              <w:top w:val="single" w:sz="4" w:space="0" w:color="auto"/>
              <w:left w:val="single" w:sz="4" w:space="0" w:color="auto"/>
              <w:bottom w:val="single" w:sz="4" w:space="0" w:color="auto"/>
              <w:right w:val="single" w:sz="4" w:space="0" w:color="auto"/>
            </w:tcBorders>
            <w:hideMark/>
          </w:tcPr>
          <w:p w14:paraId="6C11C44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Epistaksė (3-4 laipsnio – 0%)</w:t>
            </w:r>
          </w:p>
          <w:p w14:paraId="00A324F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Dusulys (3-4 laipsnio – 0,6%)</w:t>
            </w:r>
          </w:p>
          <w:p w14:paraId="0DCEF86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Kosulys (3-4 laipsnio – 0%)</w:t>
            </w:r>
          </w:p>
        </w:tc>
      </w:tr>
      <w:tr w:rsidR="003A7B6B" w:rsidRPr="00976ED6" w14:paraId="54462D30"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6AB1167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667" w:type="pct"/>
            <w:tcBorders>
              <w:top w:val="single" w:sz="4" w:space="0" w:color="auto"/>
              <w:left w:val="single" w:sz="4" w:space="0" w:color="auto"/>
              <w:bottom w:val="single" w:sz="4" w:space="0" w:color="auto"/>
              <w:right w:val="single" w:sz="4" w:space="0" w:color="auto"/>
            </w:tcBorders>
            <w:hideMark/>
          </w:tcPr>
          <w:p w14:paraId="26B746F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 2,4%)</w:t>
            </w:r>
          </w:p>
          <w:p w14:paraId="60296D7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 (3-4 laipsnio – 1,2%)</w:t>
            </w:r>
          </w:p>
          <w:p w14:paraId="3059F10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arba faringitas (3-4 laipsnio – 0,9%)</w:t>
            </w:r>
          </w:p>
          <w:p w14:paraId="0580A89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 – 1,2%)</w:t>
            </w:r>
          </w:p>
        </w:tc>
        <w:tc>
          <w:tcPr>
            <w:tcW w:w="1667" w:type="pct"/>
            <w:tcBorders>
              <w:top w:val="single" w:sz="4" w:space="0" w:color="auto"/>
              <w:left w:val="single" w:sz="4" w:space="0" w:color="auto"/>
              <w:bottom w:val="single" w:sz="4" w:space="0" w:color="auto"/>
              <w:right w:val="single" w:sz="4" w:space="0" w:color="auto"/>
            </w:tcBorders>
            <w:hideMark/>
          </w:tcPr>
          <w:p w14:paraId="33D02C7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18E79DA"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23407C7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667" w:type="pct"/>
            <w:tcBorders>
              <w:top w:val="single" w:sz="4" w:space="0" w:color="auto"/>
              <w:left w:val="single" w:sz="4" w:space="0" w:color="auto"/>
              <w:bottom w:val="single" w:sz="4" w:space="0" w:color="auto"/>
              <w:right w:val="single" w:sz="4" w:space="0" w:color="auto"/>
            </w:tcBorders>
            <w:hideMark/>
          </w:tcPr>
          <w:p w14:paraId="7BF43FB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w:t>
            </w:r>
          </w:p>
          <w:p w14:paraId="643C4E4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Nagų pažeidimai (nesunkūs)</w:t>
            </w:r>
          </w:p>
        </w:tc>
        <w:tc>
          <w:tcPr>
            <w:tcW w:w="1667" w:type="pct"/>
            <w:tcBorders>
              <w:top w:val="single" w:sz="4" w:space="0" w:color="auto"/>
              <w:left w:val="single" w:sz="4" w:space="0" w:color="auto"/>
              <w:bottom w:val="single" w:sz="4" w:space="0" w:color="auto"/>
              <w:right w:val="single" w:sz="4" w:space="0" w:color="auto"/>
            </w:tcBorders>
            <w:hideMark/>
          </w:tcPr>
          <w:p w14:paraId="7894DA7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Eksfoliacinis išbėrimas (3-4 laipsnio – 0,3%)</w:t>
            </w:r>
          </w:p>
        </w:tc>
      </w:tr>
      <w:tr w:rsidR="003A7B6B" w:rsidRPr="00976ED6" w14:paraId="271068EA"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51E559A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Skeleto, raumenų ir jungiamojo audinio sutrikimai</w:t>
            </w:r>
          </w:p>
        </w:tc>
        <w:tc>
          <w:tcPr>
            <w:tcW w:w="1667" w:type="pct"/>
            <w:tcBorders>
              <w:top w:val="single" w:sz="4" w:space="0" w:color="auto"/>
              <w:left w:val="single" w:sz="4" w:space="0" w:color="auto"/>
              <w:bottom w:val="single" w:sz="4" w:space="0" w:color="auto"/>
              <w:right w:val="single" w:sz="4" w:space="0" w:color="auto"/>
            </w:tcBorders>
            <w:hideMark/>
          </w:tcPr>
          <w:p w14:paraId="66ADB4C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7" w:type="pct"/>
            <w:tcBorders>
              <w:top w:val="single" w:sz="4" w:space="0" w:color="auto"/>
              <w:left w:val="single" w:sz="4" w:space="0" w:color="auto"/>
              <w:bottom w:val="single" w:sz="4" w:space="0" w:color="auto"/>
              <w:right w:val="single" w:sz="4" w:space="0" w:color="auto"/>
            </w:tcBorders>
            <w:hideMark/>
          </w:tcPr>
          <w:p w14:paraId="30FE5DA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Artralgija (3-4 laipsnio – 0,3%)</w:t>
            </w:r>
          </w:p>
          <w:p w14:paraId="295B1A6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Mialgija (3-4 laipsnio – 0,3%)</w:t>
            </w:r>
          </w:p>
        </w:tc>
      </w:tr>
      <w:tr w:rsidR="003A7B6B" w:rsidRPr="00976ED6" w14:paraId="0B3B6EE1" w14:textId="77777777" w:rsidTr="005E6418">
        <w:tc>
          <w:tcPr>
            <w:tcW w:w="1667" w:type="pct"/>
            <w:tcBorders>
              <w:top w:val="single" w:sz="4" w:space="0" w:color="auto"/>
              <w:left w:val="single" w:sz="4" w:space="0" w:color="auto"/>
              <w:bottom w:val="single" w:sz="4" w:space="0" w:color="auto"/>
              <w:right w:val="single" w:sz="4" w:space="0" w:color="auto"/>
            </w:tcBorders>
            <w:hideMark/>
          </w:tcPr>
          <w:p w14:paraId="3B9592C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667" w:type="pct"/>
            <w:tcBorders>
              <w:top w:val="single" w:sz="4" w:space="0" w:color="auto"/>
              <w:left w:val="single" w:sz="4" w:space="0" w:color="auto"/>
              <w:bottom w:val="single" w:sz="4" w:space="0" w:color="auto"/>
              <w:right w:val="single" w:sz="4" w:space="0" w:color="auto"/>
            </w:tcBorders>
            <w:hideMark/>
          </w:tcPr>
          <w:p w14:paraId="742CB7D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Nuovargis (3-4 laipsnio – 3,9%)</w:t>
            </w:r>
          </w:p>
          <w:p w14:paraId="7296250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Skysčių susilaikymas (sunkus – 0,6%)</w:t>
            </w:r>
          </w:p>
        </w:tc>
        <w:tc>
          <w:tcPr>
            <w:tcW w:w="1667" w:type="pct"/>
            <w:tcBorders>
              <w:top w:val="single" w:sz="4" w:space="0" w:color="auto"/>
              <w:left w:val="single" w:sz="4" w:space="0" w:color="auto"/>
              <w:bottom w:val="single" w:sz="4" w:space="0" w:color="auto"/>
              <w:right w:val="single" w:sz="4" w:space="0" w:color="auto"/>
            </w:tcBorders>
            <w:hideMark/>
          </w:tcPr>
          <w:p w14:paraId="05182B2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bl>
    <w:p w14:paraId="021951B5" w14:textId="77777777" w:rsidR="003A7B6B" w:rsidRPr="002D2EC4" w:rsidRDefault="003A7B6B" w:rsidP="003A7B6B">
      <w:pPr>
        <w:widowControl w:val="0"/>
        <w:tabs>
          <w:tab w:val="left" w:pos="567"/>
          <w:tab w:val="left" w:pos="1296"/>
        </w:tabs>
        <w:ind w:left="0" w:firstLine="0"/>
        <w:rPr>
          <w:rFonts w:ascii="Times New Roman" w:hAnsi="Times New Roman" w:cs="Times New Roman"/>
        </w:rPr>
      </w:pPr>
    </w:p>
    <w:p w14:paraId="2060476D" w14:textId="77777777" w:rsidR="003A7B6B" w:rsidRPr="002D2EC4" w:rsidRDefault="003A7B6B" w:rsidP="003A7B6B">
      <w:pPr>
        <w:widowControl w:val="0"/>
        <w:tabs>
          <w:tab w:val="left" w:pos="567"/>
          <w:tab w:val="left" w:pos="1296"/>
        </w:tabs>
        <w:ind w:left="0" w:firstLine="0"/>
        <w:rPr>
          <w:rFonts w:ascii="Times New Roman" w:hAnsi="Times New Roman" w:cs="Times New Roman"/>
          <w:u w:val="single"/>
        </w:rPr>
      </w:pPr>
      <w:r w:rsidRPr="002D2EC4">
        <w:rPr>
          <w:rFonts w:ascii="Times New Roman" w:hAnsi="Times New Roman" w:cs="Times New Roman"/>
          <w:u w:val="single"/>
        </w:rPr>
        <w:t xml:space="preserve">Nepageidaujamų reakcijų, atsiradusių vartojant </w:t>
      </w:r>
      <w:r w:rsidRPr="007417E0">
        <w:rPr>
          <w:rFonts w:ascii="Times New Roman" w:hAnsi="Times New Roman" w:cs="Times New Roman"/>
          <w:u w:val="single"/>
          <w:lang w:val="sl-SI"/>
        </w:rPr>
        <w:t>docetakselio</w:t>
      </w:r>
      <w:r w:rsidRPr="002D2EC4">
        <w:rPr>
          <w:rFonts w:ascii="Times New Roman" w:hAnsi="Times New Roman" w:cs="Times New Roman"/>
          <w:u w:val="single"/>
        </w:rPr>
        <w:t xml:space="preserve"> 75 mg/m² dozę kartu su prednizonu arba prednizolonu ir ADT didelės rizikos lokaliai progresavusio ar metastazavusio hormonams jautraus prostatos vėžio gydymui (STAMPEDE tyrimas), sąrašas lentelės forma</w:t>
      </w:r>
    </w:p>
    <w:p w14:paraId="28A0DCB2" w14:textId="77777777" w:rsidR="003A7B6B" w:rsidRDefault="003A7B6B" w:rsidP="003A7B6B">
      <w:pPr>
        <w:widowControl w:val="0"/>
        <w:tabs>
          <w:tab w:val="left" w:pos="567"/>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3019"/>
      </w:tblGrid>
      <w:tr w:rsidR="003A7B6B" w:rsidRPr="00976ED6" w14:paraId="439A04E5"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3E3F56B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667" w:type="pct"/>
            <w:tcBorders>
              <w:top w:val="single" w:sz="4" w:space="0" w:color="auto"/>
              <w:left w:val="single" w:sz="4" w:space="0" w:color="auto"/>
              <w:bottom w:val="single" w:sz="4" w:space="0" w:color="auto"/>
              <w:right w:val="single" w:sz="4" w:space="0" w:color="auto"/>
            </w:tcBorders>
            <w:hideMark/>
          </w:tcPr>
          <w:p w14:paraId="1EEE208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666" w:type="pct"/>
            <w:tcBorders>
              <w:top w:val="single" w:sz="4" w:space="0" w:color="auto"/>
              <w:left w:val="single" w:sz="4" w:space="0" w:color="auto"/>
              <w:bottom w:val="single" w:sz="4" w:space="0" w:color="auto"/>
              <w:right w:val="single" w:sz="4" w:space="0" w:color="auto"/>
            </w:tcBorders>
            <w:hideMark/>
          </w:tcPr>
          <w:p w14:paraId="30623BB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r>
      <w:tr w:rsidR="003A7B6B" w:rsidRPr="00976ED6" w14:paraId="3BC6988F"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06BA931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667" w:type="pct"/>
            <w:tcBorders>
              <w:top w:val="single" w:sz="4" w:space="0" w:color="auto"/>
              <w:left w:val="single" w:sz="4" w:space="0" w:color="auto"/>
              <w:bottom w:val="single" w:sz="4" w:space="0" w:color="auto"/>
              <w:right w:val="single" w:sz="4" w:space="0" w:color="auto"/>
            </w:tcBorders>
            <w:hideMark/>
          </w:tcPr>
          <w:p w14:paraId="3EAABC24" w14:textId="1D3C9C08" w:rsidR="003A7B6B" w:rsidRPr="00C91F0E" w:rsidRDefault="003A7B6B" w:rsidP="005E6418">
            <w:pPr>
              <w:widowControl w:val="0"/>
              <w:tabs>
                <w:tab w:val="left" w:pos="567"/>
                <w:tab w:val="left" w:pos="1296"/>
              </w:tabs>
              <w:ind w:left="0" w:firstLine="0"/>
              <w:rPr>
                <w:rFonts w:ascii="Times New Roman" w:hAnsi="Times New Roman" w:cs="Times New Roman"/>
                <w:color w:val="000000"/>
                <w:lang w:val="sl-SI"/>
              </w:rPr>
            </w:pPr>
            <w:r w:rsidRPr="00C91F0E">
              <w:rPr>
                <w:rFonts w:ascii="Times New Roman" w:hAnsi="Times New Roman" w:cs="Times New Roman"/>
                <w:color w:val="000000"/>
                <w:lang w:val="sl-SI"/>
              </w:rPr>
              <w:t xml:space="preserve">Neutropenija (3-4 laipsnio – </w:t>
            </w:r>
            <w:r w:rsidR="00272B17" w:rsidRPr="00C91F0E">
              <w:rPr>
                <w:rFonts w:ascii="Times New Roman" w:hAnsi="Times New Roman" w:cs="Times New Roman"/>
                <w:color w:val="000000"/>
                <w:lang w:val="sl-SI"/>
              </w:rPr>
              <w:t>1</w:t>
            </w:r>
            <w:r w:rsidRPr="00C91F0E">
              <w:rPr>
                <w:rFonts w:ascii="Times New Roman" w:hAnsi="Times New Roman" w:cs="Times New Roman"/>
                <w:color w:val="000000"/>
                <w:lang w:val="sl-SI"/>
              </w:rPr>
              <w:t>2%)</w:t>
            </w:r>
            <w:r w:rsidR="00272B17" w:rsidRPr="00C91F0E">
              <w:rPr>
                <w:rFonts w:ascii="Times New Roman" w:hAnsi="Times New Roman" w:cs="Times New Roman"/>
                <w:color w:val="000000"/>
                <w:lang w:val="sl-SI"/>
              </w:rPr>
              <w:t>, anemija</w:t>
            </w:r>
          </w:p>
          <w:p w14:paraId="37008D8A" w14:textId="77777777" w:rsidR="003A7B6B" w:rsidRPr="00C23435" w:rsidRDefault="003A7B6B" w:rsidP="005E6418">
            <w:pPr>
              <w:widowControl w:val="0"/>
              <w:tabs>
                <w:tab w:val="left" w:pos="567"/>
                <w:tab w:val="left" w:pos="1296"/>
              </w:tabs>
              <w:ind w:left="0" w:firstLine="0"/>
              <w:rPr>
                <w:rFonts w:ascii="Times New Roman" w:hAnsi="Times New Roman" w:cs="Times New Roman"/>
                <w:color w:val="000000"/>
                <w:lang w:val="sl-SI"/>
              </w:rPr>
            </w:pPr>
            <w:r w:rsidRPr="00C91F0E">
              <w:rPr>
                <w:rFonts w:ascii="Times New Roman" w:hAnsi="Times New Roman" w:cs="Times New Roman"/>
              </w:rPr>
              <w:t>Febrilinė</w:t>
            </w:r>
            <w:r w:rsidRPr="002D2EC4">
              <w:rPr>
                <w:rFonts w:ascii="Times New Roman" w:hAnsi="Times New Roman" w:cs="Times New Roman"/>
              </w:rPr>
              <w:t xml:space="preserve"> neutropenija (3-4 </w:t>
            </w:r>
            <w:r w:rsidRPr="002D2EC4">
              <w:rPr>
                <w:rFonts w:ascii="Times New Roman" w:hAnsi="Times New Roman" w:cs="Times New Roman"/>
              </w:rPr>
              <w:lastRenderedPageBreak/>
              <w:t>laipsnio – 15 %)</w:t>
            </w:r>
          </w:p>
        </w:tc>
        <w:tc>
          <w:tcPr>
            <w:tcW w:w="1666" w:type="pct"/>
            <w:tcBorders>
              <w:top w:val="single" w:sz="4" w:space="0" w:color="auto"/>
              <w:left w:val="single" w:sz="4" w:space="0" w:color="auto"/>
              <w:bottom w:val="single" w:sz="4" w:space="0" w:color="auto"/>
              <w:right w:val="single" w:sz="4" w:space="0" w:color="auto"/>
            </w:tcBorders>
            <w:hideMark/>
          </w:tcPr>
          <w:p w14:paraId="2B42C68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 </w:t>
            </w:r>
          </w:p>
        </w:tc>
      </w:tr>
      <w:tr w:rsidR="003A7B6B" w:rsidRPr="00976ED6" w14:paraId="3FACCE9A"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4CD7814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667" w:type="pct"/>
            <w:tcBorders>
              <w:top w:val="single" w:sz="4" w:space="0" w:color="auto"/>
              <w:left w:val="single" w:sz="4" w:space="0" w:color="auto"/>
              <w:bottom w:val="single" w:sz="4" w:space="0" w:color="auto"/>
              <w:right w:val="single" w:sz="4" w:space="0" w:color="auto"/>
            </w:tcBorders>
            <w:hideMark/>
          </w:tcPr>
          <w:p w14:paraId="0287B77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6" w:type="pct"/>
            <w:tcBorders>
              <w:top w:val="single" w:sz="4" w:space="0" w:color="auto"/>
              <w:left w:val="single" w:sz="4" w:space="0" w:color="auto"/>
              <w:bottom w:val="single" w:sz="4" w:space="0" w:color="auto"/>
              <w:right w:val="single" w:sz="4" w:space="0" w:color="auto"/>
            </w:tcBorders>
            <w:hideMark/>
          </w:tcPr>
          <w:p w14:paraId="2B964A4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w:t>
            </w:r>
            <w:r>
              <w:rPr>
                <w:rFonts w:ascii="Times New Roman" w:hAnsi="Times New Roman" w:cs="Times New Roman"/>
                <w:color w:val="000000"/>
                <w:lang w:val="sl-SI"/>
              </w:rPr>
              <w:t xml:space="preserve">ęs jautrumas (3-4 laipsnio – </w:t>
            </w:r>
            <w:r>
              <w:rPr>
                <w:rFonts w:ascii="Times New Roman" w:hAnsi="Times New Roman" w:cs="Times New Roman"/>
                <w:color w:val="000000"/>
                <w:lang w:val="en-US"/>
              </w:rPr>
              <w:t>1</w:t>
            </w:r>
            <w:r w:rsidRPr="00976ED6">
              <w:rPr>
                <w:rFonts w:ascii="Times New Roman" w:hAnsi="Times New Roman" w:cs="Times New Roman"/>
                <w:color w:val="000000"/>
                <w:lang w:val="sl-SI"/>
              </w:rPr>
              <w:t>%)</w:t>
            </w:r>
          </w:p>
        </w:tc>
      </w:tr>
      <w:tr w:rsidR="003A7B6B" w:rsidRPr="00976ED6" w14:paraId="38CAAFB0" w14:textId="77777777" w:rsidTr="005E6418">
        <w:tc>
          <w:tcPr>
            <w:tcW w:w="1667" w:type="pct"/>
            <w:tcBorders>
              <w:top w:val="single" w:sz="4" w:space="0" w:color="auto"/>
              <w:left w:val="single" w:sz="4" w:space="0" w:color="auto"/>
              <w:bottom w:val="single" w:sz="4" w:space="0" w:color="auto"/>
              <w:right w:val="single" w:sz="4" w:space="0" w:color="auto"/>
            </w:tcBorders>
          </w:tcPr>
          <w:p w14:paraId="637ED2F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Pr>
                <w:rFonts w:ascii="Times New Roman" w:hAnsi="Times New Roman" w:cs="Times New Roman"/>
                <w:color w:val="000000"/>
                <w:lang w:val="sl-SI"/>
              </w:rPr>
              <w:t>Endokrininiai sutrikimai</w:t>
            </w:r>
          </w:p>
        </w:tc>
        <w:tc>
          <w:tcPr>
            <w:tcW w:w="1667" w:type="pct"/>
            <w:tcBorders>
              <w:top w:val="single" w:sz="4" w:space="0" w:color="auto"/>
              <w:left w:val="single" w:sz="4" w:space="0" w:color="auto"/>
              <w:bottom w:val="single" w:sz="4" w:space="0" w:color="auto"/>
              <w:right w:val="single" w:sz="4" w:space="0" w:color="auto"/>
            </w:tcBorders>
          </w:tcPr>
          <w:p w14:paraId="13714D71" w14:textId="77777777" w:rsidR="003A7B6B" w:rsidRPr="00C23435" w:rsidRDefault="003A7B6B" w:rsidP="005E6418">
            <w:pPr>
              <w:widowControl w:val="0"/>
              <w:tabs>
                <w:tab w:val="left" w:pos="567"/>
                <w:tab w:val="left" w:pos="1296"/>
              </w:tabs>
              <w:ind w:left="0" w:firstLine="0"/>
              <w:rPr>
                <w:rFonts w:ascii="Times New Roman" w:hAnsi="Times New Roman" w:cs="Times New Roman"/>
                <w:color w:val="000000"/>
                <w:lang w:val="sl-SI"/>
              </w:rPr>
            </w:pPr>
            <w:r w:rsidRPr="00C23435">
              <w:rPr>
                <w:rFonts w:ascii="Times New Roman" w:hAnsi="Times New Roman" w:cs="Times New Roman"/>
                <w:color w:val="000000"/>
                <w:lang w:val="sl-SI"/>
              </w:rPr>
              <w:t> </w:t>
            </w:r>
          </w:p>
        </w:tc>
        <w:tc>
          <w:tcPr>
            <w:tcW w:w="1666" w:type="pct"/>
            <w:tcBorders>
              <w:top w:val="single" w:sz="4" w:space="0" w:color="auto"/>
              <w:left w:val="single" w:sz="4" w:space="0" w:color="auto"/>
              <w:bottom w:val="single" w:sz="4" w:space="0" w:color="auto"/>
              <w:right w:val="single" w:sz="4" w:space="0" w:color="auto"/>
            </w:tcBorders>
          </w:tcPr>
          <w:p w14:paraId="7CB4A27E" w14:textId="77777777" w:rsidR="003A7B6B" w:rsidRPr="00C23435" w:rsidRDefault="003A7B6B" w:rsidP="005E6418">
            <w:pPr>
              <w:widowControl w:val="0"/>
              <w:tabs>
                <w:tab w:val="left" w:pos="567"/>
                <w:tab w:val="left" w:pos="1296"/>
              </w:tabs>
              <w:ind w:left="0" w:firstLine="0"/>
              <w:rPr>
                <w:rFonts w:ascii="Times New Roman" w:hAnsi="Times New Roman" w:cs="Times New Roman"/>
                <w:color w:val="000000"/>
                <w:lang w:val="sl-SI"/>
              </w:rPr>
            </w:pPr>
            <w:r w:rsidRPr="00C23435">
              <w:rPr>
                <w:rFonts w:ascii="Times New Roman" w:hAnsi="Times New Roman" w:cs="Times New Roman"/>
                <w:color w:val="000000"/>
                <w:lang w:val="sl-SI"/>
              </w:rPr>
              <w:t xml:space="preserve">Cukrinis diabetas </w:t>
            </w:r>
            <w:r w:rsidRPr="002D2EC4">
              <w:rPr>
                <w:rFonts w:ascii="Times New Roman" w:hAnsi="Times New Roman" w:cs="Times New Roman"/>
              </w:rPr>
              <w:t>(3-4 laipsnio – 1%)</w:t>
            </w:r>
          </w:p>
        </w:tc>
      </w:tr>
      <w:tr w:rsidR="003A7B6B" w:rsidRPr="00976ED6" w14:paraId="3FFBB37D"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52C2CCC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667" w:type="pct"/>
            <w:tcBorders>
              <w:top w:val="single" w:sz="4" w:space="0" w:color="auto"/>
              <w:left w:val="single" w:sz="4" w:space="0" w:color="auto"/>
              <w:bottom w:val="single" w:sz="4" w:space="0" w:color="auto"/>
              <w:right w:val="single" w:sz="4" w:space="0" w:color="auto"/>
            </w:tcBorders>
            <w:hideMark/>
          </w:tcPr>
          <w:p w14:paraId="1636BFF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6" w:type="pct"/>
            <w:tcBorders>
              <w:top w:val="single" w:sz="4" w:space="0" w:color="auto"/>
              <w:left w:val="single" w:sz="4" w:space="0" w:color="auto"/>
              <w:bottom w:val="single" w:sz="4" w:space="0" w:color="auto"/>
              <w:right w:val="single" w:sz="4" w:space="0" w:color="auto"/>
            </w:tcBorders>
            <w:hideMark/>
          </w:tcPr>
          <w:p w14:paraId="4D6F401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Pr>
                <w:rFonts w:ascii="Times New Roman" w:hAnsi="Times New Roman" w:cs="Times New Roman"/>
                <w:color w:val="000000"/>
                <w:lang w:val="sl-SI"/>
              </w:rPr>
              <w:t>Anoreksija</w:t>
            </w:r>
          </w:p>
        </w:tc>
      </w:tr>
      <w:tr w:rsidR="003A7B6B" w:rsidRPr="00976ED6" w14:paraId="039C62BC" w14:textId="77777777" w:rsidTr="005E6418">
        <w:tc>
          <w:tcPr>
            <w:tcW w:w="1667" w:type="pct"/>
            <w:tcBorders>
              <w:top w:val="single" w:sz="4" w:space="0" w:color="auto"/>
              <w:left w:val="single" w:sz="4" w:space="0" w:color="auto"/>
              <w:bottom w:val="single" w:sz="4" w:space="0" w:color="auto"/>
              <w:right w:val="single" w:sz="4" w:space="0" w:color="auto"/>
            </w:tcBorders>
          </w:tcPr>
          <w:p w14:paraId="36218E2A"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2D2EC4">
              <w:rPr>
                <w:rFonts w:ascii="Times New Roman" w:hAnsi="Times New Roman" w:cs="Times New Roman"/>
              </w:rPr>
              <w:t>Psichikos sutrikimai</w:t>
            </w:r>
          </w:p>
        </w:tc>
        <w:tc>
          <w:tcPr>
            <w:tcW w:w="1667" w:type="pct"/>
            <w:tcBorders>
              <w:top w:val="single" w:sz="4" w:space="0" w:color="auto"/>
              <w:left w:val="single" w:sz="4" w:space="0" w:color="auto"/>
              <w:bottom w:val="single" w:sz="4" w:space="0" w:color="auto"/>
              <w:right w:val="single" w:sz="4" w:space="0" w:color="auto"/>
            </w:tcBorders>
          </w:tcPr>
          <w:p w14:paraId="4057AD3C"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2D2EC4">
              <w:rPr>
                <w:rFonts w:ascii="Times New Roman" w:hAnsi="Times New Roman" w:cs="Times New Roman"/>
              </w:rPr>
              <w:t>Nemiga (3 laipsnio – 1 %)</w:t>
            </w:r>
          </w:p>
        </w:tc>
        <w:tc>
          <w:tcPr>
            <w:tcW w:w="1666" w:type="pct"/>
            <w:tcBorders>
              <w:top w:val="single" w:sz="4" w:space="0" w:color="auto"/>
              <w:left w:val="single" w:sz="4" w:space="0" w:color="auto"/>
              <w:bottom w:val="single" w:sz="4" w:space="0" w:color="auto"/>
              <w:right w:val="single" w:sz="4" w:space="0" w:color="auto"/>
            </w:tcBorders>
          </w:tcPr>
          <w:p w14:paraId="7E9DB7AD" w14:textId="77777777" w:rsidR="003A7B6B"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30E268F"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2184759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667" w:type="pct"/>
            <w:tcBorders>
              <w:top w:val="single" w:sz="4" w:space="0" w:color="auto"/>
              <w:left w:val="single" w:sz="4" w:space="0" w:color="auto"/>
              <w:bottom w:val="single" w:sz="4" w:space="0" w:color="auto"/>
              <w:right w:val="single" w:sz="4" w:space="0" w:color="auto"/>
            </w:tcBorders>
            <w:hideMark/>
          </w:tcPr>
          <w:p w14:paraId="719F79D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w:t>
            </w:r>
            <w:r w:rsidRPr="002D2EC4">
              <w:rPr>
                <w:rFonts w:ascii="Times New Roman" w:eastAsia="Times New Roman" w:hAnsi="Times New Roman" w:cs="Times New Roman"/>
                <w:color w:val="000000"/>
                <w:lang w:val="it-IT" w:eastAsia="sl-SI"/>
              </w:rPr>
              <w:t xml:space="preserve">≥ </w:t>
            </w:r>
            <w:r>
              <w:rPr>
                <w:rFonts w:ascii="Times New Roman" w:hAnsi="Times New Roman" w:cs="Times New Roman"/>
                <w:color w:val="000000"/>
                <w:lang w:val="sl-SI"/>
              </w:rPr>
              <w:t xml:space="preserve">3 laipsnio – </w:t>
            </w:r>
            <w:r w:rsidRPr="00976ED6">
              <w:rPr>
                <w:rFonts w:ascii="Times New Roman" w:hAnsi="Times New Roman" w:cs="Times New Roman"/>
                <w:color w:val="000000"/>
                <w:lang w:val="sl-SI"/>
              </w:rPr>
              <w:t>2%)</w:t>
            </w:r>
            <w:r w:rsidRPr="002D2EC4">
              <w:rPr>
                <w:rFonts w:ascii="Times New Roman" w:eastAsia="Times New Roman" w:hAnsi="Times New Roman" w:cs="Times New Roman"/>
                <w:color w:val="000000"/>
                <w:vertAlign w:val="superscript"/>
                <w:lang w:val="it-IT" w:eastAsia="sl-SI"/>
              </w:rPr>
              <w:t>a</w:t>
            </w:r>
          </w:p>
          <w:p w14:paraId="0E122D7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Pr>
                <w:rFonts w:ascii="Times New Roman" w:hAnsi="Times New Roman" w:cs="Times New Roman"/>
                <w:color w:val="000000"/>
                <w:lang w:val="sl-SI"/>
              </w:rPr>
              <w:t>Galvos skausmas</w:t>
            </w:r>
          </w:p>
        </w:tc>
        <w:tc>
          <w:tcPr>
            <w:tcW w:w="1666" w:type="pct"/>
            <w:tcBorders>
              <w:top w:val="single" w:sz="4" w:space="0" w:color="auto"/>
              <w:left w:val="single" w:sz="4" w:space="0" w:color="auto"/>
              <w:bottom w:val="single" w:sz="4" w:space="0" w:color="auto"/>
              <w:right w:val="single" w:sz="4" w:space="0" w:color="auto"/>
            </w:tcBorders>
            <w:hideMark/>
          </w:tcPr>
          <w:p w14:paraId="6A66C12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Pr>
                <w:rFonts w:ascii="Times New Roman" w:hAnsi="Times New Roman" w:cs="Times New Roman"/>
                <w:color w:val="000000"/>
                <w:lang w:val="sl-SI"/>
              </w:rPr>
              <w:t>Svaigulys</w:t>
            </w:r>
          </w:p>
        </w:tc>
      </w:tr>
      <w:tr w:rsidR="003A7B6B" w:rsidRPr="00976ED6" w14:paraId="1076E07A"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50E9E07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Akių sutrikimai</w:t>
            </w:r>
          </w:p>
        </w:tc>
        <w:tc>
          <w:tcPr>
            <w:tcW w:w="1667" w:type="pct"/>
            <w:tcBorders>
              <w:top w:val="single" w:sz="4" w:space="0" w:color="auto"/>
              <w:left w:val="single" w:sz="4" w:space="0" w:color="auto"/>
              <w:bottom w:val="single" w:sz="4" w:space="0" w:color="auto"/>
              <w:right w:val="single" w:sz="4" w:space="0" w:color="auto"/>
            </w:tcBorders>
            <w:hideMark/>
          </w:tcPr>
          <w:p w14:paraId="3754142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6" w:type="pct"/>
            <w:tcBorders>
              <w:top w:val="single" w:sz="4" w:space="0" w:color="auto"/>
              <w:left w:val="single" w:sz="4" w:space="0" w:color="auto"/>
              <w:bottom w:val="single" w:sz="4" w:space="0" w:color="auto"/>
              <w:right w:val="single" w:sz="4" w:space="0" w:color="auto"/>
            </w:tcBorders>
            <w:hideMark/>
          </w:tcPr>
          <w:p w14:paraId="2F955F54" w14:textId="77777777" w:rsidR="003A7B6B" w:rsidRPr="002D2EC4" w:rsidRDefault="003A7B6B" w:rsidP="005E6418">
            <w:pPr>
              <w:widowControl w:val="0"/>
              <w:tabs>
                <w:tab w:val="left" w:pos="567"/>
                <w:tab w:val="left" w:pos="1296"/>
              </w:tabs>
              <w:ind w:left="0" w:firstLine="0"/>
              <w:rPr>
                <w:rFonts w:ascii="Times New Roman" w:hAnsi="Times New Roman" w:cs="Times New Roman"/>
                <w:color w:val="000000"/>
              </w:rPr>
            </w:pPr>
            <w:r>
              <w:rPr>
                <w:rFonts w:ascii="Times New Roman" w:hAnsi="Times New Roman" w:cs="Times New Roman"/>
                <w:color w:val="000000"/>
                <w:lang w:val="sl-SI"/>
              </w:rPr>
              <w:t>Matomo vaizdo nery</w:t>
            </w:r>
            <w:r>
              <w:rPr>
                <w:rFonts w:ascii="Times New Roman" w:hAnsi="Times New Roman" w:cs="Times New Roman"/>
                <w:color w:val="000000"/>
              </w:rPr>
              <w:t>škumas</w:t>
            </w:r>
          </w:p>
        </w:tc>
      </w:tr>
      <w:tr w:rsidR="003A7B6B" w:rsidRPr="00976ED6" w14:paraId="07E69802"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3B8E5C5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667" w:type="pct"/>
            <w:tcBorders>
              <w:top w:val="single" w:sz="4" w:space="0" w:color="auto"/>
              <w:left w:val="single" w:sz="4" w:space="0" w:color="auto"/>
              <w:bottom w:val="single" w:sz="4" w:space="0" w:color="auto"/>
              <w:right w:val="single" w:sz="4" w:space="0" w:color="auto"/>
            </w:tcBorders>
            <w:hideMark/>
          </w:tcPr>
          <w:p w14:paraId="5F7891E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66" w:type="pct"/>
            <w:tcBorders>
              <w:top w:val="single" w:sz="4" w:space="0" w:color="auto"/>
              <w:left w:val="single" w:sz="4" w:space="0" w:color="auto"/>
              <w:bottom w:val="single" w:sz="4" w:space="0" w:color="auto"/>
              <w:right w:val="single" w:sz="4" w:space="0" w:color="auto"/>
            </w:tcBorders>
            <w:hideMark/>
          </w:tcPr>
          <w:p w14:paraId="2F812148"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2D2EC4">
              <w:rPr>
                <w:rFonts w:ascii="Times New Roman" w:hAnsi="Times New Roman" w:cs="Times New Roman"/>
              </w:rPr>
              <w:t>Hipotenzija (3 laipsnio – 0 %)</w:t>
            </w:r>
          </w:p>
        </w:tc>
      </w:tr>
      <w:tr w:rsidR="003A7B6B" w:rsidRPr="00976ED6" w14:paraId="4A5F639A"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346237D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Kvėpavimo sistemos, krūtinės ląstos ir tarpuplaučio sutrikimai</w:t>
            </w:r>
          </w:p>
        </w:tc>
        <w:tc>
          <w:tcPr>
            <w:tcW w:w="1667" w:type="pct"/>
            <w:tcBorders>
              <w:top w:val="single" w:sz="4" w:space="0" w:color="auto"/>
              <w:left w:val="single" w:sz="4" w:space="0" w:color="auto"/>
              <w:bottom w:val="single" w:sz="4" w:space="0" w:color="auto"/>
              <w:right w:val="single" w:sz="4" w:space="0" w:color="auto"/>
            </w:tcBorders>
            <w:hideMark/>
          </w:tcPr>
          <w:p w14:paraId="37049536"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B21929">
              <w:rPr>
                <w:rFonts w:ascii="Times New Roman" w:hAnsi="Times New Roman" w:cs="Times New Roman"/>
                <w:color w:val="000000"/>
                <w:lang w:val="sl-SI"/>
              </w:rPr>
              <w:t> </w:t>
            </w:r>
            <w:r w:rsidRPr="002D2EC4">
              <w:rPr>
                <w:rFonts w:ascii="Times New Roman" w:hAnsi="Times New Roman" w:cs="Times New Roman"/>
              </w:rPr>
              <w:t>Dusulys (3 laipsnio – 1 %) Kosulys (3 laipsnio – 0 %) Viršutinių kvėpavimo takų infekcija (3 laipsnio – 1 %)</w:t>
            </w:r>
          </w:p>
        </w:tc>
        <w:tc>
          <w:tcPr>
            <w:tcW w:w="1666" w:type="pct"/>
            <w:tcBorders>
              <w:top w:val="single" w:sz="4" w:space="0" w:color="auto"/>
              <w:left w:val="single" w:sz="4" w:space="0" w:color="auto"/>
              <w:bottom w:val="single" w:sz="4" w:space="0" w:color="auto"/>
              <w:right w:val="single" w:sz="4" w:space="0" w:color="auto"/>
            </w:tcBorders>
            <w:hideMark/>
          </w:tcPr>
          <w:p w14:paraId="45DD0040"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2D2EC4">
              <w:rPr>
                <w:rFonts w:ascii="Times New Roman" w:hAnsi="Times New Roman" w:cs="Times New Roman"/>
              </w:rPr>
              <w:t>Faringitas (3 laipsnio – 0 %)</w:t>
            </w:r>
          </w:p>
        </w:tc>
      </w:tr>
      <w:tr w:rsidR="003A7B6B" w:rsidRPr="00976ED6" w14:paraId="10B68C11"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487CE84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667" w:type="pct"/>
            <w:tcBorders>
              <w:top w:val="single" w:sz="4" w:space="0" w:color="auto"/>
              <w:left w:val="single" w:sz="4" w:space="0" w:color="auto"/>
              <w:bottom w:val="single" w:sz="4" w:space="0" w:color="auto"/>
              <w:right w:val="single" w:sz="4" w:space="0" w:color="auto"/>
            </w:tcBorders>
            <w:hideMark/>
          </w:tcPr>
          <w:p w14:paraId="7AE8DE9C" w14:textId="77777777" w:rsidR="003A7B6B" w:rsidRPr="00C91F0E" w:rsidRDefault="003A7B6B" w:rsidP="005E6418">
            <w:pPr>
              <w:widowControl w:val="0"/>
              <w:tabs>
                <w:tab w:val="left" w:pos="567"/>
                <w:tab w:val="left" w:pos="1296"/>
              </w:tabs>
              <w:ind w:left="0" w:firstLine="0"/>
              <w:rPr>
                <w:rFonts w:ascii="Times New Roman" w:hAnsi="Times New Roman" w:cs="Times New Roman"/>
              </w:rPr>
            </w:pPr>
            <w:r w:rsidRPr="00C91F0E">
              <w:rPr>
                <w:rFonts w:ascii="Times New Roman" w:hAnsi="Times New Roman" w:cs="Times New Roman"/>
              </w:rPr>
              <w:t>Viduriavimas (3 laipsnio – 3 %)</w:t>
            </w:r>
          </w:p>
          <w:p w14:paraId="52B1048D" w14:textId="77777777" w:rsidR="003A7B6B" w:rsidRPr="00C91F0E" w:rsidRDefault="003A7B6B" w:rsidP="005E6418">
            <w:pPr>
              <w:widowControl w:val="0"/>
              <w:tabs>
                <w:tab w:val="left" w:pos="567"/>
                <w:tab w:val="left" w:pos="1296"/>
              </w:tabs>
              <w:ind w:left="0" w:firstLine="0"/>
              <w:rPr>
                <w:rFonts w:ascii="Times New Roman" w:hAnsi="Times New Roman" w:cs="Times New Roman"/>
              </w:rPr>
            </w:pPr>
            <w:r w:rsidRPr="00C91F0E">
              <w:rPr>
                <w:rFonts w:ascii="Times New Roman" w:hAnsi="Times New Roman" w:cs="Times New Roman"/>
              </w:rPr>
              <w:t>Stomatitas (3 laipsnio – 0 %)</w:t>
            </w:r>
          </w:p>
          <w:p w14:paraId="6C08750E" w14:textId="77777777" w:rsidR="003A7B6B" w:rsidRPr="00C91F0E" w:rsidRDefault="003A7B6B" w:rsidP="005E6418">
            <w:pPr>
              <w:widowControl w:val="0"/>
              <w:tabs>
                <w:tab w:val="left" w:pos="567"/>
                <w:tab w:val="left" w:pos="1296"/>
              </w:tabs>
              <w:ind w:left="0" w:firstLine="0"/>
              <w:rPr>
                <w:rFonts w:ascii="Times New Roman" w:hAnsi="Times New Roman" w:cs="Times New Roman"/>
              </w:rPr>
            </w:pPr>
            <w:r w:rsidRPr="00C91F0E">
              <w:rPr>
                <w:rFonts w:ascii="Times New Roman" w:hAnsi="Times New Roman" w:cs="Times New Roman"/>
              </w:rPr>
              <w:t>Vidurių užkietėjimas (3 laipsnio – 0 %)</w:t>
            </w:r>
          </w:p>
          <w:p w14:paraId="1B7F8024" w14:textId="77777777" w:rsidR="003A7B6B" w:rsidRPr="00C91F0E" w:rsidRDefault="003A7B6B" w:rsidP="005E6418">
            <w:pPr>
              <w:widowControl w:val="0"/>
              <w:tabs>
                <w:tab w:val="left" w:pos="567"/>
                <w:tab w:val="left" w:pos="1296"/>
              </w:tabs>
              <w:ind w:left="0" w:firstLine="0"/>
              <w:rPr>
                <w:rFonts w:ascii="Times New Roman" w:hAnsi="Times New Roman" w:cs="Times New Roman"/>
              </w:rPr>
            </w:pPr>
            <w:r w:rsidRPr="00C91F0E">
              <w:rPr>
                <w:rFonts w:ascii="Times New Roman" w:hAnsi="Times New Roman" w:cs="Times New Roman"/>
              </w:rPr>
              <w:t>Pykinimas (3 laipsnio – 1 %) Dispepsija Pilvo skausmas (3 laipsnio – 0 %)</w:t>
            </w:r>
          </w:p>
          <w:p w14:paraId="0563A7D8" w14:textId="393AA544" w:rsidR="003A7B6B" w:rsidRPr="00C91F0E" w:rsidRDefault="0008060F" w:rsidP="005E6418">
            <w:pPr>
              <w:widowControl w:val="0"/>
              <w:tabs>
                <w:tab w:val="left" w:pos="567"/>
                <w:tab w:val="left" w:pos="1296"/>
              </w:tabs>
              <w:ind w:left="0" w:firstLine="0"/>
              <w:rPr>
                <w:rFonts w:ascii="Times New Roman" w:hAnsi="Times New Roman" w:cs="Times New Roman"/>
                <w:color w:val="000000"/>
                <w:lang w:val="sl-SI"/>
              </w:rPr>
            </w:pPr>
            <w:r w:rsidRPr="00C91F0E">
              <w:rPr>
                <w:rFonts w:ascii="Times New Roman" w:hAnsi="Times New Roman" w:cs="Times New Roman"/>
              </w:rPr>
              <w:t>Pilvo pūtimas</w:t>
            </w:r>
          </w:p>
        </w:tc>
        <w:tc>
          <w:tcPr>
            <w:tcW w:w="1666" w:type="pct"/>
            <w:tcBorders>
              <w:top w:val="single" w:sz="4" w:space="0" w:color="auto"/>
              <w:left w:val="single" w:sz="4" w:space="0" w:color="auto"/>
              <w:bottom w:val="single" w:sz="4" w:space="0" w:color="auto"/>
              <w:right w:val="single" w:sz="4" w:space="0" w:color="auto"/>
            </w:tcBorders>
            <w:hideMark/>
          </w:tcPr>
          <w:p w14:paraId="5B2AB6E0"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2D2EC4">
              <w:rPr>
                <w:rFonts w:ascii="Times New Roman" w:hAnsi="Times New Roman" w:cs="Times New Roman"/>
              </w:rPr>
              <w:t>Vėmimas (3 laipsnio – 1 %)</w:t>
            </w:r>
          </w:p>
        </w:tc>
      </w:tr>
      <w:tr w:rsidR="003A7B6B" w:rsidRPr="00976ED6" w14:paraId="5CAD4F71"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46280FB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667" w:type="pct"/>
            <w:tcBorders>
              <w:top w:val="single" w:sz="4" w:space="0" w:color="auto"/>
              <w:left w:val="single" w:sz="4" w:space="0" w:color="auto"/>
              <w:bottom w:val="single" w:sz="4" w:space="0" w:color="auto"/>
              <w:right w:val="single" w:sz="4" w:space="0" w:color="auto"/>
            </w:tcBorders>
            <w:hideMark/>
          </w:tcPr>
          <w:p w14:paraId="09F09BE8" w14:textId="77777777" w:rsidR="003A7B6B" w:rsidRPr="00C91F0E" w:rsidRDefault="003A7B6B" w:rsidP="005E6418">
            <w:pPr>
              <w:widowControl w:val="0"/>
              <w:tabs>
                <w:tab w:val="left" w:pos="567"/>
                <w:tab w:val="left" w:pos="1296"/>
              </w:tabs>
              <w:ind w:left="0" w:firstLine="0"/>
              <w:rPr>
                <w:rFonts w:ascii="Times New Roman" w:hAnsi="Times New Roman" w:cs="Times New Roman"/>
              </w:rPr>
            </w:pPr>
            <w:r w:rsidRPr="00C91F0E">
              <w:rPr>
                <w:rFonts w:ascii="Times New Roman" w:hAnsi="Times New Roman" w:cs="Times New Roman"/>
              </w:rPr>
              <w:t>Alopecija (3 laipsnio – 3 %)</w:t>
            </w:r>
            <w:r w:rsidRPr="00C91F0E">
              <w:rPr>
                <w:rFonts w:ascii="Times New Roman" w:hAnsi="Times New Roman" w:cs="Times New Roman"/>
                <w:vertAlign w:val="superscript"/>
              </w:rPr>
              <w:t>a</w:t>
            </w:r>
          </w:p>
          <w:p w14:paraId="6E99C961" w14:textId="77777777" w:rsidR="003A7B6B" w:rsidRPr="00C91F0E" w:rsidRDefault="003A7B6B" w:rsidP="005E6418">
            <w:pPr>
              <w:widowControl w:val="0"/>
              <w:tabs>
                <w:tab w:val="left" w:pos="567"/>
                <w:tab w:val="left" w:pos="1296"/>
              </w:tabs>
              <w:ind w:left="0" w:firstLine="0"/>
              <w:rPr>
                <w:rFonts w:ascii="Times New Roman" w:hAnsi="Times New Roman" w:cs="Times New Roman"/>
                <w:color w:val="000000"/>
                <w:lang w:val="sl-SI"/>
              </w:rPr>
            </w:pPr>
            <w:r w:rsidRPr="00C91F0E">
              <w:rPr>
                <w:rFonts w:ascii="Times New Roman" w:hAnsi="Times New Roman" w:cs="Times New Roman"/>
              </w:rPr>
              <w:t>Nagų pažeidimai (3 laipsnio – 1 %)</w:t>
            </w:r>
          </w:p>
        </w:tc>
        <w:tc>
          <w:tcPr>
            <w:tcW w:w="1666" w:type="pct"/>
            <w:tcBorders>
              <w:top w:val="single" w:sz="4" w:space="0" w:color="auto"/>
              <w:left w:val="single" w:sz="4" w:space="0" w:color="auto"/>
              <w:bottom w:val="single" w:sz="4" w:space="0" w:color="auto"/>
              <w:right w:val="single" w:sz="4" w:space="0" w:color="auto"/>
            </w:tcBorders>
            <w:hideMark/>
          </w:tcPr>
          <w:p w14:paraId="1CCF6DA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Pr>
                <w:rFonts w:ascii="Times New Roman" w:hAnsi="Times New Roman" w:cs="Times New Roman"/>
                <w:color w:val="000000"/>
                <w:lang w:val="sl-SI"/>
              </w:rPr>
              <w:t>Išbėrimas</w:t>
            </w:r>
          </w:p>
        </w:tc>
      </w:tr>
      <w:tr w:rsidR="003A7B6B" w:rsidRPr="00976ED6" w14:paraId="1F990DD7"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7FCD845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Skeleto, raumenų ir jungiamojo audinio sutrikimai</w:t>
            </w:r>
          </w:p>
        </w:tc>
        <w:tc>
          <w:tcPr>
            <w:tcW w:w="1667" w:type="pct"/>
            <w:tcBorders>
              <w:top w:val="single" w:sz="4" w:space="0" w:color="auto"/>
              <w:left w:val="single" w:sz="4" w:space="0" w:color="auto"/>
              <w:bottom w:val="single" w:sz="4" w:space="0" w:color="auto"/>
              <w:right w:val="single" w:sz="4" w:space="0" w:color="auto"/>
            </w:tcBorders>
            <w:hideMark/>
          </w:tcPr>
          <w:p w14:paraId="0A5B7CE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Pr>
                <w:rFonts w:ascii="Times New Roman" w:hAnsi="Times New Roman" w:cs="Times New Roman"/>
                <w:color w:val="000000"/>
                <w:lang w:val="sl-SI"/>
              </w:rPr>
              <w:t>Mialgija</w:t>
            </w:r>
          </w:p>
        </w:tc>
        <w:tc>
          <w:tcPr>
            <w:tcW w:w="1666" w:type="pct"/>
            <w:tcBorders>
              <w:top w:val="single" w:sz="4" w:space="0" w:color="auto"/>
              <w:left w:val="single" w:sz="4" w:space="0" w:color="auto"/>
              <w:bottom w:val="single" w:sz="4" w:space="0" w:color="auto"/>
              <w:right w:val="single" w:sz="4" w:space="0" w:color="auto"/>
            </w:tcBorders>
            <w:hideMark/>
          </w:tcPr>
          <w:p w14:paraId="72D2E49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F780B71" w14:textId="77777777" w:rsidTr="002D2EC4">
        <w:tc>
          <w:tcPr>
            <w:tcW w:w="1667" w:type="pct"/>
            <w:tcBorders>
              <w:top w:val="single" w:sz="4" w:space="0" w:color="auto"/>
              <w:left w:val="single" w:sz="4" w:space="0" w:color="auto"/>
              <w:bottom w:val="single" w:sz="4" w:space="0" w:color="auto"/>
              <w:right w:val="single" w:sz="4" w:space="0" w:color="auto"/>
            </w:tcBorders>
            <w:hideMark/>
          </w:tcPr>
          <w:p w14:paraId="4DB4AA9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667" w:type="pct"/>
            <w:tcBorders>
              <w:top w:val="single" w:sz="4" w:space="0" w:color="auto"/>
              <w:left w:val="single" w:sz="4" w:space="0" w:color="auto"/>
              <w:bottom w:val="single" w:sz="4" w:space="0" w:color="auto"/>
              <w:right w:val="single" w:sz="4" w:space="0" w:color="auto"/>
            </w:tcBorders>
            <w:hideMark/>
          </w:tcPr>
          <w:p w14:paraId="2700AF75"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B21929">
              <w:rPr>
                <w:rFonts w:ascii="Times New Roman" w:hAnsi="Times New Roman" w:cs="Times New Roman"/>
                <w:color w:val="000000"/>
                <w:lang w:val="sl-SI"/>
              </w:rPr>
              <w:t>Letargija (3-4 laipsnio – 2 %)</w:t>
            </w:r>
          </w:p>
          <w:p w14:paraId="6057DE1D"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Pr>
                <w:rFonts w:ascii="Times New Roman" w:hAnsi="Times New Roman" w:cs="Times New Roman"/>
                <w:color w:val="000000"/>
                <w:lang w:val="sl-SI"/>
              </w:rPr>
              <w:t xml:space="preserve">Į gripą panašūs simptomai </w:t>
            </w:r>
            <w:r w:rsidRPr="00B21929">
              <w:rPr>
                <w:rFonts w:ascii="Times New Roman" w:hAnsi="Times New Roman" w:cs="Times New Roman"/>
                <w:color w:val="000000"/>
                <w:lang w:val="sl-SI"/>
              </w:rPr>
              <w:t>(3 laipsnio – 0 %)</w:t>
            </w:r>
          </w:p>
          <w:p w14:paraId="25F0EABC"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B21929">
              <w:rPr>
                <w:rFonts w:ascii="Times New Roman" w:hAnsi="Times New Roman" w:cs="Times New Roman"/>
                <w:color w:val="000000"/>
                <w:lang w:val="sl-SI"/>
              </w:rPr>
              <w:t>Astenija (3 laipsnio – 0 %)</w:t>
            </w:r>
          </w:p>
          <w:p w14:paraId="2669ECD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B21929">
              <w:rPr>
                <w:rFonts w:ascii="Times New Roman" w:hAnsi="Times New Roman" w:cs="Times New Roman"/>
                <w:color w:val="000000"/>
                <w:lang w:val="sl-SI"/>
              </w:rPr>
              <w:t>Skysčių susilaikymas</w:t>
            </w:r>
          </w:p>
        </w:tc>
        <w:tc>
          <w:tcPr>
            <w:tcW w:w="1666" w:type="pct"/>
            <w:tcBorders>
              <w:top w:val="single" w:sz="4" w:space="0" w:color="auto"/>
              <w:left w:val="single" w:sz="4" w:space="0" w:color="auto"/>
              <w:bottom w:val="single" w:sz="4" w:space="0" w:color="auto"/>
              <w:right w:val="single" w:sz="4" w:space="0" w:color="auto"/>
            </w:tcBorders>
            <w:hideMark/>
          </w:tcPr>
          <w:p w14:paraId="48B0A776"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B21929">
              <w:rPr>
                <w:rFonts w:ascii="Times New Roman" w:hAnsi="Times New Roman" w:cs="Times New Roman"/>
                <w:color w:val="000000"/>
                <w:lang w:val="sl-SI"/>
              </w:rPr>
              <w:t>Karščiavimas (3 laipsnio – 1 %)</w:t>
            </w:r>
          </w:p>
          <w:p w14:paraId="3C153727"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B21929">
              <w:rPr>
                <w:rFonts w:ascii="Times New Roman" w:hAnsi="Times New Roman" w:cs="Times New Roman"/>
                <w:color w:val="000000"/>
                <w:lang w:val="sl-SI"/>
              </w:rPr>
              <w:t>Burnos kandidamikozė</w:t>
            </w:r>
          </w:p>
          <w:p w14:paraId="14F1B27B"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sidRPr="00B21929">
              <w:rPr>
                <w:rFonts w:ascii="Times New Roman" w:hAnsi="Times New Roman" w:cs="Times New Roman"/>
                <w:color w:val="000000"/>
                <w:lang w:val="sl-SI"/>
              </w:rPr>
              <w:t>Hipokalcemija (3 laipsnio – 0 %)</w:t>
            </w:r>
          </w:p>
          <w:p w14:paraId="1758CDF6" w14:textId="77777777" w:rsidR="003A7B6B" w:rsidRPr="00B21929" w:rsidRDefault="003A7B6B" w:rsidP="005E6418">
            <w:pPr>
              <w:widowControl w:val="0"/>
              <w:tabs>
                <w:tab w:val="left" w:pos="567"/>
                <w:tab w:val="left" w:pos="1296"/>
              </w:tabs>
              <w:ind w:left="0" w:firstLine="0"/>
              <w:rPr>
                <w:rFonts w:ascii="Times New Roman" w:hAnsi="Times New Roman" w:cs="Times New Roman"/>
                <w:color w:val="000000"/>
                <w:lang w:val="sl-SI"/>
              </w:rPr>
            </w:pPr>
            <w:r>
              <w:rPr>
                <w:rFonts w:ascii="Times New Roman" w:hAnsi="Times New Roman" w:cs="Times New Roman"/>
                <w:color w:val="000000"/>
                <w:lang w:val="sl-SI"/>
              </w:rPr>
              <w:t xml:space="preserve">Hipofosfatemija (3-4 laipsnio – </w:t>
            </w:r>
            <w:r w:rsidRPr="00B21929">
              <w:rPr>
                <w:rFonts w:ascii="Times New Roman" w:hAnsi="Times New Roman" w:cs="Times New Roman"/>
                <w:color w:val="000000"/>
                <w:lang w:val="sl-SI"/>
              </w:rPr>
              <w:t>1 %)</w:t>
            </w:r>
          </w:p>
          <w:p w14:paraId="44E20F7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B21929">
              <w:rPr>
                <w:rFonts w:ascii="Times New Roman" w:hAnsi="Times New Roman" w:cs="Times New Roman"/>
                <w:color w:val="000000"/>
                <w:lang w:val="sl-SI"/>
              </w:rPr>
              <w:t>Hipokalemija (3 laipsnio – 0 %)</w:t>
            </w:r>
          </w:p>
        </w:tc>
      </w:tr>
    </w:tbl>
    <w:p w14:paraId="2B5BC545" w14:textId="77777777" w:rsidR="003A7B6B" w:rsidRPr="002D2EC4" w:rsidRDefault="003A7B6B" w:rsidP="003A7B6B">
      <w:pPr>
        <w:widowControl w:val="0"/>
        <w:tabs>
          <w:tab w:val="left" w:pos="567"/>
          <w:tab w:val="left" w:pos="1296"/>
        </w:tabs>
        <w:ind w:left="0" w:firstLine="0"/>
        <w:rPr>
          <w:rFonts w:ascii="Times New Roman" w:hAnsi="Times New Roman" w:cs="Times New Roman"/>
          <w:sz w:val="18"/>
          <w:szCs w:val="18"/>
          <w:lang w:val="sl-SI"/>
        </w:rPr>
      </w:pPr>
      <w:r w:rsidRPr="002D2EC4">
        <w:rPr>
          <w:rFonts w:ascii="Times New Roman" w:hAnsi="Times New Roman" w:cs="Times New Roman"/>
          <w:sz w:val="18"/>
          <w:szCs w:val="18"/>
          <w:vertAlign w:val="superscript"/>
        </w:rPr>
        <w:t>a</w:t>
      </w:r>
      <w:r w:rsidRPr="002D2EC4">
        <w:rPr>
          <w:rFonts w:ascii="Times New Roman" w:hAnsi="Times New Roman" w:cs="Times New Roman"/>
          <w:sz w:val="18"/>
          <w:szCs w:val="18"/>
        </w:rPr>
        <w:t xml:space="preserve"> GETUG AFU15 tyrimo duomenys</w:t>
      </w:r>
    </w:p>
    <w:p w14:paraId="7AABAC0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6F358B8"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docetakselio 75 mg/m² dozę adjuvantiniam gydymui kartu su doksorubicinu ir ciklofosfamidu, pacientėms, sergančioms į limfmazgius metastazavusiu (TAX 316) ir į limfmazgius nemetastazavusiu (GEICAM 9805) krūties vėžiu, sąrašas lentelės forma</w:t>
      </w:r>
    </w:p>
    <w:p w14:paraId="609F4C1B"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3A7B6B" w:rsidRPr="00976ED6" w14:paraId="79C8F5B3"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A3789A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250" w:type="pct"/>
            <w:tcBorders>
              <w:top w:val="single" w:sz="4" w:space="0" w:color="auto"/>
              <w:left w:val="single" w:sz="4" w:space="0" w:color="auto"/>
              <w:bottom w:val="single" w:sz="4" w:space="0" w:color="auto"/>
              <w:right w:val="single" w:sz="4" w:space="0" w:color="auto"/>
            </w:tcBorders>
            <w:hideMark/>
          </w:tcPr>
          <w:p w14:paraId="1FA9212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36692883" w14:textId="77777777" w:rsidR="003A7B6B" w:rsidRPr="00976ED6" w:rsidRDefault="003A7B6B" w:rsidP="005E6418">
            <w:pPr>
              <w:widowControl w:val="0"/>
              <w:tabs>
                <w:tab w:val="left" w:pos="567"/>
                <w:tab w:val="left" w:pos="1296"/>
              </w:tabs>
              <w:ind w:left="0" w:firstLine="0"/>
              <w:rPr>
                <w:rFonts w:ascii="Times New Roman" w:hAnsi="Times New Roman" w:cs="Times New Roman"/>
                <w:b/>
                <w:color w:val="000000"/>
                <w:lang w:val="sl-SI"/>
              </w:rPr>
            </w:pPr>
            <w:r w:rsidRPr="00976ED6">
              <w:rPr>
                <w:rFonts w:ascii="Times New Roman" w:hAnsi="Times New Roman" w:cs="Times New Roman"/>
                <w:b/>
                <w:color w:val="000000"/>
                <w:lang w:val="sl-SI"/>
              </w:rPr>
              <w:t>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7B43F989" w14:textId="77777777" w:rsidR="003A7B6B" w:rsidRPr="00976ED6" w:rsidRDefault="003A7B6B" w:rsidP="005E6418">
            <w:pPr>
              <w:widowControl w:val="0"/>
              <w:tabs>
                <w:tab w:val="left" w:pos="567"/>
                <w:tab w:val="left" w:pos="1296"/>
              </w:tabs>
              <w:ind w:left="0" w:firstLine="0"/>
              <w:rPr>
                <w:rFonts w:ascii="Times New Roman" w:hAnsi="Times New Roman" w:cs="Times New Roman"/>
                <w:b/>
                <w:color w:val="000000"/>
                <w:lang w:val="sl-SI"/>
              </w:rPr>
            </w:pPr>
            <w:r w:rsidRPr="00976ED6">
              <w:rPr>
                <w:rFonts w:ascii="Times New Roman" w:hAnsi="Times New Roman" w:cs="Times New Roman"/>
                <w:b/>
                <w:color w:val="000000"/>
                <w:lang w:val="sl-SI"/>
              </w:rPr>
              <w:t>Nedažnos nepageidaujamos reakcijos</w:t>
            </w:r>
          </w:p>
        </w:tc>
      </w:tr>
      <w:tr w:rsidR="003A7B6B" w:rsidRPr="00976ED6" w14:paraId="2BEB9AC3"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D86DAD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Infekcijos ir infestacijos</w:t>
            </w:r>
          </w:p>
        </w:tc>
        <w:tc>
          <w:tcPr>
            <w:tcW w:w="1250" w:type="pct"/>
            <w:tcBorders>
              <w:top w:val="single" w:sz="4" w:space="0" w:color="auto"/>
              <w:left w:val="single" w:sz="4" w:space="0" w:color="auto"/>
              <w:bottom w:val="single" w:sz="4" w:space="0" w:color="auto"/>
              <w:right w:val="single" w:sz="4" w:space="0" w:color="auto"/>
            </w:tcBorders>
            <w:hideMark/>
          </w:tcPr>
          <w:p w14:paraId="2985A1C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Infekcija (3-4 laipsnio – 2,4 %)</w:t>
            </w:r>
          </w:p>
          <w:p w14:paraId="069D047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Neutropeninė infekcija (3-4 laipsnio – 2,6 %)</w:t>
            </w:r>
          </w:p>
        </w:tc>
        <w:tc>
          <w:tcPr>
            <w:tcW w:w="1250" w:type="pct"/>
            <w:tcBorders>
              <w:top w:val="single" w:sz="4" w:space="0" w:color="auto"/>
              <w:left w:val="single" w:sz="4" w:space="0" w:color="auto"/>
              <w:bottom w:val="single" w:sz="4" w:space="0" w:color="auto"/>
              <w:right w:val="single" w:sz="4" w:space="0" w:color="auto"/>
            </w:tcBorders>
            <w:hideMark/>
          </w:tcPr>
          <w:p w14:paraId="50C0747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0241A88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1FBA014A"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89D028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0A7613A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Anemija (3-4 laipsnio – 3 %)</w:t>
            </w:r>
          </w:p>
          <w:p w14:paraId="6EDC28F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w:t>
            </w:r>
          </w:p>
          <w:p w14:paraId="0F1C298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59,2 %)</w:t>
            </w:r>
          </w:p>
          <w:p w14:paraId="4672EB7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Trombocitopenija</w:t>
            </w:r>
          </w:p>
          <w:p w14:paraId="41BF83D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1,6 %)</w:t>
            </w:r>
          </w:p>
          <w:p w14:paraId="6B3128D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p w14:paraId="57F7BAB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nenustatyta)</w:t>
            </w:r>
          </w:p>
        </w:tc>
        <w:tc>
          <w:tcPr>
            <w:tcW w:w="1250" w:type="pct"/>
            <w:tcBorders>
              <w:top w:val="single" w:sz="4" w:space="0" w:color="auto"/>
              <w:left w:val="single" w:sz="4" w:space="0" w:color="auto"/>
              <w:bottom w:val="single" w:sz="4" w:space="0" w:color="auto"/>
              <w:right w:val="single" w:sz="4" w:space="0" w:color="auto"/>
            </w:tcBorders>
            <w:hideMark/>
          </w:tcPr>
          <w:p w14:paraId="55C38BD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 </w:t>
            </w:r>
          </w:p>
        </w:tc>
        <w:tc>
          <w:tcPr>
            <w:tcW w:w="1250" w:type="pct"/>
            <w:tcBorders>
              <w:top w:val="single" w:sz="4" w:space="0" w:color="auto"/>
              <w:left w:val="single" w:sz="4" w:space="0" w:color="auto"/>
              <w:bottom w:val="single" w:sz="4" w:space="0" w:color="auto"/>
              <w:right w:val="single" w:sz="4" w:space="0" w:color="auto"/>
            </w:tcBorders>
            <w:hideMark/>
          </w:tcPr>
          <w:p w14:paraId="49D8DD9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5696DA1"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DD02B0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760F9FC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070A4C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 (3-4 laipsnio – 0,6 %)</w:t>
            </w:r>
          </w:p>
        </w:tc>
        <w:tc>
          <w:tcPr>
            <w:tcW w:w="1250" w:type="pct"/>
            <w:tcBorders>
              <w:top w:val="single" w:sz="4" w:space="0" w:color="auto"/>
              <w:left w:val="single" w:sz="4" w:space="0" w:color="auto"/>
              <w:bottom w:val="single" w:sz="4" w:space="0" w:color="auto"/>
              <w:right w:val="single" w:sz="4" w:space="0" w:color="auto"/>
            </w:tcBorders>
            <w:hideMark/>
          </w:tcPr>
          <w:p w14:paraId="0C6D3A7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94FD059"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89F976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250" w:type="pct"/>
            <w:tcBorders>
              <w:top w:val="single" w:sz="4" w:space="0" w:color="auto"/>
              <w:left w:val="single" w:sz="4" w:space="0" w:color="auto"/>
              <w:bottom w:val="single" w:sz="4" w:space="0" w:color="auto"/>
              <w:right w:val="single" w:sz="4" w:space="0" w:color="auto"/>
            </w:tcBorders>
            <w:hideMark/>
          </w:tcPr>
          <w:p w14:paraId="2D7F083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 (3-4 laipsnio – 1,5 %)</w:t>
            </w:r>
          </w:p>
        </w:tc>
        <w:tc>
          <w:tcPr>
            <w:tcW w:w="1250" w:type="pct"/>
            <w:tcBorders>
              <w:top w:val="single" w:sz="4" w:space="0" w:color="auto"/>
              <w:left w:val="single" w:sz="4" w:space="0" w:color="auto"/>
              <w:bottom w:val="single" w:sz="4" w:space="0" w:color="auto"/>
              <w:right w:val="single" w:sz="4" w:space="0" w:color="auto"/>
            </w:tcBorders>
            <w:hideMark/>
          </w:tcPr>
          <w:p w14:paraId="7D6A93E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CB9A73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068DCE0"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5F8E68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38B0E78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Disgeuzija (3-4 laipsnio – 0,6 %)</w:t>
            </w:r>
          </w:p>
          <w:p w14:paraId="75AE934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(3-4 laipsnio &lt; 0,1 %)</w:t>
            </w:r>
          </w:p>
        </w:tc>
        <w:tc>
          <w:tcPr>
            <w:tcW w:w="1250" w:type="pct"/>
            <w:tcBorders>
              <w:top w:val="single" w:sz="4" w:space="0" w:color="auto"/>
              <w:left w:val="single" w:sz="4" w:space="0" w:color="auto"/>
              <w:bottom w:val="single" w:sz="4" w:space="0" w:color="auto"/>
              <w:right w:val="single" w:sz="4" w:space="0" w:color="auto"/>
            </w:tcBorders>
            <w:hideMark/>
          </w:tcPr>
          <w:p w14:paraId="45562E2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motorinė neuropatija</w:t>
            </w:r>
          </w:p>
          <w:p w14:paraId="1635F3D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0 %)</w:t>
            </w:r>
          </w:p>
        </w:tc>
        <w:tc>
          <w:tcPr>
            <w:tcW w:w="1250" w:type="pct"/>
            <w:tcBorders>
              <w:top w:val="single" w:sz="4" w:space="0" w:color="auto"/>
              <w:left w:val="single" w:sz="4" w:space="0" w:color="auto"/>
              <w:bottom w:val="single" w:sz="4" w:space="0" w:color="auto"/>
              <w:right w:val="single" w:sz="4" w:space="0" w:color="auto"/>
            </w:tcBorders>
            <w:hideMark/>
          </w:tcPr>
          <w:p w14:paraId="2ED7B51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Apalpimas (3-4 laipsnio – 0%)</w:t>
            </w:r>
          </w:p>
          <w:p w14:paraId="244A886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Neurotoksiškumas (3-4 laipsnio – 0%)</w:t>
            </w:r>
          </w:p>
          <w:p w14:paraId="5A606E0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Somnolencija ((3-4 laipsnio – 0%)</w:t>
            </w:r>
          </w:p>
        </w:tc>
      </w:tr>
      <w:tr w:rsidR="003A7B6B" w:rsidRPr="00976ED6" w14:paraId="1847F7F8"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11EE664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Akių sutrikimai</w:t>
            </w:r>
          </w:p>
        </w:tc>
        <w:tc>
          <w:tcPr>
            <w:tcW w:w="1250" w:type="pct"/>
            <w:tcBorders>
              <w:top w:val="single" w:sz="4" w:space="0" w:color="auto"/>
              <w:left w:val="single" w:sz="4" w:space="0" w:color="auto"/>
              <w:bottom w:val="single" w:sz="4" w:space="0" w:color="auto"/>
              <w:right w:val="single" w:sz="4" w:space="0" w:color="auto"/>
            </w:tcBorders>
            <w:hideMark/>
          </w:tcPr>
          <w:p w14:paraId="01D670A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Konjuktyvitas</w:t>
            </w:r>
          </w:p>
          <w:p w14:paraId="1AACC61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&lt; 0,1 %)</w:t>
            </w:r>
          </w:p>
        </w:tc>
        <w:tc>
          <w:tcPr>
            <w:tcW w:w="1250" w:type="pct"/>
            <w:tcBorders>
              <w:top w:val="single" w:sz="4" w:space="0" w:color="auto"/>
              <w:left w:val="single" w:sz="4" w:space="0" w:color="auto"/>
              <w:bottom w:val="single" w:sz="4" w:space="0" w:color="auto"/>
              <w:right w:val="single" w:sz="4" w:space="0" w:color="auto"/>
            </w:tcBorders>
            <w:hideMark/>
          </w:tcPr>
          <w:p w14:paraId="7137E06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Sustiprėjęs ašarojimas</w:t>
            </w:r>
          </w:p>
          <w:p w14:paraId="07A9D3C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&lt; 0,1 %);</w:t>
            </w:r>
          </w:p>
        </w:tc>
        <w:tc>
          <w:tcPr>
            <w:tcW w:w="1250" w:type="pct"/>
            <w:tcBorders>
              <w:top w:val="single" w:sz="4" w:space="0" w:color="auto"/>
              <w:left w:val="single" w:sz="4" w:space="0" w:color="auto"/>
              <w:bottom w:val="single" w:sz="4" w:space="0" w:color="auto"/>
              <w:right w:val="single" w:sz="4" w:space="0" w:color="auto"/>
            </w:tcBorders>
            <w:hideMark/>
          </w:tcPr>
          <w:p w14:paraId="192E177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9094B9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1C00AB9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250" w:type="pct"/>
            <w:tcBorders>
              <w:top w:val="single" w:sz="4" w:space="0" w:color="auto"/>
              <w:left w:val="single" w:sz="4" w:space="0" w:color="auto"/>
              <w:bottom w:val="single" w:sz="4" w:space="0" w:color="auto"/>
              <w:right w:val="single" w:sz="4" w:space="0" w:color="auto"/>
            </w:tcBorders>
            <w:hideMark/>
          </w:tcPr>
          <w:p w14:paraId="60C409D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BBB31B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Aritmija (3-4 laipsnio – 0,2 %)</w:t>
            </w:r>
          </w:p>
        </w:tc>
        <w:tc>
          <w:tcPr>
            <w:tcW w:w="1250" w:type="pct"/>
            <w:tcBorders>
              <w:top w:val="single" w:sz="4" w:space="0" w:color="auto"/>
              <w:left w:val="single" w:sz="4" w:space="0" w:color="auto"/>
              <w:bottom w:val="single" w:sz="4" w:space="0" w:color="auto"/>
              <w:right w:val="single" w:sz="4" w:space="0" w:color="auto"/>
            </w:tcBorders>
            <w:hideMark/>
          </w:tcPr>
          <w:p w14:paraId="376FD9F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0FE0ECC"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4A6CE6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Kraujagyslių sutrikimai</w:t>
            </w:r>
          </w:p>
        </w:tc>
        <w:tc>
          <w:tcPr>
            <w:tcW w:w="1250" w:type="pct"/>
            <w:tcBorders>
              <w:top w:val="single" w:sz="4" w:space="0" w:color="auto"/>
              <w:left w:val="single" w:sz="4" w:space="0" w:color="auto"/>
              <w:bottom w:val="single" w:sz="4" w:space="0" w:color="auto"/>
              <w:right w:val="single" w:sz="4" w:space="0" w:color="auto"/>
            </w:tcBorders>
            <w:hideMark/>
          </w:tcPr>
          <w:p w14:paraId="1E4935B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Karščio pylimas (3-4 laipsnio – 0,5 %)</w:t>
            </w:r>
          </w:p>
        </w:tc>
        <w:tc>
          <w:tcPr>
            <w:tcW w:w="1250" w:type="pct"/>
            <w:tcBorders>
              <w:top w:val="single" w:sz="4" w:space="0" w:color="auto"/>
              <w:left w:val="single" w:sz="4" w:space="0" w:color="auto"/>
              <w:bottom w:val="single" w:sz="4" w:space="0" w:color="auto"/>
              <w:right w:val="single" w:sz="4" w:space="0" w:color="auto"/>
            </w:tcBorders>
            <w:hideMark/>
          </w:tcPr>
          <w:p w14:paraId="799F51D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Hipotenzija</w:t>
            </w:r>
          </w:p>
          <w:p w14:paraId="7013E8E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0 %)</w:t>
            </w:r>
          </w:p>
          <w:p w14:paraId="46DA64C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Flebitas (3-4 laipsnio – 0 %)</w:t>
            </w:r>
          </w:p>
        </w:tc>
        <w:tc>
          <w:tcPr>
            <w:tcW w:w="1250" w:type="pct"/>
            <w:tcBorders>
              <w:top w:val="single" w:sz="4" w:space="0" w:color="auto"/>
              <w:left w:val="single" w:sz="4" w:space="0" w:color="auto"/>
              <w:bottom w:val="single" w:sz="4" w:space="0" w:color="auto"/>
              <w:right w:val="single" w:sz="4" w:space="0" w:color="auto"/>
            </w:tcBorders>
            <w:hideMark/>
          </w:tcPr>
          <w:p w14:paraId="4359A43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Limfedema (3-4 laipsnio – 0 %)</w:t>
            </w:r>
          </w:p>
        </w:tc>
      </w:tr>
      <w:tr w:rsidR="003A7B6B" w:rsidRPr="00976ED6" w14:paraId="24CD7DD4"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D8A9E2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Kvėpavimo sistemos, krūtinės ląstos ir tarpuplaučio sutrikimai</w:t>
            </w:r>
          </w:p>
        </w:tc>
        <w:tc>
          <w:tcPr>
            <w:tcW w:w="1250" w:type="pct"/>
            <w:tcBorders>
              <w:top w:val="single" w:sz="4" w:space="0" w:color="auto"/>
              <w:left w:val="single" w:sz="4" w:space="0" w:color="auto"/>
              <w:bottom w:val="single" w:sz="4" w:space="0" w:color="auto"/>
              <w:right w:val="single" w:sz="4" w:space="0" w:color="auto"/>
            </w:tcBorders>
            <w:hideMark/>
          </w:tcPr>
          <w:p w14:paraId="19E0E85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43D828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Kosulys (3-4 laipsnio – 0 %)</w:t>
            </w:r>
          </w:p>
        </w:tc>
        <w:tc>
          <w:tcPr>
            <w:tcW w:w="1250" w:type="pct"/>
            <w:tcBorders>
              <w:top w:val="single" w:sz="4" w:space="0" w:color="auto"/>
              <w:left w:val="single" w:sz="4" w:space="0" w:color="auto"/>
              <w:bottom w:val="single" w:sz="4" w:space="0" w:color="auto"/>
              <w:right w:val="single" w:sz="4" w:space="0" w:color="auto"/>
            </w:tcBorders>
            <w:hideMark/>
          </w:tcPr>
          <w:p w14:paraId="26C6699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1C0DFD78"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A60FBC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250" w:type="pct"/>
            <w:tcBorders>
              <w:top w:val="single" w:sz="4" w:space="0" w:color="auto"/>
              <w:left w:val="single" w:sz="4" w:space="0" w:color="auto"/>
              <w:bottom w:val="single" w:sz="4" w:space="0" w:color="auto"/>
              <w:right w:val="single" w:sz="4" w:space="0" w:color="auto"/>
            </w:tcBorders>
            <w:hideMark/>
          </w:tcPr>
          <w:p w14:paraId="75A8630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5,0%)</w:t>
            </w:r>
          </w:p>
          <w:p w14:paraId="57ECCE8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(3-4 laipsnio – 6,0 %)</w:t>
            </w:r>
          </w:p>
          <w:p w14:paraId="32BAEA2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 – 4,2 %)</w:t>
            </w:r>
          </w:p>
          <w:p w14:paraId="47B6ACD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w:t>
            </w:r>
          </w:p>
          <w:p w14:paraId="4611B4E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3,4 %)</w:t>
            </w:r>
          </w:p>
          <w:p w14:paraId="30560B5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Vidurių užkietėjimas</w:t>
            </w:r>
          </w:p>
          <w:p w14:paraId="6FFDC10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0,5 %)</w:t>
            </w:r>
          </w:p>
        </w:tc>
        <w:tc>
          <w:tcPr>
            <w:tcW w:w="1250" w:type="pct"/>
            <w:tcBorders>
              <w:top w:val="single" w:sz="4" w:space="0" w:color="auto"/>
              <w:left w:val="single" w:sz="4" w:space="0" w:color="auto"/>
              <w:bottom w:val="single" w:sz="4" w:space="0" w:color="auto"/>
              <w:right w:val="single" w:sz="4" w:space="0" w:color="auto"/>
            </w:tcBorders>
            <w:hideMark/>
          </w:tcPr>
          <w:p w14:paraId="74E2FAC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Pilvo skausmas (3-4 laipsnio – 0,4 %)</w:t>
            </w:r>
          </w:p>
        </w:tc>
        <w:tc>
          <w:tcPr>
            <w:tcW w:w="1250" w:type="pct"/>
            <w:tcBorders>
              <w:top w:val="single" w:sz="4" w:space="0" w:color="auto"/>
              <w:left w:val="single" w:sz="4" w:space="0" w:color="auto"/>
              <w:bottom w:val="single" w:sz="4" w:space="0" w:color="auto"/>
              <w:right w:val="single" w:sz="4" w:space="0" w:color="auto"/>
            </w:tcBorders>
            <w:hideMark/>
          </w:tcPr>
          <w:p w14:paraId="42BB072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2F9A6A8"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FC1B51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254C2A2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 (persistuojanti: &lt;3%)</w:t>
            </w:r>
          </w:p>
          <w:p w14:paraId="75FA50B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pažeidimas</w:t>
            </w:r>
          </w:p>
          <w:p w14:paraId="1EF6826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0,6%)</w:t>
            </w:r>
          </w:p>
          <w:p w14:paraId="71F6474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Nagų pažeidimas</w:t>
            </w:r>
          </w:p>
          <w:p w14:paraId="1018FA5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0,4%)</w:t>
            </w:r>
          </w:p>
        </w:tc>
        <w:tc>
          <w:tcPr>
            <w:tcW w:w="1250" w:type="pct"/>
            <w:tcBorders>
              <w:top w:val="single" w:sz="4" w:space="0" w:color="auto"/>
              <w:left w:val="single" w:sz="4" w:space="0" w:color="auto"/>
              <w:bottom w:val="single" w:sz="4" w:space="0" w:color="auto"/>
              <w:right w:val="single" w:sz="4" w:space="0" w:color="auto"/>
            </w:tcBorders>
            <w:hideMark/>
          </w:tcPr>
          <w:p w14:paraId="294867D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9C3AE1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BD96AC6"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E7B44C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Skeleto, raumenų ir jungiamojo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5A09BC7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Mialgija (3-4 laipsnio – 0,7 %)</w:t>
            </w:r>
          </w:p>
          <w:p w14:paraId="4290E48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Artralgija (3-4 laipsnio – 0,2 %)</w:t>
            </w:r>
          </w:p>
        </w:tc>
        <w:tc>
          <w:tcPr>
            <w:tcW w:w="1250" w:type="pct"/>
            <w:tcBorders>
              <w:top w:val="single" w:sz="4" w:space="0" w:color="auto"/>
              <w:left w:val="single" w:sz="4" w:space="0" w:color="auto"/>
              <w:bottom w:val="single" w:sz="4" w:space="0" w:color="auto"/>
              <w:right w:val="single" w:sz="4" w:space="0" w:color="auto"/>
            </w:tcBorders>
            <w:hideMark/>
          </w:tcPr>
          <w:p w14:paraId="4B9CA03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2BBDB5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3C2175D8"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EE1F82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Lytinės sistemos ir krūties sutrikimai</w:t>
            </w:r>
          </w:p>
        </w:tc>
        <w:tc>
          <w:tcPr>
            <w:tcW w:w="1250" w:type="pct"/>
            <w:tcBorders>
              <w:top w:val="single" w:sz="4" w:space="0" w:color="auto"/>
              <w:left w:val="single" w:sz="4" w:space="0" w:color="auto"/>
              <w:bottom w:val="single" w:sz="4" w:space="0" w:color="auto"/>
              <w:right w:val="single" w:sz="4" w:space="0" w:color="auto"/>
            </w:tcBorders>
            <w:hideMark/>
          </w:tcPr>
          <w:p w14:paraId="2DFAFD2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Amenorėja</w:t>
            </w:r>
          </w:p>
          <w:p w14:paraId="10CE0E4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nenustatyta)</w:t>
            </w:r>
          </w:p>
        </w:tc>
        <w:tc>
          <w:tcPr>
            <w:tcW w:w="1250" w:type="pct"/>
            <w:tcBorders>
              <w:top w:val="single" w:sz="4" w:space="0" w:color="auto"/>
              <w:left w:val="single" w:sz="4" w:space="0" w:color="auto"/>
              <w:bottom w:val="single" w:sz="4" w:space="0" w:color="auto"/>
              <w:right w:val="single" w:sz="4" w:space="0" w:color="auto"/>
            </w:tcBorders>
            <w:hideMark/>
          </w:tcPr>
          <w:p w14:paraId="4C07204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486DECC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7578848"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AB2BA5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250" w:type="pct"/>
            <w:tcBorders>
              <w:top w:val="single" w:sz="4" w:space="0" w:color="auto"/>
              <w:left w:val="single" w:sz="4" w:space="0" w:color="auto"/>
              <w:bottom w:val="single" w:sz="4" w:space="0" w:color="auto"/>
              <w:right w:val="single" w:sz="4" w:space="0" w:color="auto"/>
            </w:tcBorders>
            <w:hideMark/>
          </w:tcPr>
          <w:p w14:paraId="65A41B8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Astenija (3-4 laipsnio – 10 %)</w:t>
            </w:r>
          </w:p>
          <w:p w14:paraId="63C2295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Karščiavimas</w:t>
            </w:r>
          </w:p>
          <w:p w14:paraId="2AB9F4F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–nenustatyta)</w:t>
            </w:r>
          </w:p>
          <w:p w14:paraId="3AF8285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edema</w:t>
            </w:r>
          </w:p>
          <w:p w14:paraId="5D312FD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0,2 %)</w:t>
            </w:r>
          </w:p>
        </w:tc>
        <w:tc>
          <w:tcPr>
            <w:tcW w:w="1250" w:type="pct"/>
            <w:tcBorders>
              <w:top w:val="single" w:sz="4" w:space="0" w:color="auto"/>
              <w:left w:val="single" w:sz="4" w:space="0" w:color="auto"/>
              <w:bottom w:val="single" w:sz="4" w:space="0" w:color="auto"/>
              <w:right w:val="single" w:sz="4" w:space="0" w:color="auto"/>
            </w:tcBorders>
            <w:hideMark/>
          </w:tcPr>
          <w:p w14:paraId="4304D31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B2436D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27C5D41"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413E6E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Tyrimai</w:t>
            </w:r>
          </w:p>
        </w:tc>
        <w:tc>
          <w:tcPr>
            <w:tcW w:w="1250" w:type="pct"/>
            <w:tcBorders>
              <w:top w:val="single" w:sz="4" w:space="0" w:color="auto"/>
              <w:left w:val="single" w:sz="4" w:space="0" w:color="auto"/>
              <w:bottom w:val="single" w:sz="4" w:space="0" w:color="auto"/>
              <w:right w:val="single" w:sz="4" w:space="0" w:color="auto"/>
            </w:tcBorders>
            <w:hideMark/>
          </w:tcPr>
          <w:p w14:paraId="6A8E275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A877B3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Svorio padidėjimas</w:t>
            </w:r>
          </w:p>
          <w:p w14:paraId="6A8E9B3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(3-4 laipsnio – 0 %)</w:t>
            </w:r>
          </w:p>
          <w:p w14:paraId="7BE5433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arba sumažėjimas</w:t>
            </w:r>
          </w:p>
          <w:p w14:paraId="2550F56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0,2 %)</w:t>
            </w:r>
          </w:p>
        </w:tc>
        <w:tc>
          <w:tcPr>
            <w:tcW w:w="1250" w:type="pct"/>
            <w:tcBorders>
              <w:top w:val="single" w:sz="4" w:space="0" w:color="auto"/>
              <w:left w:val="single" w:sz="4" w:space="0" w:color="auto"/>
              <w:bottom w:val="single" w:sz="4" w:space="0" w:color="auto"/>
              <w:right w:val="single" w:sz="4" w:space="0" w:color="auto"/>
            </w:tcBorders>
            <w:hideMark/>
          </w:tcPr>
          <w:p w14:paraId="2DE2D7C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 </w:t>
            </w:r>
          </w:p>
        </w:tc>
      </w:tr>
    </w:tbl>
    <w:p w14:paraId="28128BC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A888923"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Pasirinktų nepageidaujamų reakcijų, atsiradusių vartojant doceakselio 75 mg/m² dozę adjuvantiniam gydymui kartu su doksorubicinu ir ciklofosfamidu, pacientėms, sergančioms į limfmazgius metastazavusiu (TAX 316) ir į limfmazgius nemetastazavusiu (GEICAM 9805) krūties vėžiu, aprašymas</w:t>
      </w:r>
    </w:p>
    <w:p w14:paraId="1301E0A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A133CF5"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Nervų sistemos sutrikimai</w:t>
      </w:r>
    </w:p>
    <w:p w14:paraId="5F164CE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Tyrimo TAX316 metu periferinė sensorinė neuropatija prasidėjo gydymo laikotarpiu ir išliko pradėjus stebėjimo laikotarpį 84 pacientėms (11,3%) TAC grupėje ir 15 pacienčių (2%) FAC grupėje. Stebėjimo laikotarpio pabaigoje (stebėjimo laiko mediana buvo 8 metai) periferinė sensorinė neuropatija išliko 10 pacienčių (1,3%) TAC grupėje ir 2 pacientėms (0,3%) FAC grupėje.</w:t>
      </w:r>
    </w:p>
    <w:p w14:paraId="759057A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D80CFC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Tyrimo GEICAM 9805 metu periferinė sensorinė neuropatija prasidėjo gydymo laikotarpiu ir išliko pradėjus stebėjimo laikotarpį 10 pacienčių (1,9%) TAC grupėje ir 4 pacientėms (0,8%) FAC grupėje. Stebėjimo laikotarpio pabaigoje (stebėjimo laiko mediana buvo 10 metų ir 5 mėnesiai) periferinė sensorinė neuropatija išliko 3 pacientėms (0,6%) TAC grupėje ir 1 pacientei (0,2%) FAC grupėje.</w:t>
      </w:r>
    </w:p>
    <w:p w14:paraId="11AF10A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41DD173"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Širdies sutrikimai</w:t>
      </w:r>
    </w:p>
    <w:p w14:paraId="06F8DDE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Tyrimo (TAX316) metu TAC grupėje 26 pacientams (3,5%) ir FAC grupėje 17 pacientų (2,3%) pasireiškė stazinis širdies nepakankamumas. Kiekvienoje grupėje visiems pacientams, išskyrus vieną, praėjus daugiau nei 30 dienų po gydymo pabaigos buvo nustatytas SŠN. 2 pacientai TAC grupėje ir 4 pacientai FAC grupėje mirė nuo širdies nepakankamumo.</w:t>
      </w:r>
    </w:p>
    <w:p w14:paraId="1465B87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Tyrimo GEICAM 9805 metu TAC grupėje 3 pacientėms (0,6%) ir FAC grupėje 3 pacientėms (0,6%) stebėjimo laikotarpiu pasireiškė stazinis širdies nepakankamumas. Stebėjimo laikotarpio pabaigoje (tikroji stebėjimo laiko mediana buvo 10 metų ir 5 mėnesiai) stazinio širdies nepakankamumo atvejų TAC grupėje nebuvo ir viena TAC grupės pacientė mirė nuo dilatacinės kardiomiopatijos, o FAC grupėje stazinis širdies nepakankamumas išliko 1 pacientei (0,2%)..</w:t>
      </w:r>
    </w:p>
    <w:p w14:paraId="1D61928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33E3555"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Odos ir poodinio audinio sutrikimai</w:t>
      </w:r>
    </w:p>
    <w:p w14:paraId="4490C8E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Tyrimo (TAX316) metu 687 pacientams iš 744 TAC grupėje (92,3%) ir 645 pacientams iš 736 FAC grupėje (87,6%) alopecija išliko stebėjimo laikotarpiu, po chemoterapijos pabaigos.</w:t>
      </w:r>
    </w:p>
    <w:p w14:paraId="0177592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Stebėjimo laikotarpio pabaigoje (faktinė stebėjimo mediana – 8 metai) alopecija išliko 29 pacientams TAC grupėje (3,9%) ir 16 pacientų FAC grupėje (2,2%).</w:t>
      </w:r>
    </w:p>
    <w:p w14:paraId="5AA2DDF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GEICAM 9805 tyrime alopecija, išliekanti ir stebėjimo laikotarpiu pasireiškė 49 pacientėms (9,2%) TAC grupėje ir 35 pacientėms (6,7%)</w:t>
      </w:r>
    </w:p>
    <w:p w14:paraId="352B2A0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FAC grupėje. Alopecija, susijusi su tiriamojo vaistinio preparato vartojimu ir prasidėjusi ar pasunkėjusi stebėjimo laikotarpiu, pasireiškė 42 pacientėms (7,9%) TAC grupėje ir 30 pacienčių (5,8%) FAC grupėje. Stebėjimo laikotarpio pabaigoje (stebėjimo laiko mediana buvo 10 metų ir 5 mėnesiai) alopecija išliko 3 pacientėms (0,6%) TAC grupėje ir 1 pacientei (0,2%) FAC grupėje.</w:t>
      </w:r>
    </w:p>
    <w:p w14:paraId="53F8EC5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F8ED717"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Lytinės sistemos ir krūties sutrikimai</w:t>
      </w:r>
    </w:p>
    <w:p w14:paraId="75DE43E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Tyrimo TAX316 metu amenorėja prasidėjo gydymo laikotarpiu ir išliko pradėjus stebėjimo laikotarpį po chemoterapijos pabaigos 202 pacientėms iš 774 (27,2%) TAC grupėje ir 125 pacientėms iš 736 (17,0%) FAC grupėje. Stebėjimo laikotarpio pabaigoje (stebėjimo laiko mediana buvo 8 metai) amenorėja išliko 121 pacientei iš 774 (16,3%) TAC grupėje ir 86 pacientėms (11,7%) FAC grupėje. Tyrimo GEICAM 9805 metu amenorėja prasidėjo gydymo, laikotarpiu ir išliko pradėjus stebėjimo laikotarpį 18 pacienčių (3,4%) TAC grupėje ir 5 pacientėms (1,0%) FAC grupėje. Stebėjimo laikotarpio pabaigoje (stebėjimo laiko mediana buvo 10 metų ir 5 mėnesiai) amenorėja išliko 7 pacientėms (1,3%) TAC grupėje ir 4 pacientėms (0,8%) FAC grupėje.</w:t>
      </w:r>
    </w:p>
    <w:p w14:paraId="6ADFD7B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864AAB5"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Bendrieji sutrikimai ir vartojimo vietos pažeidimai</w:t>
      </w:r>
    </w:p>
    <w:p w14:paraId="38F5A00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Tyrimo TAX316 metu periferinė edema prasidėjo gydymo laikotarpiu ir išliko pradėjus stebėjimo laikotarpį po chemoterapijos pabaigos 119 pacienčių iš 774 (16,0%) TAC grupėje ir 23 pacientėms iš 736 (3,1%) FAC grupėje. Stebėjimo laikotarpio pabaigoje (tikroji stebėjimo laiko mediana buvo 8 </w:t>
      </w:r>
      <w:r w:rsidRPr="00976ED6">
        <w:rPr>
          <w:rFonts w:ascii="Times New Roman" w:hAnsi="Times New Roman" w:cs="Times New Roman"/>
          <w:lang w:val="sl-SI"/>
        </w:rPr>
        <w:lastRenderedPageBreak/>
        <w:t>metai) periferinė edema išliko 19 pacienčių (2,6%) TAC grupėje ir 4 pacientėms (0,5%) FAC grupėje. Tyrimo TAX316 metu limfedema prasidėjo gydymo laikotarpiu ir išliko pradėjus stebėjimo laikotarpį po chemoterapijos pabaigos 11 pacienčių iš 774 (1,5%) TAC grupėje ir 1 pacientei iš 736 (0,1%) FAC grupėje. Stebėjimo laikotarpio pabaigoje (tikroji stebėjimo laiko mediana buvo 8 metai) limfedema išliko 6 pacientėms (0,8%) TAC grupėje ir 1 pacientei (0,1%) FAC grupėje. Tyrimo TAX316 metu astenija prasidėjo gydymo laikotarpiu ir išliko pradėjus stebėjimo laikotarpį po chemoterapijos pabaigos 236 pacientėms iš 774 (31,7%) TAC grupėje ir 180 pacienčių iš 736 (24,5%) FAC grupėje. Stebėjimo laikotarpio pabaigoje (tikroji stebėjimo laiko mediana buvo 8 metai) astenija išliko 29 pacientėms (3,9%) TAC grupėje ir 16 pacienčių (2,2%) FAC grupėje.</w:t>
      </w:r>
    </w:p>
    <w:p w14:paraId="4208B77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373D77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Tyrimo GEICAM 9805 metu periferinė edema prasidėjo gydymo laikotarpiu ir išliko pradėjus stebėjimo laikotarpį 4 pacientėms (0,8%) TAC grupėje ir 2 pacientėms (0,4%) FAC grupėje. Stebėjimo laikotarpio pabaigoje (stebėjimo laiko mediana buvo 10 metų ir 5 mėnesiai) TAC grupėje periferinės edemos atvejų nebuvo, o FAC grupėje ji išliko 1 pacientei (0,2%). Limfedema prasidėjo gydymo laikotarpiu ir išliko pradėjus stebėjimo laikotarpį 5 pacientėms (0,9%) TAC grupėje ir 2 pacientėms (0,4%) FAC grupėje. Stebėjimo laikotarpio pabaigoje limfedema išliko 4 pacientėms (0,8%) TAC grupėje ir 1 pacientei (0,2%) FAC grupėje. Astenija prasidėjo gydymo laikotarpiu ir išliko pradėjus stebėjimo laikotarpį 12 pacienčių (2,3%) TAC grupėje ir 4 pacientėms (0,8%) FAC grupėje. Stebėjimo laikotarpio pabaigoje astenija išliko 2 pacientėms (0,4%) TAC grupėje ir 2 pacientėms (0,4%) FAC grupėje.</w:t>
      </w:r>
    </w:p>
    <w:p w14:paraId="6E1D5AF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7370600"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Ūminė leukemija ir mielodisplazinis sindromas</w:t>
      </w:r>
    </w:p>
    <w:p w14:paraId="14EE133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Po tyrimo TAX316 10 metų stebėjimo laikotarpio, ūminė leukemija pasireiškė 3 iš 744 pacientų TAC grupėje (0,4%) ir 1 iš 736 pacientų FAC grupėje (0,1%). Viena TAC grupės pacientė (0,1%) ir 1 FAC grupės pacientė (0,1%) mirė nuo ūminės mieloleukemijos stebėjimo laikotarpiu (stebėjimo laiko mediana buvo 8 metai).Mielodisplazinis sindromas buvo nustatytas 2 iš 744 pacientų TAC grupėje (0.3%) ir 1 iš 736 pacientų FAC grupėje (0,1%).</w:t>
      </w:r>
    </w:p>
    <w:p w14:paraId="0C64813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Po tyrimo GEICAM 9805 10 metų stebėjimo laikotarpio ūminė leukemija TAC grupėje pasireiškė 1 iš 532 (0,2 %) pacientų. Tokių atvejų FAC grupėje nebuvo. Nei vienam pacientui nebuvo diagnozuotas mielodisplazinis sindromas nei vienoje gydytų pacientų grupėje.</w:t>
      </w:r>
    </w:p>
    <w:p w14:paraId="06BD2EF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2BE6383"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Su neutropenija susijusios komplikacijos</w:t>
      </w:r>
    </w:p>
    <w:p w14:paraId="7CFC668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Toliau pateiktoje lentelėje parodyta, kad 4 laipsnio neutropenijos, febrilinės neutropenijos ar su neutropenija susijusios infekcijos dažnis buvo mažesnis pacientams, kurie gydymo pradžioje profilaktikai vartojo G-KSF, kai jo vartojimas tapo privalomas TAC gydytų pacientų grupėje – GEICAM tyrimas.</w:t>
      </w:r>
    </w:p>
    <w:p w14:paraId="79F5AC3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0DBD6B3"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Su neutropenija susijusios komplikacijos, pasireiškusios pacientams, gydytiems naudojant TAC schemą profilaktikai gydymo pradžioje vartojus arba nevartojus G-KSF (GEICAM 9805 tyrimas)</w:t>
      </w:r>
    </w:p>
    <w:p w14:paraId="6CC8777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2934"/>
        <w:gridCol w:w="2934"/>
      </w:tblGrid>
      <w:tr w:rsidR="003A7B6B" w:rsidRPr="00976ED6" w14:paraId="626FA09C" w14:textId="77777777" w:rsidTr="005E6418">
        <w:tc>
          <w:tcPr>
            <w:tcW w:w="2934" w:type="dxa"/>
            <w:tcBorders>
              <w:top w:val="single" w:sz="4" w:space="0" w:color="auto"/>
              <w:left w:val="single" w:sz="4" w:space="0" w:color="auto"/>
              <w:bottom w:val="single" w:sz="4" w:space="0" w:color="auto"/>
              <w:right w:val="single" w:sz="4" w:space="0" w:color="auto"/>
            </w:tcBorders>
          </w:tcPr>
          <w:p w14:paraId="619B8298" w14:textId="77777777" w:rsidR="003A7B6B" w:rsidRPr="00976ED6" w:rsidRDefault="003A7B6B" w:rsidP="005E6418">
            <w:pPr>
              <w:widowControl w:val="0"/>
              <w:tabs>
                <w:tab w:val="left" w:pos="567"/>
                <w:tab w:val="left" w:pos="1296"/>
              </w:tabs>
              <w:autoSpaceDE w:val="0"/>
              <w:autoSpaceDN w:val="0"/>
              <w:adjustRightInd w:val="0"/>
              <w:ind w:left="0" w:firstLine="0"/>
              <w:rPr>
                <w:rFonts w:ascii="Times New Roman" w:hAnsi="Times New Roman" w:cs="Times New Roman"/>
                <w:lang w:val="sl-SI"/>
              </w:rPr>
            </w:pPr>
          </w:p>
        </w:tc>
        <w:tc>
          <w:tcPr>
            <w:tcW w:w="2934" w:type="dxa"/>
            <w:tcBorders>
              <w:top w:val="single" w:sz="4" w:space="0" w:color="auto"/>
              <w:left w:val="single" w:sz="4" w:space="0" w:color="auto"/>
              <w:bottom w:val="single" w:sz="4" w:space="0" w:color="auto"/>
              <w:right w:val="single" w:sz="4" w:space="0" w:color="auto"/>
            </w:tcBorders>
            <w:hideMark/>
          </w:tcPr>
          <w:p w14:paraId="25EDD8F6"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b/>
                <w:lang w:val="sl-SI"/>
              </w:rPr>
            </w:pPr>
            <w:r w:rsidRPr="00976ED6">
              <w:rPr>
                <w:rFonts w:ascii="Times New Roman" w:hAnsi="Times New Roman" w:cs="Times New Roman"/>
                <w:b/>
                <w:lang w:val="sl-SI"/>
              </w:rPr>
              <w:t>Be pradinės profilaktikos</w:t>
            </w:r>
          </w:p>
          <w:p w14:paraId="30A923BE"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b/>
                <w:lang w:val="sl-SI"/>
              </w:rPr>
              <w:t>G-KSF (n = 111) n (%)</w:t>
            </w:r>
          </w:p>
        </w:tc>
        <w:tc>
          <w:tcPr>
            <w:tcW w:w="2934" w:type="dxa"/>
            <w:tcBorders>
              <w:top w:val="single" w:sz="4" w:space="0" w:color="auto"/>
              <w:left w:val="single" w:sz="4" w:space="0" w:color="auto"/>
              <w:bottom w:val="single" w:sz="4" w:space="0" w:color="auto"/>
              <w:right w:val="single" w:sz="4" w:space="0" w:color="auto"/>
            </w:tcBorders>
            <w:hideMark/>
          </w:tcPr>
          <w:p w14:paraId="63CD09B6"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b/>
                <w:lang w:val="sl-SI"/>
              </w:rPr>
            </w:pPr>
            <w:r w:rsidRPr="00976ED6">
              <w:rPr>
                <w:rFonts w:ascii="Times New Roman" w:hAnsi="Times New Roman" w:cs="Times New Roman"/>
                <w:b/>
                <w:lang w:val="sl-SI"/>
              </w:rPr>
              <w:t>Su pradine profilaktika</w:t>
            </w:r>
          </w:p>
          <w:p w14:paraId="4BFA7537"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b/>
                <w:lang w:val="sl-SI"/>
              </w:rPr>
              <w:t>G-KSF (n = 421) n (%)</w:t>
            </w:r>
          </w:p>
        </w:tc>
      </w:tr>
      <w:tr w:rsidR="003A7B6B" w:rsidRPr="00976ED6" w14:paraId="4886EE77" w14:textId="77777777" w:rsidTr="005E6418">
        <w:tc>
          <w:tcPr>
            <w:tcW w:w="2934" w:type="dxa"/>
            <w:tcBorders>
              <w:top w:val="single" w:sz="4" w:space="0" w:color="auto"/>
              <w:left w:val="single" w:sz="4" w:space="0" w:color="auto"/>
              <w:bottom w:val="single" w:sz="4" w:space="0" w:color="auto"/>
              <w:right w:val="single" w:sz="4" w:space="0" w:color="auto"/>
            </w:tcBorders>
            <w:hideMark/>
          </w:tcPr>
          <w:p w14:paraId="6F717482" w14:textId="77777777" w:rsidR="003A7B6B" w:rsidRPr="00976ED6" w:rsidRDefault="003A7B6B" w:rsidP="005E6418">
            <w:pPr>
              <w:widowControl w:val="0"/>
              <w:tabs>
                <w:tab w:val="left" w:pos="567"/>
                <w:tab w:val="left" w:pos="1296"/>
              </w:tabs>
              <w:autoSpaceDE w:val="0"/>
              <w:autoSpaceDN w:val="0"/>
              <w:adjustRightInd w:val="0"/>
              <w:ind w:left="0" w:firstLine="0"/>
              <w:rPr>
                <w:rFonts w:ascii="Times New Roman" w:hAnsi="Times New Roman" w:cs="Times New Roman"/>
                <w:lang w:val="sl-SI"/>
              </w:rPr>
            </w:pPr>
            <w:r w:rsidRPr="00976ED6">
              <w:rPr>
                <w:rFonts w:ascii="Times New Roman" w:hAnsi="Times New Roman" w:cs="Times New Roman"/>
                <w:lang w:val="sl-SI"/>
              </w:rPr>
              <w:t>Neutropenija (4 laipsnio)</w:t>
            </w:r>
          </w:p>
        </w:tc>
        <w:tc>
          <w:tcPr>
            <w:tcW w:w="2934" w:type="dxa"/>
            <w:tcBorders>
              <w:top w:val="single" w:sz="4" w:space="0" w:color="auto"/>
              <w:left w:val="single" w:sz="4" w:space="0" w:color="auto"/>
              <w:bottom w:val="single" w:sz="4" w:space="0" w:color="auto"/>
              <w:right w:val="single" w:sz="4" w:space="0" w:color="auto"/>
            </w:tcBorders>
            <w:hideMark/>
          </w:tcPr>
          <w:p w14:paraId="6E8F9862"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lang w:val="sl-SI"/>
              </w:rPr>
              <w:t>104 (93,7)</w:t>
            </w:r>
          </w:p>
        </w:tc>
        <w:tc>
          <w:tcPr>
            <w:tcW w:w="2934" w:type="dxa"/>
            <w:tcBorders>
              <w:top w:val="single" w:sz="4" w:space="0" w:color="auto"/>
              <w:left w:val="single" w:sz="4" w:space="0" w:color="auto"/>
              <w:bottom w:val="single" w:sz="4" w:space="0" w:color="auto"/>
              <w:right w:val="single" w:sz="4" w:space="0" w:color="auto"/>
            </w:tcBorders>
            <w:hideMark/>
          </w:tcPr>
          <w:p w14:paraId="15D5DCDE"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lang w:val="sl-SI"/>
              </w:rPr>
              <w:t>135 (32,1)</w:t>
            </w:r>
          </w:p>
        </w:tc>
      </w:tr>
      <w:tr w:rsidR="003A7B6B" w:rsidRPr="00976ED6" w14:paraId="42F4659D" w14:textId="77777777" w:rsidTr="005E6418">
        <w:tc>
          <w:tcPr>
            <w:tcW w:w="2934" w:type="dxa"/>
            <w:tcBorders>
              <w:top w:val="single" w:sz="4" w:space="0" w:color="auto"/>
              <w:left w:val="single" w:sz="4" w:space="0" w:color="auto"/>
              <w:bottom w:val="single" w:sz="4" w:space="0" w:color="auto"/>
              <w:right w:val="single" w:sz="4" w:space="0" w:color="auto"/>
            </w:tcBorders>
            <w:hideMark/>
          </w:tcPr>
          <w:p w14:paraId="7B771F72" w14:textId="77777777" w:rsidR="003A7B6B" w:rsidRPr="00976ED6" w:rsidRDefault="003A7B6B" w:rsidP="005E6418">
            <w:pPr>
              <w:widowControl w:val="0"/>
              <w:tabs>
                <w:tab w:val="left" w:pos="567"/>
                <w:tab w:val="left" w:pos="1296"/>
              </w:tabs>
              <w:autoSpaceDE w:val="0"/>
              <w:autoSpaceDN w:val="0"/>
              <w:adjustRightInd w:val="0"/>
              <w:ind w:left="0" w:firstLine="0"/>
              <w:rPr>
                <w:rFonts w:ascii="Times New Roman" w:hAnsi="Times New Roman" w:cs="Times New Roman"/>
                <w:lang w:val="sl-SI"/>
              </w:rPr>
            </w:pPr>
            <w:r w:rsidRPr="00976ED6">
              <w:rPr>
                <w:rFonts w:ascii="Times New Roman" w:hAnsi="Times New Roman" w:cs="Times New Roman"/>
                <w:lang w:val="sl-SI"/>
              </w:rPr>
              <w:t>Febrilinė neutropenija</w:t>
            </w:r>
          </w:p>
        </w:tc>
        <w:tc>
          <w:tcPr>
            <w:tcW w:w="2934" w:type="dxa"/>
            <w:tcBorders>
              <w:top w:val="single" w:sz="4" w:space="0" w:color="auto"/>
              <w:left w:val="single" w:sz="4" w:space="0" w:color="auto"/>
              <w:bottom w:val="single" w:sz="4" w:space="0" w:color="auto"/>
              <w:right w:val="single" w:sz="4" w:space="0" w:color="auto"/>
            </w:tcBorders>
            <w:hideMark/>
          </w:tcPr>
          <w:p w14:paraId="23FE5EEA"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lang w:val="sl-SI"/>
              </w:rPr>
              <w:t>28 (25,2)</w:t>
            </w:r>
          </w:p>
        </w:tc>
        <w:tc>
          <w:tcPr>
            <w:tcW w:w="2934" w:type="dxa"/>
            <w:tcBorders>
              <w:top w:val="single" w:sz="4" w:space="0" w:color="auto"/>
              <w:left w:val="single" w:sz="4" w:space="0" w:color="auto"/>
              <w:bottom w:val="single" w:sz="4" w:space="0" w:color="auto"/>
              <w:right w:val="single" w:sz="4" w:space="0" w:color="auto"/>
            </w:tcBorders>
            <w:hideMark/>
          </w:tcPr>
          <w:p w14:paraId="708BEC47"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lang w:val="sl-SI"/>
              </w:rPr>
              <w:t>23 (5,5)</w:t>
            </w:r>
          </w:p>
        </w:tc>
      </w:tr>
      <w:tr w:rsidR="003A7B6B" w:rsidRPr="00976ED6" w14:paraId="7B8DFFF5" w14:textId="77777777" w:rsidTr="005E6418">
        <w:tc>
          <w:tcPr>
            <w:tcW w:w="2934" w:type="dxa"/>
            <w:tcBorders>
              <w:top w:val="single" w:sz="4" w:space="0" w:color="auto"/>
              <w:left w:val="single" w:sz="4" w:space="0" w:color="auto"/>
              <w:bottom w:val="single" w:sz="4" w:space="0" w:color="auto"/>
              <w:right w:val="single" w:sz="4" w:space="0" w:color="auto"/>
            </w:tcBorders>
            <w:hideMark/>
          </w:tcPr>
          <w:p w14:paraId="34EB21C3" w14:textId="77777777" w:rsidR="003A7B6B" w:rsidRPr="00976ED6" w:rsidRDefault="003A7B6B" w:rsidP="005E6418">
            <w:pPr>
              <w:widowControl w:val="0"/>
              <w:tabs>
                <w:tab w:val="left" w:pos="567"/>
                <w:tab w:val="left" w:pos="1296"/>
              </w:tabs>
              <w:autoSpaceDE w:val="0"/>
              <w:autoSpaceDN w:val="0"/>
              <w:adjustRightInd w:val="0"/>
              <w:ind w:left="0" w:firstLine="0"/>
              <w:rPr>
                <w:rFonts w:ascii="Times New Roman" w:hAnsi="Times New Roman" w:cs="Times New Roman"/>
                <w:lang w:val="sl-SI"/>
              </w:rPr>
            </w:pPr>
            <w:r w:rsidRPr="00976ED6">
              <w:rPr>
                <w:rFonts w:ascii="Times New Roman" w:hAnsi="Times New Roman" w:cs="Times New Roman"/>
                <w:lang w:val="sl-SI"/>
              </w:rPr>
              <w:t>Su neutropenija susijusi infekcija</w:t>
            </w:r>
          </w:p>
        </w:tc>
        <w:tc>
          <w:tcPr>
            <w:tcW w:w="2934" w:type="dxa"/>
            <w:tcBorders>
              <w:top w:val="single" w:sz="4" w:space="0" w:color="auto"/>
              <w:left w:val="single" w:sz="4" w:space="0" w:color="auto"/>
              <w:bottom w:val="single" w:sz="4" w:space="0" w:color="auto"/>
              <w:right w:val="single" w:sz="4" w:space="0" w:color="auto"/>
            </w:tcBorders>
            <w:hideMark/>
          </w:tcPr>
          <w:p w14:paraId="3B7AF4A1"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lang w:val="sl-SI"/>
              </w:rPr>
              <w:t>14 (12,6)</w:t>
            </w:r>
          </w:p>
        </w:tc>
        <w:tc>
          <w:tcPr>
            <w:tcW w:w="2934" w:type="dxa"/>
            <w:tcBorders>
              <w:top w:val="single" w:sz="4" w:space="0" w:color="auto"/>
              <w:left w:val="single" w:sz="4" w:space="0" w:color="auto"/>
              <w:bottom w:val="single" w:sz="4" w:space="0" w:color="auto"/>
              <w:right w:val="single" w:sz="4" w:space="0" w:color="auto"/>
            </w:tcBorders>
            <w:hideMark/>
          </w:tcPr>
          <w:p w14:paraId="7707A691"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lang w:val="sl-SI"/>
              </w:rPr>
              <w:t>21 (5,0)</w:t>
            </w:r>
          </w:p>
        </w:tc>
      </w:tr>
      <w:tr w:rsidR="003A7B6B" w:rsidRPr="00976ED6" w14:paraId="22FE6285" w14:textId="77777777" w:rsidTr="005E6418">
        <w:tc>
          <w:tcPr>
            <w:tcW w:w="2934" w:type="dxa"/>
            <w:tcBorders>
              <w:top w:val="single" w:sz="4" w:space="0" w:color="auto"/>
              <w:left w:val="single" w:sz="4" w:space="0" w:color="auto"/>
              <w:bottom w:val="single" w:sz="4" w:space="0" w:color="auto"/>
              <w:right w:val="single" w:sz="4" w:space="0" w:color="auto"/>
            </w:tcBorders>
            <w:hideMark/>
          </w:tcPr>
          <w:p w14:paraId="11A160CE" w14:textId="77777777" w:rsidR="003A7B6B" w:rsidRPr="00976ED6" w:rsidRDefault="003A7B6B" w:rsidP="005E6418">
            <w:pPr>
              <w:widowControl w:val="0"/>
              <w:tabs>
                <w:tab w:val="left" w:pos="567"/>
                <w:tab w:val="left" w:pos="1296"/>
              </w:tabs>
              <w:autoSpaceDE w:val="0"/>
              <w:autoSpaceDN w:val="0"/>
              <w:adjustRightInd w:val="0"/>
              <w:ind w:left="0" w:firstLine="0"/>
              <w:rPr>
                <w:rFonts w:ascii="Times New Roman" w:hAnsi="Times New Roman" w:cs="Times New Roman"/>
                <w:lang w:val="sl-SI"/>
              </w:rPr>
            </w:pPr>
            <w:r w:rsidRPr="00976ED6">
              <w:rPr>
                <w:rFonts w:ascii="Times New Roman" w:hAnsi="Times New Roman" w:cs="Times New Roman"/>
                <w:lang w:val="sl-SI"/>
              </w:rPr>
              <w:t>Neutropeninė infekcija (3-4 laipsnio)</w:t>
            </w:r>
          </w:p>
        </w:tc>
        <w:tc>
          <w:tcPr>
            <w:tcW w:w="2934" w:type="dxa"/>
            <w:tcBorders>
              <w:top w:val="single" w:sz="4" w:space="0" w:color="auto"/>
              <w:left w:val="single" w:sz="4" w:space="0" w:color="auto"/>
              <w:bottom w:val="single" w:sz="4" w:space="0" w:color="auto"/>
              <w:right w:val="single" w:sz="4" w:space="0" w:color="auto"/>
            </w:tcBorders>
            <w:hideMark/>
          </w:tcPr>
          <w:p w14:paraId="770B699E"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lang w:val="sl-SI"/>
              </w:rPr>
              <w:t>2 (1,8)</w:t>
            </w:r>
          </w:p>
        </w:tc>
        <w:tc>
          <w:tcPr>
            <w:tcW w:w="2934" w:type="dxa"/>
            <w:tcBorders>
              <w:top w:val="single" w:sz="4" w:space="0" w:color="auto"/>
              <w:left w:val="single" w:sz="4" w:space="0" w:color="auto"/>
              <w:bottom w:val="single" w:sz="4" w:space="0" w:color="auto"/>
              <w:right w:val="single" w:sz="4" w:space="0" w:color="auto"/>
            </w:tcBorders>
            <w:hideMark/>
          </w:tcPr>
          <w:p w14:paraId="0BDFC7BD" w14:textId="77777777" w:rsidR="003A7B6B" w:rsidRPr="00976ED6" w:rsidRDefault="003A7B6B" w:rsidP="005E6418">
            <w:pPr>
              <w:widowControl w:val="0"/>
              <w:tabs>
                <w:tab w:val="left" w:pos="567"/>
                <w:tab w:val="left" w:pos="1296"/>
              </w:tabs>
              <w:autoSpaceDE w:val="0"/>
              <w:autoSpaceDN w:val="0"/>
              <w:adjustRightInd w:val="0"/>
              <w:ind w:left="0" w:firstLine="0"/>
              <w:jc w:val="center"/>
              <w:rPr>
                <w:rFonts w:ascii="Times New Roman" w:hAnsi="Times New Roman" w:cs="Times New Roman"/>
                <w:lang w:val="sl-SI"/>
              </w:rPr>
            </w:pPr>
            <w:r w:rsidRPr="00976ED6">
              <w:rPr>
                <w:rFonts w:ascii="Times New Roman" w:hAnsi="Times New Roman" w:cs="Times New Roman"/>
                <w:lang w:val="sl-SI"/>
              </w:rPr>
              <w:t>5 (1,2)</w:t>
            </w:r>
          </w:p>
        </w:tc>
      </w:tr>
    </w:tbl>
    <w:p w14:paraId="14165F6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9560EFD"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docetakselio 75 mg/m² su cisplatina ir 5-fluorouracilu</w:t>
      </w:r>
    </w:p>
    <w:p w14:paraId="3589D854"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dozę skrandžio adenokarcinomai gydyti, sąrašas lentelės forma</w:t>
      </w:r>
    </w:p>
    <w:p w14:paraId="043CCEE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0"/>
      </w:tblGrid>
      <w:tr w:rsidR="003A7B6B" w:rsidRPr="00976ED6" w14:paraId="0ACC9489"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2BD968B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650" w:type="pct"/>
            <w:tcBorders>
              <w:top w:val="single" w:sz="4" w:space="0" w:color="auto"/>
              <w:left w:val="single" w:sz="4" w:space="0" w:color="auto"/>
              <w:bottom w:val="single" w:sz="4" w:space="0" w:color="auto"/>
              <w:right w:val="single" w:sz="4" w:space="0" w:color="auto"/>
            </w:tcBorders>
            <w:hideMark/>
          </w:tcPr>
          <w:p w14:paraId="4E92887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650" w:type="pct"/>
            <w:tcBorders>
              <w:top w:val="single" w:sz="4" w:space="0" w:color="auto"/>
              <w:left w:val="single" w:sz="4" w:space="0" w:color="auto"/>
              <w:bottom w:val="single" w:sz="4" w:space="0" w:color="auto"/>
              <w:right w:val="single" w:sz="4" w:space="0" w:color="auto"/>
            </w:tcBorders>
            <w:hideMark/>
          </w:tcPr>
          <w:p w14:paraId="668B586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r>
      <w:tr w:rsidR="003A7B6B" w:rsidRPr="00976ED6" w14:paraId="4D0F3F78"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656B090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Infekcijos ir infestacijos</w:t>
            </w:r>
          </w:p>
        </w:tc>
        <w:tc>
          <w:tcPr>
            <w:tcW w:w="1650" w:type="pct"/>
            <w:tcBorders>
              <w:top w:val="single" w:sz="4" w:space="0" w:color="auto"/>
              <w:left w:val="single" w:sz="4" w:space="0" w:color="auto"/>
              <w:bottom w:val="single" w:sz="4" w:space="0" w:color="auto"/>
              <w:right w:val="single" w:sz="4" w:space="0" w:color="auto"/>
            </w:tcBorders>
            <w:hideMark/>
          </w:tcPr>
          <w:p w14:paraId="5647749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Neutropeninė infekcija</w:t>
            </w:r>
          </w:p>
          <w:p w14:paraId="0E51A80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Infekcija (3-4 laipsnio – 11,7%)</w:t>
            </w:r>
          </w:p>
        </w:tc>
        <w:tc>
          <w:tcPr>
            <w:tcW w:w="1650" w:type="pct"/>
            <w:tcBorders>
              <w:top w:val="single" w:sz="4" w:space="0" w:color="auto"/>
              <w:left w:val="single" w:sz="4" w:space="0" w:color="auto"/>
              <w:bottom w:val="single" w:sz="4" w:space="0" w:color="auto"/>
              <w:right w:val="single" w:sz="4" w:space="0" w:color="auto"/>
            </w:tcBorders>
            <w:hideMark/>
          </w:tcPr>
          <w:p w14:paraId="6DA77A6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8485153"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5D02C33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Kraujo ir limfinės sistemos sutrikimai</w:t>
            </w:r>
          </w:p>
        </w:tc>
        <w:tc>
          <w:tcPr>
            <w:tcW w:w="1650" w:type="pct"/>
            <w:tcBorders>
              <w:top w:val="single" w:sz="4" w:space="0" w:color="auto"/>
              <w:left w:val="single" w:sz="4" w:space="0" w:color="auto"/>
              <w:bottom w:val="single" w:sz="4" w:space="0" w:color="auto"/>
              <w:right w:val="single" w:sz="4" w:space="0" w:color="auto"/>
            </w:tcBorders>
            <w:hideMark/>
          </w:tcPr>
          <w:p w14:paraId="4E08395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Anemija (3-4 laipsnio – 20,9%);</w:t>
            </w:r>
          </w:p>
          <w:p w14:paraId="2C8DDF4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 (3-4 laipsnio – 83,2%)</w:t>
            </w:r>
          </w:p>
          <w:p w14:paraId="59BBAAF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Trombocitopenija (3-4 laipsnio – 8,8%)</w:t>
            </w:r>
          </w:p>
          <w:p w14:paraId="0F9AAF7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tc>
        <w:tc>
          <w:tcPr>
            <w:tcW w:w="1650" w:type="pct"/>
            <w:tcBorders>
              <w:top w:val="single" w:sz="4" w:space="0" w:color="auto"/>
              <w:left w:val="single" w:sz="4" w:space="0" w:color="auto"/>
              <w:bottom w:val="single" w:sz="4" w:space="0" w:color="auto"/>
              <w:right w:val="single" w:sz="4" w:space="0" w:color="auto"/>
            </w:tcBorders>
            <w:hideMark/>
          </w:tcPr>
          <w:p w14:paraId="3C49DA4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F9C5E65"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0964D47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650" w:type="pct"/>
            <w:tcBorders>
              <w:top w:val="single" w:sz="4" w:space="0" w:color="auto"/>
              <w:left w:val="single" w:sz="4" w:space="0" w:color="auto"/>
              <w:bottom w:val="single" w:sz="4" w:space="0" w:color="auto"/>
              <w:right w:val="single" w:sz="4" w:space="0" w:color="auto"/>
            </w:tcBorders>
            <w:hideMark/>
          </w:tcPr>
          <w:p w14:paraId="7C36AD1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 (3-4 laipsnio – 1,7%)</w:t>
            </w:r>
          </w:p>
        </w:tc>
        <w:tc>
          <w:tcPr>
            <w:tcW w:w="1650" w:type="pct"/>
            <w:tcBorders>
              <w:top w:val="single" w:sz="4" w:space="0" w:color="auto"/>
              <w:left w:val="single" w:sz="4" w:space="0" w:color="auto"/>
              <w:bottom w:val="single" w:sz="4" w:space="0" w:color="auto"/>
              <w:right w:val="single" w:sz="4" w:space="0" w:color="auto"/>
            </w:tcBorders>
            <w:hideMark/>
          </w:tcPr>
          <w:p w14:paraId="589C4F5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58A8B8B"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2CDE45D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650" w:type="pct"/>
            <w:tcBorders>
              <w:top w:val="single" w:sz="4" w:space="0" w:color="auto"/>
              <w:left w:val="single" w:sz="4" w:space="0" w:color="auto"/>
              <w:bottom w:val="single" w:sz="4" w:space="0" w:color="auto"/>
              <w:right w:val="single" w:sz="4" w:space="0" w:color="auto"/>
            </w:tcBorders>
            <w:hideMark/>
          </w:tcPr>
          <w:p w14:paraId="6629705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 (3-4 laipsnio – 11,7%)</w:t>
            </w:r>
          </w:p>
        </w:tc>
        <w:tc>
          <w:tcPr>
            <w:tcW w:w="1650" w:type="pct"/>
            <w:tcBorders>
              <w:top w:val="single" w:sz="4" w:space="0" w:color="auto"/>
              <w:left w:val="single" w:sz="4" w:space="0" w:color="auto"/>
              <w:bottom w:val="single" w:sz="4" w:space="0" w:color="auto"/>
              <w:right w:val="single" w:sz="4" w:space="0" w:color="auto"/>
            </w:tcBorders>
            <w:hideMark/>
          </w:tcPr>
          <w:p w14:paraId="5EC6A3E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5336093"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2F1816E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650" w:type="pct"/>
            <w:tcBorders>
              <w:top w:val="single" w:sz="4" w:space="0" w:color="auto"/>
              <w:left w:val="single" w:sz="4" w:space="0" w:color="auto"/>
              <w:bottom w:val="single" w:sz="4" w:space="0" w:color="auto"/>
              <w:right w:val="single" w:sz="4" w:space="0" w:color="auto"/>
            </w:tcBorders>
            <w:hideMark/>
          </w:tcPr>
          <w:p w14:paraId="4A34949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(3-4 laipsnio – 8,7%)</w:t>
            </w:r>
          </w:p>
        </w:tc>
        <w:tc>
          <w:tcPr>
            <w:tcW w:w="1650" w:type="pct"/>
            <w:tcBorders>
              <w:top w:val="single" w:sz="4" w:space="0" w:color="auto"/>
              <w:left w:val="single" w:sz="4" w:space="0" w:color="auto"/>
              <w:bottom w:val="single" w:sz="4" w:space="0" w:color="auto"/>
              <w:right w:val="single" w:sz="4" w:space="0" w:color="auto"/>
            </w:tcBorders>
            <w:hideMark/>
          </w:tcPr>
          <w:p w14:paraId="5E34F61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Svaigulys (3-4 laipsnio – 2,3%)</w:t>
            </w:r>
          </w:p>
          <w:p w14:paraId="30D1A1A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motorinė neuropatija (3-4 laipsnio – 1,3%)</w:t>
            </w:r>
          </w:p>
        </w:tc>
      </w:tr>
      <w:tr w:rsidR="003A7B6B" w:rsidRPr="00976ED6" w14:paraId="192BDBDA"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4F0CF09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Akių sutrikimai</w:t>
            </w:r>
          </w:p>
        </w:tc>
        <w:tc>
          <w:tcPr>
            <w:tcW w:w="1650" w:type="pct"/>
            <w:tcBorders>
              <w:top w:val="single" w:sz="4" w:space="0" w:color="auto"/>
              <w:left w:val="single" w:sz="4" w:space="0" w:color="auto"/>
              <w:bottom w:val="single" w:sz="4" w:space="0" w:color="auto"/>
              <w:right w:val="single" w:sz="4" w:space="0" w:color="auto"/>
            </w:tcBorders>
            <w:hideMark/>
          </w:tcPr>
          <w:p w14:paraId="3E76E78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50" w:type="pct"/>
            <w:tcBorders>
              <w:top w:val="single" w:sz="4" w:space="0" w:color="auto"/>
              <w:left w:val="single" w:sz="4" w:space="0" w:color="auto"/>
              <w:bottom w:val="single" w:sz="4" w:space="0" w:color="auto"/>
              <w:right w:val="single" w:sz="4" w:space="0" w:color="auto"/>
            </w:tcBorders>
            <w:hideMark/>
          </w:tcPr>
          <w:p w14:paraId="729D575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Ašarojimo sustiprėjimas (3-4 laipsnio – 0%)</w:t>
            </w:r>
          </w:p>
        </w:tc>
      </w:tr>
      <w:tr w:rsidR="003A7B6B" w:rsidRPr="00976ED6" w14:paraId="1FB22141"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429E05C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Ausų ir labirintų sutrikimai</w:t>
            </w:r>
          </w:p>
        </w:tc>
        <w:tc>
          <w:tcPr>
            <w:tcW w:w="1650" w:type="pct"/>
            <w:tcBorders>
              <w:top w:val="single" w:sz="4" w:space="0" w:color="auto"/>
              <w:left w:val="single" w:sz="4" w:space="0" w:color="auto"/>
              <w:bottom w:val="single" w:sz="4" w:space="0" w:color="auto"/>
              <w:right w:val="single" w:sz="4" w:space="0" w:color="auto"/>
            </w:tcBorders>
            <w:hideMark/>
          </w:tcPr>
          <w:p w14:paraId="4351478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50" w:type="pct"/>
            <w:tcBorders>
              <w:top w:val="single" w:sz="4" w:space="0" w:color="auto"/>
              <w:left w:val="single" w:sz="4" w:space="0" w:color="auto"/>
              <w:bottom w:val="single" w:sz="4" w:space="0" w:color="auto"/>
              <w:right w:val="single" w:sz="4" w:space="0" w:color="auto"/>
            </w:tcBorders>
            <w:hideMark/>
          </w:tcPr>
          <w:p w14:paraId="203155B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Klausos susilpnėjimas (3-4 laipsnio – 0%)</w:t>
            </w:r>
          </w:p>
        </w:tc>
      </w:tr>
      <w:tr w:rsidR="003A7B6B" w:rsidRPr="00976ED6" w14:paraId="58F441C1"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0FB270F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650" w:type="pct"/>
            <w:tcBorders>
              <w:top w:val="single" w:sz="4" w:space="0" w:color="auto"/>
              <w:left w:val="single" w:sz="4" w:space="0" w:color="auto"/>
              <w:bottom w:val="single" w:sz="4" w:space="0" w:color="auto"/>
              <w:right w:val="single" w:sz="4" w:space="0" w:color="auto"/>
            </w:tcBorders>
            <w:hideMark/>
          </w:tcPr>
          <w:p w14:paraId="4BA3751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650" w:type="pct"/>
            <w:tcBorders>
              <w:top w:val="single" w:sz="4" w:space="0" w:color="auto"/>
              <w:left w:val="single" w:sz="4" w:space="0" w:color="auto"/>
              <w:bottom w:val="single" w:sz="4" w:space="0" w:color="auto"/>
              <w:right w:val="single" w:sz="4" w:space="0" w:color="auto"/>
            </w:tcBorders>
            <w:hideMark/>
          </w:tcPr>
          <w:p w14:paraId="58D0AFC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Aritmija (3-4 laipsnio – 1,0%)</w:t>
            </w:r>
          </w:p>
        </w:tc>
      </w:tr>
      <w:tr w:rsidR="003A7B6B" w:rsidRPr="00976ED6" w14:paraId="67C026CF"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2D8B688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650" w:type="pct"/>
            <w:tcBorders>
              <w:top w:val="single" w:sz="4" w:space="0" w:color="auto"/>
              <w:left w:val="single" w:sz="4" w:space="0" w:color="auto"/>
              <w:bottom w:val="single" w:sz="4" w:space="0" w:color="auto"/>
              <w:right w:val="single" w:sz="4" w:space="0" w:color="auto"/>
            </w:tcBorders>
            <w:hideMark/>
          </w:tcPr>
          <w:p w14:paraId="5834B2B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 (3-4 laipsnio – 19,7%)</w:t>
            </w:r>
          </w:p>
          <w:p w14:paraId="78B9FE5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 16%)</w:t>
            </w:r>
          </w:p>
          <w:p w14:paraId="125FF96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(3-4 laipsnio –</w:t>
            </w:r>
          </w:p>
          <w:p w14:paraId="06EE855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23,7%)</w:t>
            </w:r>
          </w:p>
          <w:p w14:paraId="077ED7B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 – 14,3%)</w:t>
            </w:r>
          </w:p>
        </w:tc>
        <w:tc>
          <w:tcPr>
            <w:tcW w:w="1650" w:type="pct"/>
            <w:tcBorders>
              <w:top w:val="single" w:sz="4" w:space="0" w:color="auto"/>
              <w:left w:val="single" w:sz="4" w:space="0" w:color="auto"/>
              <w:bottom w:val="single" w:sz="4" w:space="0" w:color="auto"/>
              <w:right w:val="single" w:sz="4" w:space="0" w:color="auto"/>
            </w:tcBorders>
            <w:hideMark/>
          </w:tcPr>
          <w:p w14:paraId="2826514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Vidurių užkietėjimas (3-4 laipsnio – 1,0%)</w:t>
            </w:r>
          </w:p>
          <w:p w14:paraId="6109342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skausmas (3-4 laipsnio – 1,0%)</w:t>
            </w:r>
          </w:p>
          <w:p w14:paraId="3921FBA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Ezofagitas arba disfagija arba odinofagija (3-4 laipsnio – 0,7%)</w:t>
            </w:r>
          </w:p>
        </w:tc>
      </w:tr>
      <w:tr w:rsidR="003A7B6B" w:rsidRPr="00976ED6" w14:paraId="06ED9BFB"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519DB7A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650" w:type="pct"/>
            <w:tcBorders>
              <w:top w:val="single" w:sz="4" w:space="0" w:color="auto"/>
              <w:left w:val="single" w:sz="4" w:space="0" w:color="auto"/>
              <w:bottom w:val="single" w:sz="4" w:space="0" w:color="auto"/>
              <w:right w:val="single" w:sz="4" w:space="0" w:color="auto"/>
            </w:tcBorders>
            <w:hideMark/>
          </w:tcPr>
          <w:p w14:paraId="2A9C57F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 (3-4 laipsnio – 4,0%)</w:t>
            </w:r>
          </w:p>
        </w:tc>
        <w:tc>
          <w:tcPr>
            <w:tcW w:w="1650" w:type="pct"/>
            <w:tcBorders>
              <w:top w:val="single" w:sz="4" w:space="0" w:color="auto"/>
              <w:left w:val="single" w:sz="4" w:space="0" w:color="auto"/>
              <w:bottom w:val="single" w:sz="4" w:space="0" w:color="auto"/>
              <w:right w:val="single" w:sz="4" w:space="0" w:color="auto"/>
            </w:tcBorders>
            <w:hideMark/>
          </w:tcPr>
          <w:p w14:paraId="4AE6883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Išbėrimas ir niežėjimas (3-4 laipsnio – 0,7%)</w:t>
            </w:r>
          </w:p>
          <w:p w14:paraId="0903E99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Nagų pažeidimai (3-4 laipsnio – 0,7%)</w:t>
            </w:r>
          </w:p>
          <w:p w14:paraId="7625104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eksfoliacija (3-4 laipsnio – 0%)</w:t>
            </w:r>
          </w:p>
        </w:tc>
      </w:tr>
      <w:tr w:rsidR="003A7B6B" w:rsidRPr="00976ED6" w14:paraId="626CF8BD" w14:textId="77777777" w:rsidTr="005E6418">
        <w:tc>
          <w:tcPr>
            <w:tcW w:w="1650" w:type="pct"/>
            <w:tcBorders>
              <w:top w:val="single" w:sz="4" w:space="0" w:color="auto"/>
              <w:left w:val="single" w:sz="4" w:space="0" w:color="auto"/>
              <w:bottom w:val="single" w:sz="4" w:space="0" w:color="auto"/>
              <w:right w:val="single" w:sz="4" w:space="0" w:color="auto"/>
            </w:tcBorders>
            <w:hideMark/>
          </w:tcPr>
          <w:p w14:paraId="6485A42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650" w:type="pct"/>
            <w:tcBorders>
              <w:top w:val="single" w:sz="4" w:space="0" w:color="auto"/>
              <w:left w:val="single" w:sz="4" w:space="0" w:color="auto"/>
              <w:bottom w:val="single" w:sz="4" w:space="0" w:color="auto"/>
              <w:right w:val="single" w:sz="4" w:space="0" w:color="auto"/>
            </w:tcBorders>
            <w:hideMark/>
          </w:tcPr>
          <w:p w14:paraId="75F7604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Letargija (3-4 laipsnio – 19,0%)</w:t>
            </w:r>
          </w:p>
          <w:p w14:paraId="2E367F0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Karščiavimas (3-4 laipsnio – 2,3%)</w:t>
            </w:r>
          </w:p>
          <w:p w14:paraId="7BB32E2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Skysčių susilaikymas (sunkus arba pavojingas gyvybei - 1%)</w:t>
            </w:r>
          </w:p>
        </w:tc>
        <w:tc>
          <w:tcPr>
            <w:tcW w:w="1650" w:type="pct"/>
            <w:tcBorders>
              <w:top w:val="single" w:sz="4" w:space="0" w:color="auto"/>
              <w:left w:val="single" w:sz="4" w:space="0" w:color="auto"/>
              <w:bottom w:val="single" w:sz="4" w:space="0" w:color="auto"/>
              <w:right w:val="single" w:sz="4" w:space="0" w:color="auto"/>
            </w:tcBorders>
            <w:hideMark/>
          </w:tcPr>
          <w:p w14:paraId="23FE00A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bl>
    <w:p w14:paraId="098F493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8F8CC06"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Pasirinktų nepageidaujamų reakcijų, atsiradusių vartojant docetakselio 75 mg/m² su cisplatina ir 5-fluorouracilu dozę skrandžio adenokarcinomai gydyti, aprašymas</w:t>
      </w:r>
    </w:p>
    <w:p w14:paraId="5BB7E47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8C54EE0"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Kraujo ir limfinės sistemos sutrikimai</w:t>
      </w:r>
    </w:p>
    <w:p w14:paraId="046FBB7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Febrilinė neutropenija pasireiškė 17,2%, o su neutropenija susijusi infekcija – 13,5% pacientų (neatsižvelgiant, buvo vartojama G-KSF ar ne). Antrinė profilaktika G-KSF taikyta 19,3% pacientų (10,7% ciklų). Febrilinė neutropenija ir su neutropenija susijusi infekcija pasireiškė atitinkamai 12,1% ir 3,4% pacientų, profilaktikai vartojusių G-KSF, ir 15,6% bei 12,9% ligonių, kuriems profilaktinis gydymas G-KSF netaikytas (žr. 4.2 skyrių).</w:t>
      </w:r>
    </w:p>
    <w:p w14:paraId="4D76D69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3140279"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Nepageidaujamų reakcijų, atsiradusių vartojant docetakselio 75 mg/m² su cisplatina ir 5-fluorouracilu dozę galvos ir kaklo vėžiui gydyti, sąrašas lentelės forma</w:t>
      </w:r>
    </w:p>
    <w:p w14:paraId="11AFDA1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24D6631" w14:textId="77777777" w:rsidR="003A7B6B" w:rsidRPr="00976ED6" w:rsidRDefault="003A7B6B" w:rsidP="002D2EC4">
      <w:pPr>
        <w:widowControl w:val="0"/>
        <w:numPr>
          <w:ilvl w:val="0"/>
          <w:numId w:val="1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Įvadinė chemoterapija, kai vėliau gydoma spinduliais (TAX 323)</w:t>
      </w:r>
    </w:p>
    <w:p w14:paraId="0E56192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3A7B6B" w:rsidRPr="00976ED6" w14:paraId="0216F9ED"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180ECAB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250" w:type="pct"/>
            <w:tcBorders>
              <w:top w:val="single" w:sz="4" w:space="0" w:color="auto"/>
              <w:left w:val="single" w:sz="4" w:space="0" w:color="auto"/>
              <w:bottom w:val="single" w:sz="4" w:space="0" w:color="auto"/>
              <w:right w:val="single" w:sz="4" w:space="0" w:color="auto"/>
            </w:tcBorders>
            <w:hideMark/>
          </w:tcPr>
          <w:p w14:paraId="0A83FCD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0487919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5FE8D3E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Nedažnos nepageidaujamos reakcijos</w:t>
            </w:r>
          </w:p>
        </w:tc>
      </w:tr>
      <w:tr w:rsidR="003A7B6B" w:rsidRPr="00976ED6" w14:paraId="2C5F5B3B"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467EAF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Infekcijos ir infestacijos</w:t>
            </w:r>
          </w:p>
        </w:tc>
        <w:tc>
          <w:tcPr>
            <w:tcW w:w="1250" w:type="pct"/>
            <w:tcBorders>
              <w:top w:val="single" w:sz="4" w:space="0" w:color="auto"/>
              <w:left w:val="single" w:sz="4" w:space="0" w:color="auto"/>
              <w:bottom w:val="single" w:sz="4" w:space="0" w:color="auto"/>
              <w:right w:val="single" w:sz="4" w:space="0" w:color="auto"/>
            </w:tcBorders>
            <w:hideMark/>
          </w:tcPr>
          <w:p w14:paraId="052DCF6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Infekcija (3-4 laipsnio – 6,3%)</w:t>
            </w:r>
          </w:p>
          <w:p w14:paraId="4979DD7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Neutropeninė infekcija</w:t>
            </w:r>
          </w:p>
        </w:tc>
        <w:tc>
          <w:tcPr>
            <w:tcW w:w="1250" w:type="pct"/>
            <w:tcBorders>
              <w:top w:val="single" w:sz="4" w:space="0" w:color="auto"/>
              <w:left w:val="single" w:sz="4" w:space="0" w:color="auto"/>
              <w:bottom w:val="single" w:sz="4" w:space="0" w:color="auto"/>
              <w:right w:val="single" w:sz="4" w:space="0" w:color="auto"/>
            </w:tcBorders>
            <w:hideMark/>
          </w:tcPr>
          <w:p w14:paraId="6332B3B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B24586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4EA7C56"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613B9FA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Gerybiniai, piktybiniai ir nepatikslinti navikai (tarp jų cistos ir polipai)</w:t>
            </w:r>
          </w:p>
        </w:tc>
        <w:tc>
          <w:tcPr>
            <w:tcW w:w="1250" w:type="pct"/>
            <w:tcBorders>
              <w:top w:val="single" w:sz="4" w:space="0" w:color="auto"/>
              <w:left w:val="single" w:sz="4" w:space="0" w:color="auto"/>
              <w:bottom w:val="single" w:sz="4" w:space="0" w:color="auto"/>
              <w:right w:val="single" w:sz="4" w:space="0" w:color="auto"/>
            </w:tcBorders>
            <w:hideMark/>
          </w:tcPr>
          <w:p w14:paraId="4769A75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3B46436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Vėžio sukeltas skausmas (3-4 laipsnio – 0,6%)</w:t>
            </w:r>
          </w:p>
        </w:tc>
        <w:tc>
          <w:tcPr>
            <w:tcW w:w="1250" w:type="pct"/>
            <w:tcBorders>
              <w:top w:val="single" w:sz="4" w:space="0" w:color="auto"/>
              <w:left w:val="single" w:sz="4" w:space="0" w:color="auto"/>
              <w:bottom w:val="single" w:sz="4" w:space="0" w:color="auto"/>
              <w:right w:val="single" w:sz="4" w:space="0" w:color="auto"/>
            </w:tcBorders>
            <w:hideMark/>
          </w:tcPr>
          <w:p w14:paraId="119464C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88F6255"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32B0AD8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3EFD2BE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 (3-4 laipsnio – 76,3%)</w:t>
            </w:r>
          </w:p>
          <w:p w14:paraId="1189B79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Anemija (3-4 laipsnio – 9,2%)</w:t>
            </w:r>
          </w:p>
          <w:p w14:paraId="6B55466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Trombocitopenija (3-4 laipsnio – 5,2%)</w:t>
            </w:r>
          </w:p>
        </w:tc>
        <w:tc>
          <w:tcPr>
            <w:tcW w:w="1250" w:type="pct"/>
            <w:tcBorders>
              <w:top w:val="single" w:sz="4" w:space="0" w:color="auto"/>
              <w:left w:val="single" w:sz="4" w:space="0" w:color="auto"/>
              <w:bottom w:val="single" w:sz="4" w:space="0" w:color="auto"/>
              <w:right w:val="single" w:sz="4" w:space="0" w:color="auto"/>
            </w:tcBorders>
            <w:hideMark/>
          </w:tcPr>
          <w:p w14:paraId="417A540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tc>
        <w:tc>
          <w:tcPr>
            <w:tcW w:w="1250" w:type="pct"/>
            <w:tcBorders>
              <w:top w:val="single" w:sz="4" w:space="0" w:color="auto"/>
              <w:left w:val="single" w:sz="4" w:space="0" w:color="auto"/>
              <w:bottom w:val="single" w:sz="4" w:space="0" w:color="auto"/>
              <w:right w:val="single" w:sz="4" w:space="0" w:color="auto"/>
            </w:tcBorders>
            <w:hideMark/>
          </w:tcPr>
          <w:p w14:paraId="0CF75BF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1090FDCA"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7FBBFD5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69F1ED3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0126E45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 (nesunkus)</w:t>
            </w:r>
          </w:p>
        </w:tc>
        <w:tc>
          <w:tcPr>
            <w:tcW w:w="1250" w:type="pct"/>
            <w:tcBorders>
              <w:top w:val="single" w:sz="4" w:space="0" w:color="auto"/>
              <w:left w:val="single" w:sz="4" w:space="0" w:color="auto"/>
              <w:bottom w:val="single" w:sz="4" w:space="0" w:color="auto"/>
              <w:right w:val="single" w:sz="4" w:space="0" w:color="auto"/>
            </w:tcBorders>
            <w:hideMark/>
          </w:tcPr>
          <w:p w14:paraId="4C13041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2FA27FF"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2564F0F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250" w:type="pct"/>
            <w:tcBorders>
              <w:top w:val="single" w:sz="4" w:space="0" w:color="auto"/>
              <w:left w:val="single" w:sz="4" w:space="0" w:color="auto"/>
              <w:bottom w:val="single" w:sz="4" w:space="0" w:color="auto"/>
              <w:right w:val="single" w:sz="4" w:space="0" w:color="auto"/>
            </w:tcBorders>
            <w:hideMark/>
          </w:tcPr>
          <w:p w14:paraId="2C7E2C7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 (3-4 laipsnio – 0,6%)</w:t>
            </w:r>
          </w:p>
        </w:tc>
        <w:tc>
          <w:tcPr>
            <w:tcW w:w="1250" w:type="pct"/>
            <w:tcBorders>
              <w:top w:val="single" w:sz="4" w:space="0" w:color="auto"/>
              <w:left w:val="single" w:sz="4" w:space="0" w:color="auto"/>
              <w:bottom w:val="single" w:sz="4" w:space="0" w:color="auto"/>
              <w:right w:val="single" w:sz="4" w:space="0" w:color="auto"/>
            </w:tcBorders>
            <w:hideMark/>
          </w:tcPr>
          <w:p w14:paraId="7F7CDC8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424CDD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F622A6A"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11DD289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6C6B299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Disgeuzija arba parosmija</w:t>
            </w:r>
          </w:p>
          <w:p w14:paraId="6627153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(3-4 laipsnio – 0,6%)</w:t>
            </w:r>
          </w:p>
        </w:tc>
        <w:tc>
          <w:tcPr>
            <w:tcW w:w="1250" w:type="pct"/>
            <w:tcBorders>
              <w:top w:val="single" w:sz="4" w:space="0" w:color="auto"/>
              <w:left w:val="single" w:sz="4" w:space="0" w:color="auto"/>
              <w:bottom w:val="single" w:sz="4" w:space="0" w:color="auto"/>
              <w:right w:val="single" w:sz="4" w:space="0" w:color="auto"/>
            </w:tcBorders>
            <w:hideMark/>
          </w:tcPr>
          <w:p w14:paraId="0465C1F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Svaigulys</w:t>
            </w:r>
          </w:p>
        </w:tc>
        <w:tc>
          <w:tcPr>
            <w:tcW w:w="1250" w:type="pct"/>
            <w:tcBorders>
              <w:top w:val="single" w:sz="4" w:space="0" w:color="auto"/>
              <w:left w:val="single" w:sz="4" w:space="0" w:color="auto"/>
              <w:bottom w:val="single" w:sz="4" w:space="0" w:color="auto"/>
              <w:right w:val="single" w:sz="4" w:space="0" w:color="auto"/>
            </w:tcBorders>
            <w:hideMark/>
          </w:tcPr>
          <w:p w14:paraId="4ECED22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0379EB7"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2402207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Akių sutrikimai</w:t>
            </w:r>
          </w:p>
        </w:tc>
        <w:tc>
          <w:tcPr>
            <w:tcW w:w="1250" w:type="pct"/>
            <w:tcBorders>
              <w:top w:val="single" w:sz="4" w:space="0" w:color="auto"/>
              <w:left w:val="single" w:sz="4" w:space="0" w:color="auto"/>
              <w:bottom w:val="single" w:sz="4" w:space="0" w:color="auto"/>
              <w:right w:val="single" w:sz="4" w:space="0" w:color="auto"/>
            </w:tcBorders>
            <w:hideMark/>
          </w:tcPr>
          <w:p w14:paraId="00A3535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14BFE9C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Ašarojimo sustiprėjimas</w:t>
            </w:r>
          </w:p>
          <w:p w14:paraId="21771B6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Konjunktyvitas</w:t>
            </w:r>
          </w:p>
        </w:tc>
        <w:tc>
          <w:tcPr>
            <w:tcW w:w="1250" w:type="pct"/>
            <w:tcBorders>
              <w:top w:val="single" w:sz="4" w:space="0" w:color="auto"/>
              <w:left w:val="single" w:sz="4" w:space="0" w:color="auto"/>
              <w:bottom w:val="single" w:sz="4" w:space="0" w:color="auto"/>
              <w:right w:val="single" w:sz="4" w:space="0" w:color="auto"/>
            </w:tcBorders>
            <w:hideMark/>
          </w:tcPr>
          <w:p w14:paraId="7162392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49B3DCB"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50D0B95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Ausų ir labirintų sutrikima</w:t>
            </w:r>
          </w:p>
        </w:tc>
        <w:tc>
          <w:tcPr>
            <w:tcW w:w="1250" w:type="pct"/>
            <w:tcBorders>
              <w:top w:val="single" w:sz="4" w:space="0" w:color="auto"/>
              <w:left w:val="single" w:sz="4" w:space="0" w:color="auto"/>
              <w:bottom w:val="single" w:sz="4" w:space="0" w:color="auto"/>
              <w:right w:val="single" w:sz="4" w:space="0" w:color="auto"/>
            </w:tcBorders>
            <w:hideMark/>
          </w:tcPr>
          <w:p w14:paraId="7263C0F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7EE5C3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Klausos susilpnėjimas</w:t>
            </w:r>
          </w:p>
        </w:tc>
        <w:tc>
          <w:tcPr>
            <w:tcW w:w="1250" w:type="pct"/>
            <w:tcBorders>
              <w:top w:val="single" w:sz="4" w:space="0" w:color="auto"/>
              <w:left w:val="single" w:sz="4" w:space="0" w:color="auto"/>
              <w:bottom w:val="single" w:sz="4" w:space="0" w:color="auto"/>
              <w:right w:val="single" w:sz="4" w:space="0" w:color="auto"/>
            </w:tcBorders>
            <w:hideMark/>
          </w:tcPr>
          <w:p w14:paraId="0E552C9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1E443F34"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029E786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250" w:type="pct"/>
            <w:tcBorders>
              <w:top w:val="single" w:sz="4" w:space="0" w:color="auto"/>
              <w:left w:val="single" w:sz="4" w:space="0" w:color="auto"/>
              <w:bottom w:val="single" w:sz="4" w:space="0" w:color="auto"/>
              <w:right w:val="single" w:sz="4" w:space="0" w:color="auto"/>
            </w:tcBorders>
            <w:hideMark/>
          </w:tcPr>
          <w:p w14:paraId="147DD16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39D60E1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Miokardo išemija (3-4 laipsnio – 1,7%)</w:t>
            </w:r>
          </w:p>
        </w:tc>
        <w:tc>
          <w:tcPr>
            <w:tcW w:w="1250" w:type="pct"/>
            <w:tcBorders>
              <w:top w:val="single" w:sz="4" w:space="0" w:color="auto"/>
              <w:left w:val="single" w:sz="4" w:space="0" w:color="auto"/>
              <w:bottom w:val="single" w:sz="4" w:space="0" w:color="auto"/>
              <w:right w:val="single" w:sz="4" w:space="0" w:color="auto"/>
            </w:tcBorders>
            <w:hideMark/>
          </w:tcPr>
          <w:p w14:paraId="63E689E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Aritmija (3-4 laipsnio – 0,6%)</w:t>
            </w:r>
          </w:p>
        </w:tc>
      </w:tr>
      <w:tr w:rsidR="003A7B6B" w:rsidRPr="00976ED6" w14:paraId="422B4136"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3B3965C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Kraujagyslių sutrikimai </w:t>
            </w:r>
          </w:p>
        </w:tc>
        <w:tc>
          <w:tcPr>
            <w:tcW w:w="1250" w:type="pct"/>
            <w:tcBorders>
              <w:top w:val="single" w:sz="4" w:space="0" w:color="auto"/>
              <w:left w:val="single" w:sz="4" w:space="0" w:color="auto"/>
              <w:bottom w:val="single" w:sz="4" w:space="0" w:color="auto"/>
              <w:right w:val="single" w:sz="4" w:space="0" w:color="auto"/>
            </w:tcBorders>
            <w:hideMark/>
          </w:tcPr>
          <w:p w14:paraId="2402BD3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1820CD3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Venų sutrikimai (3-4 laipsnio – 0,6%)</w:t>
            </w:r>
          </w:p>
        </w:tc>
        <w:tc>
          <w:tcPr>
            <w:tcW w:w="1250" w:type="pct"/>
            <w:tcBorders>
              <w:top w:val="single" w:sz="4" w:space="0" w:color="auto"/>
              <w:left w:val="single" w:sz="4" w:space="0" w:color="auto"/>
              <w:bottom w:val="single" w:sz="4" w:space="0" w:color="auto"/>
              <w:right w:val="single" w:sz="4" w:space="0" w:color="auto"/>
            </w:tcBorders>
            <w:hideMark/>
          </w:tcPr>
          <w:p w14:paraId="3D6E0E6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C873879"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10718C8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250" w:type="pct"/>
            <w:tcBorders>
              <w:top w:val="single" w:sz="4" w:space="0" w:color="auto"/>
              <w:left w:val="single" w:sz="4" w:space="0" w:color="auto"/>
              <w:bottom w:val="single" w:sz="4" w:space="0" w:color="auto"/>
              <w:right w:val="single" w:sz="4" w:space="0" w:color="auto"/>
            </w:tcBorders>
            <w:hideMark/>
          </w:tcPr>
          <w:p w14:paraId="6F28338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 0,6%)</w:t>
            </w:r>
          </w:p>
          <w:p w14:paraId="744E069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(3-4 laipsnio – 4,0%)</w:t>
            </w:r>
          </w:p>
          <w:p w14:paraId="705F46B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 (3-4 laipsnio – 2,9%)</w:t>
            </w:r>
          </w:p>
          <w:p w14:paraId="1227AF9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w:t>
            </w:r>
          </w:p>
          <w:p w14:paraId="1787419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0,6%)</w:t>
            </w:r>
          </w:p>
        </w:tc>
        <w:tc>
          <w:tcPr>
            <w:tcW w:w="1250" w:type="pct"/>
            <w:tcBorders>
              <w:top w:val="single" w:sz="4" w:space="0" w:color="auto"/>
              <w:left w:val="single" w:sz="4" w:space="0" w:color="auto"/>
              <w:bottom w:val="single" w:sz="4" w:space="0" w:color="auto"/>
              <w:right w:val="single" w:sz="4" w:space="0" w:color="auto"/>
            </w:tcBorders>
            <w:hideMark/>
          </w:tcPr>
          <w:p w14:paraId="3AEC179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Vidurių užkietėjimas</w:t>
            </w:r>
          </w:p>
          <w:p w14:paraId="0E52F97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Ezofagitas arba disfagija arba odinofagija (3-4 laipsnio – 0,6%)</w:t>
            </w:r>
          </w:p>
          <w:p w14:paraId="203927B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Pilvo skausmas</w:t>
            </w:r>
          </w:p>
          <w:p w14:paraId="4BB671E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Dispepsija</w:t>
            </w:r>
          </w:p>
          <w:p w14:paraId="313B6DA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Kraujavimas iš virškinimo takto (3-4 laipsnio – 0,6%)</w:t>
            </w:r>
          </w:p>
        </w:tc>
        <w:tc>
          <w:tcPr>
            <w:tcW w:w="1250" w:type="pct"/>
            <w:tcBorders>
              <w:top w:val="single" w:sz="4" w:space="0" w:color="auto"/>
              <w:left w:val="single" w:sz="4" w:space="0" w:color="auto"/>
              <w:bottom w:val="single" w:sz="4" w:space="0" w:color="auto"/>
              <w:right w:val="single" w:sz="4" w:space="0" w:color="auto"/>
            </w:tcBorders>
            <w:hideMark/>
          </w:tcPr>
          <w:p w14:paraId="4FEA59E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169888B0"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1A8E601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6308F5A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 (3-4 laipsnio – 10,9%)</w:t>
            </w:r>
          </w:p>
        </w:tc>
        <w:tc>
          <w:tcPr>
            <w:tcW w:w="1250" w:type="pct"/>
            <w:tcBorders>
              <w:top w:val="single" w:sz="4" w:space="0" w:color="auto"/>
              <w:left w:val="single" w:sz="4" w:space="0" w:color="auto"/>
              <w:bottom w:val="single" w:sz="4" w:space="0" w:color="auto"/>
              <w:right w:val="single" w:sz="4" w:space="0" w:color="auto"/>
            </w:tcBorders>
            <w:hideMark/>
          </w:tcPr>
          <w:p w14:paraId="69C4A9F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išbėrimas su niežėjimu</w:t>
            </w:r>
          </w:p>
          <w:p w14:paraId="38BA09B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sausumas</w:t>
            </w:r>
          </w:p>
          <w:p w14:paraId="541414F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eksfoliacija</w:t>
            </w:r>
          </w:p>
          <w:p w14:paraId="21750CE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0,6%)</w:t>
            </w:r>
          </w:p>
        </w:tc>
        <w:tc>
          <w:tcPr>
            <w:tcW w:w="1250" w:type="pct"/>
            <w:tcBorders>
              <w:top w:val="single" w:sz="4" w:space="0" w:color="auto"/>
              <w:left w:val="single" w:sz="4" w:space="0" w:color="auto"/>
              <w:bottom w:val="single" w:sz="4" w:space="0" w:color="auto"/>
              <w:right w:val="single" w:sz="4" w:space="0" w:color="auto"/>
            </w:tcBorders>
            <w:hideMark/>
          </w:tcPr>
          <w:p w14:paraId="227C536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A47F77F"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74C07B7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Skeleto, raumenų ir jungiamojo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174E430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306F1F1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Mialgija (3-4 laipsnio – 0,6%)</w:t>
            </w:r>
          </w:p>
        </w:tc>
        <w:tc>
          <w:tcPr>
            <w:tcW w:w="1250" w:type="pct"/>
            <w:tcBorders>
              <w:top w:val="single" w:sz="4" w:space="0" w:color="auto"/>
              <w:left w:val="single" w:sz="4" w:space="0" w:color="auto"/>
              <w:bottom w:val="single" w:sz="4" w:space="0" w:color="auto"/>
              <w:right w:val="single" w:sz="4" w:space="0" w:color="auto"/>
            </w:tcBorders>
            <w:hideMark/>
          </w:tcPr>
          <w:p w14:paraId="3207A4B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1671B489"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65EEA13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250" w:type="pct"/>
            <w:tcBorders>
              <w:top w:val="single" w:sz="4" w:space="0" w:color="auto"/>
              <w:left w:val="single" w:sz="4" w:space="0" w:color="auto"/>
              <w:bottom w:val="single" w:sz="4" w:space="0" w:color="auto"/>
              <w:right w:val="single" w:sz="4" w:space="0" w:color="auto"/>
            </w:tcBorders>
            <w:hideMark/>
          </w:tcPr>
          <w:p w14:paraId="0EACCD2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Letargija (3-4 laipsnio – 3,4%)</w:t>
            </w:r>
          </w:p>
          <w:p w14:paraId="1645F2E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Karščiavimas (3-4 laipsnio – 0,6%)</w:t>
            </w:r>
          </w:p>
          <w:p w14:paraId="1485780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Skysčių susilaikymas</w:t>
            </w:r>
          </w:p>
          <w:p w14:paraId="5F5B00D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Edema</w:t>
            </w:r>
          </w:p>
        </w:tc>
        <w:tc>
          <w:tcPr>
            <w:tcW w:w="1250" w:type="pct"/>
            <w:tcBorders>
              <w:top w:val="single" w:sz="4" w:space="0" w:color="auto"/>
              <w:left w:val="single" w:sz="4" w:space="0" w:color="auto"/>
              <w:bottom w:val="single" w:sz="4" w:space="0" w:color="auto"/>
              <w:right w:val="single" w:sz="4" w:space="0" w:color="auto"/>
            </w:tcBorders>
            <w:hideMark/>
          </w:tcPr>
          <w:p w14:paraId="413BC61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D2C457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3E6FBE14" w14:textId="77777777" w:rsidTr="00437D50">
        <w:tc>
          <w:tcPr>
            <w:tcW w:w="1250" w:type="pct"/>
            <w:tcBorders>
              <w:top w:val="single" w:sz="4" w:space="0" w:color="auto"/>
              <w:left w:val="single" w:sz="4" w:space="0" w:color="auto"/>
              <w:bottom w:val="single" w:sz="4" w:space="0" w:color="auto"/>
              <w:right w:val="single" w:sz="4" w:space="0" w:color="auto"/>
            </w:tcBorders>
            <w:hideMark/>
          </w:tcPr>
          <w:p w14:paraId="2327982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Tyrimai</w:t>
            </w:r>
          </w:p>
        </w:tc>
        <w:tc>
          <w:tcPr>
            <w:tcW w:w="1250" w:type="pct"/>
            <w:tcBorders>
              <w:top w:val="single" w:sz="4" w:space="0" w:color="auto"/>
              <w:left w:val="single" w:sz="4" w:space="0" w:color="auto"/>
              <w:bottom w:val="single" w:sz="4" w:space="0" w:color="auto"/>
              <w:right w:val="single" w:sz="4" w:space="0" w:color="auto"/>
            </w:tcBorders>
            <w:hideMark/>
          </w:tcPr>
          <w:p w14:paraId="4103F1D8" w14:textId="054DE33A"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4F61CCBA" w14:textId="405311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437D50">
              <w:rPr>
                <w:rFonts w:ascii="Times New Roman" w:hAnsi="Times New Roman" w:cs="Times New Roman"/>
                <w:color w:val="000000"/>
                <w:lang w:val="sl-SI"/>
              </w:rPr>
              <w:t>Svorio padidėjimas</w:t>
            </w:r>
          </w:p>
        </w:tc>
        <w:tc>
          <w:tcPr>
            <w:tcW w:w="1250" w:type="pct"/>
            <w:tcBorders>
              <w:top w:val="single" w:sz="4" w:space="0" w:color="auto"/>
              <w:left w:val="single" w:sz="4" w:space="0" w:color="auto"/>
              <w:bottom w:val="single" w:sz="4" w:space="0" w:color="auto"/>
              <w:right w:val="single" w:sz="4" w:space="0" w:color="auto"/>
            </w:tcBorders>
            <w:hideMark/>
          </w:tcPr>
          <w:p w14:paraId="75F7CC91" w14:textId="1812D315"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bl>
    <w:p w14:paraId="5FDBD23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F1C76BA" w14:textId="77777777" w:rsidR="003A7B6B" w:rsidRPr="00976ED6" w:rsidRDefault="003A7B6B" w:rsidP="003A7B6B">
      <w:pPr>
        <w:widowControl w:val="0"/>
        <w:numPr>
          <w:ilvl w:val="0"/>
          <w:numId w:val="15"/>
        </w:numPr>
        <w:ind w:left="567" w:hanging="567"/>
        <w:rPr>
          <w:rFonts w:ascii="Times New Roman" w:hAnsi="Times New Roman" w:cs="Times New Roman"/>
          <w:lang w:val="sl-SI"/>
        </w:rPr>
      </w:pPr>
      <w:r w:rsidRPr="00976ED6">
        <w:rPr>
          <w:rFonts w:ascii="Times New Roman" w:hAnsi="Times New Roman" w:cs="Times New Roman"/>
          <w:lang w:val="sl-SI"/>
        </w:rPr>
        <w:t>Įvadinė chemoterapija, kai vėliau taikoma chemoterapija bei gydoma spinduliais (TAX 324)</w:t>
      </w:r>
    </w:p>
    <w:p w14:paraId="520382E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3A7B6B" w:rsidRPr="00976ED6" w14:paraId="71110AE2"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BC0CC4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MedDRA organų sistemų klasės</w:t>
            </w:r>
          </w:p>
        </w:tc>
        <w:tc>
          <w:tcPr>
            <w:tcW w:w="1250" w:type="pct"/>
            <w:tcBorders>
              <w:top w:val="single" w:sz="4" w:space="0" w:color="auto"/>
              <w:left w:val="single" w:sz="4" w:space="0" w:color="auto"/>
              <w:bottom w:val="single" w:sz="4" w:space="0" w:color="auto"/>
              <w:right w:val="single" w:sz="4" w:space="0" w:color="auto"/>
            </w:tcBorders>
            <w:hideMark/>
          </w:tcPr>
          <w:p w14:paraId="5E689D4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Labai 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6E66612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Dažnos nepageidaujamos reakcijos</w:t>
            </w:r>
          </w:p>
        </w:tc>
        <w:tc>
          <w:tcPr>
            <w:tcW w:w="1250" w:type="pct"/>
            <w:tcBorders>
              <w:top w:val="single" w:sz="4" w:space="0" w:color="auto"/>
              <w:left w:val="single" w:sz="4" w:space="0" w:color="auto"/>
              <w:bottom w:val="single" w:sz="4" w:space="0" w:color="auto"/>
              <w:right w:val="single" w:sz="4" w:space="0" w:color="auto"/>
            </w:tcBorders>
            <w:hideMark/>
          </w:tcPr>
          <w:p w14:paraId="68AA872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Nedažnos nepageidaujamos reakcijos</w:t>
            </w:r>
          </w:p>
        </w:tc>
      </w:tr>
      <w:tr w:rsidR="003A7B6B" w:rsidRPr="00976ED6" w14:paraId="4BAC9F5C"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5DB872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Infekcijos ir infestacijos</w:t>
            </w:r>
          </w:p>
        </w:tc>
        <w:tc>
          <w:tcPr>
            <w:tcW w:w="1250" w:type="pct"/>
            <w:tcBorders>
              <w:top w:val="single" w:sz="4" w:space="0" w:color="auto"/>
              <w:left w:val="single" w:sz="4" w:space="0" w:color="auto"/>
              <w:bottom w:val="single" w:sz="4" w:space="0" w:color="auto"/>
              <w:right w:val="single" w:sz="4" w:space="0" w:color="auto"/>
            </w:tcBorders>
            <w:hideMark/>
          </w:tcPr>
          <w:p w14:paraId="41DB966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Infekcija (3-4 laipsnio – 3,6%)</w:t>
            </w:r>
          </w:p>
        </w:tc>
        <w:tc>
          <w:tcPr>
            <w:tcW w:w="1250" w:type="pct"/>
            <w:tcBorders>
              <w:top w:val="single" w:sz="4" w:space="0" w:color="auto"/>
              <w:left w:val="single" w:sz="4" w:space="0" w:color="auto"/>
              <w:bottom w:val="single" w:sz="4" w:space="0" w:color="auto"/>
              <w:right w:val="single" w:sz="4" w:space="0" w:color="auto"/>
            </w:tcBorders>
            <w:hideMark/>
          </w:tcPr>
          <w:p w14:paraId="202543E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Neutropeninė infekcija</w:t>
            </w:r>
          </w:p>
        </w:tc>
        <w:tc>
          <w:tcPr>
            <w:tcW w:w="1250" w:type="pct"/>
            <w:tcBorders>
              <w:top w:val="single" w:sz="4" w:space="0" w:color="auto"/>
              <w:left w:val="single" w:sz="4" w:space="0" w:color="auto"/>
              <w:bottom w:val="single" w:sz="4" w:space="0" w:color="auto"/>
              <w:right w:val="single" w:sz="4" w:space="0" w:color="auto"/>
            </w:tcBorders>
            <w:hideMark/>
          </w:tcPr>
          <w:p w14:paraId="50AB035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A2FC59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86A7C7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Gerybiniai, piktybiniai ir nepatikslinti navikai (tarp jų cistos ir polipai)</w:t>
            </w:r>
          </w:p>
        </w:tc>
        <w:tc>
          <w:tcPr>
            <w:tcW w:w="1250" w:type="pct"/>
            <w:tcBorders>
              <w:top w:val="single" w:sz="4" w:space="0" w:color="auto"/>
              <w:left w:val="single" w:sz="4" w:space="0" w:color="auto"/>
              <w:bottom w:val="single" w:sz="4" w:space="0" w:color="auto"/>
              <w:right w:val="single" w:sz="4" w:space="0" w:color="auto"/>
            </w:tcBorders>
            <w:hideMark/>
          </w:tcPr>
          <w:p w14:paraId="6834C3B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4B45BE1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Vėžio sukeltas skausmas (3-4 laipsnio – 1,2%)</w:t>
            </w:r>
          </w:p>
        </w:tc>
        <w:tc>
          <w:tcPr>
            <w:tcW w:w="1250" w:type="pct"/>
            <w:tcBorders>
              <w:top w:val="single" w:sz="4" w:space="0" w:color="auto"/>
              <w:left w:val="single" w:sz="4" w:space="0" w:color="auto"/>
              <w:bottom w:val="single" w:sz="4" w:space="0" w:color="auto"/>
              <w:right w:val="single" w:sz="4" w:space="0" w:color="auto"/>
            </w:tcBorders>
            <w:hideMark/>
          </w:tcPr>
          <w:p w14:paraId="4D9B4EE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24C0B7F"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5BD315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Kraujo ir limfinės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761AA28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Neutropenija (3-4 laipsnio – 83,5%)</w:t>
            </w:r>
          </w:p>
          <w:p w14:paraId="76D92F3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Anemija (3-4 laipsnio – 12,4%)</w:t>
            </w:r>
          </w:p>
          <w:p w14:paraId="04F530A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Trombocitopenija</w:t>
            </w:r>
          </w:p>
          <w:p w14:paraId="4D58C1F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4,0%)</w:t>
            </w:r>
          </w:p>
          <w:p w14:paraId="6115591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Febrilinė neutropenija</w:t>
            </w:r>
          </w:p>
        </w:tc>
        <w:tc>
          <w:tcPr>
            <w:tcW w:w="1250" w:type="pct"/>
            <w:tcBorders>
              <w:top w:val="single" w:sz="4" w:space="0" w:color="auto"/>
              <w:left w:val="single" w:sz="4" w:space="0" w:color="auto"/>
              <w:bottom w:val="single" w:sz="4" w:space="0" w:color="auto"/>
              <w:right w:val="single" w:sz="4" w:space="0" w:color="auto"/>
            </w:tcBorders>
            <w:hideMark/>
          </w:tcPr>
          <w:p w14:paraId="0B07FB6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4C44B12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B79185B"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A61A5B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Imuninės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4F1EEEC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0BBAAA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A8E986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Padidėjęs jautrumas</w:t>
            </w:r>
          </w:p>
        </w:tc>
      </w:tr>
      <w:tr w:rsidR="003A7B6B" w:rsidRPr="00976ED6" w14:paraId="0A423C64"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FA847B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Metabolizmo ir mitybos sutrikimai</w:t>
            </w:r>
          </w:p>
        </w:tc>
        <w:tc>
          <w:tcPr>
            <w:tcW w:w="1250" w:type="pct"/>
            <w:tcBorders>
              <w:top w:val="single" w:sz="4" w:space="0" w:color="auto"/>
              <w:left w:val="single" w:sz="4" w:space="0" w:color="auto"/>
              <w:bottom w:val="single" w:sz="4" w:space="0" w:color="auto"/>
              <w:right w:val="single" w:sz="4" w:space="0" w:color="auto"/>
            </w:tcBorders>
            <w:hideMark/>
          </w:tcPr>
          <w:p w14:paraId="25D3ACE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Anoreksija (3-4 laipsnio – 12,0%)</w:t>
            </w:r>
          </w:p>
        </w:tc>
        <w:tc>
          <w:tcPr>
            <w:tcW w:w="1250" w:type="pct"/>
            <w:tcBorders>
              <w:top w:val="single" w:sz="4" w:space="0" w:color="auto"/>
              <w:left w:val="single" w:sz="4" w:space="0" w:color="auto"/>
              <w:bottom w:val="single" w:sz="4" w:space="0" w:color="auto"/>
              <w:right w:val="single" w:sz="4" w:space="0" w:color="auto"/>
            </w:tcBorders>
            <w:hideMark/>
          </w:tcPr>
          <w:p w14:paraId="449D75D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7BE4AA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6D523B8"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A136E6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Nervų sistemos sutrikimai</w:t>
            </w:r>
          </w:p>
        </w:tc>
        <w:tc>
          <w:tcPr>
            <w:tcW w:w="1250" w:type="pct"/>
            <w:tcBorders>
              <w:top w:val="single" w:sz="4" w:space="0" w:color="auto"/>
              <w:left w:val="single" w:sz="4" w:space="0" w:color="auto"/>
              <w:bottom w:val="single" w:sz="4" w:space="0" w:color="auto"/>
              <w:right w:val="single" w:sz="4" w:space="0" w:color="auto"/>
            </w:tcBorders>
            <w:hideMark/>
          </w:tcPr>
          <w:p w14:paraId="467ED6A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Disgeuzija arba parosmija (3-4 laipsnio – 0,4%)</w:t>
            </w:r>
          </w:p>
          <w:p w14:paraId="0AFDCD3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sensorinė neuropatija (3-4 laipsnio – 1,2%)</w:t>
            </w:r>
          </w:p>
        </w:tc>
        <w:tc>
          <w:tcPr>
            <w:tcW w:w="1250" w:type="pct"/>
            <w:tcBorders>
              <w:top w:val="single" w:sz="4" w:space="0" w:color="auto"/>
              <w:left w:val="single" w:sz="4" w:space="0" w:color="auto"/>
              <w:bottom w:val="single" w:sz="4" w:space="0" w:color="auto"/>
              <w:right w:val="single" w:sz="4" w:space="0" w:color="auto"/>
            </w:tcBorders>
            <w:hideMark/>
          </w:tcPr>
          <w:p w14:paraId="45B5825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Svaigulys (3-4 laipsnio – 2,0%)</w:t>
            </w:r>
          </w:p>
          <w:p w14:paraId="5F55ACD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Periferinė motorinė neuropatija (3-4 laipsnio – 0,4%)</w:t>
            </w:r>
          </w:p>
        </w:tc>
        <w:tc>
          <w:tcPr>
            <w:tcW w:w="1250" w:type="pct"/>
            <w:tcBorders>
              <w:top w:val="single" w:sz="4" w:space="0" w:color="auto"/>
              <w:left w:val="single" w:sz="4" w:space="0" w:color="auto"/>
              <w:bottom w:val="single" w:sz="4" w:space="0" w:color="auto"/>
              <w:right w:val="single" w:sz="4" w:space="0" w:color="auto"/>
            </w:tcBorders>
            <w:hideMark/>
          </w:tcPr>
          <w:p w14:paraId="74D4127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16503513"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9C7FE3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Akių sutrikimai</w:t>
            </w:r>
          </w:p>
        </w:tc>
        <w:tc>
          <w:tcPr>
            <w:tcW w:w="1250" w:type="pct"/>
            <w:tcBorders>
              <w:top w:val="single" w:sz="4" w:space="0" w:color="auto"/>
              <w:left w:val="single" w:sz="4" w:space="0" w:color="auto"/>
              <w:bottom w:val="single" w:sz="4" w:space="0" w:color="auto"/>
              <w:right w:val="single" w:sz="4" w:space="0" w:color="auto"/>
            </w:tcBorders>
            <w:hideMark/>
          </w:tcPr>
          <w:p w14:paraId="487082E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1F5AF2F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Ašarojimo sustiprėjimas</w:t>
            </w:r>
          </w:p>
        </w:tc>
        <w:tc>
          <w:tcPr>
            <w:tcW w:w="1250" w:type="pct"/>
            <w:tcBorders>
              <w:top w:val="single" w:sz="4" w:space="0" w:color="auto"/>
              <w:left w:val="single" w:sz="4" w:space="0" w:color="auto"/>
              <w:bottom w:val="single" w:sz="4" w:space="0" w:color="auto"/>
              <w:right w:val="single" w:sz="4" w:space="0" w:color="auto"/>
            </w:tcBorders>
            <w:hideMark/>
          </w:tcPr>
          <w:p w14:paraId="7F2700A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Konjunktyvitas</w:t>
            </w:r>
          </w:p>
        </w:tc>
      </w:tr>
      <w:tr w:rsidR="003A7B6B" w:rsidRPr="00976ED6" w14:paraId="7A2222C9"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1E10D4E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Ausų ir labirintų sutrikimai</w:t>
            </w:r>
          </w:p>
        </w:tc>
        <w:tc>
          <w:tcPr>
            <w:tcW w:w="1250" w:type="pct"/>
            <w:tcBorders>
              <w:top w:val="single" w:sz="4" w:space="0" w:color="auto"/>
              <w:left w:val="single" w:sz="4" w:space="0" w:color="auto"/>
              <w:bottom w:val="single" w:sz="4" w:space="0" w:color="auto"/>
              <w:right w:val="single" w:sz="4" w:space="0" w:color="auto"/>
            </w:tcBorders>
            <w:hideMark/>
          </w:tcPr>
          <w:p w14:paraId="06C346F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Klausos susilpnėjimas (3-4 laipsnio – 1,2%)</w:t>
            </w:r>
          </w:p>
        </w:tc>
        <w:tc>
          <w:tcPr>
            <w:tcW w:w="1250" w:type="pct"/>
            <w:tcBorders>
              <w:top w:val="single" w:sz="4" w:space="0" w:color="auto"/>
              <w:left w:val="single" w:sz="4" w:space="0" w:color="auto"/>
              <w:bottom w:val="single" w:sz="4" w:space="0" w:color="auto"/>
              <w:right w:val="single" w:sz="4" w:space="0" w:color="auto"/>
            </w:tcBorders>
            <w:hideMark/>
          </w:tcPr>
          <w:p w14:paraId="0C86C81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9B75AC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3A3B4FC"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A9D767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Širdies sutrikimai</w:t>
            </w:r>
          </w:p>
        </w:tc>
        <w:tc>
          <w:tcPr>
            <w:tcW w:w="1250" w:type="pct"/>
            <w:tcBorders>
              <w:top w:val="single" w:sz="4" w:space="0" w:color="auto"/>
              <w:left w:val="single" w:sz="4" w:space="0" w:color="auto"/>
              <w:bottom w:val="single" w:sz="4" w:space="0" w:color="auto"/>
              <w:right w:val="single" w:sz="4" w:space="0" w:color="auto"/>
            </w:tcBorders>
            <w:hideMark/>
          </w:tcPr>
          <w:p w14:paraId="55D5F65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0C57416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Aritmija (3-4 laipsnio – 2,0%)</w:t>
            </w:r>
          </w:p>
        </w:tc>
        <w:tc>
          <w:tcPr>
            <w:tcW w:w="1250" w:type="pct"/>
            <w:tcBorders>
              <w:top w:val="single" w:sz="4" w:space="0" w:color="auto"/>
              <w:left w:val="single" w:sz="4" w:space="0" w:color="auto"/>
              <w:bottom w:val="single" w:sz="4" w:space="0" w:color="auto"/>
              <w:right w:val="single" w:sz="4" w:space="0" w:color="auto"/>
            </w:tcBorders>
            <w:hideMark/>
          </w:tcPr>
          <w:p w14:paraId="0A755DF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Miokardo išemija</w:t>
            </w:r>
          </w:p>
        </w:tc>
      </w:tr>
      <w:tr w:rsidR="003A7B6B" w:rsidRPr="00976ED6" w14:paraId="30249B84"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A630DF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Kraujagyslių sutrikimai</w:t>
            </w:r>
          </w:p>
        </w:tc>
        <w:tc>
          <w:tcPr>
            <w:tcW w:w="1250" w:type="pct"/>
            <w:tcBorders>
              <w:top w:val="single" w:sz="4" w:space="0" w:color="auto"/>
              <w:left w:val="single" w:sz="4" w:space="0" w:color="auto"/>
              <w:bottom w:val="single" w:sz="4" w:space="0" w:color="auto"/>
              <w:right w:val="single" w:sz="4" w:space="0" w:color="auto"/>
            </w:tcBorders>
            <w:hideMark/>
          </w:tcPr>
          <w:p w14:paraId="551BEEE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BA9383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15DF3C9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Venų sutrikimai</w:t>
            </w:r>
          </w:p>
        </w:tc>
      </w:tr>
      <w:tr w:rsidR="003A7B6B" w:rsidRPr="00976ED6" w14:paraId="52E822D4"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76ED9F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sutrikimai</w:t>
            </w:r>
          </w:p>
        </w:tc>
        <w:tc>
          <w:tcPr>
            <w:tcW w:w="1250" w:type="pct"/>
            <w:tcBorders>
              <w:top w:val="single" w:sz="4" w:space="0" w:color="auto"/>
              <w:left w:val="single" w:sz="4" w:space="0" w:color="auto"/>
              <w:bottom w:val="single" w:sz="4" w:space="0" w:color="auto"/>
              <w:right w:val="single" w:sz="4" w:space="0" w:color="auto"/>
            </w:tcBorders>
            <w:hideMark/>
          </w:tcPr>
          <w:p w14:paraId="42ABB4D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Pykinimas (3-4 laipsnio – 13,9%)</w:t>
            </w:r>
          </w:p>
          <w:p w14:paraId="5046529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Stomatitas (3-4 laipsnio – 20,7%)</w:t>
            </w:r>
          </w:p>
          <w:p w14:paraId="34DBF9B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Vėmimas (3-4 laipsnio – 8,4%)</w:t>
            </w:r>
          </w:p>
          <w:p w14:paraId="7607F9E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Viduriavimas (3-4 laipsnio – 6,8%)</w:t>
            </w:r>
          </w:p>
          <w:p w14:paraId="2B0A3E7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Ezofagitas arba disfagija arba odinofagija (3-4 laipsnio – 12,0%)</w:t>
            </w:r>
          </w:p>
          <w:p w14:paraId="430B8D0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Vidurių užkietėjimas (3-4 laipsnio – 0,4%)</w:t>
            </w:r>
          </w:p>
        </w:tc>
        <w:tc>
          <w:tcPr>
            <w:tcW w:w="1250" w:type="pct"/>
            <w:tcBorders>
              <w:top w:val="single" w:sz="4" w:space="0" w:color="auto"/>
              <w:left w:val="single" w:sz="4" w:space="0" w:color="auto"/>
              <w:bottom w:val="single" w:sz="4" w:space="0" w:color="auto"/>
              <w:right w:val="single" w:sz="4" w:space="0" w:color="auto"/>
            </w:tcBorders>
            <w:hideMark/>
          </w:tcPr>
          <w:p w14:paraId="2D2E6D6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Dispepsija (3-4 laipsnio – 0,8%)</w:t>
            </w:r>
          </w:p>
          <w:p w14:paraId="69271DA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Virškinimo trakto skausmas (3-4 laipsnio – 1,2%)</w:t>
            </w:r>
          </w:p>
          <w:p w14:paraId="1CA9230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Kraujavimas iš virškinimo takto (3-4 laipsnio – 0,4%)</w:t>
            </w:r>
          </w:p>
        </w:tc>
        <w:tc>
          <w:tcPr>
            <w:tcW w:w="1250" w:type="pct"/>
            <w:tcBorders>
              <w:top w:val="single" w:sz="4" w:space="0" w:color="auto"/>
              <w:left w:val="single" w:sz="4" w:space="0" w:color="auto"/>
              <w:bottom w:val="single" w:sz="4" w:space="0" w:color="auto"/>
              <w:right w:val="single" w:sz="4" w:space="0" w:color="auto"/>
            </w:tcBorders>
            <w:hideMark/>
          </w:tcPr>
          <w:p w14:paraId="1FB08B9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F58A3B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E8D0C5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ir poodinio audinio sutrikimai</w:t>
            </w:r>
          </w:p>
        </w:tc>
        <w:tc>
          <w:tcPr>
            <w:tcW w:w="1250" w:type="pct"/>
            <w:tcBorders>
              <w:top w:val="single" w:sz="4" w:space="0" w:color="auto"/>
              <w:left w:val="single" w:sz="4" w:space="0" w:color="auto"/>
              <w:bottom w:val="single" w:sz="4" w:space="0" w:color="auto"/>
              <w:right w:val="single" w:sz="4" w:space="0" w:color="auto"/>
            </w:tcBorders>
            <w:hideMark/>
          </w:tcPr>
          <w:p w14:paraId="741F199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Alopecija</w:t>
            </w:r>
          </w:p>
          <w:p w14:paraId="68262B6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 laipsnio – 4,0%)</w:t>
            </w:r>
          </w:p>
          <w:p w14:paraId="1B5BA4A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išbėrimas su niežėjimu</w:t>
            </w:r>
          </w:p>
        </w:tc>
        <w:tc>
          <w:tcPr>
            <w:tcW w:w="1250" w:type="pct"/>
            <w:tcBorders>
              <w:top w:val="single" w:sz="4" w:space="0" w:color="auto"/>
              <w:left w:val="single" w:sz="4" w:space="0" w:color="auto"/>
              <w:bottom w:val="single" w:sz="4" w:space="0" w:color="auto"/>
              <w:right w:val="single" w:sz="4" w:space="0" w:color="auto"/>
            </w:tcBorders>
            <w:hideMark/>
          </w:tcPr>
          <w:p w14:paraId="25C9324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Odos sausumas</w:t>
            </w:r>
          </w:p>
          <w:p w14:paraId="329B895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Deskvamacija</w:t>
            </w:r>
          </w:p>
        </w:tc>
        <w:tc>
          <w:tcPr>
            <w:tcW w:w="1250" w:type="pct"/>
            <w:tcBorders>
              <w:top w:val="single" w:sz="4" w:space="0" w:color="auto"/>
              <w:left w:val="single" w:sz="4" w:space="0" w:color="auto"/>
              <w:bottom w:val="single" w:sz="4" w:space="0" w:color="auto"/>
              <w:right w:val="single" w:sz="4" w:space="0" w:color="auto"/>
            </w:tcBorders>
            <w:hideMark/>
          </w:tcPr>
          <w:p w14:paraId="13EFBDF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1C97816"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68EB47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Skeleto, raumenų ir jungiamojo audinio </w:t>
            </w:r>
            <w:r w:rsidRPr="00976ED6">
              <w:rPr>
                <w:rFonts w:ascii="Times New Roman" w:hAnsi="Times New Roman" w:cs="Times New Roman"/>
                <w:color w:val="000000"/>
                <w:lang w:val="sl-SI"/>
              </w:rPr>
              <w:lastRenderedPageBreak/>
              <w:t>sutrikimai</w:t>
            </w:r>
          </w:p>
        </w:tc>
        <w:tc>
          <w:tcPr>
            <w:tcW w:w="1250" w:type="pct"/>
            <w:tcBorders>
              <w:top w:val="single" w:sz="4" w:space="0" w:color="auto"/>
              <w:left w:val="single" w:sz="4" w:space="0" w:color="auto"/>
              <w:bottom w:val="single" w:sz="4" w:space="0" w:color="auto"/>
              <w:right w:val="single" w:sz="4" w:space="0" w:color="auto"/>
            </w:tcBorders>
            <w:hideMark/>
          </w:tcPr>
          <w:p w14:paraId="1BAF4B6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 </w:t>
            </w:r>
          </w:p>
        </w:tc>
        <w:tc>
          <w:tcPr>
            <w:tcW w:w="1250" w:type="pct"/>
            <w:tcBorders>
              <w:top w:val="single" w:sz="4" w:space="0" w:color="auto"/>
              <w:left w:val="single" w:sz="4" w:space="0" w:color="auto"/>
              <w:bottom w:val="single" w:sz="4" w:space="0" w:color="auto"/>
              <w:right w:val="single" w:sz="4" w:space="0" w:color="auto"/>
            </w:tcBorders>
            <w:hideMark/>
          </w:tcPr>
          <w:p w14:paraId="2EEB502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Mialgija (3-4 laipsnio – 0,4%)</w:t>
            </w:r>
          </w:p>
        </w:tc>
        <w:tc>
          <w:tcPr>
            <w:tcW w:w="1250" w:type="pct"/>
            <w:tcBorders>
              <w:top w:val="single" w:sz="4" w:space="0" w:color="auto"/>
              <w:left w:val="single" w:sz="4" w:space="0" w:color="auto"/>
              <w:bottom w:val="single" w:sz="4" w:space="0" w:color="auto"/>
              <w:right w:val="single" w:sz="4" w:space="0" w:color="auto"/>
            </w:tcBorders>
            <w:hideMark/>
          </w:tcPr>
          <w:p w14:paraId="146FD84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6FC6BD53"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910985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Bendrieji sutrikimai ir vartojimo vietos pažeidimai</w:t>
            </w:r>
          </w:p>
        </w:tc>
        <w:tc>
          <w:tcPr>
            <w:tcW w:w="1250" w:type="pct"/>
            <w:tcBorders>
              <w:top w:val="single" w:sz="4" w:space="0" w:color="auto"/>
              <w:left w:val="single" w:sz="4" w:space="0" w:color="auto"/>
              <w:bottom w:val="single" w:sz="4" w:space="0" w:color="auto"/>
              <w:right w:val="single" w:sz="4" w:space="0" w:color="auto"/>
            </w:tcBorders>
            <w:hideMark/>
          </w:tcPr>
          <w:p w14:paraId="1CB226B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Letargija (3-4 laipsnio – 4,0%)</w:t>
            </w:r>
          </w:p>
          <w:p w14:paraId="798408C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Karščiavimas (3-4 laipsnio – 3,6%)</w:t>
            </w:r>
          </w:p>
          <w:p w14:paraId="5951B36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Skysčių susilaikymas (3-4 laipsnio – 1,2%)</w:t>
            </w:r>
          </w:p>
          <w:p w14:paraId="2E5B581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Edema (3-4 laipsnio – 1,2%)</w:t>
            </w:r>
          </w:p>
        </w:tc>
        <w:tc>
          <w:tcPr>
            <w:tcW w:w="1250" w:type="pct"/>
            <w:tcBorders>
              <w:top w:val="single" w:sz="4" w:space="0" w:color="auto"/>
              <w:left w:val="single" w:sz="4" w:space="0" w:color="auto"/>
              <w:bottom w:val="single" w:sz="4" w:space="0" w:color="auto"/>
              <w:right w:val="single" w:sz="4" w:space="0" w:color="auto"/>
            </w:tcBorders>
            <w:hideMark/>
          </w:tcPr>
          <w:p w14:paraId="014F71F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FD454D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306A2FB"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65A17E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Tyrimai</w:t>
            </w:r>
          </w:p>
        </w:tc>
        <w:tc>
          <w:tcPr>
            <w:tcW w:w="1250" w:type="pct"/>
            <w:tcBorders>
              <w:top w:val="single" w:sz="4" w:space="0" w:color="auto"/>
              <w:left w:val="single" w:sz="4" w:space="0" w:color="auto"/>
              <w:bottom w:val="single" w:sz="4" w:space="0" w:color="auto"/>
              <w:right w:val="single" w:sz="4" w:space="0" w:color="auto"/>
            </w:tcBorders>
            <w:hideMark/>
          </w:tcPr>
          <w:p w14:paraId="3954EC3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Svorio sumažėjimas</w:t>
            </w:r>
          </w:p>
        </w:tc>
        <w:tc>
          <w:tcPr>
            <w:tcW w:w="1250" w:type="pct"/>
            <w:tcBorders>
              <w:top w:val="single" w:sz="4" w:space="0" w:color="auto"/>
              <w:left w:val="single" w:sz="4" w:space="0" w:color="auto"/>
              <w:bottom w:val="single" w:sz="4" w:space="0" w:color="auto"/>
              <w:right w:val="single" w:sz="4" w:space="0" w:color="auto"/>
            </w:tcBorders>
            <w:hideMark/>
          </w:tcPr>
          <w:p w14:paraId="09F5C86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3515DE8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Svorio padidėjimas</w:t>
            </w:r>
          </w:p>
        </w:tc>
      </w:tr>
    </w:tbl>
    <w:p w14:paraId="50A74B0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CF62F33"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Po vaistinio preparato pasirodymo rinkoje pastebėtas nepageidaujamas poveikis</w:t>
      </w:r>
    </w:p>
    <w:p w14:paraId="4B7D815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8D7707F"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Gerybiniai, piktybiniai ir nepatikslinti navikai (tarp jų cistos ir polipai)</w:t>
      </w:r>
    </w:p>
    <w:p w14:paraId="6C03911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Buvo pranešimų </w:t>
      </w:r>
      <w:r>
        <w:rPr>
          <w:rFonts w:ascii="Times New Roman" w:hAnsi="Times New Roman" w:cs="Times New Roman"/>
          <w:lang w:val="sl-SI"/>
        </w:rPr>
        <w:t xml:space="preserve">apie </w:t>
      </w:r>
      <w:r w:rsidRPr="00B61AB0">
        <w:rPr>
          <w:rFonts w:ascii="Times New Roman" w:hAnsi="Times New Roman" w:cs="Times New Roman"/>
          <w:lang w:val="sl-SI"/>
        </w:rPr>
        <w:t>antrojo pirminio vėžio (dažnis nežinomas), įskaitant ne</w:t>
      </w:r>
      <w:r>
        <w:rPr>
          <w:rFonts w:ascii="Times New Roman" w:hAnsi="Times New Roman" w:cs="Times New Roman"/>
          <w:lang w:val="sl-SI"/>
        </w:rPr>
        <w:t xml:space="preserve"> Hodžkino limfomą, atvejus, </w:t>
      </w:r>
      <w:r w:rsidRPr="00976ED6">
        <w:rPr>
          <w:rFonts w:ascii="Times New Roman" w:hAnsi="Times New Roman" w:cs="Times New Roman"/>
          <w:lang w:val="sl-SI"/>
        </w:rPr>
        <w:t>pacientams, kurie vartojo docetakselio kartu</w:t>
      </w:r>
      <w:r w:rsidRPr="00B61AB0">
        <w:rPr>
          <w:rFonts w:ascii="Times New Roman" w:hAnsi="Times New Roman" w:cs="Times New Roman"/>
          <w:lang w:val="sl-SI"/>
        </w:rPr>
        <w:t xml:space="preserve"> skiriant ir kitokį vėžio gydymą, kuris gali sukelti antrą pirminį vėžį</w:t>
      </w:r>
      <w:r w:rsidRPr="00976ED6">
        <w:rPr>
          <w:rFonts w:ascii="Times New Roman" w:hAnsi="Times New Roman" w:cs="Times New Roman"/>
          <w:lang w:val="sl-SI"/>
        </w:rPr>
        <w:t>.</w:t>
      </w:r>
      <w:r w:rsidRPr="00175626">
        <w:t xml:space="preserve"> </w:t>
      </w:r>
      <w:r w:rsidRPr="00175626">
        <w:rPr>
          <w:rFonts w:ascii="Times New Roman" w:hAnsi="Times New Roman" w:cs="Times New Roman"/>
          <w:lang w:val="sl-SI"/>
        </w:rPr>
        <w:t>Pagrindinių krūties vėžio gydymo TAC schema klinikinių tyrimų metu</w:t>
      </w:r>
      <w:r>
        <w:rPr>
          <w:rFonts w:ascii="Times New Roman" w:hAnsi="Times New Roman" w:cs="Times New Roman"/>
          <w:lang w:val="sl-SI"/>
        </w:rPr>
        <w:t xml:space="preserve"> pranešta apie ūminę mieloidinę </w:t>
      </w:r>
      <w:r w:rsidRPr="00175626">
        <w:rPr>
          <w:rFonts w:ascii="Times New Roman" w:hAnsi="Times New Roman" w:cs="Times New Roman"/>
          <w:lang w:val="sl-SI"/>
        </w:rPr>
        <w:t>leukemiją ir mielodisplazinį sindromą (dažnis nežinomas).</w:t>
      </w:r>
    </w:p>
    <w:p w14:paraId="5FE1770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7A0C59F"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Kraujo ir limfinės sistemos sutrikimai</w:t>
      </w:r>
    </w:p>
    <w:p w14:paraId="1DCA62C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Pastebėtas kaulų čiulpų slopinimas ir kitokių hematologinių nepageidaujamų reakcijų. Taip pat buvo pranešimų apie diseminuotą intravaskulinę koaguliaciją (DIC), dažnai kartu su sepsiu ir dauginiu organų nepakankamumu.</w:t>
      </w:r>
    </w:p>
    <w:p w14:paraId="783CCD2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F972EFA"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Imuninės sistemos sutrikimai</w:t>
      </w:r>
    </w:p>
    <w:p w14:paraId="75F2168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Buvo anafilaksinio šoko (kartais mirtino) atvejų.</w:t>
      </w:r>
      <w:r w:rsidRPr="00976ED6">
        <w:rPr>
          <w:rFonts w:ascii="Times New Roman" w:hAnsi="Times New Roman" w:cs="Times New Roman"/>
          <w:sz w:val="24"/>
          <w:lang w:val="sl-SI"/>
        </w:rPr>
        <w:t xml:space="preserve"> </w:t>
      </w:r>
      <w:r w:rsidRPr="00976ED6">
        <w:rPr>
          <w:rFonts w:ascii="Times New Roman" w:hAnsi="Times New Roman" w:cs="Times New Roman"/>
          <w:lang w:val="sl-SI"/>
        </w:rPr>
        <w:t>Pranešta apie padidėjusio jautrumo reakcijų pasireiškimą (dažnis nežinomas) docetakseliu gydomiems pacientams, kuriems anksčiau buvo pasireiškusi padidėjusio jautrumo reakcija į paklitakselį.</w:t>
      </w:r>
    </w:p>
    <w:p w14:paraId="6357B7A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72D3D89"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Nervų sistemos sutrikimai</w:t>
      </w:r>
    </w:p>
    <w:p w14:paraId="5D9E8FA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Vartojant docetakselį, retais atvejais ištiko traukuliai, trumpam išnyko sąmonė. Kartais šių reakcijų pasireiškia vaistinio preparato infuzijos metu.</w:t>
      </w:r>
    </w:p>
    <w:p w14:paraId="26F8EBA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6764409"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Akių sutrikimai</w:t>
      </w:r>
    </w:p>
    <w:p w14:paraId="721CCE3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Gauta labai retų pranešimų apie trumpalaikius regos sutrikimus (blykčiojimas, žaibai akyse, skotomos), kurie paprastai atsirasdavo infuzijos metu ir būdavo susiję su padidėjusio jautrumo reakcijomis. Baigus infuziją, šie sutrikimai praeidavo. Aprašyta retų ašarojimo (su konjunktyvitu ar be jo) ir ašarų latakų užsikimšimo, sukėlusio per didelį ašarojimą, atvejų. Cistinė geltonosios dėmės edema nustatyta docetakseliu gydytiems pacientams.</w:t>
      </w:r>
    </w:p>
    <w:p w14:paraId="562099C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BB85A4F"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Ausų ir labirintų sutrikimai</w:t>
      </w:r>
    </w:p>
    <w:p w14:paraId="2A6D5B9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Buvo retų ototoksinio poveikio, klausos sutrikimo ir (arba) netekimo atvejų.</w:t>
      </w:r>
    </w:p>
    <w:p w14:paraId="405EC5D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ED85566"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Širdies sutrikimai</w:t>
      </w:r>
    </w:p>
    <w:p w14:paraId="1C50D57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Aprašyta retų miokardo infarkto atvejų.</w:t>
      </w:r>
    </w:p>
    <w:p w14:paraId="64190A0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Gauta pranešimų apie skilvelių aritmijos, įskaitant skilvelių tachikardiją (dažnis nežinomas), kuri kai kuriais atvejais buvo mirtina, atvejus pacientams, gydytiems docetakseliu, kai kartu buvo vartojama doksorubicino, 5-fluorouracilo ir (arba) ciklofosfamido.</w:t>
      </w:r>
    </w:p>
    <w:p w14:paraId="2FA3387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3B9F95C"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Kraujagyslių sutrikimai</w:t>
      </w:r>
    </w:p>
    <w:p w14:paraId="30A006E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Aprašyta retų venų tromboembolijos atvejų.</w:t>
      </w:r>
    </w:p>
    <w:p w14:paraId="0634B20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E9E19D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i/>
          <w:lang w:val="sl-SI"/>
        </w:rPr>
        <w:t>Kvėpavimo sistemos, krūtinės ląstos ir tarpuplaučio sutrikimai</w:t>
      </w:r>
    </w:p>
    <w:p w14:paraId="02525DD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Aprašyta retų ūminio respiracinio sindromo ir intersticinės pneumonijos/pneumonito, intersticinės plaučių ligos, plaučių fibrozės bei kvėpavimo nepakankamumo atvejų, kurie kartais būna mirtini. Retai pacientams, kuriems tuo pačiu metu buvo taikomas spindulinis gydymas, pasireiškė radiacinis pneumonitas.</w:t>
      </w:r>
    </w:p>
    <w:p w14:paraId="2CE7E4C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740FCBD"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Virškinimo trakto sutrikimai</w:t>
      </w:r>
    </w:p>
    <w:p w14:paraId="732CC9F4"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r w:rsidRPr="00976ED6">
        <w:rPr>
          <w:rFonts w:ascii="Times New Roman" w:eastAsia="Times New Roman" w:hAnsi="Times New Roman" w:cs="Times New Roman"/>
          <w:lang w:val="sl-SI" w:eastAsia="sl-SI"/>
        </w:rPr>
        <w:t>Pranešta apie retus enterokolito atvejus, įskaitant kolitą, išeminį kolitą ir neutropeninį enterokolitą, kurio pasireiškimas galimas mirtinas (dažnis nežinomas).</w:t>
      </w:r>
    </w:p>
    <w:p w14:paraId="184C9A0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Retais atvejais pasireiškė dehidracija dėl poveikio virškinimo traktui. Retais atvejais pasireiškė žarnų nepraeinamumas ir žarnų obstrukcija.</w:t>
      </w:r>
    </w:p>
    <w:p w14:paraId="4DBE49F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828B538"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Kepenų, tulžies pūslės ir latakų sutrikimai</w:t>
      </w:r>
    </w:p>
    <w:p w14:paraId="6CBCDE1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Aprašyta labai retų hepatito atvejų. Kai kuriais atvejais jis buvo mirtinas, ypač jeigu pacientas jau anksčiau sirgo kepenų liga.</w:t>
      </w:r>
    </w:p>
    <w:p w14:paraId="249FF8E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81CC81B"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Odos ir poodinio audinio sutrikimai</w:t>
      </w:r>
    </w:p>
    <w:p w14:paraId="733575E4" w14:textId="6693DC2B"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C91F0E">
        <w:rPr>
          <w:rFonts w:ascii="Times New Roman" w:hAnsi="Times New Roman" w:cs="Times New Roman"/>
          <w:lang w:val="sl-SI"/>
        </w:rPr>
        <w:t xml:space="preserve">Docetakselį vartojantiems pacientams atsirado sisteminės raudonosios vilkligės odos forma, pūslinio išbėrimo, pvz., daugiaformės eritemos, </w:t>
      </w:r>
      <w:r w:rsidRPr="00C91F0E">
        <w:rPr>
          <w:rFonts w:ascii="Times New Roman" w:hAnsi="Times New Roman" w:cs="Times New Roman"/>
        </w:rPr>
        <w:t xml:space="preserve">ir sunkių odos nepageidaujamų reakcijų, tokių kaip </w:t>
      </w:r>
      <w:r w:rsidRPr="00C91F0E">
        <w:rPr>
          <w:rFonts w:ascii="Times New Roman" w:hAnsi="Times New Roman" w:cs="Times New Roman"/>
          <w:lang w:val="sl-SI"/>
        </w:rPr>
        <w:t>Stivenso - Džonsono (</w:t>
      </w:r>
      <w:r w:rsidRPr="00C91F0E">
        <w:rPr>
          <w:rFonts w:ascii="Times New Roman" w:hAnsi="Times New Roman" w:cs="Times New Roman"/>
          <w:i/>
          <w:lang w:val="sl-SI"/>
        </w:rPr>
        <w:t>Stevens-Johnson</w:t>
      </w:r>
      <w:r w:rsidRPr="00C91F0E">
        <w:rPr>
          <w:rFonts w:ascii="Times New Roman" w:hAnsi="Times New Roman" w:cs="Times New Roman"/>
          <w:lang w:val="sl-SI"/>
        </w:rPr>
        <w:t>) sindromas, toksinė epidermio nekrolizė (TEN)</w:t>
      </w:r>
      <w:r w:rsidRPr="00C91F0E">
        <w:rPr>
          <w:rFonts w:ascii="Times New Roman" w:hAnsi="Times New Roman" w:cs="Times New Roman"/>
        </w:rPr>
        <w:t xml:space="preserve"> ir ūminė </w:t>
      </w:r>
      <w:r w:rsidR="001B609F" w:rsidRPr="00C91F0E">
        <w:rPr>
          <w:rFonts w:ascii="Times New Roman" w:hAnsi="Times New Roman" w:cs="Times New Roman"/>
        </w:rPr>
        <w:t xml:space="preserve">generalizuota </w:t>
      </w:r>
      <w:r w:rsidRPr="00C91F0E">
        <w:rPr>
          <w:rFonts w:ascii="Times New Roman" w:hAnsi="Times New Roman" w:cs="Times New Roman"/>
        </w:rPr>
        <w:t>egzanteminė pustuliozė (</w:t>
      </w:r>
      <w:r w:rsidRPr="00C91F0E">
        <w:rPr>
          <w:rFonts w:ascii="Times New Roman" w:hAnsi="Times New Roman" w:cs="Times New Roman"/>
          <w:i/>
        </w:rPr>
        <w:t xml:space="preserve">angl. </w:t>
      </w:r>
      <w:r w:rsidR="00C50423" w:rsidRPr="00C91F0E">
        <w:rPr>
          <w:rFonts w:ascii="Times New Roman" w:hAnsi="Times New Roman" w:cs="Times New Roman"/>
          <w:i/>
        </w:rPr>
        <w:t>A</w:t>
      </w:r>
      <w:r w:rsidRPr="00C91F0E">
        <w:rPr>
          <w:rFonts w:ascii="Times New Roman" w:hAnsi="Times New Roman" w:cs="Times New Roman"/>
          <w:i/>
        </w:rPr>
        <w:t xml:space="preserve">cute </w:t>
      </w:r>
      <w:r w:rsidR="00C50423" w:rsidRPr="00C91F0E">
        <w:rPr>
          <w:rFonts w:ascii="Times New Roman" w:hAnsi="Times New Roman" w:cs="Times New Roman"/>
          <w:i/>
        </w:rPr>
        <w:t>G</w:t>
      </w:r>
      <w:r w:rsidRPr="00C91F0E">
        <w:rPr>
          <w:rFonts w:ascii="Times New Roman" w:hAnsi="Times New Roman" w:cs="Times New Roman"/>
          <w:i/>
        </w:rPr>
        <w:t xml:space="preserve">eneralised </w:t>
      </w:r>
      <w:r w:rsidR="00C50423" w:rsidRPr="00C91F0E">
        <w:rPr>
          <w:rFonts w:ascii="Times New Roman" w:hAnsi="Times New Roman" w:cs="Times New Roman"/>
          <w:i/>
        </w:rPr>
        <w:t>E</w:t>
      </w:r>
      <w:r w:rsidRPr="00C91F0E">
        <w:rPr>
          <w:rFonts w:ascii="Times New Roman" w:hAnsi="Times New Roman" w:cs="Times New Roman"/>
          <w:i/>
        </w:rPr>
        <w:t xml:space="preserve">xanthematous </w:t>
      </w:r>
      <w:r w:rsidR="00C50423" w:rsidRPr="00C91F0E">
        <w:rPr>
          <w:rFonts w:ascii="Times New Roman" w:hAnsi="Times New Roman" w:cs="Times New Roman"/>
          <w:i/>
        </w:rPr>
        <w:t>P</w:t>
      </w:r>
      <w:r w:rsidRPr="00C91F0E">
        <w:rPr>
          <w:rFonts w:ascii="Times New Roman" w:hAnsi="Times New Roman" w:cs="Times New Roman"/>
          <w:i/>
        </w:rPr>
        <w:t>ustulosis</w:t>
      </w:r>
      <w:r w:rsidRPr="00C91F0E">
        <w:rPr>
          <w:rFonts w:ascii="Times New Roman" w:hAnsi="Times New Roman" w:cs="Times New Roman"/>
        </w:rPr>
        <w:t>, AGEP), atvejų</w:t>
      </w:r>
      <w:r w:rsidRPr="00C91F0E">
        <w:rPr>
          <w:rFonts w:ascii="Times New Roman" w:hAnsi="Times New Roman" w:cs="Times New Roman"/>
          <w:lang w:val="sl-SI"/>
        </w:rPr>
        <w:t>. Gauta pranešimų apie tai, kad docetakselio vartojusiems pacientams atsirado į sklerodermiją panašių pokyčių (paprastai prieš tai pasireikšdavo periferinė limfedema). Gauta pranešimų apie permanentinės alopecijos atvejus (dažnis nežinomas).</w:t>
      </w:r>
    </w:p>
    <w:p w14:paraId="64F8B3F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41D32F2"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Inkstų ir šlapimo takų sutrikimai</w:t>
      </w:r>
    </w:p>
    <w:p w14:paraId="5F383F6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Gauta duomenų apie inkstų funkcijos nepakankamumo ir sutrikimo atvejus. Maždaug 20% atvejų nebuvo ūminio inkstų nepakankamumo rizikos veiksnių, tokių, kaip kartu vartojami nefrotoksiniai vaistiniai preparatai ir virškinimo trakto sistemos sutrikimai.</w:t>
      </w:r>
    </w:p>
    <w:p w14:paraId="0BE6772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375768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i/>
          <w:lang w:val="sl-SI"/>
        </w:rPr>
        <w:t>Bendrieji sutrikimai ir vartojimo vietos pažeidimai</w:t>
      </w:r>
    </w:p>
    <w:p w14:paraId="6C51A3D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Aprašyta retų spindulinio gydymo sukeltų reakcijų atsinaujinimo fenomeno atvejų.</w:t>
      </w:r>
    </w:p>
    <w:p w14:paraId="1308284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Buvo stebėtas injekcijos vietos reakcijos atsinaujinimas (odos reakcijos pasikartojimas ankstesnės ekstravazacijos vietoje po docetakselio suleidimo kitoje vietoje) ankstesnės ekstravazacijos vietoje (dažnis nežinomas).</w:t>
      </w:r>
    </w:p>
    <w:p w14:paraId="3AFF1C1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Kartu su skysčių susilaikymu ūminių oligurijos ar hipotenzijos epizodų nebuvo. Aprašyta retų dehidracijos ir plaučių edemos atvejų.</w:t>
      </w:r>
    </w:p>
    <w:p w14:paraId="67E488F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566A4C6"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Metabolizmo ir mitybos sutrikimai</w:t>
      </w:r>
    </w:p>
    <w:p w14:paraId="2494297F" w14:textId="77777777" w:rsidR="00834B87" w:rsidRPr="00F52238" w:rsidRDefault="003A7B6B" w:rsidP="003A7B6B">
      <w:pPr>
        <w:widowControl w:val="0"/>
        <w:tabs>
          <w:tab w:val="left" w:pos="567"/>
          <w:tab w:val="left" w:pos="1296"/>
        </w:tabs>
        <w:ind w:left="0" w:firstLine="0"/>
        <w:rPr>
          <w:rFonts w:ascii="Times New Roman" w:hAnsi="Times New Roman" w:cs="Times New Roman"/>
        </w:rPr>
      </w:pPr>
      <w:r w:rsidRPr="00976ED6">
        <w:rPr>
          <w:rFonts w:ascii="Times New Roman" w:hAnsi="Times New Roman" w:cs="Times New Roman"/>
          <w:lang w:val="sl-SI"/>
        </w:rPr>
        <w:t>Gauta pranešimų apie elektrolitų pusiausvyros sutrikimo atvejus. Užfiksuota hiponatremijos atvejų, kurie daugiausia susiję su dehidracija, vėmimu ir pneumonija. Buvo hipokalemijos, hipomagnezemijos ir hipokalcemijos atvejų, paprastai susijusių su virškinimo trakto sutrikimais, ypač viduriavimu.</w:t>
      </w:r>
      <w:r w:rsidR="00834B87">
        <w:rPr>
          <w:rFonts w:ascii="Times New Roman" w:hAnsi="Times New Roman" w:cs="Times New Roman"/>
          <w:lang w:val="sl-SI"/>
        </w:rPr>
        <w:t xml:space="preserve"> </w:t>
      </w:r>
      <w:r w:rsidR="00834B87" w:rsidRPr="00F52238">
        <w:rPr>
          <w:rFonts w:ascii="Times New Roman" w:hAnsi="Times New Roman" w:cs="Times New Roman"/>
        </w:rPr>
        <w:t>Pranešta apie naviko lizės sindromo, kuris gali būti mirtinas, atvejus (dažnis nežinomas).</w:t>
      </w:r>
    </w:p>
    <w:p w14:paraId="5D3D1640" w14:textId="77777777" w:rsidR="00834B87" w:rsidRPr="00F52238" w:rsidRDefault="00834B87" w:rsidP="003A7B6B">
      <w:pPr>
        <w:widowControl w:val="0"/>
        <w:tabs>
          <w:tab w:val="left" w:pos="567"/>
          <w:tab w:val="left" w:pos="1296"/>
        </w:tabs>
        <w:ind w:left="0" w:firstLine="0"/>
        <w:rPr>
          <w:rFonts w:ascii="Times New Roman" w:hAnsi="Times New Roman" w:cs="Times New Roman"/>
        </w:rPr>
      </w:pPr>
    </w:p>
    <w:p w14:paraId="4998E9B9" w14:textId="77777777" w:rsidR="00834B87" w:rsidRPr="00F52238" w:rsidRDefault="00834B87" w:rsidP="003A7B6B">
      <w:pPr>
        <w:widowControl w:val="0"/>
        <w:tabs>
          <w:tab w:val="left" w:pos="567"/>
          <w:tab w:val="left" w:pos="1296"/>
        </w:tabs>
        <w:ind w:left="0" w:firstLine="0"/>
        <w:rPr>
          <w:rFonts w:ascii="Times New Roman" w:hAnsi="Times New Roman" w:cs="Times New Roman"/>
          <w:u w:val="single"/>
        </w:rPr>
      </w:pPr>
      <w:r w:rsidRPr="00F52238">
        <w:rPr>
          <w:rFonts w:ascii="Times New Roman" w:hAnsi="Times New Roman" w:cs="Times New Roman"/>
          <w:u w:val="single"/>
        </w:rPr>
        <w:t>Skeleto, raumenų ir jungiamojo audinio sutrikimai</w:t>
      </w:r>
    </w:p>
    <w:p w14:paraId="0DCC193F" w14:textId="0B0E95E3" w:rsidR="003A7B6B" w:rsidRPr="00834B87" w:rsidRDefault="00834B87" w:rsidP="003A7B6B">
      <w:pPr>
        <w:widowControl w:val="0"/>
        <w:tabs>
          <w:tab w:val="left" w:pos="567"/>
          <w:tab w:val="left" w:pos="1296"/>
        </w:tabs>
        <w:ind w:left="0" w:firstLine="0"/>
        <w:rPr>
          <w:rFonts w:ascii="Times New Roman" w:hAnsi="Times New Roman" w:cs="Times New Roman"/>
          <w:lang w:val="sl-SI"/>
        </w:rPr>
      </w:pPr>
      <w:r w:rsidRPr="00F52238">
        <w:rPr>
          <w:rFonts w:ascii="Times New Roman" w:hAnsi="Times New Roman" w:cs="Times New Roman"/>
        </w:rPr>
        <w:t>Pranešta apie vartojant docetakselio pasireiškusio miozito atvejus (dažnis nežinomas).</w:t>
      </w:r>
    </w:p>
    <w:p w14:paraId="69F14D24"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p w14:paraId="69295450"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Pranešimas apie įtariamas nepageidaujamas reakcijas</w:t>
      </w:r>
    </w:p>
    <w:p w14:paraId="7194730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2D2EC4">
          <w:rPr>
            <w:lang w:val="sl-SI"/>
          </w:rPr>
          <w:t>http://</w:t>
        </w:r>
        <w:r w:rsidRPr="002D2EC4">
          <w:rPr>
            <w:color w:val="0000FF"/>
          </w:rPr>
          <w:t>www.vvkt.lt</w:t>
        </w:r>
        <w:r w:rsidRPr="002D2EC4">
          <w:rPr>
            <w:lang w:val="sl-SI"/>
          </w:rPr>
          <w:t>/</w:t>
        </w:r>
      </w:hyperlink>
      <w:r w:rsidRPr="00976ED6">
        <w:rPr>
          <w:rFonts w:ascii="Times New Roman" w:hAnsi="Times New Roman" w:cs="Times New Roman"/>
          <w:lang w:val="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A5413">
          <w:rPr>
            <w:rFonts w:ascii="Times New Roman" w:eastAsia="Times New Roman" w:hAnsi="Times New Roman" w:cs="Times New Roman"/>
            <w:noProof/>
            <w:color w:val="0000FF"/>
            <w:u w:val="single"/>
          </w:rPr>
          <w:t>NepageidaujamaR@vvkt.lt</w:t>
        </w:r>
      </w:hyperlink>
      <w:r w:rsidRPr="00976ED6">
        <w:rPr>
          <w:rFonts w:ascii="Times New Roman" w:hAnsi="Times New Roman" w:cs="Times New Roman"/>
          <w:lang w:val="sl-SI"/>
        </w:rPr>
        <w:t xml:space="preserve">), per interneto svetainę (adresu </w:t>
      </w:r>
      <w:hyperlink r:id="rId10" w:history="1">
        <w:r w:rsidRPr="002D2EC4">
          <w:rPr>
            <w:rFonts w:ascii="Times New Roman" w:eastAsia="Times New Roman" w:hAnsi="Times New Roman" w:cs="Times New Roman"/>
            <w:noProof/>
            <w:color w:val="0000FF"/>
            <w:u w:val="single"/>
          </w:rPr>
          <w:t>http://www.vvkt.lt</w:t>
        </w:r>
      </w:hyperlink>
      <w:r w:rsidRPr="00976ED6">
        <w:rPr>
          <w:rFonts w:ascii="Times New Roman" w:hAnsi="Times New Roman" w:cs="Times New Roman"/>
          <w:lang w:val="sl-SI"/>
        </w:rPr>
        <w:t>).</w:t>
      </w:r>
    </w:p>
    <w:p w14:paraId="670DB7F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456A80B"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4.9</w:t>
      </w:r>
      <w:r w:rsidRPr="00976ED6">
        <w:rPr>
          <w:rFonts w:ascii="Times New Roman" w:hAnsi="Times New Roman" w:cs="Times New Roman"/>
          <w:b/>
          <w:lang w:val="sl-SI"/>
        </w:rPr>
        <w:tab/>
        <w:t>Perdozavimas</w:t>
      </w:r>
    </w:p>
    <w:p w14:paraId="5B795B6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9B45B1A" w14:textId="77777777" w:rsidR="003A7B6B"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Aprašyti keli perdozavimo atvejai. Priešnuodžio perdozuotam docetakseliui nežinoma.</w:t>
      </w:r>
    </w:p>
    <w:p w14:paraId="7717E8BB" w14:textId="77777777" w:rsidR="003A7B6B" w:rsidRDefault="003A7B6B" w:rsidP="003A7B6B">
      <w:pPr>
        <w:widowControl w:val="0"/>
        <w:tabs>
          <w:tab w:val="left" w:pos="567"/>
          <w:tab w:val="left" w:pos="1296"/>
        </w:tabs>
        <w:ind w:left="0" w:firstLine="0"/>
        <w:rPr>
          <w:rFonts w:ascii="Times New Roman" w:hAnsi="Times New Roman" w:cs="Times New Roman"/>
          <w:lang w:val="sl-SI"/>
        </w:rPr>
      </w:pPr>
    </w:p>
    <w:p w14:paraId="6B484A89" w14:textId="77777777" w:rsidR="003A7B6B" w:rsidRDefault="003A7B6B" w:rsidP="003A7B6B">
      <w:pPr>
        <w:widowControl w:val="0"/>
        <w:tabs>
          <w:tab w:val="left" w:pos="567"/>
          <w:tab w:val="left" w:pos="1296"/>
        </w:tabs>
        <w:ind w:left="0" w:firstLine="0"/>
        <w:rPr>
          <w:rFonts w:ascii="Times New Roman" w:hAnsi="Times New Roman" w:cs="Times New Roman"/>
          <w:u w:val="single"/>
          <w:lang w:val="sl-SI"/>
        </w:rPr>
      </w:pPr>
      <w:r w:rsidRPr="002D2EC4">
        <w:rPr>
          <w:rFonts w:ascii="Times New Roman" w:hAnsi="Times New Roman" w:cs="Times New Roman"/>
          <w:u w:val="single"/>
          <w:lang w:val="sl-SI"/>
        </w:rPr>
        <w:t>Simptomai</w:t>
      </w:r>
    </w:p>
    <w:p w14:paraId="4F606CAB" w14:textId="77777777" w:rsidR="003A7B6B"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Perdozavus tikėtinas nepageidaujamų reiškinių paūmėjimas. Labiausiai tikėtinos perdozavimo </w:t>
      </w:r>
      <w:r w:rsidRPr="00976ED6">
        <w:rPr>
          <w:rFonts w:ascii="Times New Roman" w:hAnsi="Times New Roman" w:cs="Times New Roman"/>
          <w:lang w:val="sl-SI"/>
        </w:rPr>
        <w:lastRenderedPageBreak/>
        <w:t>komplikacijos – kaulų čiulpų slopinimas, periferinis neurotoksinis poveikis ir mukozitas.</w:t>
      </w:r>
    </w:p>
    <w:p w14:paraId="4135C28C" w14:textId="77777777" w:rsidR="003A7B6B" w:rsidRPr="002D2EC4" w:rsidRDefault="003A7B6B" w:rsidP="003A7B6B">
      <w:pPr>
        <w:widowControl w:val="0"/>
        <w:tabs>
          <w:tab w:val="left" w:pos="567"/>
          <w:tab w:val="left" w:pos="1296"/>
        </w:tabs>
        <w:ind w:left="0" w:firstLine="0"/>
        <w:rPr>
          <w:rFonts w:ascii="Times New Roman" w:hAnsi="Times New Roman" w:cs="Times New Roman"/>
          <w:u w:val="single"/>
          <w:lang w:val="sl-SI"/>
        </w:rPr>
      </w:pPr>
    </w:p>
    <w:p w14:paraId="46755A50" w14:textId="77777777" w:rsidR="003A7B6B" w:rsidRPr="002D2EC4" w:rsidRDefault="003A7B6B" w:rsidP="003A7B6B">
      <w:pPr>
        <w:widowControl w:val="0"/>
        <w:tabs>
          <w:tab w:val="left" w:pos="567"/>
          <w:tab w:val="left" w:pos="1296"/>
        </w:tabs>
        <w:ind w:left="0" w:firstLine="0"/>
        <w:rPr>
          <w:rFonts w:ascii="Times New Roman" w:hAnsi="Times New Roman" w:cs="Times New Roman"/>
          <w:u w:val="single"/>
          <w:lang w:val="sl-SI"/>
        </w:rPr>
      </w:pPr>
      <w:r w:rsidRPr="002D2EC4">
        <w:rPr>
          <w:rFonts w:ascii="Times New Roman" w:hAnsi="Times New Roman" w:cs="Times New Roman"/>
          <w:u w:val="single"/>
          <w:lang w:val="sl-SI"/>
        </w:rPr>
        <w:t>Gydymas</w:t>
      </w:r>
    </w:p>
    <w:p w14:paraId="1F1686A8" w14:textId="00EBC4DF" w:rsidR="003A7B6B"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Perdozavus šio vaisto, pacientą reikia gydyti specializuotame skyriuje ir atidžiai stebėti gyvybines funkcijas.</w:t>
      </w:r>
    </w:p>
    <w:p w14:paraId="3E389B78" w14:textId="2C2ACC49"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 </w:t>
      </w:r>
      <w:r w:rsidRPr="00C91F0E">
        <w:rPr>
          <w:rFonts w:ascii="Times New Roman" w:hAnsi="Times New Roman" w:cs="Times New Roman"/>
          <w:lang w:val="sl-SI"/>
        </w:rPr>
        <w:t xml:space="preserve">Sužinojus apie perdozavimą, </w:t>
      </w:r>
      <w:r w:rsidR="0043120E" w:rsidRPr="00C91F0E">
        <w:rPr>
          <w:rFonts w:ascii="Times New Roman" w:hAnsi="Times New Roman" w:cs="Times New Roman"/>
          <w:lang w:val="sl-SI"/>
        </w:rPr>
        <w:t xml:space="preserve">pacientui </w:t>
      </w:r>
      <w:r w:rsidRPr="00C91F0E">
        <w:rPr>
          <w:rFonts w:ascii="Times New Roman" w:hAnsi="Times New Roman" w:cs="Times New Roman"/>
          <w:lang w:val="sl-SI"/>
        </w:rPr>
        <w:t>reikia nedelsiant skirti G-KSF, prireikus taikomos kitos simptominės priemonės.</w:t>
      </w:r>
    </w:p>
    <w:p w14:paraId="1CB12C8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405FA0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455C739"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5.</w:t>
      </w:r>
      <w:r w:rsidRPr="00976ED6">
        <w:rPr>
          <w:rFonts w:ascii="Times New Roman" w:hAnsi="Times New Roman" w:cs="Times New Roman"/>
          <w:b/>
          <w:lang w:val="sl-SI"/>
        </w:rPr>
        <w:tab/>
        <w:t>FARMAKOLOGINĖS SAVYBĖS</w:t>
      </w:r>
    </w:p>
    <w:p w14:paraId="69C87FA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BD6922C"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5.1</w:t>
      </w:r>
      <w:r w:rsidRPr="00976ED6">
        <w:rPr>
          <w:rFonts w:ascii="Times New Roman" w:hAnsi="Times New Roman" w:cs="Times New Roman"/>
          <w:b/>
          <w:lang w:val="sl-SI"/>
        </w:rPr>
        <w:tab/>
        <w:t>Farmakodinaminės savybės</w:t>
      </w:r>
    </w:p>
    <w:p w14:paraId="01B26DA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525D7C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Farmakoterapinė grupė – antineoplaziniai preparatai, taksanai, ATC kodas – L01CD02.</w:t>
      </w:r>
    </w:p>
    <w:p w14:paraId="07D35F3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2F85F67" w14:textId="77777777" w:rsidR="003A7B6B" w:rsidRPr="00976ED6" w:rsidRDefault="003A7B6B" w:rsidP="003A7B6B">
      <w:pPr>
        <w:widowControl w:val="0"/>
        <w:tabs>
          <w:tab w:val="left" w:pos="1296"/>
        </w:tabs>
        <w:ind w:left="0" w:right="-142" w:firstLine="0"/>
        <w:rPr>
          <w:rFonts w:ascii="Times New Roman" w:hAnsi="Times New Roman" w:cs="Times New Roman"/>
          <w:u w:val="single"/>
          <w:lang w:val="sl-SI"/>
        </w:rPr>
      </w:pPr>
      <w:r w:rsidRPr="00976ED6">
        <w:rPr>
          <w:rFonts w:ascii="Times New Roman" w:hAnsi="Times New Roman" w:cs="Times New Roman"/>
          <w:u w:val="single"/>
          <w:lang w:val="sl-SI"/>
        </w:rPr>
        <w:t>Veikimo mechanizmas</w:t>
      </w:r>
    </w:p>
    <w:p w14:paraId="1D70C285"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p>
    <w:p w14:paraId="09E32277"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r w:rsidRPr="00976ED6">
        <w:rPr>
          <w:rFonts w:ascii="Times New Roman" w:hAnsi="Times New Roman" w:cs="Times New Roman"/>
          <w:lang w:val="sl-SI"/>
        </w:rPr>
        <w:t>Docetakselis yra vaistinis preparatas nuo vėžio, kuris skatina tubulino jungimąsi į stabilius mikrovamzdelius ir neleidžia jiems atsiskirti. Dėl tokio poveikio gerokai sumažėja laisvojo tubulino. Įtakos protofilamenų skaičiui docetakselio prisijungimas prie mikrovamzdelių neturi.</w:t>
      </w:r>
    </w:p>
    <w:p w14:paraId="69ADE0E8"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p>
    <w:p w14:paraId="4E9A0E87"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r w:rsidRPr="00976ED6">
        <w:rPr>
          <w:rFonts w:ascii="Times New Roman" w:hAnsi="Times New Roman" w:cs="Times New Roman"/>
          <w:lang w:val="sl-SI"/>
        </w:rPr>
        <w:t xml:space="preserve">Nustatyta, kad </w:t>
      </w:r>
      <w:r w:rsidRPr="00976ED6">
        <w:rPr>
          <w:rFonts w:ascii="Times New Roman" w:hAnsi="Times New Roman" w:cs="Times New Roman"/>
          <w:i/>
          <w:lang w:val="sl-SI"/>
        </w:rPr>
        <w:t>in vitro</w:t>
      </w:r>
      <w:r w:rsidRPr="00976ED6">
        <w:rPr>
          <w:rFonts w:ascii="Times New Roman" w:hAnsi="Times New Roman" w:cs="Times New Roman"/>
          <w:lang w:val="sl-SI"/>
        </w:rPr>
        <w:t xml:space="preserve"> docetakselis suardo mikrovamzdelių tinklą, būtiną gyvybinėms ląstelės funkcijoms mitozės ir interfazės metu.</w:t>
      </w:r>
    </w:p>
    <w:p w14:paraId="072C409D"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p>
    <w:p w14:paraId="47B78C45" w14:textId="77777777" w:rsidR="003A7B6B" w:rsidRPr="00976ED6" w:rsidRDefault="003A7B6B" w:rsidP="003A7B6B">
      <w:pPr>
        <w:widowControl w:val="0"/>
        <w:tabs>
          <w:tab w:val="left" w:pos="1296"/>
        </w:tabs>
        <w:ind w:left="0" w:right="-142" w:firstLine="0"/>
        <w:rPr>
          <w:rFonts w:ascii="Times New Roman" w:hAnsi="Times New Roman" w:cs="Times New Roman"/>
          <w:u w:val="single"/>
          <w:lang w:val="sl-SI"/>
        </w:rPr>
      </w:pPr>
      <w:r w:rsidRPr="00976ED6">
        <w:rPr>
          <w:rFonts w:ascii="Times New Roman" w:hAnsi="Times New Roman" w:cs="Times New Roman"/>
          <w:u w:val="single"/>
          <w:lang w:val="sl-SI"/>
        </w:rPr>
        <w:t>Farmakodinaminis poveikis</w:t>
      </w:r>
    </w:p>
    <w:p w14:paraId="678D069C"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r w:rsidRPr="00976ED6">
        <w:rPr>
          <w:rFonts w:ascii="Times New Roman" w:hAnsi="Times New Roman" w:cs="Times New Roman"/>
          <w:lang w:val="sl-SI"/>
        </w:rPr>
        <w:t xml:space="preserve">Klonogeniniais tyrimais nustatyta, kad </w:t>
      </w:r>
      <w:r w:rsidRPr="00976ED6">
        <w:rPr>
          <w:rFonts w:ascii="Times New Roman" w:hAnsi="Times New Roman" w:cs="Times New Roman"/>
          <w:i/>
          <w:lang w:val="sl-SI"/>
        </w:rPr>
        <w:t>in vitro</w:t>
      </w:r>
      <w:r w:rsidRPr="00976ED6">
        <w:rPr>
          <w:rFonts w:ascii="Times New Roman" w:hAnsi="Times New Roman" w:cs="Times New Roman"/>
          <w:lang w:val="sl-SI"/>
        </w:rPr>
        <w:t xml:space="preserve"> docetakselis yra citotoksiškas įvairioms graužikų ir žmonių navikinių ląstelių linijoms bei ką tik pašalintoms žmogaus navikų ląstelėms. Ląstelėse susidaro didelė docetakselio koncentracija, šis vaistas jose išlieka ilgai. Be to, nustatyta, kad docetakselis veikia kai kurias (bet ne visas) ląstelių linijas, kuriose labai stipriai išreikšta p-glikoproteino ekspresija (pastarąjį koduoja naviko atsparumą daugeliui vaistų lemiantis genas). </w:t>
      </w:r>
      <w:r w:rsidRPr="00976ED6">
        <w:rPr>
          <w:rFonts w:ascii="Times New Roman" w:hAnsi="Times New Roman" w:cs="Times New Roman"/>
          <w:i/>
          <w:lang w:val="sl-SI"/>
        </w:rPr>
        <w:t>In vivo</w:t>
      </w:r>
      <w:r w:rsidRPr="00976ED6">
        <w:rPr>
          <w:rFonts w:ascii="Times New Roman" w:hAnsi="Times New Roman" w:cs="Times New Roman"/>
          <w:lang w:val="sl-SI"/>
        </w:rPr>
        <w:t xml:space="preserve"> docetakselio poveikis nepriklauso nuo jo vartojimo tvarkos, eksperimentais nustatytas platus šio vaisto veikimo prieš progresavusius graužikų navikus ir persodintus žmogaus navikus spektras.</w:t>
      </w:r>
    </w:p>
    <w:p w14:paraId="28437CD1"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p>
    <w:p w14:paraId="40183837" w14:textId="77777777" w:rsidR="003A7B6B" w:rsidRPr="00976ED6" w:rsidRDefault="003A7B6B" w:rsidP="003A7B6B">
      <w:pPr>
        <w:widowControl w:val="0"/>
        <w:tabs>
          <w:tab w:val="left" w:pos="1296"/>
        </w:tabs>
        <w:ind w:left="0" w:right="-142" w:firstLine="0"/>
        <w:rPr>
          <w:rFonts w:ascii="Times New Roman" w:hAnsi="Times New Roman" w:cs="Times New Roman"/>
          <w:u w:val="single"/>
          <w:lang w:val="sl-SI"/>
        </w:rPr>
      </w:pPr>
      <w:r w:rsidRPr="00976ED6">
        <w:rPr>
          <w:rFonts w:ascii="Times New Roman" w:hAnsi="Times New Roman" w:cs="Times New Roman"/>
          <w:u w:val="single"/>
          <w:lang w:val="sl-SI"/>
        </w:rPr>
        <w:t>Klinikinis veiksmingumas ir saugumas</w:t>
      </w:r>
    </w:p>
    <w:p w14:paraId="7C316B18"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p>
    <w:p w14:paraId="0EE6851D" w14:textId="77777777" w:rsidR="003A7B6B" w:rsidRPr="00976ED6" w:rsidRDefault="003A7B6B" w:rsidP="003A7B6B">
      <w:pPr>
        <w:widowControl w:val="0"/>
        <w:tabs>
          <w:tab w:val="left" w:pos="1296"/>
        </w:tabs>
        <w:ind w:left="0" w:right="-142" w:firstLine="0"/>
        <w:rPr>
          <w:rFonts w:ascii="Times New Roman" w:hAnsi="Times New Roman" w:cs="Times New Roman"/>
          <w:i/>
          <w:u w:val="single"/>
          <w:lang w:val="sl-SI"/>
        </w:rPr>
      </w:pPr>
      <w:r w:rsidRPr="00976ED6">
        <w:rPr>
          <w:rFonts w:ascii="Times New Roman" w:hAnsi="Times New Roman" w:cs="Times New Roman"/>
          <w:i/>
          <w:u w:val="single"/>
          <w:lang w:val="sl-SI"/>
        </w:rPr>
        <w:t>Krūties vėžys</w:t>
      </w:r>
    </w:p>
    <w:p w14:paraId="3C8D53B8"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p>
    <w:p w14:paraId="14D19DCD" w14:textId="77777777" w:rsidR="003A7B6B" w:rsidRPr="00976ED6" w:rsidRDefault="003A7B6B" w:rsidP="003A7B6B">
      <w:pPr>
        <w:widowControl w:val="0"/>
        <w:tabs>
          <w:tab w:val="left" w:pos="1296"/>
        </w:tabs>
        <w:ind w:left="0" w:right="-142" w:firstLine="0"/>
        <w:rPr>
          <w:rFonts w:ascii="Times New Roman" w:hAnsi="Times New Roman" w:cs="Times New Roman"/>
          <w:i/>
          <w:lang w:val="sl-SI"/>
        </w:rPr>
      </w:pPr>
      <w:r w:rsidRPr="00976ED6">
        <w:rPr>
          <w:rFonts w:ascii="Times New Roman" w:hAnsi="Times New Roman" w:cs="Times New Roman"/>
          <w:i/>
          <w:lang w:val="sl-SI"/>
        </w:rPr>
        <w:t>Docetakselio derinys su doksorubicinu ir ciklofosfamidu (adjuvantinis gydymas)</w:t>
      </w:r>
    </w:p>
    <w:p w14:paraId="489F80C9"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p>
    <w:p w14:paraId="2A1C8B84"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r w:rsidRPr="00976ED6">
        <w:rPr>
          <w:rFonts w:ascii="Times New Roman" w:hAnsi="Times New Roman" w:cs="Times New Roman"/>
          <w:u w:val="single"/>
          <w:lang w:val="sl-SI"/>
        </w:rPr>
        <w:t>Pacientės sergančios tinkamu operuoti į limfmazgius metastazavusiu krūties vėžiu (TAX 316)</w:t>
      </w:r>
    </w:p>
    <w:p w14:paraId="24212165" w14:textId="77777777" w:rsidR="003A7B6B" w:rsidRPr="00976ED6" w:rsidRDefault="003A7B6B" w:rsidP="003A7B6B">
      <w:pPr>
        <w:widowControl w:val="0"/>
        <w:tabs>
          <w:tab w:val="left" w:pos="1296"/>
        </w:tabs>
        <w:ind w:left="0" w:right="-142" w:firstLine="0"/>
        <w:rPr>
          <w:rFonts w:ascii="Times New Roman" w:hAnsi="Times New Roman" w:cs="Times New Roman"/>
          <w:lang w:val="sl-SI"/>
        </w:rPr>
      </w:pPr>
      <w:r w:rsidRPr="00976ED6">
        <w:rPr>
          <w:rFonts w:ascii="Times New Roman" w:hAnsi="Times New Roman" w:cs="Times New Roman"/>
          <w:lang w:val="sl-SI"/>
        </w:rPr>
        <w:t xml:space="preserve">Docetakselio vartojimas į limfmazgius metastazavusio tinkamo operuoti krūties vėžio adjuvantiniam gydymui 18-70 metų pacientėms, kurių KPS (būklė pagal </w:t>
      </w:r>
      <w:r w:rsidRPr="00976ED6">
        <w:rPr>
          <w:rFonts w:ascii="Times New Roman" w:hAnsi="Times New Roman" w:cs="Times New Roman"/>
          <w:i/>
          <w:lang w:val="sl-SI"/>
        </w:rPr>
        <w:t>Karnofsky</w:t>
      </w:r>
      <w:r w:rsidRPr="00976ED6">
        <w:rPr>
          <w:rFonts w:ascii="Times New Roman" w:hAnsi="Times New Roman" w:cs="Times New Roman"/>
          <w:lang w:val="sl-SI"/>
        </w:rPr>
        <w:t xml:space="preserve"> skalę) vertinama 80% ar daugiau, pagrįstas daugiacentrinio atviro atsitiktinės atrankos tyrimo duomenimis. Atlikus stratifikavimą pagal limfmazgių, kuriuose rasta metastazių, skaičių (1-3, 4+), 1491 pacientės atsitiktinai parinktos vartoti 75 mg/m² docetakselio 1 val. po 50 mg/m² doksorubicino ir 500 mg/m² ciklofosfamido (TAC grupė) arba 50 mg/m² doksorubicino, o paskui 500 mg/m² fluorouracilo ir 500 mg/m² ciklofosfamido (FAC grupė). Abu deriniai vartoti kas 3 savaites, iš viso 6 ciklus. Docetakselis infuzuotas per 1 val., visi kiti vaistiniai preparatai vartoti intraveninio boliuso būdu pimąją ciklo dieną. Pacientėms, kurioms pasireiškė neutropenija su komplikacijomis (febriline neutropenija, ilgalaike neutropenija ar infekcija), antrinei profilaktikai skirta G-KSF. TAC grupės pacientės infekcijos profilaktikai gėrė po 500 mg ciprofloksacino 2 kartus per parą 10 dienų nuo 5-os kiekvieno ciklo dienos arba atitinkamai kitą antibiotiką. Po paskutinio chemoterapijos ciklo abiejų grupių pacientėms, kurioms rasta teigiamų estrogenų ir (ar) progesterono receptorių, skirta 20 mg tamoksifeno per parą iki 5 metų. Adjuvantinis spindulinis gydymas skirtas 69% TAC grupės ir 72% FAC grupės pacienčių, remiantis tyrime dalyvavusiose institucijose priimta praktika. Atliktos dvi tarpinės ir viena galutinė analizė. Pirmoji tarpinė analizė suplanuota praėjus 3 metams nuo dienos, kai tyrime pradėjo dalyvauti pusė tiriamųjų. Antroji tarpinė analizė atlikta, kai bendrai nustatyta 400 BLSIL atvejų, jos metu stebėjimo laikotarpio </w:t>
      </w:r>
      <w:r w:rsidRPr="00976ED6">
        <w:rPr>
          <w:rFonts w:ascii="Times New Roman" w:hAnsi="Times New Roman" w:cs="Times New Roman"/>
          <w:lang w:val="sl-SI"/>
        </w:rPr>
        <w:lastRenderedPageBreak/>
        <w:t>mediana buvo 55 mėnesiai. Galutinė analizė atlikta, kai visos pacientės sulaukė 10-ųjų metų stebėjimo laikotarpio vizito (išskyrus atvejus, kai pacientėms buvo BLSIL reiškinių arba jos iš stebėjimo pasitraukė anksčiau). Pirminė veiksmingumo vertinamoji baigtis yra be ligos simptomų išgyventas laikotarpis (BLSIL), o antrinė veiksmingumo vertinamoji baigtis – bendrasis išgyvenamumas (BI).</w:t>
      </w:r>
    </w:p>
    <w:p w14:paraId="260ADC63"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9B57A64"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Galutinėje analizėje stebėjimo laikotarpio mediana – 96 mėnesiai. Nustatyta, kad TAC grupės pacientės be ligos reiškinių išgyveno reikšmingai ilgiau negu FAC. Atkryčių po 10 metų skaičius po gydymo TAC buvo 39%, po gydymo FAC – 45%, t.y. absoliuti rizika sumažėjo 6% (p = 0,0043). Bendras išgyvenamumas po 10 metų TAC grupėje buvo 76% ir buvo reikšmingai didesnis, nei FAC grupėje – 69%, t.y. absoliuti mirties rizika TAC grupėje buvo 7% mažesnė (p = 0,002). Kadangi pacientėms, kurioms 4 ar daugiau limfmazgiuose rasta metastazių, teigiamas BLSIL ir BI pokytis nebuvo statistiškai reikšmingas, todėl galutinė duomenų analizė šioms pacientėms TAC palankaus naudos ir rizikos santykio pilnai neparodė.</w:t>
      </w:r>
    </w:p>
    <w:p w14:paraId="1224F93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F787C62"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Apibendrinus, tyrimo rezultatai rodo, kad TAC grupėje naudos ir rizikos santykis yra geresnis, lyginant su FAC grupe.</w:t>
      </w:r>
    </w:p>
    <w:p w14:paraId="3C487C3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3D12D4E"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Išanalizuoti TAC gydytų pacienčių poaibiai, sudaryti pagal prospektyviniu būdu nustatytus pagrindinius prognozės kriterijus:</w:t>
      </w:r>
    </w:p>
    <w:p w14:paraId="4AC3EA71" w14:textId="77777777" w:rsidR="003A7B6B" w:rsidRPr="00976ED6" w:rsidRDefault="003A7B6B" w:rsidP="003A7B6B">
      <w:pPr>
        <w:widowControl w:val="0"/>
        <w:tabs>
          <w:tab w:val="left" w:pos="1296"/>
        </w:tabs>
        <w:ind w:left="0" w:firstLine="0"/>
        <w:rPr>
          <w:rFonts w:ascii="Times New Roman" w:hAnsi="Times New Roman" w:cs="Times New Roman"/>
          <w:lang w:val="sl-SI"/>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3"/>
        <w:gridCol w:w="1100"/>
        <w:gridCol w:w="1098"/>
        <w:gridCol w:w="1393"/>
        <w:gridCol w:w="945"/>
        <w:gridCol w:w="1374"/>
        <w:gridCol w:w="1091"/>
        <w:gridCol w:w="993"/>
      </w:tblGrid>
      <w:tr w:rsidR="003A7B6B" w:rsidRPr="00976ED6" w14:paraId="31B97C3B" w14:textId="77777777" w:rsidTr="005E6418">
        <w:tc>
          <w:tcPr>
            <w:tcW w:w="1308" w:type="pct"/>
            <w:gridSpan w:val="2"/>
            <w:tcBorders>
              <w:top w:val="nil"/>
              <w:left w:val="nil"/>
              <w:bottom w:val="single" w:sz="4" w:space="0" w:color="auto"/>
              <w:right w:val="single" w:sz="4" w:space="0" w:color="auto"/>
            </w:tcBorders>
          </w:tcPr>
          <w:p w14:paraId="5905DA79"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tc>
        <w:tc>
          <w:tcPr>
            <w:tcW w:w="1840" w:type="pct"/>
            <w:gridSpan w:val="3"/>
            <w:tcBorders>
              <w:top w:val="single" w:sz="4" w:space="0" w:color="auto"/>
              <w:left w:val="single" w:sz="4" w:space="0" w:color="auto"/>
              <w:bottom w:val="single" w:sz="4" w:space="0" w:color="auto"/>
              <w:right w:val="single" w:sz="4" w:space="0" w:color="auto"/>
            </w:tcBorders>
            <w:hideMark/>
          </w:tcPr>
          <w:p w14:paraId="509B4399"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b/>
                <w:color w:val="000000"/>
                <w:lang w:val="sl-SI"/>
              </w:rPr>
              <w:t>Be ligos reiškinių išgyventas laikotarpis</w:t>
            </w:r>
          </w:p>
        </w:tc>
        <w:tc>
          <w:tcPr>
            <w:tcW w:w="1852" w:type="pct"/>
            <w:gridSpan w:val="3"/>
            <w:tcBorders>
              <w:top w:val="single" w:sz="4" w:space="0" w:color="auto"/>
              <w:left w:val="single" w:sz="4" w:space="0" w:color="auto"/>
              <w:bottom w:val="single" w:sz="4" w:space="0" w:color="auto"/>
              <w:right w:val="single" w:sz="4" w:space="0" w:color="auto"/>
            </w:tcBorders>
            <w:hideMark/>
          </w:tcPr>
          <w:p w14:paraId="6F7D3725"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b/>
                <w:color w:val="000000"/>
                <w:lang w:val="sl-SI"/>
              </w:rPr>
            </w:pPr>
            <w:r w:rsidRPr="00976ED6">
              <w:rPr>
                <w:rFonts w:ascii="Times New Roman" w:hAnsi="Times New Roman" w:cs="Times New Roman"/>
                <w:b/>
                <w:color w:val="000000"/>
                <w:lang w:val="sl-SI"/>
              </w:rPr>
              <w:t>Bendras išgyventas laikotarpis</w:t>
            </w:r>
          </w:p>
        </w:tc>
      </w:tr>
      <w:tr w:rsidR="003A7B6B" w:rsidRPr="00976ED6" w14:paraId="27260529" w14:textId="77777777" w:rsidTr="005E6418">
        <w:tc>
          <w:tcPr>
            <w:tcW w:w="719" w:type="pct"/>
            <w:tcBorders>
              <w:top w:val="single" w:sz="4" w:space="0" w:color="auto"/>
              <w:left w:val="single" w:sz="4" w:space="0" w:color="auto"/>
              <w:bottom w:val="single" w:sz="4" w:space="0" w:color="auto"/>
              <w:right w:val="single" w:sz="4" w:space="0" w:color="auto"/>
            </w:tcBorders>
            <w:hideMark/>
          </w:tcPr>
          <w:p w14:paraId="33DFAB9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Pacienčių poaibis</w:t>
            </w:r>
          </w:p>
        </w:tc>
        <w:tc>
          <w:tcPr>
            <w:tcW w:w="589" w:type="pct"/>
            <w:tcBorders>
              <w:top w:val="single" w:sz="4" w:space="0" w:color="auto"/>
              <w:left w:val="single" w:sz="4" w:space="0" w:color="auto"/>
              <w:bottom w:val="single" w:sz="4" w:space="0" w:color="auto"/>
              <w:right w:val="single" w:sz="4" w:space="0" w:color="auto"/>
            </w:tcBorders>
            <w:hideMark/>
          </w:tcPr>
          <w:p w14:paraId="26C696A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Pacienčių skaičius</w:t>
            </w:r>
          </w:p>
        </w:tc>
        <w:tc>
          <w:tcPr>
            <w:tcW w:w="588" w:type="pct"/>
            <w:tcBorders>
              <w:top w:val="single" w:sz="4" w:space="0" w:color="auto"/>
              <w:left w:val="single" w:sz="4" w:space="0" w:color="auto"/>
              <w:bottom w:val="single" w:sz="4" w:space="0" w:color="auto"/>
              <w:right w:val="single" w:sz="4" w:space="0" w:color="auto"/>
            </w:tcBorders>
            <w:hideMark/>
          </w:tcPr>
          <w:p w14:paraId="2B8D38A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Rizikos koeficientas*</w:t>
            </w:r>
          </w:p>
        </w:tc>
        <w:tc>
          <w:tcPr>
            <w:tcW w:w="746" w:type="pct"/>
            <w:tcBorders>
              <w:top w:val="single" w:sz="4" w:space="0" w:color="auto"/>
              <w:left w:val="single" w:sz="4" w:space="0" w:color="auto"/>
              <w:bottom w:val="single" w:sz="4" w:space="0" w:color="auto"/>
              <w:right w:val="single" w:sz="4" w:space="0" w:color="auto"/>
            </w:tcBorders>
            <w:hideMark/>
          </w:tcPr>
          <w:p w14:paraId="63C2AE1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95% PI</w:t>
            </w:r>
          </w:p>
        </w:tc>
        <w:tc>
          <w:tcPr>
            <w:tcW w:w="506" w:type="pct"/>
            <w:tcBorders>
              <w:top w:val="single" w:sz="4" w:space="0" w:color="auto"/>
              <w:left w:val="single" w:sz="4" w:space="0" w:color="auto"/>
              <w:bottom w:val="single" w:sz="4" w:space="0" w:color="auto"/>
              <w:right w:val="single" w:sz="4" w:space="0" w:color="auto"/>
            </w:tcBorders>
            <w:hideMark/>
          </w:tcPr>
          <w:p w14:paraId="3E9E73C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 xml:space="preserve">p = </w:t>
            </w:r>
          </w:p>
        </w:tc>
        <w:tc>
          <w:tcPr>
            <w:tcW w:w="736" w:type="pct"/>
            <w:tcBorders>
              <w:top w:val="single" w:sz="4" w:space="0" w:color="auto"/>
              <w:left w:val="single" w:sz="4" w:space="0" w:color="auto"/>
              <w:bottom w:val="single" w:sz="4" w:space="0" w:color="auto"/>
              <w:right w:val="single" w:sz="4" w:space="0" w:color="auto"/>
            </w:tcBorders>
            <w:hideMark/>
          </w:tcPr>
          <w:p w14:paraId="5FCBE8E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Rizikos koeficientas*</w:t>
            </w:r>
          </w:p>
        </w:tc>
        <w:tc>
          <w:tcPr>
            <w:tcW w:w="584" w:type="pct"/>
            <w:tcBorders>
              <w:top w:val="single" w:sz="4" w:space="0" w:color="auto"/>
              <w:left w:val="single" w:sz="4" w:space="0" w:color="auto"/>
              <w:bottom w:val="single" w:sz="4" w:space="0" w:color="auto"/>
              <w:right w:val="single" w:sz="4" w:space="0" w:color="auto"/>
            </w:tcBorders>
            <w:hideMark/>
          </w:tcPr>
          <w:p w14:paraId="2CB23FA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95% PI</w:t>
            </w:r>
          </w:p>
        </w:tc>
        <w:tc>
          <w:tcPr>
            <w:tcW w:w="532" w:type="pct"/>
            <w:tcBorders>
              <w:top w:val="single" w:sz="4" w:space="0" w:color="auto"/>
              <w:left w:val="single" w:sz="4" w:space="0" w:color="auto"/>
              <w:bottom w:val="single" w:sz="4" w:space="0" w:color="auto"/>
              <w:right w:val="single" w:sz="4" w:space="0" w:color="auto"/>
            </w:tcBorders>
            <w:hideMark/>
          </w:tcPr>
          <w:p w14:paraId="4D3FE44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 xml:space="preserve">p = </w:t>
            </w:r>
          </w:p>
        </w:tc>
      </w:tr>
      <w:tr w:rsidR="003A7B6B" w:rsidRPr="00976ED6" w14:paraId="56C88918" w14:textId="77777777" w:rsidTr="005E6418">
        <w:trPr>
          <w:trHeight w:val="1560"/>
        </w:trPr>
        <w:tc>
          <w:tcPr>
            <w:tcW w:w="719" w:type="pct"/>
            <w:tcBorders>
              <w:top w:val="single" w:sz="4" w:space="0" w:color="auto"/>
              <w:left w:val="single" w:sz="4" w:space="0" w:color="auto"/>
              <w:bottom w:val="single" w:sz="4" w:space="0" w:color="auto"/>
              <w:right w:val="single" w:sz="4" w:space="0" w:color="auto"/>
            </w:tcBorders>
            <w:hideMark/>
          </w:tcPr>
          <w:p w14:paraId="78A0CFA8" w14:textId="77777777" w:rsidR="003A7B6B" w:rsidRPr="00976ED6" w:rsidRDefault="003A7B6B" w:rsidP="005E6418">
            <w:pPr>
              <w:widowControl w:val="0"/>
              <w:tabs>
                <w:tab w:val="left" w:pos="567"/>
                <w:tab w:val="left" w:pos="1296"/>
              </w:tabs>
              <w:ind w:left="0" w:firstLine="0"/>
              <w:rPr>
                <w:rFonts w:ascii="Times New Roman" w:hAnsi="Times New Roman" w:cs="Times New Roman"/>
                <w:b/>
                <w:color w:val="000000"/>
                <w:lang w:val="sl-SI"/>
              </w:rPr>
            </w:pPr>
            <w:r w:rsidRPr="00976ED6">
              <w:rPr>
                <w:rFonts w:ascii="Times New Roman" w:hAnsi="Times New Roman" w:cs="Times New Roman"/>
                <w:b/>
                <w:color w:val="000000"/>
                <w:lang w:val="sl-SI"/>
              </w:rPr>
              <w:t>Pažeistų limfmazgių skaičius</w:t>
            </w:r>
          </w:p>
          <w:p w14:paraId="4C4B511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Iš viso</w:t>
            </w:r>
          </w:p>
          <w:p w14:paraId="007309A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1-3</w:t>
            </w:r>
          </w:p>
          <w:p w14:paraId="5846B9F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4+</w:t>
            </w:r>
          </w:p>
        </w:tc>
        <w:tc>
          <w:tcPr>
            <w:tcW w:w="589" w:type="pct"/>
            <w:tcBorders>
              <w:top w:val="single" w:sz="4" w:space="0" w:color="auto"/>
              <w:left w:val="single" w:sz="4" w:space="0" w:color="auto"/>
              <w:bottom w:val="single" w:sz="4" w:space="0" w:color="auto"/>
              <w:right w:val="single" w:sz="4" w:space="0" w:color="auto"/>
            </w:tcBorders>
          </w:tcPr>
          <w:p w14:paraId="2C581DB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4B786ED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663FF50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3EA81B1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745</w:t>
            </w:r>
          </w:p>
          <w:p w14:paraId="5223D30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467</w:t>
            </w:r>
          </w:p>
          <w:p w14:paraId="4363FB6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278</w:t>
            </w:r>
          </w:p>
        </w:tc>
        <w:tc>
          <w:tcPr>
            <w:tcW w:w="588" w:type="pct"/>
            <w:tcBorders>
              <w:top w:val="single" w:sz="4" w:space="0" w:color="auto"/>
              <w:left w:val="single" w:sz="4" w:space="0" w:color="auto"/>
              <w:bottom w:val="single" w:sz="4" w:space="0" w:color="auto"/>
              <w:right w:val="single" w:sz="4" w:space="0" w:color="auto"/>
            </w:tcBorders>
          </w:tcPr>
          <w:p w14:paraId="6DAF7C6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0045205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76F5783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42130B43" w14:textId="7E800169"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80</w:t>
            </w:r>
          </w:p>
          <w:p w14:paraId="6FA3F3A9" w14:textId="0FC3152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72</w:t>
            </w:r>
          </w:p>
          <w:p w14:paraId="7FC790ED" w14:textId="4A0F4452"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87</w:t>
            </w:r>
          </w:p>
        </w:tc>
        <w:tc>
          <w:tcPr>
            <w:tcW w:w="746" w:type="pct"/>
            <w:tcBorders>
              <w:top w:val="single" w:sz="4" w:space="0" w:color="auto"/>
              <w:left w:val="single" w:sz="4" w:space="0" w:color="auto"/>
              <w:bottom w:val="single" w:sz="4" w:space="0" w:color="auto"/>
              <w:right w:val="single" w:sz="4" w:space="0" w:color="auto"/>
            </w:tcBorders>
          </w:tcPr>
          <w:p w14:paraId="260FE21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4A6147E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1111121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56EF984D" w14:textId="56BA20E0"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68-0</w:t>
            </w:r>
            <w:r>
              <w:rPr>
                <w:rFonts w:ascii="Times New Roman" w:hAnsi="Times New Roman" w:cs="Times New Roman"/>
                <w:color w:val="000000"/>
                <w:lang w:val="sl-SI"/>
              </w:rPr>
              <w:t>,</w:t>
            </w:r>
            <w:r w:rsidRPr="00976ED6">
              <w:rPr>
                <w:rFonts w:ascii="Times New Roman" w:hAnsi="Times New Roman" w:cs="Times New Roman"/>
                <w:color w:val="000000"/>
                <w:lang w:val="sl-SI"/>
              </w:rPr>
              <w:t>93</w:t>
            </w:r>
          </w:p>
          <w:p w14:paraId="40B2B8A9" w14:textId="3F57FD02"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58-0</w:t>
            </w:r>
            <w:r>
              <w:rPr>
                <w:rFonts w:ascii="Times New Roman" w:hAnsi="Times New Roman" w:cs="Times New Roman"/>
                <w:color w:val="000000"/>
                <w:lang w:val="sl-SI"/>
              </w:rPr>
              <w:t>,</w:t>
            </w:r>
            <w:r w:rsidRPr="00976ED6">
              <w:rPr>
                <w:rFonts w:ascii="Times New Roman" w:hAnsi="Times New Roman" w:cs="Times New Roman"/>
                <w:color w:val="000000"/>
                <w:lang w:val="sl-SI"/>
              </w:rPr>
              <w:t>91</w:t>
            </w:r>
          </w:p>
          <w:p w14:paraId="2362FA72" w14:textId="56EAA52B"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70-1</w:t>
            </w:r>
            <w:r>
              <w:rPr>
                <w:rFonts w:ascii="Times New Roman" w:hAnsi="Times New Roman" w:cs="Times New Roman"/>
                <w:color w:val="000000"/>
                <w:lang w:val="sl-SI"/>
              </w:rPr>
              <w:t>,</w:t>
            </w:r>
            <w:r w:rsidRPr="00976ED6">
              <w:rPr>
                <w:rFonts w:ascii="Times New Roman" w:hAnsi="Times New Roman" w:cs="Times New Roman"/>
                <w:color w:val="000000"/>
                <w:lang w:val="sl-SI"/>
              </w:rPr>
              <w:t>09</w:t>
            </w:r>
          </w:p>
        </w:tc>
        <w:tc>
          <w:tcPr>
            <w:tcW w:w="506" w:type="pct"/>
            <w:tcBorders>
              <w:top w:val="single" w:sz="4" w:space="0" w:color="auto"/>
              <w:left w:val="single" w:sz="4" w:space="0" w:color="auto"/>
              <w:bottom w:val="single" w:sz="4" w:space="0" w:color="auto"/>
              <w:right w:val="single" w:sz="4" w:space="0" w:color="auto"/>
            </w:tcBorders>
          </w:tcPr>
          <w:p w14:paraId="272EB31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459964B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28BA189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064D938D" w14:textId="02CF35A5"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0043</w:t>
            </w:r>
          </w:p>
          <w:p w14:paraId="69223B06" w14:textId="6249B84E"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0047</w:t>
            </w:r>
          </w:p>
          <w:p w14:paraId="613F34DD" w14:textId="41307F79"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2290</w:t>
            </w:r>
          </w:p>
        </w:tc>
        <w:tc>
          <w:tcPr>
            <w:tcW w:w="736" w:type="pct"/>
            <w:tcBorders>
              <w:top w:val="single" w:sz="4" w:space="0" w:color="auto"/>
              <w:left w:val="single" w:sz="4" w:space="0" w:color="auto"/>
              <w:bottom w:val="single" w:sz="4" w:space="0" w:color="auto"/>
              <w:right w:val="single" w:sz="4" w:space="0" w:color="auto"/>
            </w:tcBorders>
          </w:tcPr>
          <w:p w14:paraId="50DBDA6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1D566C4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17847E8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50F65390" w14:textId="7C972E74"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74</w:t>
            </w:r>
          </w:p>
          <w:p w14:paraId="14F08B57" w14:textId="4EDE0EC0"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62</w:t>
            </w:r>
          </w:p>
          <w:p w14:paraId="6B1E3BC7" w14:textId="37E8CA45"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87</w:t>
            </w:r>
          </w:p>
        </w:tc>
        <w:tc>
          <w:tcPr>
            <w:tcW w:w="584" w:type="pct"/>
            <w:tcBorders>
              <w:top w:val="single" w:sz="4" w:space="0" w:color="auto"/>
              <w:left w:val="single" w:sz="4" w:space="0" w:color="auto"/>
              <w:bottom w:val="single" w:sz="4" w:space="0" w:color="auto"/>
              <w:right w:val="single" w:sz="4" w:space="0" w:color="auto"/>
            </w:tcBorders>
          </w:tcPr>
          <w:p w14:paraId="01E843D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467E92F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00D84EF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05595C28" w14:textId="5C2EC541"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61-0</w:t>
            </w:r>
            <w:r>
              <w:rPr>
                <w:rFonts w:ascii="Times New Roman" w:hAnsi="Times New Roman" w:cs="Times New Roman"/>
                <w:color w:val="000000"/>
                <w:lang w:val="sl-SI"/>
              </w:rPr>
              <w:t>,</w:t>
            </w:r>
            <w:r w:rsidRPr="00976ED6">
              <w:rPr>
                <w:rFonts w:ascii="Times New Roman" w:hAnsi="Times New Roman" w:cs="Times New Roman"/>
                <w:color w:val="000000"/>
                <w:lang w:val="sl-SI"/>
              </w:rPr>
              <w:t>90</w:t>
            </w:r>
          </w:p>
          <w:p w14:paraId="50310D86" w14:textId="322B61B1"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46-0</w:t>
            </w:r>
            <w:r>
              <w:rPr>
                <w:rFonts w:ascii="Times New Roman" w:hAnsi="Times New Roman" w:cs="Times New Roman"/>
                <w:color w:val="000000"/>
                <w:lang w:val="sl-SI"/>
              </w:rPr>
              <w:t>,</w:t>
            </w:r>
            <w:r w:rsidRPr="00976ED6">
              <w:rPr>
                <w:rFonts w:ascii="Times New Roman" w:hAnsi="Times New Roman" w:cs="Times New Roman"/>
                <w:color w:val="000000"/>
                <w:lang w:val="sl-SI"/>
              </w:rPr>
              <w:t>82</w:t>
            </w:r>
          </w:p>
          <w:p w14:paraId="04E0AC5A" w14:textId="1635EED4"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67-1</w:t>
            </w:r>
            <w:r>
              <w:rPr>
                <w:rFonts w:ascii="Times New Roman" w:hAnsi="Times New Roman" w:cs="Times New Roman"/>
                <w:color w:val="000000"/>
                <w:lang w:val="sl-SI"/>
              </w:rPr>
              <w:t>,</w:t>
            </w:r>
            <w:r w:rsidRPr="00976ED6">
              <w:rPr>
                <w:rFonts w:ascii="Times New Roman" w:hAnsi="Times New Roman" w:cs="Times New Roman"/>
                <w:color w:val="000000"/>
                <w:lang w:val="sl-SI"/>
              </w:rPr>
              <w:t>12</w:t>
            </w:r>
          </w:p>
        </w:tc>
        <w:tc>
          <w:tcPr>
            <w:tcW w:w="532" w:type="pct"/>
            <w:tcBorders>
              <w:top w:val="single" w:sz="4" w:space="0" w:color="auto"/>
              <w:left w:val="single" w:sz="4" w:space="0" w:color="auto"/>
              <w:bottom w:val="single" w:sz="4" w:space="0" w:color="auto"/>
              <w:right w:val="single" w:sz="4" w:space="0" w:color="auto"/>
            </w:tcBorders>
          </w:tcPr>
          <w:p w14:paraId="3A40A4A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5CFA729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0F0ADA5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p w14:paraId="2E67A42F" w14:textId="2E17F1F1"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0020</w:t>
            </w:r>
          </w:p>
          <w:p w14:paraId="591271B8" w14:textId="67A9637F"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0008</w:t>
            </w:r>
          </w:p>
          <w:p w14:paraId="33A18719" w14:textId="685ADAC6"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2746</w:t>
            </w:r>
          </w:p>
        </w:tc>
      </w:tr>
    </w:tbl>
    <w:p w14:paraId="664054B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CFE685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*Mažesnis už 1 rizikos koeficientas rodo, kad vartojant TAC be ligos reiškinių išgyventas laikotarpis ir bendras išgyventas laikotarpis buvo ilgesni negu vartojant FAC.</w:t>
      </w:r>
    </w:p>
    <w:p w14:paraId="56F4A69E"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2A8E846"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Pacientės, sergančios tinkamu operuoti į limfmazgius nemetastazavusiu krūties vėžiu, kurioms galima</w:t>
      </w:r>
    </w:p>
    <w:p w14:paraId="24E375FC"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chemoterapija (GEICAM 9805)</w:t>
      </w:r>
    </w:p>
    <w:p w14:paraId="45321300"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D0FB84C" w14:textId="72796889"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Multicentrinio, atvirojo, atsitiktinės parinkties tyrimo duomenys patvirtina docetakselio vartojimą adjuvantiniam gydymui pacienčių, sergančių tinkamu operuoti </w:t>
      </w:r>
      <w:r w:rsidRPr="00976ED6">
        <w:rPr>
          <w:rFonts w:ascii="Times New Roman" w:hAnsi="Times New Roman" w:cs="Times New Roman"/>
          <w:u w:val="single"/>
          <w:lang w:val="sl-SI"/>
        </w:rPr>
        <w:t>į limfmazgius</w:t>
      </w:r>
      <w:r w:rsidRPr="00976ED6">
        <w:rPr>
          <w:rFonts w:ascii="Times New Roman" w:hAnsi="Times New Roman" w:cs="Times New Roman"/>
          <w:lang w:val="sl-SI"/>
        </w:rPr>
        <w:t xml:space="preserve"> nemetastazavusiu krūties vėžiu, kurioms gali būti taikoma chemoterapija. 1060 pacientės, sergančios tinkamu operuoti </w:t>
      </w:r>
      <w:r w:rsidRPr="00976ED6">
        <w:rPr>
          <w:rFonts w:ascii="Times New Roman" w:hAnsi="Times New Roman" w:cs="Times New Roman"/>
          <w:u w:val="single"/>
          <w:lang w:val="sl-SI"/>
        </w:rPr>
        <w:t>į limfmazgius</w:t>
      </w:r>
      <w:r w:rsidRPr="00976ED6">
        <w:rPr>
          <w:rFonts w:ascii="Times New Roman" w:hAnsi="Times New Roman" w:cs="Times New Roman"/>
          <w:lang w:val="sl-SI"/>
        </w:rPr>
        <w:t xml:space="preserve"> nemetastazavusiu krūties vėžiu su didele atkryčio rizika pagal 1998 </w:t>
      </w:r>
      <w:r w:rsidRPr="00976ED6">
        <w:rPr>
          <w:rFonts w:ascii="Times New Roman" w:hAnsi="Times New Roman" w:cs="Times New Roman"/>
          <w:i/>
          <w:lang w:val="sl-SI"/>
        </w:rPr>
        <w:t>St.Gallen</w:t>
      </w:r>
      <w:r w:rsidRPr="00976ED6">
        <w:rPr>
          <w:rFonts w:ascii="Times New Roman" w:hAnsi="Times New Roman" w:cs="Times New Roman"/>
          <w:lang w:val="sl-SI"/>
        </w:rPr>
        <w:t xml:space="preserve"> kriterijus (naviko dydis &gt; 2 cm ir (arba) neigiamas ER ir PR ir (arba) didelis histologinis branduolių diferenciacijos laipsnis (2 arba 3 laipsnis) ir (arba) amžius &lt; 35 metai) buvo atsitiktinai suskirstytos ir vartojo arba docetak</w:t>
      </w:r>
      <w:r w:rsidRPr="00605088">
        <w:rPr>
          <w:rFonts w:ascii="Times New Roman" w:hAnsi="Times New Roman" w:cs="Times New Roman"/>
          <w:lang w:val="sl-SI"/>
        </w:rPr>
        <w:t>selio 75 mg/m</w:t>
      </w:r>
      <w:r w:rsidRPr="002D2EC4">
        <w:rPr>
          <w:rFonts w:ascii="Times New Roman" w:eastAsia="Times New Roman" w:hAnsi="Times New Roman" w:cs="Times New Roman"/>
          <w:vertAlign w:val="superscript"/>
          <w:lang w:val="sl-SI" w:eastAsia="sl-SI"/>
        </w:rPr>
        <w:t>2</w:t>
      </w:r>
      <w:r w:rsidRPr="00605088">
        <w:rPr>
          <w:rFonts w:ascii="Times New Roman" w:hAnsi="Times New Roman" w:cs="Times New Roman"/>
          <w:lang w:val="sl-SI"/>
        </w:rPr>
        <w:t>, skiriamo praėjus 1 valandai po doksorubicino 50 mg/m² ir ciklofosamido 500 mg/m</w:t>
      </w:r>
      <w:r w:rsidRPr="002D2EC4">
        <w:rPr>
          <w:rFonts w:ascii="Times New Roman" w:eastAsia="Times New Roman" w:hAnsi="Times New Roman" w:cs="Times New Roman"/>
          <w:vertAlign w:val="superscript"/>
          <w:lang w:val="sl-SI" w:eastAsia="sl-SI"/>
        </w:rPr>
        <w:t>2</w:t>
      </w:r>
      <w:r w:rsidRPr="00976ED6">
        <w:rPr>
          <w:rFonts w:ascii="Times New Roman" w:hAnsi="Times New Roman" w:cs="Times New Roman"/>
          <w:lang w:val="sl-SI"/>
        </w:rPr>
        <w:t xml:space="preserve"> vartojimo (539 pacientės TAC grupėje), arba doksorubicino 50 mg/m² skiriamo po fluorouracilo 500 mg/m² ir ciklofosfamido 500 mg/m² (521 pacientė FAC grupeje).</w:t>
      </w:r>
    </w:p>
    <w:p w14:paraId="4F1E1885"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Abi gydymo schemos buvo taikomos kartą kas 3 savaites 6 gydymo ciklus. Docetakselis buvo suleidžiamas 1 valandos trukmės infuzijos metu, visi kiti vaistiniai preparatai buvo vartojami į veną pirmąją dieną kas tris savaites. Kai buvo atrinkta 230 pacienčių, TAC grupėje pradžioje buvo privaloma profilaktiškai vartoti G-KSF. 4 laipsnio neutropenijos, febrilinės neutropenijos ir neutropeninės infekcijos dažnis buvo mažesnis pacientėms, kurios pradžioje profilaktikai vartojo G-KSF (žr. 4.8 skyrių). Po paskutinio chemoterapijos ciklo, abiejų grupių pacientės, kurioms nustatyti ER ir PR teigiami navikai, vartojo tamoksifeną 20 mg kartą per parą 5 metus. Adjuvantinis spindulinis gydymas buvo taikomas pagal dalyvaujančiose institucijose esančias gaires. Jis buvo pritaikytas 57,3 % pacienčių, kurios buvo gydytos taikant TAC schemą ir 51,2 % gydytoms taikant FAC schemą.</w:t>
      </w:r>
    </w:p>
    <w:p w14:paraId="509F892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35D40B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lastRenderedPageBreak/>
        <w:t>Buvo atliktos viena pagrindinė ir viena atnaujinta analizė. Pagrindinė analizė buvo atlikta tada, kai visų pacienčių stebėjimo laikotarpis viršijo 5 metus (stebėjimo laikotarpio mediana buvo 77 mėnesiai).</w:t>
      </w:r>
    </w:p>
    <w:p w14:paraId="7B875728"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Atnaujinta analizė buvo atlikta tada, kai visos pacientės atliko 10-ųjų metų (stebėjimo laikotarpio mediana buvo 10 metų ir 5 mėnesiai) stebėjimo vizitą (išskyrus atvejus, kai pasireiškė BLSIL reiškinys arba pacientės stebėjimas nutrūko anksčiau). Pirminė veiksmingumo vertinamoji baigtis buvo be ligos simptomų išgyventas laikotarpis (BLSIL), o antrinė veiksmingumo vertinamoji baigtis – bendrasis išgyvenamumas (BI).</w:t>
      </w:r>
    </w:p>
    <w:p w14:paraId="122794B7"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380FBA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Pasiekus 77 mėnesių stebėjimo laikotarpio medianą, buvo nustatytas reikšmingai ilgesnis be ligos reiškinių išgyventas laikotarpis TAC grupėje lyginant su FAC grupe. TAC gydytoms pacientėms atkryčio rizika buvo 32 % mažesnė nei FAC gydytųjų grupėje (rizikos koeficientas = 0,68, 95 % PI (0,49-0,93), p = 0,01). Pasiekus 10 metų ir 5 mėnesių stebėjimo laikotarpio medianą, TAC gydytoms pacientėms atkryčio rizika buvo 16,5% mažesnė nei FAC gydytųjų grupėje (rizikos koeficientas = 0,84, 95% PI (0,65-1,08), p=0,1646). BLSIL duomenys statistiškai reikšmingai nesiskyrė, tačiau stebėta palanki tendencija TAC grupėje.</w:t>
      </w:r>
    </w:p>
    <w:p w14:paraId="564256C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A091EB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Pasiekus 77 mėnesių stebėjimo laikotarpio medianą, bendras išgyventas laikotarpis (BIL) buvo ilgesnis TAC grupėje, nes TAC gydytoms pacientėms mirties rizika buvo 24 % mažesnė lyginant su FAC grupe (rizikos koeficientas = 0,76, 95 % PI (0,46-1,26, p = 0,29). Tačiau BIL abiejose grupėse reikšmingai nesiskyrė.</w:t>
      </w:r>
    </w:p>
    <w:p w14:paraId="5AEB177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7EFD55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Pasiekus 10 metų ir 5 mėnesių stebėjimo laikotarpio medianą, TAC gydytoms pacientėms mirties rizika buvo 9% mažesnė lyginant su FAC grupės pacientėmis (rizikos koeficientas = 0,91, 95% PI (0,63-1,32)).</w:t>
      </w:r>
    </w:p>
    <w:p w14:paraId="16D78142"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Išgyvenamumo dažnis buvo 93,7% TAC grupėje ir 91,4 % FAC grupėje, kai stebėjimo laikotarpio mediana buvo 8 metai, bei 91,3% TAC grupėje ir 89% FAC grupėje, kai stebėjimo laikotarpio mediana buvo 10 metų.</w:t>
      </w:r>
    </w:p>
    <w:p w14:paraId="64868BFA"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8B4EF35"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Palankus naudos ir rizikos santykis TAC grupėje, palyginti su FAC grupe, nepakito.</w:t>
      </w:r>
    </w:p>
    <w:p w14:paraId="7049819E"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EFE8189"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TAC gydytų pacienčių pogrupių, pagal prospektyviai nustatytus didžiuosius prognostinius kriterijus, pagrindinė analizė (stebėjimo laikotarpio mediana buvo 77 mėnesiai) (žr. lentelę žemiau).</w:t>
      </w:r>
    </w:p>
    <w:p w14:paraId="14BC376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3A6C4C3"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Pacienčių, sergančių į limfmazgius nemetastazavusiu krūties vėžiu, adjuvantinio gydymo tyrimo pogrupių analizė (Visų tyrime dalyvavusių pacienčių duomenų analizė)</w:t>
      </w:r>
    </w:p>
    <w:p w14:paraId="7FD72BDA"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3A7B6B" w:rsidRPr="00976ED6" w14:paraId="545AB686" w14:textId="77777777" w:rsidTr="005E6418">
        <w:tc>
          <w:tcPr>
            <w:tcW w:w="1250" w:type="pct"/>
            <w:tcBorders>
              <w:top w:val="single" w:sz="4" w:space="0" w:color="auto"/>
              <w:left w:val="single" w:sz="4" w:space="0" w:color="auto"/>
              <w:bottom w:val="single" w:sz="4" w:space="0" w:color="auto"/>
              <w:right w:val="single" w:sz="4" w:space="0" w:color="auto"/>
            </w:tcBorders>
          </w:tcPr>
          <w:p w14:paraId="7CBA412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tc>
        <w:tc>
          <w:tcPr>
            <w:tcW w:w="1250" w:type="pct"/>
            <w:tcBorders>
              <w:top w:val="single" w:sz="4" w:space="0" w:color="auto"/>
              <w:left w:val="single" w:sz="4" w:space="0" w:color="auto"/>
              <w:bottom w:val="single" w:sz="4" w:space="0" w:color="auto"/>
              <w:right w:val="single" w:sz="4" w:space="0" w:color="auto"/>
            </w:tcBorders>
            <w:hideMark/>
          </w:tcPr>
          <w:p w14:paraId="10636CA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2500" w:type="pct"/>
            <w:gridSpan w:val="2"/>
            <w:tcBorders>
              <w:top w:val="single" w:sz="4" w:space="0" w:color="auto"/>
              <w:left w:val="single" w:sz="4" w:space="0" w:color="auto"/>
              <w:bottom w:val="single" w:sz="4" w:space="0" w:color="auto"/>
              <w:right w:val="single" w:sz="4" w:space="0" w:color="auto"/>
            </w:tcBorders>
            <w:hideMark/>
          </w:tcPr>
          <w:p w14:paraId="514B647B"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b/>
                <w:color w:val="000000"/>
                <w:lang w:val="sl-SI"/>
              </w:rPr>
              <w:t>Be ligos reiškinių išgyventas laikotarpis</w:t>
            </w:r>
          </w:p>
        </w:tc>
      </w:tr>
      <w:tr w:rsidR="003A7B6B" w:rsidRPr="00976ED6" w14:paraId="0BE1F599"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719057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Pacienčių pogrupis</w:t>
            </w:r>
          </w:p>
        </w:tc>
        <w:tc>
          <w:tcPr>
            <w:tcW w:w="1250" w:type="pct"/>
            <w:tcBorders>
              <w:top w:val="single" w:sz="4" w:space="0" w:color="auto"/>
              <w:left w:val="single" w:sz="4" w:space="0" w:color="auto"/>
              <w:bottom w:val="single" w:sz="4" w:space="0" w:color="auto"/>
              <w:right w:val="single" w:sz="4" w:space="0" w:color="auto"/>
            </w:tcBorders>
            <w:hideMark/>
          </w:tcPr>
          <w:p w14:paraId="55F3E82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Pacienčių skaičius TAC grupėje</w:t>
            </w:r>
          </w:p>
        </w:tc>
        <w:tc>
          <w:tcPr>
            <w:tcW w:w="1250" w:type="pct"/>
            <w:tcBorders>
              <w:top w:val="single" w:sz="4" w:space="0" w:color="auto"/>
              <w:left w:val="single" w:sz="4" w:space="0" w:color="auto"/>
              <w:bottom w:val="single" w:sz="4" w:space="0" w:color="auto"/>
              <w:right w:val="single" w:sz="4" w:space="0" w:color="auto"/>
            </w:tcBorders>
            <w:hideMark/>
          </w:tcPr>
          <w:p w14:paraId="091DB09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Rizikos koeficientas*</w:t>
            </w:r>
          </w:p>
        </w:tc>
        <w:tc>
          <w:tcPr>
            <w:tcW w:w="1250" w:type="pct"/>
            <w:tcBorders>
              <w:top w:val="single" w:sz="4" w:space="0" w:color="auto"/>
              <w:left w:val="single" w:sz="4" w:space="0" w:color="auto"/>
              <w:bottom w:val="single" w:sz="4" w:space="0" w:color="auto"/>
              <w:right w:val="single" w:sz="4" w:space="0" w:color="auto"/>
            </w:tcBorders>
            <w:hideMark/>
          </w:tcPr>
          <w:p w14:paraId="530BEF2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95% PI</w:t>
            </w:r>
          </w:p>
        </w:tc>
      </w:tr>
      <w:tr w:rsidR="003A7B6B" w:rsidRPr="00976ED6" w14:paraId="42D0BED2"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697A6E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Bendras</w:t>
            </w:r>
          </w:p>
        </w:tc>
        <w:tc>
          <w:tcPr>
            <w:tcW w:w="1250" w:type="pct"/>
            <w:tcBorders>
              <w:top w:val="single" w:sz="4" w:space="0" w:color="auto"/>
              <w:left w:val="single" w:sz="4" w:space="0" w:color="auto"/>
              <w:bottom w:val="single" w:sz="4" w:space="0" w:color="auto"/>
              <w:right w:val="single" w:sz="4" w:space="0" w:color="auto"/>
            </w:tcBorders>
            <w:hideMark/>
          </w:tcPr>
          <w:p w14:paraId="32EBC2B7" w14:textId="36AC4D5A"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539</w:t>
            </w:r>
          </w:p>
        </w:tc>
        <w:tc>
          <w:tcPr>
            <w:tcW w:w="1250" w:type="pct"/>
            <w:tcBorders>
              <w:top w:val="single" w:sz="4" w:space="0" w:color="auto"/>
              <w:left w:val="single" w:sz="4" w:space="0" w:color="auto"/>
              <w:bottom w:val="single" w:sz="4" w:space="0" w:color="auto"/>
              <w:right w:val="single" w:sz="4" w:space="0" w:color="auto"/>
            </w:tcBorders>
            <w:hideMark/>
          </w:tcPr>
          <w:p w14:paraId="1999C09F" w14:textId="700B5E49"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68</w:t>
            </w:r>
          </w:p>
        </w:tc>
        <w:tc>
          <w:tcPr>
            <w:tcW w:w="1250" w:type="pct"/>
            <w:tcBorders>
              <w:top w:val="single" w:sz="4" w:space="0" w:color="auto"/>
              <w:left w:val="single" w:sz="4" w:space="0" w:color="auto"/>
              <w:bottom w:val="single" w:sz="4" w:space="0" w:color="auto"/>
              <w:right w:val="single" w:sz="4" w:space="0" w:color="auto"/>
            </w:tcBorders>
            <w:hideMark/>
          </w:tcPr>
          <w:p w14:paraId="3A7F5AF2" w14:textId="30A42392"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49-0</w:t>
            </w:r>
            <w:r>
              <w:rPr>
                <w:rFonts w:ascii="Times New Roman" w:hAnsi="Times New Roman" w:cs="Times New Roman"/>
                <w:color w:val="000000"/>
                <w:lang w:val="sl-SI"/>
              </w:rPr>
              <w:t>,</w:t>
            </w:r>
            <w:r w:rsidRPr="00976ED6">
              <w:rPr>
                <w:rFonts w:ascii="Times New Roman" w:hAnsi="Times New Roman" w:cs="Times New Roman"/>
                <w:color w:val="000000"/>
                <w:lang w:val="sl-SI"/>
              </w:rPr>
              <w:t>93</w:t>
            </w:r>
          </w:p>
        </w:tc>
      </w:tr>
      <w:tr w:rsidR="003A7B6B" w:rsidRPr="00976ED6" w14:paraId="5D24F5D3"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D354E0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1 amžiaus kategorija</w:t>
            </w:r>
          </w:p>
        </w:tc>
        <w:tc>
          <w:tcPr>
            <w:tcW w:w="1250" w:type="pct"/>
            <w:tcBorders>
              <w:top w:val="single" w:sz="4" w:space="0" w:color="auto"/>
              <w:left w:val="single" w:sz="4" w:space="0" w:color="auto"/>
              <w:bottom w:val="single" w:sz="4" w:space="0" w:color="auto"/>
              <w:right w:val="single" w:sz="4" w:space="0" w:color="auto"/>
            </w:tcBorders>
            <w:hideMark/>
          </w:tcPr>
          <w:p w14:paraId="60FEAD1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544448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470670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0C4CF465"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DF77F2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&lt;50 metai </w:t>
            </w:r>
          </w:p>
        </w:tc>
        <w:tc>
          <w:tcPr>
            <w:tcW w:w="1250" w:type="pct"/>
            <w:tcBorders>
              <w:top w:val="single" w:sz="4" w:space="0" w:color="auto"/>
              <w:left w:val="single" w:sz="4" w:space="0" w:color="auto"/>
              <w:bottom w:val="single" w:sz="4" w:space="0" w:color="auto"/>
              <w:right w:val="single" w:sz="4" w:space="0" w:color="auto"/>
            </w:tcBorders>
            <w:hideMark/>
          </w:tcPr>
          <w:p w14:paraId="4AD71E9E" w14:textId="23F56B96"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260</w:t>
            </w:r>
          </w:p>
        </w:tc>
        <w:tc>
          <w:tcPr>
            <w:tcW w:w="1250" w:type="pct"/>
            <w:tcBorders>
              <w:top w:val="single" w:sz="4" w:space="0" w:color="auto"/>
              <w:left w:val="single" w:sz="4" w:space="0" w:color="auto"/>
              <w:bottom w:val="single" w:sz="4" w:space="0" w:color="auto"/>
              <w:right w:val="single" w:sz="4" w:space="0" w:color="auto"/>
            </w:tcBorders>
            <w:hideMark/>
          </w:tcPr>
          <w:p w14:paraId="39BE66A5" w14:textId="736254B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67</w:t>
            </w:r>
          </w:p>
        </w:tc>
        <w:tc>
          <w:tcPr>
            <w:tcW w:w="1250" w:type="pct"/>
            <w:tcBorders>
              <w:top w:val="single" w:sz="4" w:space="0" w:color="auto"/>
              <w:left w:val="single" w:sz="4" w:space="0" w:color="auto"/>
              <w:bottom w:val="single" w:sz="4" w:space="0" w:color="auto"/>
              <w:right w:val="single" w:sz="4" w:space="0" w:color="auto"/>
            </w:tcBorders>
            <w:hideMark/>
          </w:tcPr>
          <w:p w14:paraId="58749A36" w14:textId="2D97AA2A"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43-1</w:t>
            </w:r>
            <w:r>
              <w:rPr>
                <w:rFonts w:ascii="Times New Roman" w:hAnsi="Times New Roman" w:cs="Times New Roman"/>
                <w:color w:val="000000"/>
                <w:lang w:val="sl-SI"/>
              </w:rPr>
              <w:t>,</w:t>
            </w:r>
            <w:r w:rsidRPr="00976ED6">
              <w:rPr>
                <w:rFonts w:ascii="Times New Roman" w:hAnsi="Times New Roman" w:cs="Times New Roman"/>
                <w:color w:val="000000"/>
                <w:lang w:val="sl-SI"/>
              </w:rPr>
              <w:t>05</w:t>
            </w:r>
          </w:p>
        </w:tc>
      </w:tr>
      <w:tr w:rsidR="003A7B6B" w:rsidRPr="00976ED6" w14:paraId="5EA7EF11"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F4873F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≥50 metai </w:t>
            </w:r>
          </w:p>
        </w:tc>
        <w:tc>
          <w:tcPr>
            <w:tcW w:w="1250" w:type="pct"/>
            <w:tcBorders>
              <w:top w:val="single" w:sz="4" w:space="0" w:color="auto"/>
              <w:left w:val="single" w:sz="4" w:space="0" w:color="auto"/>
              <w:bottom w:val="single" w:sz="4" w:space="0" w:color="auto"/>
              <w:right w:val="single" w:sz="4" w:space="0" w:color="auto"/>
            </w:tcBorders>
            <w:hideMark/>
          </w:tcPr>
          <w:p w14:paraId="19950008" w14:textId="2E67EA3F"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279</w:t>
            </w:r>
          </w:p>
        </w:tc>
        <w:tc>
          <w:tcPr>
            <w:tcW w:w="1250" w:type="pct"/>
            <w:tcBorders>
              <w:top w:val="single" w:sz="4" w:space="0" w:color="auto"/>
              <w:left w:val="single" w:sz="4" w:space="0" w:color="auto"/>
              <w:bottom w:val="single" w:sz="4" w:space="0" w:color="auto"/>
              <w:right w:val="single" w:sz="4" w:space="0" w:color="auto"/>
            </w:tcBorders>
            <w:hideMark/>
          </w:tcPr>
          <w:p w14:paraId="042EE2CA" w14:textId="7B3AD3E8"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67</w:t>
            </w:r>
          </w:p>
        </w:tc>
        <w:tc>
          <w:tcPr>
            <w:tcW w:w="1250" w:type="pct"/>
            <w:tcBorders>
              <w:top w:val="single" w:sz="4" w:space="0" w:color="auto"/>
              <w:left w:val="single" w:sz="4" w:space="0" w:color="auto"/>
              <w:bottom w:val="single" w:sz="4" w:space="0" w:color="auto"/>
              <w:right w:val="single" w:sz="4" w:space="0" w:color="auto"/>
            </w:tcBorders>
            <w:hideMark/>
          </w:tcPr>
          <w:p w14:paraId="15BF157C" w14:textId="6E0DFCF5"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43-1</w:t>
            </w:r>
            <w:r>
              <w:rPr>
                <w:rFonts w:ascii="Times New Roman" w:hAnsi="Times New Roman" w:cs="Times New Roman"/>
                <w:color w:val="000000"/>
                <w:lang w:val="sl-SI"/>
              </w:rPr>
              <w:t>,</w:t>
            </w:r>
            <w:r w:rsidRPr="00976ED6">
              <w:rPr>
                <w:rFonts w:ascii="Times New Roman" w:hAnsi="Times New Roman" w:cs="Times New Roman"/>
                <w:color w:val="000000"/>
                <w:lang w:val="sl-SI"/>
              </w:rPr>
              <w:t>05</w:t>
            </w:r>
          </w:p>
        </w:tc>
      </w:tr>
      <w:tr w:rsidR="003A7B6B" w:rsidRPr="00976ED6" w14:paraId="69374F06"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B8B41C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2 amžiaus kategorija</w:t>
            </w:r>
          </w:p>
        </w:tc>
        <w:tc>
          <w:tcPr>
            <w:tcW w:w="1250" w:type="pct"/>
            <w:tcBorders>
              <w:top w:val="single" w:sz="4" w:space="0" w:color="auto"/>
              <w:left w:val="single" w:sz="4" w:space="0" w:color="auto"/>
              <w:bottom w:val="single" w:sz="4" w:space="0" w:color="auto"/>
              <w:right w:val="single" w:sz="4" w:space="0" w:color="auto"/>
            </w:tcBorders>
            <w:hideMark/>
          </w:tcPr>
          <w:p w14:paraId="586770F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1366AA4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64A0004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23A3AC2D"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9DF91F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&lt;35 metai</w:t>
            </w:r>
          </w:p>
        </w:tc>
        <w:tc>
          <w:tcPr>
            <w:tcW w:w="1250" w:type="pct"/>
            <w:tcBorders>
              <w:top w:val="single" w:sz="4" w:space="0" w:color="auto"/>
              <w:left w:val="single" w:sz="4" w:space="0" w:color="auto"/>
              <w:bottom w:val="single" w:sz="4" w:space="0" w:color="auto"/>
              <w:right w:val="single" w:sz="4" w:space="0" w:color="auto"/>
            </w:tcBorders>
            <w:hideMark/>
          </w:tcPr>
          <w:p w14:paraId="60EF8313" w14:textId="29AE43F5"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42</w:t>
            </w:r>
          </w:p>
        </w:tc>
        <w:tc>
          <w:tcPr>
            <w:tcW w:w="1250" w:type="pct"/>
            <w:tcBorders>
              <w:top w:val="single" w:sz="4" w:space="0" w:color="auto"/>
              <w:left w:val="single" w:sz="4" w:space="0" w:color="auto"/>
              <w:bottom w:val="single" w:sz="4" w:space="0" w:color="auto"/>
              <w:right w:val="single" w:sz="4" w:space="0" w:color="auto"/>
            </w:tcBorders>
            <w:hideMark/>
          </w:tcPr>
          <w:p w14:paraId="5F8461A4" w14:textId="33937544"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31</w:t>
            </w:r>
          </w:p>
        </w:tc>
        <w:tc>
          <w:tcPr>
            <w:tcW w:w="1250" w:type="pct"/>
            <w:tcBorders>
              <w:top w:val="single" w:sz="4" w:space="0" w:color="auto"/>
              <w:left w:val="single" w:sz="4" w:space="0" w:color="auto"/>
              <w:bottom w:val="single" w:sz="4" w:space="0" w:color="auto"/>
              <w:right w:val="single" w:sz="4" w:space="0" w:color="auto"/>
            </w:tcBorders>
            <w:hideMark/>
          </w:tcPr>
          <w:p w14:paraId="74A2C670" w14:textId="6AB08D81"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11-0</w:t>
            </w:r>
            <w:r>
              <w:rPr>
                <w:rFonts w:ascii="Times New Roman" w:hAnsi="Times New Roman" w:cs="Times New Roman"/>
                <w:color w:val="000000"/>
                <w:lang w:val="sl-SI"/>
              </w:rPr>
              <w:t>,</w:t>
            </w:r>
            <w:r w:rsidRPr="00976ED6">
              <w:rPr>
                <w:rFonts w:ascii="Times New Roman" w:hAnsi="Times New Roman" w:cs="Times New Roman"/>
                <w:color w:val="000000"/>
                <w:lang w:val="sl-SI"/>
              </w:rPr>
              <w:t>89</w:t>
            </w:r>
          </w:p>
        </w:tc>
      </w:tr>
      <w:tr w:rsidR="003A7B6B" w:rsidRPr="00976ED6" w14:paraId="58173655"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59110CF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≥35 metai</w:t>
            </w:r>
          </w:p>
        </w:tc>
        <w:tc>
          <w:tcPr>
            <w:tcW w:w="1250" w:type="pct"/>
            <w:tcBorders>
              <w:top w:val="single" w:sz="4" w:space="0" w:color="auto"/>
              <w:left w:val="single" w:sz="4" w:space="0" w:color="auto"/>
              <w:bottom w:val="single" w:sz="4" w:space="0" w:color="auto"/>
              <w:right w:val="single" w:sz="4" w:space="0" w:color="auto"/>
            </w:tcBorders>
            <w:hideMark/>
          </w:tcPr>
          <w:p w14:paraId="7E2C5385" w14:textId="12316CE0"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497</w:t>
            </w:r>
          </w:p>
        </w:tc>
        <w:tc>
          <w:tcPr>
            <w:tcW w:w="1250" w:type="pct"/>
            <w:tcBorders>
              <w:top w:val="single" w:sz="4" w:space="0" w:color="auto"/>
              <w:left w:val="single" w:sz="4" w:space="0" w:color="auto"/>
              <w:bottom w:val="single" w:sz="4" w:space="0" w:color="auto"/>
              <w:right w:val="single" w:sz="4" w:space="0" w:color="auto"/>
            </w:tcBorders>
            <w:hideMark/>
          </w:tcPr>
          <w:p w14:paraId="058D2110" w14:textId="347567A9"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73</w:t>
            </w:r>
          </w:p>
        </w:tc>
        <w:tc>
          <w:tcPr>
            <w:tcW w:w="1250" w:type="pct"/>
            <w:tcBorders>
              <w:top w:val="single" w:sz="4" w:space="0" w:color="auto"/>
              <w:left w:val="single" w:sz="4" w:space="0" w:color="auto"/>
              <w:bottom w:val="single" w:sz="4" w:space="0" w:color="auto"/>
              <w:right w:val="single" w:sz="4" w:space="0" w:color="auto"/>
            </w:tcBorders>
            <w:hideMark/>
          </w:tcPr>
          <w:p w14:paraId="123A0D26" w14:textId="31292F31"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52-1</w:t>
            </w:r>
            <w:r>
              <w:rPr>
                <w:rFonts w:ascii="Times New Roman" w:hAnsi="Times New Roman" w:cs="Times New Roman"/>
                <w:color w:val="000000"/>
                <w:lang w:val="sl-SI"/>
              </w:rPr>
              <w:t>,</w:t>
            </w:r>
            <w:r w:rsidRPr="00976ED6">
              <w:rPr>
                <w:rFonts w:ascii="Times New Roman" w:hAnsi="Times New Roman" w:cs="Times New Roman"/>
                <w:color w:val="000000"/>
                <w:lang w:val="sl-SI"/>
              </w:rPr>
              <w:t>01</w:t>
            </w:r>
          </w:p>
        </w:tc>
      </w:tr>
      <w:tr w:rsidR="003A7B6B" w:rsidRPr="00976ED6" w14:paraId="0A29C2A2"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D8C385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Hormonų receptoriai</w:t>
            </w:r>
          </w:p>
        </w:tc>
        <w:tc>
          <w:tcPr>
            <w:tcW w:w="1250" w:type="pct"/>
            <w:tcBorders>
              <w:top w:val="single" w:sz="4" w:space="0" w:color="auto"/>
              <w:left w:val="single" w:sz="4" w:space="0" w:color="auto"/>
              <w:bottom w:val="single" w:sz="4" w:space="0" w:color="auto"/>
              <w:right w:val="single" w:sz="4" w:space="0" w:color="auto"/>
            </w:tcBorders>
            <w:hideMark/>
          </w:tcPr>
          <w:p w14:paraId="5759424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1651A41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5110CE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78461EBA"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7F1C6ED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Neigiami</w:t>
            </w:r>
          </w:p>
        </w:tc>
        <w:tc>
          <w:tcPr>
            <w:tcW w:w="1250" w:type="pct"/>
            <w:tcBorders>
              <w:top w:val="single" w:sz="4" w:space="0" w:color="auto"/>
              <w:left w:val="single" w:sz="4" w:space="0" w:color="auto"/>
              <w:bottom w:val="single" w:sz="4" w:space="0" w:color="auto"/>
              <w:right w:val="single" w:sz="4" w:space="0" w:color="auto"/>
            </w:tcBorders>
            <w:hideMark/>
          </w:tcPr>
          <w:p w14:paraId="00D5B5A2" w14:textId="1404337C"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195</w:t>
            </w:r>
          </w:p>
        </w:tc>
        <w:tc>
          <w:tcPr>
            <w:tcW w:w="1250" w:type="pct"/>
            <w:tcBorders>
              <w:top w:val="single" w:sz="4" w:space="0" w:color="auto"/>
              <w:left w:val="single" w:sz="4" w:space="0" w:color="auto"/>
              <w:bottom w:val="single" w:sz="4" w:space="0" w:color="auto"/>
              <w:right w:val="single" w:sz="4" w:space="0" w:color="auto"/>
            </w:tcBorders>
            <w:hideMark/>
          </w:tcPr>
          <w:p w14:paraId="21A5B4E3" w14:textId="793ACCAD"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w:t>
            </w:r>
          </w:p>
        </w:tc>
        <w:tc>
          <w:tcPr>
            <w:tcW w:w="1250" w:type="pct"/>
            <w:tcBorders>
              <w:top w:val="single" w:sz="4" w:space="0" w:color="auto"/>
              <w:left w:val="single" w:sz="4" w:space="0" w:color="auto"/>
              <w:bottom w:val="single" w:sz="4" w:space="0" w:color="auto"/>
              <w:right w:val="single" w:sz="4" w:space="0" w:color="auto"/>
            </w:tcBorders>
            <w:hideMark/>
          </w:tcPr>
          <w:p w14:paraId="6D19224F" w14:textId="11E0DE4D"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45-1</w:t>
            </w:r>
            <w:r>
              <w:rPr>
                <w:rFonts w:ascii="Times New Roman" w:hAnsi="Times New Roman" w:cs="Times New Roman"/>
                <w:color w:val="000000"/>
                <w:lang w:val="sl-SI"/>
              </w:rPr>
              <w:t>,</w:t>
            </w:r>
            <w:r w:rsidRPr="00976ED6">
              <w:rPr>
                <w:rFonts w:ascii="Times New Roman" w:hAnsi="Times New Roman" w:cs="Times New Roman"/>
                <w:color w:val="000000"/>
                <w:lang w:val="sl-SI"/>
              </w:rPr>
              <w:t>1</w:t>
            </w:r>
          </w:p>
        </w:tc>
      </w:tr>
      <w:tr w:rsidR="003A7B6B" w:rsidRPr="00976ED6" w14:paraId="1EA21162"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515CF1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Teigiami</w:t>
            </w:r>
          </w:p>
        </w:tc>
        <w:tc>
          <w:tcPr>
            <w:tcW w:w="1250" w:type="pct"/>
            <w:tcBorders>
              <w:top w:val="single" w:sz="4" w:space="0" w:color="auto"/>
              <w:left w:val="single" w:sz="4" w:space="0" w:color="auto"/>
              <w:bottom w:val="single" w:sz="4" w:space="0" w:color="auto"/>
              <w:right w:val="single" w:sz="4" w:space="0" w:color="auto"/>
            </w:tcBorders>
            <w:hideMark/>
          </w:tcPr>
          <w:p w14:paraId="20B57EA4" w14:textId="7ABCEDC9"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344</w:t>
            </w:r>
          </w:p>
        </w:tc>
        <w:tc>
          <w:tcPr>
            <w:tcW w:w="1250" w:type="pct"/>
            <w:tcBorders>
              <w:top w:val="single" w:sz="4" w:space="0" w:color="auto"/>
              <w:left w:val="single" w:sz="4" w:space="0" w:color="auto"/>
              <w:bottom w:val="single" w:sz="4" w:space="0" w:color="auto"/>
              <w:right w:val="single" w:sz="4" w:space="0" w:color="auto"/>
            </w:tcBorders>
            <w:hideMark/>
          </w:tcPr>
          <w:p w14:paraId="6DC82DA5" w14:textId="0BD11E15"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62</w:t>
            </w:r>
          </w:p>
        </w:tc>
        <w:tc>
          <w:tcPr>
            <w:tcW w:w="1250" w:type="pct"/>
            <w:tcBorders>
              <w:top w:val="single" w:sz="4" w:space="0" w:color="auto"/>
              <w:left w:val="single" w:sz="4" w:space="0" w:color="auto"/>
              <w:bottom w:val="single" w:sz="4" w:space="0" w:color="auto"/>
              <w:right w:val="single" w:sz="4" w:space="0" w:color="auto"/>
            </w:tcBorders>
            <w:hideMark/>
          </w:tcPr>
          <w:p w14:paraId="338C0B81" w14:textId="078D0BA3"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4-0</w:t>
            </w:r>
            <w:r>
              <w:rPr>
                <w:rFonts w:ascii="Times New Roman" w:hAnsi="Times New Roman" w:cs="Times New Roman"/>
                <w:color w:val="000000"/>
                <w:lang w:val="sl-SI"/>
              </w:rPr>
              <w:t>,</w:t>
            </w:r>
            <w:r w:rsidRPr="00976ED6">
              <w:rPr>
                <w:rFonts w:ascii="Times New Roman" w:hAnsi="Times New Roman" w:cs="Times New Roman"/>
                <w:color w:val="000000"/>
                <w:lang w:val="sl-SI"/>
              </w:rPr>
              <w:t>97</w:t>
            </w:r>
          </w:p>
        </w:tc>
      </w:tr>
      <w:tr w:rsidR="003A7B6B" w:rsidRPr="00976ED6" w14:paraId="3069AA03"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4A8194F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Naviko dydis</w:t>
            </w:r>
          </w:p>
        </w:tc>
        <w:tc>
          <w:tcPr>
            <w:tcW w:w="1250" w:type="pct"/>
            <w:tcBorders>
              <w:top w:val="single" w:sz="4" w:space="0" w:color="auto"/>
              <w:left w:val="single" w:sz="4" w:space="0" w:color="auto"/>
              <w:bottom w:val="single" w:sz="4" w:space="0" w:color="auto"/>
              <w:right w:val="single" w:sz="4" w:space="0" w:color="auto"/>
            </w:tcBorders>
            <w:hideMark/>
          </w:tcPr>
          <w:p w14:paraId="683BF88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FBA537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0A21092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B987958"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0AC047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≤2 cm </w:t>
            </w:r>
          </w:p>
        </w:tc>
        <w:tc>
          <w:tcPr>
            <w:tcW w:w="1250" w:type="pct"/>
            <w:tcBorders>
              <w:top w:val="single" w:sz="4" w:space="0" w:color="auto"/>
              <w:left w:val="single" w:sz="4" w:space="0" w:color="auto"/>
              <w:bottom w:val="single" w:sz="4" w:space="0" w:color="auto"/>
              <w:right w:val="single" w:sz="4" w:space="0" w:color="auto"/>
            </w:tcBorders>
            <w:hideMark/>
          </w:tcPr>
          <w:p w14:paraId="4233243D" w14:textId="490423A9"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285</w:t>
            </w:r>
          </w:p>
        </w:tc>
        <w:tc>
          <w:tcPr>
            <w:tcW w:w="1250" w:type="pct"/>
            <w:tcBorders>
              <w:top w:val="single" w:sz="4" w:space="0" w:color="auto"/>
              <w:left w:val="single" w:sz="4" w:space="0" w:color="auto"/>
              <w:bottom w:val="single" w:sz="4" w:space="0" w:color="auto"/>
              <w:right w:val="single" w:sz="4" w:space="0" w:color="auto"/>
            </w:tcBorders>
            <w:hideMark/>
          </w:tcPr>
          <w:p w14:paraId="3F02130C" w14:textId="241A080E"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69</w:t>
            </w:r>
          </w:p>
        </w:tc>
        <w:tc>
          <w:tcPr>
            <w:tcW w:w="1250" w:type="pct"/>
            <w:tcBorders>
              <w:top w:val="single" w:sz="4" w:space="0" w:color="auto"/>
              <w:left w:val="single" w:sz="4" w:space="0" w:color="auto"/>
              <w:bottom w:val="single" w:sz="4" w:space="0" w:color="auto"/>
              <w:right w:val="single" w:sz="4" w:space="0" w:color="auto"/>
            </w:tcBorders>
            <w:hideMark/>
          </w:tcPr>
          <w:p w14:paraId="4DA199DC" w14:textId="75ED21E8"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43-1</w:t>
            </w:r>
            <w:r>
              <w:rPr>
                <w:rFonts w:ascii="Times New Roman" w:hAnsi="Times New Roman" w:cs="Times New Roman"/>
                <w:color w:val="000000"/>
                <w:lang w:val="sl-SI"/>
              </w:rPr>
              <w:t>,</w:t>
            </w:r>
            <w:r w:rsidRPr="00976ED6">
              <w:rPr>
                <w:rFonts w:ascii="Times New Roman" w:hAnsi="Times New Roman" w:cs="Times New Roman"/>
                <w:color w:val="000000"/>
                <w:lang w:val="sl-SI"/>
              </w:rPr>
              <w:t>1</w:t>
            </w:r>
          </w:p>
        </w:tc>
      </w:tr>
      <w:tr w:rsidR="003A7B6B" w:rsidRPr="00976ED6" w14:paraId="43853355"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373F87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&gt;2 cm </w:t>
            </w:r>
          </w:p>
        </w:tc>
        <w:tc>
          <w:tcPr>
            <w:tcW w:w="1250" w:type="pct"/>
            <w:tcBorders>
              <w:top w:val="single" w:sz="4" w:space="0" w:color="auto"/>
              <w:left w:val="single" w:sz="4" w:space="0" w:color="auto"/>
              <w:bottom w:val="single" w:sz="4" w:space="0" w:color="auto"/>
              <w:right w:val="single" w:sz="4" w:space="0" w:color="auto"/>
            </w:tcBorders>
            <w:hideMark/>
          </w:tcPr>
          <w:p w14:paraId="030EC7DE" w14:textId="253AB8B8"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254</w:t>
            </w:r>
          </w:p>
        </w:tc>
        <w:tc>
          <w:tcPr>
            <w:tcW w:w="1250" w:type="pct"/>
            <w:tcBorders>
              <w:top w:val="single" w:sz="4" w:space="0" w:color="auto"/>
              <w:left w:val="single" w:sz="4" w:space="0" w:color="auto"/>
              <w:bottom w:val="single" w:sz="4" w:space="0" w:color="auto"/>
              <w:right w:val="single" w:sz="4" w:space="0" w:color="auto"/>
            </w:tcBorders>
            <w:hideMark/>
          </w:tcPr>
          <w:p w14:paraId="691647B1" w14:textId="532A5DC4"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68</w:t>
            </w:r>
          </w:p>
        </w:tc>
        <w:tc>
          <w:tcPr>
            <w:tcW w:w="1250" w:type="pct"/>
            <w:tcBorders>
              <w:top w:val="single" w:sz="4" w:space="0" w:color="auto"/>
              <w:left w:val="single" w:sz="4" w:space="0" w:color="auto"/>
              <w:bottom w:val="single" w:sz="4" w:space="0" w:color="auto"/>
              <w:right w:val="single" w:sz="4" w:space="0" w:color="auto"/>
            </w:tcBorders>
            <w:hideMark/>
          </w:tcPr>
          <w:p w14:paraId="16C94C6A" w14:textId="6FA53F7C"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45-1</w:t>
            </w:r>
            <w:r>
              <w:rPr>
                <w:rFonts w:ascii="Times New Roman" w:hAnsi="Times New Roman" w:cs="Times New Roman"/>
                <w:color w:val="000000"/>
                <w:lang w:val="sl-SI"/>
              </w:rPr>
              <w:t>,</w:t>
            </w:r>
            <w:r w:rsidRPr="00976ED6">
              <w:rPr>
                <w:rFonts w:ascii="Times New Roman" w:hAnsi="Times New Roman" w:cs="Times New Roman"/>
                <w:color w:val="000000"/>
                <w:lang w:val="sl-SI"/>
              </w:rPr>
              <w:t>04</w:t>
            </w:r>
          </w:p>
        </w:tc>
      </w:tr>
      <w:tr w:rsidR="003A7B6B" w:rsidRPr="00976ED6" w14:paraId="3CD8FFB1"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80F1FE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Histologinis laipsnis</w:t>
            </w:r>
          </w:p>
        </w:tc>
        <w:tc>
          <w:tcPr>
            <w:tcW w:w="1250" w:type="pct"/>
            <w:tcBorders>
              <w:top w:val="single" w:sz="4" w:space="0" w:color="auto"/>
              <w:left w:val="single" w:sz="4" w:space="0" w:color="auto"/>
              <w:bottom w:val="single" w:sz="4" w:space="0" w:color="auto"/>
              <w:right w:val="single" w:sz="4" w:space="0" w:color="auto"/>
            </w:tcBorders>
            <w:hideMark/>
          </w:tcPr>
          <w:p w14:paraId="274749C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74E5B92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BFDA61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469FEE1A"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6BD60C8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1 laipsnis (įskaitant neįvertinamą laipsnį)</w:t>
            </w:r>
          </w:p>
        </w:tc>
        <w:tc>
          <w:tcPr>
            <w:tcW w:w="1250" w:type="pct"/>
            <w:tcBorders>
              <w:top w:val="single" w:sz="4" w:space="0" w:color="auto"/>
              <w:left w:val="single" w:sz="4" w:space="0" w:color="auto"/>
              <w:bottom w:val="single" w:sz="4" w:space="0" w:color="auto"/>
              <w:right w:val="single" w:sz="4" w:space="0" w:color="auto"/>
            </w:tcBorders>
            <w:hideMark/>
          </w:tcPr>
          <w:p w14:paraId="0DAA9D96" w14:textId="31816119"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64</w:t>
            </w:r>
          </w:p>
        </w:tc>
        <w:tc>
          <w:tcPr>
            <w:tcW w:w="1250" w:type="pct"/>
            <w:tcBorders>
              <w:top w:val="single" w:sz="4" w:space="0" w:color="auto"/>
              <w:left w:val="single" w:sz="4" w:space="0" w:color="auto"/>
              <w:bottom w:val="single" w:sz="4" w:space="0" w:color="auto"/>
              <w:right w:val="single" w:sz="4" w:space="0" w:color="auto"/>
            </w:tcBorders>
            <w:hideMark/>
          </w:tcPr>
          <w:p w14:paraId="656C4C8C" w14:textId="270B26A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79</w:t>
            </w:r>
          </w:p>
        </w:tc>
        <w:tc>
          <w:tcPr>
            <w:tcW w:w="1250" w:type="pct"/>
            <w:tcBorders>
              <w:top w:val="single" w:sz="4" w:space="0" w:color="auto"/>
              <w:left w:val="single" w:sz="4" w:space="0" w:color="auto"/>
              <w:bottom w:val="single" w:sz="4" w:space="0" w:color="auto"/>
              <w:right w:val="single" w:sz="4" w:space="0" w:color="auto"/>
            </w:tcBorders>
            <w:hideMark/>
          </w:tcPr>
          <w:p w14:paraId="06C17486" w14:textId="6BDA34E6"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24-2</w:t>
            </w:r>
            <w:r>
              <w:rPr>
                <w:rFonts w:ascii="Times New Roman" w:hAnsi="Times New Roman" w:cs="Times New Roman"/>
                <w:color w:val="000000"/>
                <w:lang w:val="sl-SI"/>
              </w:rPr>
              <w:t>,</w:t>
            </w:r>
            <w:r w:rsidRPr="00976ED6">
              <w:rPr>
                <w:rFonts w:ascii="Times New Roman" w:hAnsi="Times New Roman" w:cs="Times New Roman"/>
                <w:color w:val="000000"/>
                <w:lang w:val="sl-SI"/>
              </w:rPr>
              <w:t>6</w:t>
            </w:r>
          </w:p>
        </w:tc>
      </w:tr>
      <w:tr w:rsidR="003A7B6B" w:rsidRPr="00976ED6" w14:paraId="3822FDC1"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07E48D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 laipsnis</w:t>
            </w:r>
          </w:p>
        </w:tc>
        <w:tc>
          <w:tcPr>
            <w:tcW w:w="1250" w:type="pct"/>
            <w:tcBorders>
              <w:top w:val="single" w:sz="4" w:space="0" w:color="auto"/>
              <w:left w:val="single" w:sz="4" w:space="0" w:color="auto"/>
              <w:bottom w:val="single" w:sz="4" w:space="0" w:color="auto"/>
              <w:right w:val="single" w:sz="4" w:space="0" w:color="auto"/>
            </w:tcBorders>
            <w:hideMark/>
          </w:tcPr>
          <w:p w14:paraId="07BD4171" w14:textId="2D2C5C95"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216</w:t>
            </w:r>
          </w:p>
        </w:tc>
        <w:tc>
          <w:tcPr>
            <w:tcW w:w="1250" w:type="pct"/>
            <w:tcBorders>
              <w:top w:val="single" w:sz="4" w:space="0" w:color="auto"/>
              <w:left w:val="single" w:sz="4" w:space="0" w:color="auto"/>
              <w:bottom w:val="single" w:sz="4" w:space="0" w:color="auto"/>
              <w:right w:val="single" w:sz="4" w:space="0" w:color="auto"/>
            </w:tcBorders>
            <w:hideMark/>
          </w:tcPr>
          <w:p w14:paraId="02843DA9" w14:textId="0A311EBD"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77</w:t>
            </w:r>
          </w:p>
        </w:tc>
        <w:tc>
          <w:tcPr>
            <w:tcW w:w="1250" w:type="pct"/>
            <w:tcBorders>
              <w:top w:val="single" w:sz="4" w:space="0" w:color="auto"/>
              <w:left w:val="single" w:sz="4" w:space="0" w:color="auto"/>
              <w:bottom w:val="single" w:sz="4" w:space="0" w:color="auto"/>
              <w:right w:val="single" w:sz="4" w:space="0" w:color="auto"/>
            </w:tcBorders>
            <w:hideMark/>
          </w:tcPr>
          <w:p w14:paraId="263E1E74" w14:textId="0C51EE52"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46-1</w:t>
            </w:r>
            <w:r>
              <w:rPr>
                <w:rFonts w:ascii="Times New Roman" w:hAnsi="Times New Roman" w:cs="Times New Roman"/>
                <w:color w:val="000000"/>
                <w:lang w:val="sl-SI"/>
              </w:rPr>
              <w:t>,</w:t>
            </w:r>
            <w:r w:rsidRPr="00976ED6">
              <w:rPr>
                <w:rFonts w:ascii="Times New Roman" w:hAnsi="Times New Roman" w:cs="Times New Roman"/>
                <w:color w:val="000000"/>
                <w:lang w:val="sl-SI"/>
              </w:rPr>
              <w:t>3</w:t>
            </w:r>
          </w:p>
        </w:tc>
      </w:tr>
      <w:tr w:rsidR="003A7B6B" w:rsidRPr="00976ED6" w14:paraId="6A897F71"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16DB16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3 laipsnis</w:t>
            </w:r>
          </w:p>
        </w:tc>
        <w:tc>
          <w:tcPr>
            <w:tcW w:w="1250" w:type="pct"/>
            <w:tcBorders>
              <w:top w:val="single" w:sz="4" w:space="0" w:color="auto"/>
              <w:left w:val="single" w:sz="4" w:space="0" w:color="auto"/>
              <w:bottom w:val="single" w:sz="4" w:space="0" w:color="auto"/>
              <w:right w:val="single" w:sz="4" w:space="0" w:color="auto"/>
            </w:tcBorders>
            <w:hideMark/>
          </w:tcPr>
          <w:p w14:paraId="583B0412" w14:textId="3E3065B4"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259</w:t>
            </w:r>
          </w:p>
        </w:tc>
        <w:tc>
          <w:tcPr>
            <w:tcW w:w="1250" w:type="pct"/>
            <w:tcBorders>
              <w:top w:val="single" w:sz="4" w:space="0" w:color="auto"/>
              <w:left w:val="single" w:sz="4" w:space="0" w:color="auto"/>
              <w:bottom w:val="single" w:sz="4" w:space="0" w:color="auto"/>
              <w:right w:val="single" w:sz="4" w:space="0" w:color="auto"/>
            </w:tcBorders>
            <w:hideMark/>
          </w:tcPr>
          <w:p w14:paraId="6B180FF6" w14:textId="4AEB630E"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59</w:t>
            </w:r>
          </w:p>
        </w:tc>
        <w:tc>
          <w:tcPr>
            <w:tcW w:w="1250" w:type="pct"/>
            <w:tcBorders>
              <w:top w:val="single" w:sz="4" w:space="0" w:color="auto"/>
              <w:left w:val="single" w:sz="4" w:space="0" w:color="auto"/>
              <w:bottom w:val="single" w:sz="4" w:space="0" w:color="auto"/>
              <w:right w:val="single" w:sz="4" w:space="0" w:color="auto"/>
            </w:tcBorders>
            <w:hideMark/>
          </w:tcPr>
          <w:p w14:paraId="15294003" w14:textId="70C74CE4"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39-0</w:t>
            </w:r>
            <w:r>
              <w:rPr>
                <w:rFonts w:ascii="Times New Roman" w:hAnsi="Times New Roman" w:cs="Times New Roman"/>
                <w:color w:val="000000"/>
                <w:lang w:val="sl-SI"/>
              </w:rPr>
              <w:t>,</w:t>
            </w:r>
            <w:r w:rsidRPr="00976ED6">
              <w:rPr>
                <w:rFonts w:ascii="Times New Roman" w:hAnsi="Times New Roman" w:cs="Times New Roman"/>
                <w:color w:val="000000"/>
                <w:lang w:val="sl-SI"/>
              </w:rPr>
              <w:t>9</w:t>
            </w:r>
          </w:p>
        </w:tc>
      </w:tr>
      <w:tr w:rsidR="003A7B6B" w:rsidRPr="00976ED6" w14:paraId="520F2A2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37EAEF6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Menopauzė</w:t>
            </w:r>
          </w:p>
        </w:tc>
        <w:tc>
          <w:tcPr>
            <w:tcW w:w="1250" w:type="pct"/>
            <w:tcBorders>
              <w:top w:val="single" w:sz="4" w:space="0" w:color="auto"/>
              <w:left w:val="single" w:sz="4" w:space="0" w:color="auto"/>
              <w:bottom w:val="single" w:sz="4" w:space="0" w:color="auto"/>
              <w:right w:val="single" w:sz="4" w:space="0" w:color="auto"/>
            </w:tcBorders>
            <w:hideMark/>
          </w:tcPr>
          <w:p w14:paraId="4AEF756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5F7887C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c>
          <w:tcPr>
            <w:tcW w:w="1250" w:type="pct"/>
            <w:tcBorders>
              <w:top w:val="single" w:sz="4" w:space="0" w:color="auto"/>
              <w:left w:val="single" w:sz="4" w:space="0" w:color="auto"/>
              <w:bottom w:val="single" w:sz="4" w:space="0" w:color="auto"/>
              <w:right w:val="single" w:sz="4" w:space="0" w:color="auto"/>
            </w:tcBorders>
            <w:hideMark/>
          </w:tcPr>
          <w:p w14:paraId="2DFCB09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w:t>
            </w:r>
          </w:p>
        </w:tc>
      </w:tr>
      <w:tr w:rsidR="003A7B6B" w:rsidRPr="00976ED6" w14:paraId="5F096D59"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2AD20FB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Premenopauzė</w:t>
            </w:r>
          </w:p>
        </w:tc>
        <w:tc>
          <w:tcPr>
            <w:tcW w:w="1250" w:type="pct"/>
            <w:tcBorders>
              <w:top w:val="single" w:sz="4" w:space="0" w:color="auto"/>
              <w:left w:val="single" w:sz="4" w:space="0" w:color="auto"/>
              <w:bottom w:val="single" w:sz="4" w:space="0" w:color="auto"/>
              <w:right w:val="single" w:sz="4" w:space="0" w:color="auto"/>
            </w:tcBorders>
            <w:hideMark/>
          </w:tcPr>
          <w:p w14:paraId="57B098C5" w14:textId="28DDADEE"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285</w:t>
            </w:r>
          </w:p>
        </w:tc>
        <w:tc>
          <w:tcPr>
            <w:tcW w:w="1250" w:type="pct"/>
            <w:tcBorders>
              <w:top w:val="single" w:sz="4" w:space="0" w:color="auto"/>
              <w:left w:val="single" w:sz="4" w:space="0" w:color="auto"/>
              <w:bottom w:val="single" w:sz="4" w:space="0" w:color="auto"/>
              <w:right w:val="single" w:sz="4" w:space="0" w:color="auto"/>
            </w:tcBorders>
            <w:hideMark/>
          </w:tcPr>
          <w:p w14:paraId="2CE1A27F" w14:textId="00BA28CA"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64</w:t>
            </w:r>
          </w:p>
        </w:tc>
        <w:tc>
          <w:tcPr>
            <w:tcW w:w="1250" w:type="pct"/>
            <w:tcBorders>
              <w:top w:val="single" w:sz="4" w:space="0" w:color="auto"/>
              <w:left w:val="single" w:sz="4" w:space="0" w:color="auto"/>
              <w:bottom w:val="single" w:sz="4" w:space="0" w:color="auto"/>
              <w:right w:val="single" w:sz="4" w:space="0" w:color="auto"/>
            </w:tcBorders>
            <w:hideMark/>
          </w:tcPr>
          <w:p w14:paraId="6723AF50" w14:textId="30FE2F9E"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40-1</w:t>
            </w:r>
          </w:p>
        </w:tc>
      </w:tr>
      <w:tr w:rsidR="003A7B6B" w:rsidRPr="00976ED6" w14:paraId="673AA98E" w14:textId="77777777" w:rsidTr="005E6418">
        <w:tc>
          <w:tcPr>
            <w:tcW w:w="1250" w:type="pct"/>
            <w:tcBorders>
              <w:top w:val="single" w:sz="4" w:space="0" w:color="auto"/>
              <w:left w:val="single" w:sz="4" w:space="0" w:color="auto"/>
              <w:bottom w:val="single" w:sz="4" w:space="0" w:color="auto"/>
              <w:right w:val="single" w:sz="4" w:space="0" w:color="auto"/>
            </w:tcBorders>
            <w:hideMark/>
          </w:tcPr>
          <w:p w14:paraId="07B4CEA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Pomenopauzė</w:t>
            </w:r>
          </w:p>
        </w:tc>
        <w:tc>
          <w:tcPr>
            <w:tcW w:w="1250" w:type="pct"/>
            <w:tcBorders>
              <w:top w:val="single" w:sz="4" w:space="0" w:color="auto"/>
              <w:left w:val="single" w:sz="4" w:space="0" w:color="auto"/>
              <w:bottom w:val="single" w:sz="4" w:space="0" w:color="auto"/>
              <w:right w:val="single" w:sz="4" w:space="0" w:color="auto"/>
            </w:tcBorders>
            <w:hideMark/>
          </w:tcPr>
          <w:p w14:paraId="3E684537" w14:textId="22759541"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254</w:t>
            </w:r>
          </w:p>
        </w:tc>
        <w:tc>
          <w:tcPr>
            <w:tcW w:w="1250" w:type="pct"/>
            <w:tcBorders>
              <w:top w:val="single" w:sz="4" w:space="0" w:color="auto"/>
              <w:left w:val="single" w:sz="4" w:space="0" w:color="auto"/>
              <w:bottom w:val="single" w:sz="4" w:space="0" w:color="auto"/>
              <w:right w:val="single" w:sz="4" w:space="0" w:color="auto"/>
            </w:tcBorders>
            <w:hideMark/>
          </w:tcPr>
          <w:p w14:paraId="41342E70" w14:textId="52CFB5BE"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72</w:t>
            </w:r>
          </w:p>
        </w:tc>
        <w:tc>
          <w:tcPr>
            <w:tcW w:w="1250" w:type="pct"/>
            <w:tcBorders>
              <w:top w:val="single" w:sz="4" w:space="0" w:color="auto"/>
              <w:left w:val="single" w:sz="4" w:space="0" w:color="auto"/>
              <w:bottom w:val="single" w:sz="4" w:space="0" w:color="auto"/>
              <w:right w:val="single" w:sz="4" w:space="0" w:color="auto"/>
            </w:tcBorders>
            <w:hideMark/>
          </w:tcPr>
          <w:p w14:paraId="09E66844" w14:textId="328553DB"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47-1</w:t>
            </w:r>
            <w:r>
              <w:rPr>
                <w:rFonts w:ascii="Times New Roman" w:hAnsi="Times New Roman" w:cs="Times New Roman"/>
                <w:color w:val="000000"/>
                <w:lang w:val="sl-SI"/>
              </w:rPr>
              <w:t>,</w:t>
            </w:r>
            <w:r w:rsidRPr="00976ED6">
              <w:rPr>
                <w:rFonts w:ascii="Times New Roman" w:hAnsi="Times New Roman" w:cs="Times New Roman"/>
                <w:color w:val="000000"/>
                <w:lang w:val="sl-SI"/>
              </w:rPr>
              <w:t>12</w:t>
            </w:r>
          </w:p>
        </w:tc>
      </w:tr>
    </w:tbl>
    <w:p w14:paraId="508796E9"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*rizikos koeficientas (TAC/FAC) mažiau nei 1 rodo, kad gydymas TAC susijęs su ilgesniu be ligos reiškinių išgyventu laikotarpiu lyginant su gydymu FAC.</w:t>
      </w:r>
    </w:p>
    <w:p w14:paraId="7CB538D0"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p>
    <w:p w14:paraId="4F519167"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 xml:space="preserve">Atlikta pacienčių, kurios atitiko 2009 </w:t>
      </w:r>
      <w:r w:rsidRPr="00976ED6">
        <w:rPr>
          <w:rFonts w:ascii="Times New Roman" w:hAnsi="Times New Roman" w:cs="Times New Roman"/>
          <w:i/>
          <w:u w:val="single"/>
          <w:lang w:val="sl-SI"/>
        </w:rPr>
        <w:t>St. Gallen</w:t>
      </w:r>
      <w:r w:rsidRPr="00976ED6">
        <w:rPr>
          <w:rFonts w:ascii="Times New Roman" w:hAnsi="Times New Roman" w:cs="Times New Roman"/>
          <w:u w:val="single"/>
          <w:lang w:val="sl-SI"/>
        </w:rPr>
        <w:t xml:space="preserve"> chemoterapijos kriterijus išplėstinė pogrupių analizė – (Tyrimą baigusių pacienčių duomenų analizė) pateikta žemiau</w:t>
      </w:r>
    </w:p>
    <w:p w14:paraId="0743F06B"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p>
    <w:tbl>
      <w:tblPr>
        <w:tblStyle w:val="Lentelstinklelis"/>
        <w:tblW w:w="5000" w:type="pct"/>
        <w:tblInd w:w="-5" w:type="dxa"/>
        <w:tblLook w:val="00A0" w:firstRow="1" w:lastRow="0" w:firstColumn="1" w:lastColumn="0" w:noHBand="0" w:noVBand="0"/>
      </w:tblPr>
      <w:tblGrid>
        <w:gridCol w:w="2016"/>
        <w:gridCol w:w="1397"/>
        <w:gridCol w:w="1676"/>
        <w:gridCol w:w="2376"/>
        <w:gridCol w:w="1595"/>
      </w:tblGrid>
      <w:tr w:rsidR="003A7B6B" w:rsidRPr="00976ED6" w14:paraId="218328A5" w14:textId="77777777" w:rsidTr="005E6418">
        <w:trPr>
          <w:trHeight w:val="584"/>
        </w:trPr>
        <w:tc>
          <w:tcPr>
            <w:tcW w:w="1113" w:type="pct"/>
          </w:tcPr>
          <w:p w14:paraId="546ADDBC" w14:textId="77777777" w:rsidR="003A7B6B" w:rsidRPr="00976ED6" w:rsidRDefault="003A7B6B" w:rsidP="005E6418">
            <w:pPr>
              <w:widowControl w:val="0"/>
              <w:tabs>
                <w:tab w:val="left" w:pos="567"/>
                <w:tab w:val="left" w:pos="1296"/>
              </w:tabs>
              <w:rPr>
                <w:color w:val="000000"/>
                <w:lang w:val="sl-SI"/>
              </w:rPr>
            </w:pPr>
          </w:p>
        </w:tc>
        <w:tc>
          <w:tcPr>
            <w:tcW w:w="771" w:type="pct"/>
          </w:tcPr>
          <w:p w14:paraId="22C95D39" w14:textId="77777777" w:rsidR="003A7B6B" w:rsidRPr="00976ED6" w:rsidRDefault="003A7B6B" w:rsidP="005E6418">
            <w:pPr>
              <w:widowControl w:val="0"/>
              <w:tabs>
                <w:tab w:val="left" w:pos="567"/>
                <w:tab w:val="left" w:pos="1296"/>
              </w:tabs>
              <w:rPr>
                <w:b/>
                <w:color w:val="000000"/>
                <w:lang w:val="sl-SI"/>
              </w:rPr>
            </w:pPr>
            <w:r w:rsidRPr="00976ED6">
              <w:rPr>
                <w:b/>
                <w:color w:val="000000"/>
                <w:lang w:val="sl-SI"/>
              </w:rPr>
              <w:t>TAC</w:t>
            </w:r>
          </w:p>
          <w:p w14:paraId="220A2B13" w14:textId="77777777" w:rsidR="003A7B6B" w:rsidRPr="00976ED6" w:rsidRDefault="003A7B6B" w:rsidP="005E6418">
            <w:pPr>
              <w:widowControl w:val="0"/>
              <w:tabs>
                <w:tab w:val="left" w:pos="567"/>
                <w:tab w:val="left" w:pos="1296"/>
              </w:tabs>
              <w:rPr>
                <w:color w:val="000000"/>
                <w:lang w:val="sl-SI"/>
              </w:rPr>
            </w:pPr>
          </w:p>
        </w:tc>
        <w:tc>
          <w:tcPr>
            <w:tcW w:w="925" w:type="pct"/>
            <w:hideMark/>
          </w:tcPr>
          <w:p w14:paraId="7B2349CC" w14:textId="77777777" w:rsidR="003A7B6B" w:rsidRPr="00976ED6" w:rsidRDefault="003A7B6B" w:rsidP="005E6418">
            <w:pPr>
              <w:widowControl w:val="0"/>
              <w:tabs>
                <w:tab w:val="left" w:pos="567"/>
                <w:tab w:val="left" w:pos="1296"/>
              </w:tabs>
              <w:rPr>
                <w:color w:val="000000"/>
                <w:lang w:val="sl-SI"/>
              </w:rPr>
            </w:pPr>
            <w:r w:rsidRPr="00976ED6">
              <w:rPr>
                <w:b/>
                <w:color w:val="000000"/>
                <w:lang w:val="sl-SI"/>
              </w:rPr>
              <w:t>FAC</w:t>
            </w:r>
          </w:p>
        </w:tc>
        <w:tc>
          <w:tcPr>
            <w:tcW w:w="2191" w:type="pct"/>
            <w:gridSpan w:val="2"/>
            <w:hideMark/>
          </w:tcPr>
          <w:p w14:paraId="13D3056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w:t>
            </w:r>
            <w:r w:rsidRPr="00976ED6">
              <w:rPr>
                <w:b/>
                <w:color w:val="000000"/>
                <w:lang w:val="sl-SI"/>
              </w:rPr>
              <w:t>Rizikos koeficientas (TAC/FAC)</w:t>
            </w:r>
          </w:p>
        </w:tc>
      </w:tr>
      <w:tr w:rsidR="003A7B6B" w:rsidRPr="00976ED6" w14:paraId="02D0565A" w14:textId="77777777" w:rsidTr="005E6418">
        <w:tc>
          <w:tcPr>
            <w:tcW w:w="1113" w:type="pct"/>
            <w:hideMark/>
          </w:tcPr>
          <w:p w14:paraId="3FBB0ED1" w14:textId="77777777" w:rsidR="003A7B6B" w:rsidRPr="00976ED6" w:rsidRDefault="003A7B6B" w:rsidP="005E6418">
            <w:pPr>
              <w:widowControl w:val="0"/>
              <w:tabs>
                <w:tab w:val="left" w:pos="567"/>
                <w:tab w:val="left" w:pos="1296"/>
              </w:tabs>
              <w:rPr>
                <w:color w:val="000000"/>
                <w:lang w:val="sl-SI"/>
              </w:rPr>
            </w:pPr>
            <w:r w:rsidRPr="00976ED6">
              <w:rPr>
                <w:b/>
                <w:color w:val="000000"/>
                <w:lang w:val="sl-SI"/>
              </w:rPr>
              <w:t>Pogrupiai</w:t>
            </w:r>
          </w:p>
        </w:tc>
        <w:tc>
          <w:tcPr>
            <w:tcW w:w="771" w:type="pct"/>
            <w:hideMark/>
          </w:tcPr>
          <w:p w14:paraId="06344FB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xml:space="preserve">(n=539) </w:t>
            </w:r>
          </w:p>
        </w:tc>
        <w:tc>
          <w:tcPr>
            <w:tcW w:w="925" w:type="pct"/>
            <w:hideMark/>
          </w:tcPr>
          <w:p w14:paraId="1FE275D3"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xml:space="preserve">(n=521) </w:t>
            </w:r>
          </w:p>
        </w:tc>
        <w:tc>
          <w:tcPr>
            <w:tcW w:w="1311" w:type="pct"/>
            <w:hideMark/>
          </w:tcPr>
          <w:p w14:paraId="4DCED36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CI)</w:t>
            </w:r>
          </w:p>
        </w:tc>
        <w:tc>
          <w:tcPr>
            <w:tcW w:w="880" w:type="pct"/>
            <w:hideMark/>
          </w:tcPr>
          <w:p w14:paraId="1291EA2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w:t>
            </w:r>
            <w:r w:rsidRPr="00976ED6">
              <w:rPr>
                <w:b/>
                <w:color w:val="000000"/>
                <w:lang w:val="sl-SI"/>
              </w:rPr>
              <w:t>-reikšmė</w:t>
            </w:r>
          </w:p>
        </w:tc>
      </w:tr>
      <w:tr w:rsidR="003A7B6B" w:rsidRPr="00976ED6" w14:paraId="1AB2299F" w14:textId="77777777" w:rsidTr="005E6418">
        <w:tc>
          <w:tcPr>
            <w:tcW w:w="1113" w:type="pct"/>
            <w:hideMark/>
          </w:tcPr>
          <w:p w14:paraId="0D8D640F"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Santykinis indikacijos chemoterapijai atitikimas</w:t>
            </w:r>
            <w:r w:rsidRPr="00976ED6">
              <w:rPr>
                <w:color w:val="000000"/>
                <w:vertAlign w:val="superscript"/>
                <w:lang w:val="sl-SI"/>
              </w:rPr>
              <w:t>a</w:t>
            </w:r>
          </w:p>
        </w:tc>
        <w:tc>
          <w:tcPr>
            <w:tcW w:w="771" w:type="pct"/>
            <w:hideMark/>
          </w:tcPr>
          <w:p w14:paraId="0444511F"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w:t>
            </w:r>
          </w:p>
        </w:tc>
        <w:tc>
          <w:tcPr>
            <w:tcW w:w="925" w:type="pct"/>
            <w:hideMark/>
          </w:tcPr>
          <w:p w14:paraId="4BE8C92F"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w:t>
            </w:r>
          </w:p>
        </w:tc>
        <w:tc>
          <w:tcPr>
            <w:tcW w:w="1311" w:type="pct"/>
            <w:hideMark/>
          </w:tcPr>
          <w:p w14:paraId="3C7AEF6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w:t>
            </w:r>
          </w:p>
        </w:tc>
        <w:tc>
          <w:tcPr>
            <w:tcW w:w="880" w:type="pct"/>
            <w:hideMark/>
          </w:tcPr>
          <w:p w14:paraId="533E5E3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 </w:t>
            </w:r>
          </w:p>
        </w:tc>
      </w:tr>
      <w:tr w:rsidR="003A7B6B" w:rsidRPr="00976ED6" w14:paraId="344B92A2" w14:textId="77777777" w:rsidTr="005E6418">
        <w:tc>
          <w:tcPr>
            <w:tcW w:w="1113" w:type="pct"/>
            <w:hideMark/>
          </w:tcPr>
          <w:p w14:paraId="3FF37BF9"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Ne</w:t>
            </w:r>
          </w:p>
        </w:tc>
        <w:tc>
          <w:tcPr>
            <w:tcW w:w="771" w:type="pct"/>
            <w:hideMark/>
          </w:tcPr>
          <w:p w14:paraId="7AE7D6AC"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18/214</w:t>
            </w:r>
          </w:p>
          <w:p w14:paraId="2B236ECF" w14:textId="3FEEB699" w:rsidR="003A7B6B" w:rsidRPr="00976ED6" w:rsidRDefault="003A7B6B" w:rsidP="005E6418">
            <w:pPr>
              <w:widowControl w:val="0"/>
              <w:tabs>
                <w:tab w:val="left" w:pos="567"/>
                <w:tab w:val="left" w:pos="1296"/>
              </w:tabs>
              <w:rPr>
                <w:color w:val="000000"/>
                <w:lang w:val="sl-SI"/>
              </w:rPr>
            </w:pPr>
            <w:r w:rsidRPr="00976ED6">
              <w:rPr>
                <w:color w:val="000000"/>
                <w:lang w:val="sl-SI"/>
              </w:rPr>
              <w:t>(8</w:t>
            </w:r>
            <w:r>
              <w:rPr>
                <w:color w:val="000000"/>
                <w:lang w:val="sl-SI"/>
              </w:rPr>
              <w:t>,</w:t>
            </w:r>
            <w:r w:rsidRPr="00976ED6">
              <w:rPr>
                <w:color w:val="000000"/>
                <w:lang w:val="sl-SI"/>
              </w:rPr>
              <w:t xml:space="preserve">4%) </w:t>
            </w:r>
          </w:p>
        </w:tc>
        <w:tc>
          <w:tcPr>
            <w:tcW w:w="925" w:type="pct"/>
            <w:hideMark/>
          </w:tcPr>
          <w:p w14:paraId="095ECB73"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26/227</w:t>
            </w:r>
          </w:p>
          <w:p w14:paraId="14AFC2DD" w14:textId="43DFF4B5" w:rsidR="003A7B6B" w:rsidRPr="00976ED6" w:rsidRDefault="003A7B6B" w:rsidP="005E6418">
            <w:pPr>
              <w:widowControl w:val="0"/>
              <w:tabs>
                <w:tab w:val="left" w:pos="567"/>
                <w:tab w:val="left" w:pos="1296"/>
              </w:tabs>
              <w:rPr>
                <w:color w:val="000000"/>
                <w:lang w:val="sl-SI"/>
              </w:rPr>
            </w:pPr>
            <w:r w:rsidRPr="00976ED6">
              <w:rPr>
                <w:color w:val="000000"/>
                <w:lang w:val="sl-SI"/>
              </w:rPr>
              <w:t>(11</w:t>
            </w:r>
            <w:r>
              <w:rPr>
                <w:color w:val="000000"/>
                <w:lang w:val="sl-SI"/>
              </w:rPr>
              <w:t>,</w:t>
            </w:r>
            <w:r w:rsidRPr="00976ED6">
              <w:rPr>
                <w:color w:val="000000"/>
                <w:lang w:val="sl-SI"/>
              </w:rPr>
              <w:t xml:space="preserve">5%) </w:t>
            </w:r>
          </w:p>
        </w:tc>
        <w:tc>
          <w:tcPr>
            <w:tcW w:w="1311" w:type="pct"/>
            <w:hideMark/>
          </w:tcPr>
          <w:p w14:paraId="35D341B9" w14:textId="6B18C625" w:rsidR="003A7B6B" w:rsidRPr="00976ED6" w:rsidRDefault="003A7B6B" w:rsidP="005E6418">
            <w:pPr>
              <w:widowControl w:val="0"/>
              <w:tabs>
                <w:tab w:val="left" w:pos="567"/>
                <w:tab w:val="left" w:pos="1296"/>
              </w:tabs>
              <w:rPr>
                <w:color w:val="000000"/>
                <w:lang w:val="sl-SI"/>
              </w:rPr>
            </w:pPr>
            <w:r w:rsidRPr="00976ED6">
              <w:rPr>
                <w:color w:val="000000"/>
                <w:lang w:val="sl-SI"/>
              </w:rPr>
              <w:t>0</w:t>
            </w:r>
            <w:r>
              <w:rPr>
                <w:color w:val="000000"/>
                <w:lang w:val="sl-SI"/>
              </w:rPr>
              <w:t>,</w:t>
            </w:r>
            <w:r w:rsidRPr="00976ED6">
              <w:rPr>
                <w:color w:val="000000"/>
                <w:lang w:val="sl-SI"/>
              </w:rPr>
              <w:t>796 (0</w:t>
            </w:r>
            <w:r>
              <w:rPr>
                <w:color w:val="000000"/>
                <w:lang w:val="sl-SI"/>
              </w:rPr>
              <w:t>,</w:t>
            </w:r>
            <w:r w:rsidRPr="00976ED6">
              <w:rPr>
                <w:color w:val="000000"/>
                <w:lang w:val="sl-SI"/>
              </w:rPr>
              <w:t xml:space="preserve">434 </w:t>
            </w:r>
            <w:r>
              <w:rPr>
                <w:color w:val="000000"/>
                <w:lang w:val="sl-SI"/>
              </w:rPr>
              <w:t>–</w:t>
            </w:r>
            <w:r w:rsidRPr="00976ED6">
              <w:rPr>
                <w:color w:val="000000"/>
                <w:lang w:val="sl-SI"/>
              </w:rPr>
              <w:t xml:space="preserve"> 1</w:t>
            </w:r>
            <w:r>
              <w:rPr>
                <w:color w:val="000000"/>
                <w:lang w:val="sl-SI"/>
              </w:rPr>
              <w:t>,</w:t>
            </w:r>
            <w:r w:rsidRPr="00976ED6">
              <w:rPr>
                <w:color w:val="000000"/>
                <w:lang w:val="sl-SI"/>
              </w:rPr>
              <w:t xml:space="preserve">459) </w:t>
            </w:r>
          </w:p>
        </w:tc>
        <w:tc>
          <w:tcPr>
            <w:tcW w:w="880" w:type="pct"/>
            <w:hideMark/>
          </w:tcPr>
          <w:p w14:paraId="048D1AD8" w14:textId="30767333" w:rsidR="003A7B6B" w:rsidRPr="00976ED6" w:rsidRDefault="003A7B6B" w:rsidP="005E6418">
            <w:pPr>
              <w:widowControl w:val="0"/>
              <w:tabs>
                <w:tab w:val="left" w:pos="567"/>
                <w:tab w:val="left" w:pos="1296"/>
              </w:tabs>
              <w:rPr>
                <w:color w:val="000000"/>
                <w:lang w:val="sl-SI"/>
              </w:rPr>
            </w:pPr>
            <w:r w:rsidRPr="00976ED6">
              <w:rPr>
                <w:color w:val="000000"/>
                <w:lang w:val="sl-SI"/>
              </w:rPr>
              <w:t>0</w:t>
            </w:r>
            <w:r>
              <w:rPr>
                <w:color w:val="000000"/>
                <w:lang w:val="sl-SI"/>
              </w:rPr>
              <w:t>,</w:t>
            </w:r>
            <w:r w:rsidRPr="00976ED6">
              <w:rPr>
                <w:color w:val="000000"/>
                <w:lang w:val="sl-SI"/>
              </w:rPr>
              <w:t xml:space="preserve">4593 </w:t>
            </w:r>
          </w:p>
        </w:tc>
      </w:tr>
      <w:tr w:rsidR="003A7B6B" w:rsidRPr="00976ED6" w14:paraId="4EB19A16" w14:textId="77777777" w:rsidTr="005E6418">
        <w:tc>
          <w:tcPr>
            <w:tcW w:w="1113" w:type="pct"/>
            <w:hideMark/>
          </w:tcPr>
          <w:p w14:paraId="5245133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Taip</w:t>
            </w:r>
          </w:p>
        </w:tc>
        <w:tc>
          <w:tcPr>
            <w:tcW w:w="771" w:type="pct"/>
            <w:hideMark/>
          </w:tcPr>
          <w:p w14:paraId="3EFFE27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48/325</w:t>
            </w:r>
          </w:p>
          <w:p w14:paraId="799F4711" w14:textId="4B2E4BCF" w:rsidR="003A7B6B" w:rsidRPr="00976ED6" w:rsidRDefault="003A7B6B" w:rsidP="005E6418">
            <w:pPr>
              <w:widowControl w:val="0"/>
              <w:tabs>
                <w:tab w:val="left" w:pos="567"/>
                <w:tab w:val="left" w:pos="1296"/>
              </w:tabs>
              <w:rPr>
                <w:color w:val="000000"/>
                <w:lang w:val="sl-SI"/>
              </w:rPr>
            </w:pPr>
            <w:r w:rsidRPr="00976ED6">
              <w:rPr>
                <w:color w:val="000000"/>
                <w:lang w:val="sl-SI"/>
              </w:rPr>
              <w:t>(14</w:t>
            </w:r>
            <w:r>
              <w:rPr>
                <w:color w:val="000000"/>
                <w:lang w:val="sl-SI"/>
              </w:rPr>
              <w:t>,</w:t>
            </w:r>
            <w:r w:rsidRPr="00976ED6">
              <w:rPr>
                <w:color w:val="000000"/>
                <w:lang w:val="sl-SI"/>
              </w:rPr>
              <w:t xml:space="preserve">8%) </w:t>
            </w:r>
          </w:p>
        </w:tc>
        <w:tc>
          <w:tcPr>
            <w:tcW w:w="925" w:type="pct"/>
            <w:hideMark/>
          </w:tcPr>
          <w:p w14:paraId="6E764997"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69/294</w:t>
            </w:r>
          </w:p>
          <w:p w14:paraId="4AF20DC8" w14:textId="4A1F2DB3" w:rsidR="003A7B6B" w:rsidRPr="00976ED6" w:rsidRDefault="003A7B6B" w:rsidP="005E6418">
            <w:pPr>
              <w:widowControl w:val="0"/>
              <w:tabs>
                <w:tab w:val="left" w:pos="567"/>
                <w:tab w:val="left" w:pos="1296"/>
              </w:tabs>
              <w:rPr>
                <w:color w:val="000000"/>
                <w:lang w:val="sl-SI"/>
              </w:rPr>
            </w:pPr>
            <w:r w:rsidRPr="00976ED6">
              <w:rPr>
                <w:color w:val="000000"/>
                <w:lang w:val="sl-SI"/>
              </w:rPr>
              <w:t>(23</w:t>
            </w:r>
            <w:r>
              <w:rPr>
                <w:color w:val="000000"/>
                <w:lang w:val="sl-SI"/>
              </w:rPr>
              <w:t>,</w:t>
            </w:r>
            <w:r w:rsidRPr="00976ED6">
              <w:rPr>
                <w:color w:val="000000"/>
                <w:lang w:val="sl-SI"/>
              </w:rPr>
              <w:t xml:space="preserve">5%) </w:t>
            </w:r>
          </w:p>
        </w:tc>
        <w:tc>
          <w:tcPr>
            <w:tcW w:w="1311" w:type="pct"/>
            <w:hideMark/>
          </w:tcPr>
          <w:p w14:paraId="43078919" w14:textId="4861AEFB" w:rsidR="003A7B6B" w:rsidRPr="00976ED6" w:rsidRDefault="003A7B6B" w:rsidP="005E6418">
            <w:pPr>
              <w:widowControl w:val="0"/>
              <w:tabs>
                <w:tab w:val="left" w:pos="567"/>
                <w:tab w:val="left" w:pos="1296"/>
              </w:tabs>
              <w:rPr>
                <w:color w:val="000000"/>
                <w:lang w:val="sl-SI"/>
              </w:rPr>
            </w:pPr>
            <w:r w:rsidRPr="00976ED6">
              <w:rPr>
                <w:color w:val="000000"/>
                <w:lang w:val="sl-SI"/>
              </w:rPr>
              <w:t>0</w:t>
            </w:r>
            <w:r>
              <w:rPr>
                <w:color w:val="000000"/>
                <w:lang w:val="sl-SI"/>
              </w:rPr>
              <w:t>,</w:t>
            </w:r>
            <w:r w:rsidRPr="00976ED6">
              <w:rPr>
                <w:color w:val="000000"/>
                <w:lang w:val="sl-SI"/>
              </w:rPr>
              <w:t>606 (0</w:t>
            </w:r>
            <w:r>
              <w:rPr>
                <w:color w:val="000000"/>
                <w:lang w:val="sl-SI"/>
              </w:rPr>
              <w:t>,</w:t>
            </w:r>
            <w:r w:rsidRPr="00976ED6">
              <w:rPr>
                <w:color w:val="000000"/>
                <w:lang w:val="sl-SI"/>
              </w:rPr>
              <w:t xml:space="preserve">42 </w:t>
            </w:r>
            <w:r>
              <w:rPr>
                <w:color w:val="000000"/>
                <w:lang w:val="sl-SI"/>
              </w:rPr>
              <w:t>–</w:t>
            </w:r>
            <w:r w:rsidRPr="00976ED6">
              <w:rPr>
                <w:color w:val="000000"/>
                <w:lang w:val="sl-SI"/>
              </w:rPr>
              <w:t xml:space="preserve"> 0</w:t>
            </w:r>
            <w:r>
              <w:rPr>
                <w:color w:val="000000"/>
                <w:lang w:val="sl-SI"/>
              </w:rPr>
              <w:t>,</w:t>
            </w:r>
            <w:r w:rsidRPr="00976ED6">
              <w:rPr>
                <w:color w:val="000000"/>
                <w:lang w:val="sl-SI"/>
              </w:rPr>
              <w:t xml:space="preserve">877) </w:t>
            </w:r>
          </w:p>
        </w:tc>
        <w:tc>
          <w:tcPr>
            <w:tcW w:w="880" w:type="pct"/>
            <w:hideMark/>
          </w:tcPr>
          <w:p w14:paraId="13235CF3" w14:textId="6682BBB5" w:rsidR="003A7B6B" w:rsidRPr="00976ED6" w:rsidRDefault="003A7B6B" w:rsidP="005E6418">
            <w:pPr>
              <w:widowControl w:val="0"/>
              <w:tabs>
                <w:tab w:val="left" w:pos="567"/>
                <w:tab w:val="left" w:pos="1296"/>
              </w:tabs>
              <w:rPr>
                <w:color w:val="000000"/>
                <w:lang w:val="sl-SI"/>
              </w:rPr>
            </w:pPr>
            <w:r w:rsidRPr="00976ED6">
              <w:rPr>
                <w:color w:val="000000"/>
                <w:lang w:val="sl-SI"/>
              </w:rPr>
              <w:t>0</w:t>
            </w:r>
            <w:r>
              <w:rPr>
                <w:color w:val="000000"/>
                <w:lang w:val="sl-SI"/>
              </w:rPr>
              <w:t>,</w:t>
            </w:r>
            <w:r w:rsidRPr="00976ED6">
              <w:rPr>
                <w:color w:val="000000"/>
                <w:lang w:val="sl-SI"/>
              </w:rPr>
              <w:t xml:space="preserve">0072 </w:t>
            </w:r>
          </w:p>
        </w:tc>
      </w:tr>
    </w:tbl>
    <w:p w14:paraId="0E712698"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p>
    <w:p w14:paraId="25E25E9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TAC = docetakselis, doksorubicinas ir ciklofosfamidas</w:t>
      </w:r>
    </w:p>
    <w:p w14:paraId="78530092"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FAC = 5-fluorouracilas, doksorubicinas ir ciklofosfamidas</w:t>
      </w:r>
    </w:p>
    <w:p w14:paraId="2349D2B5"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PI = pasikliautinis intervalas; ER = estrogenų receptorius</w:t>
      </w:r>
    </w:p>
    <w:p w14:paraId="6225325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PR = progesterono receptorius</w:t>
      </w:r>
    </w:p>
    <w:p w14:paraId="4809CDA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color w:val="000000"/>
          <w:vertAlign w:val="superscript"/>
          <w:lang w:val="sl-SI"/>
        </w:rPr>
        <w:t xml:space="preserve">a </w:t>
      </w:r>
      <w:r w:rsidRPr="00976ED6">
        <w:rPr>
          <w:rFonts w:ascii="Times New Roman" w:hAnsi="Times New Roman" w:cs="Times New Roman"/>
          <w:lang w:val="sl-SI"/>
        </w:rPr>
        <w:t>ER/PR-neigiami arba 3 laipsnio ar naviko dydis &gt;5 cm</w:t>
      </w:r>
    </w:p>
    <w:p w14:paraId="3B22B45E"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D6E3EEF"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Apskaičiuotas rizikos koeficientas gautas naudojantis Cox proporcinės rizikos modeliu gydomąją grupę laikant faktoriumi.</w:t>
      </w:r>
    </w:p>
    <w:p w14:paraId="497126EC"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4EF0C3F"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Docetakselio monoterapija</w:t>
      </w:r>
    </w:p>
    <w:p w14:paraId="31B57E9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AC5449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Atlikti du atsitiktiniai III fazės palyginamieji tyrimai su pacientėmis, sergančiomis metastazavusiu krūties vėžiu. Prieš tai 326 šiame tyrime dalyvavusioms pacientėms buvo neveiksmingas gydymas alkilinančiais vaistiniais preparatais, o 392 pacientėms – antraciklinais. Docetakselio infuzuota rekomenduojamomis dozėmis ir tvarka (100 mg/m² kas 3 savaites).</w:t>
      </w:r>
    </w:p>
    <w:p w14:paraId="1CE4118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480E08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Pacientėms, kurioms gydymas alkilinančiais vaistiniais preparatais buvo neveiksmingas, palygintas docetakselio ir doksorubicino (75 mg/m² kas 3 savaites) poveikis. Docetakselis sukėlė atsaką dažniau (docetakselis – 52%, doksorubicinas – 37%, p = 0,01) ir greičiau (docetakselis – per 12 savaičių, doksorubicinas – per 23 savaites, p = 0,007), tačiau nepakeitė bendrosios išgyvenimo trukmės (docetakselis – 15 mėn., doksorubicinas – 14 mėn., p = 0,38) ir laikotarpio iki ligos progresavimo trukmės (docetakselis – 27 mėn., doksorubicinas – 23 mėn., p = 0,54). Trys docetakseliu gydytos pacientės (2%) nutraukė vaisto vartojimą dėl skysčių susilaikymo, 15 (9%) doksorubicinu gydytų pacienčių – dėl kardiotoksinio poveikio (3 pacientės mirė nuo stazinio širdies nepakankamumo).</w:t>
      </w:r>
    </w:p>
    <w:p w14:paraId="0F3354C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F47D16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Pacientėms, kurioms gydymas antraciklinais buvo neveiksmingas, docetakselio poveikis palygintas su mitomicino C (12 mg/m² kas 6 savaites) ir vinblastino (6 mg/m² kas 3 savaites) derinio poveikiu. Docetakselis dažniau sukėlė atsaką (33% palyginus su 12%, p &lt; 0,0001), prailgino laikotarpį iki ligos progresavimo (19 savaičių palyginus su 11 savaičių, p = 0,0004) ir bendrąją išgyvenimo trukmę (11 mėn. palyginus su 9 mėn., p = 0,01).</w:t>
      </w:r>
    </w:p>
    <w:p w14:paraId="4139FD7E"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8BE9BC5"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Šių dvejų III fazės klinikinių tyrimų metu nustatytas docetakselio saugumo pobūdis buvo panašus į nustatytą II fazės tyrimų metu (žr. 4.8 skyrių).</w:t>
      </w:r>
    </w:p>
    <w:p w14:paraId="736ABBF7"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0B9E60B"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Atviro daugelyje centrų vykusio atsitiktinių imčių III fazės tyrimo metu lygintas docetakselio monoterapijos bei gydymo paklitakseliu veiksmingumas progresavusiu krūties vėžiu sergantiems </w:t>
      </w:r>
      <w:r w:rsidRPr="00976ED6">
        <w:rPr>
          <w:rFonts w:ascii="Times New Roman" w:hAnsi="Times New Roman" w:cs="Times New Roman"/>
          <w:lang w:val="sl-SI"/>
        </w:rPr>
        <w:lastRenderedPageBreak/>
        <w:t>pacientams, kurie ankstesnio gydymo metu vartojo antraciklino. Viso 449 pacientams atsitiktiniu būdu buvo parinktas gydymas arba vien tik docetakseliu (100 mg/m² dozę infuzuojant per 1 valandą) arba vien tik paklitakseliu (175 mg/m² dozę infuzuojant per 3 valandas). Abiejų gydymų ciklai kartoti kas 3 savaites.</w:t>
      </w:r>
    </w:p>
    <w:p w14:paraId="56BB22D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Nors pagrindinė vertinamoji baigtis (bendras atsako dažnis) nesiskyrė (32% ir 25%, p = 0,10), docetakselis pailgino laikotarpio iki ligos progresavimo medianą (24,6 savaitės ir 15,6 savaitės; p &lt; 0,01) bei išgyvento laikotarpio medianą (15,3 mėnesio ir 12,7 mėnesio; p = 0,03).</w:t>
      </w:r>
    </w:p>
    <w:p w14:paraId="6433783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Pacientams, kuriems taikyta monoterapija docetakseliu, dažniau pasireiškė 3 arba 4 laipsnio nepageidaujamų reiškinių (55,4%), palyginti su vartojusiais paklitakselio (23,0%).</w:t>
      </w:r>
    </w:p>
    <w:p w14:paraId="25973949"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57D698E" w14:textId="77777777" w:rsidR="003A7B6B"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Docetakselio derinys su doksorubicinu</w:t>
      </w:r>
    </w:p>
    <w:p w14:paraId="274743BB" w14:textId="77777777" w:rsidR="003A7B6B" w:rsidRPr="00976ED6" w:rsidRDefault="003A7B6B" w:rsidP="003A7B6B">
      <w:pPr>
        <w:widowControl w:val="0"/>
        <w:tabs>
          <w:tab w:val="left" w:pos="1296"/>
        </w:tabs>
        <w:ind w:left="0" w:firstLine="0"/>
        <w:rPr>
          <w:rFonts w:ascii="Times New Roman" w:hAnsi="Times New Roman" w:cs="Times New Roman"/>
          <w:i/>
          <w:lang w:val="sl-SI"/>
        </w:rPr>
      </w:pPr>
    </w:p>
    <w:p w14:paraId="73FE19E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Atliktas didelės apimties atsitiktinis III fazės tyrimas, kuriame dalyvavo 429 pacientės, sergančios iki tol negydytu metastazavusiu krūties vėžiu. Viena tiriamųjų grupė (AT) gydyta doksorubicinu (50 mg/m²) ir docetakseliu (75 mg/m²), kita (AC) – doksorubicinu (60 mg/m²) ir ciklofosfamidu (600 mg/m²). Abiem atvejais nurodytų vaistų infuzuota pirmąją kiekvieno 3 savaičių ciklo dieną.</w:t>
      </w:r>
    </w:p>
    <w:p w14:paraId="76356D64" w14:textId="77777777" w:rsidR="003A7B6B" w:rsidRPr="00976ED6" w:rsidRDefault="003A7B6B" w:rsidP="003A7B6B">
      <w:pPr>
        <w:widowControl w:val="0"/>
        <w:numPr>
          <w:ilvl w:val="0"/>
          <w:numId w:val="16"/>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AT grupės tiriamųjų laikotarpis iki ligos progresavimo buvo reikšmingai ilgesnis negu AC (p = 0,0138). Laikotarpio iki ligos progresavimo mediana AT grupėje buvo 37,3 savaitės (95% pasikliautinumo intervalas – 33,4-42,1 savaitės), AC grupėje – 31,9 savaitės (95% pasikliautinumo intervalas – 27,4-36 savaitės).</w:t>
      </w:r>
    </w:p>
    <w:p w14:paraId="7AB27C80" w14:textId="77777777" w:rsidR="003A7B6B" w:rsidRPr="00976ED6" w:rsidRDefault="003A7B6B" w:rsidP="003A7B6B">
      <w:pPr>
        <w:widowControl w:val="0"/>
        <w:numPr>
          <w:ilvl w:val="0"/>
          <w:numId w:val="16"/>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Bendras atsako dažnis AT grupėje buvo reikšmingai didesnis negu AC (p = 0,009). Bendras atsako dažnis AT grupėje buvo 59,3% (95% pasikliautinumo intervalas – 52,8-65,9%), AC grupėje – 46,5% (95% pasikliautinumo intervalas – 39,8-53,2%).</w:t>
      </w:r>
    </w:p>
    <w:p w14:paraId="2C5F3F59"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5D0E151E"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Šio tyrimo metu AT grupės tiriamosioms dažniau negu AC grupės pasireiškė sunki neutropenija (atitinkamai 90% ir 68,6%), febrilinė neutropenija (33,3% ir 10%), infekcija (8% ir 2,4%), viduriavimas (7,5% ir 1,4%), astenija (8,5% ir 2,4%), skausmas (2,8% ir 0%). Kita vertus, AC grupės tiriamosioms dažnesnė buvo sunki anemija (atitinkamai 15,8% ir 8,5%) bei sunkus kardiotoksinis poveikis: stazinis širdies nepakankamumas (atitinkamai 3,8% ir 2,8%), absoliučios kairiojo skilvelio išstūmimo frakcijos sumažėjimas 20% ar daugiau (13,1% ir 6,1%), absoliučios kairiojo skilvelio išstūmimo frakcijos sumažėjimas 30% ar daugiau (6,2% ir 1,1%). Dėl vaistų toksinio poveikio mirė 1 AT grupės pacientė (pasireiškė stazinis širdies nepakankamumas) ir 4 AC grupės pacientės (1 ištiko sepsinis šokas, 3 – stazinis širdies nepakankamumas).</w:t>
      </w:r>
    </w:p>
    <w:p w14:paraId="004D0D4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Abiejų grupių tiriamųjų gyvenimo kokybė (remiantis EORTC klausimų rinkiniu) gydymo bei vėlesnio stebėjimo laikotarpiu buvo panaši ir stabili.</w:t>
      </w:r>
    </w:p>
    <w:p w14:paraId="2703D79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597220BB"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Docetakselio derinys su trastuzumabu</w:t>
      </w:r>
    </w:p>
    <w:p w14:paraId="0A5E979A"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9EAB779" w14:textId="4067F781"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Tirtas docetakselio ir trastuzumabo derinio poveikis pacientėms, sergančioms metastazavusiu krūties vėžiu su HER2 hiperekspresija, kurioms (metastazavusio) chemoterapija anksčiau netaikyta. 186 pacientės atsitiktinai parinktos vartoti 100 mg/m</w:t>
      </w:r>
      <w:r w:rsidRPr="002D2EC4">
        <w:rPr>
          <w:rFonts w:ascii="Times New Roman" w:eastAsia="Times New Roman" w:hAnsi="Times New Roman" w:cs="Times New Roman"/>
          <w:vertAlign w:val="superscript"/>
          <w:lang w:val="sl-SI" w:eastAsia="sl-SI"/>
        </w:rPr>
        <w:t>2</w:t>
      </w:r>
      <w:r w:rsidRPr="00976ED6">
        <w:rPr>
          <w:rFonts w:ascii="Times New Roman" w:hAnsi="Times New Roman" w:cs="Times New Roman"/>
          <w:lang w:val="sl-SI"/>
        </w:rPr>
        <w:t xml:space="preserve"> docetakselio su trastuzumabu ar be jo. 60% pacienčių prieš tai taikyta adjuvantinė chemoterapija, kurios pagrindinis vaistas antraciklinas. Docetakselio ir trastuzumabo derinys buvo veiksmingas nepriklausomai nuo to, ar anksčiau taikyta adjuvantinė chemoterapija antraciklinais. Pagrindinis tyrimas, šio labai svarbaus tyrimo metu naudotas nustatymui, ar navikas HER2 teigiamas, buvo imunohistocheminis (IHC). Nedaugelis pacienčių tirtos fluorescencijos būdu </w:t>
      </w:r>
      <w:r w:rsidRPr="00976ED6">
        <w:rPr>
          <w:rFonts w:ascii="Times New Roman" w:hAnsi="Times New Roman" w:cs="Times New Roman"/>
          <w:i/>
          <w:lang w:val="sl-SI"/>
        </w:rPr>
        <w:t>in situ</w:t>
      </w:r>
      <w:r w:rsidRPr="00976ED6">
        <w:rPr>
          <w:rFonts w:ascii="Times New Roman" w:hAnsi="Times New Roman" w:cs="Times New Roman"/>
          <w:lang w:val="sl-SI"/>
        </w:rPr>
        <w:t xml:space="preserve"> atlikus hibridizaciją (FISH). 87% į tyrimą įtrauktų pacienčių sirgo IHC 3+ naviku, 95% – IHC 3+ ir (ar) FISH teigiamu naviku. Gydymo veiksmingumo duomenys apibendrinami lentelėje:</w:t>
      </w:r>
    </w:p>
    <w:p w14:paraId="6C8D9690" w14:textId="77777777" w:rsidR="003A7B6B" w:rsidRPr="00976ED6" w:rsidRDefault="003A7B6B" w:rsidP="003A7B6B">
      <w:pPr>
        <w:widowControl w:val="0"/>
        <w:tabs>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2"/>
        <w:gridCol w:w="2477"/>
        <w:gridCol w:w="3021"/>
      </w:tblGrid>
      <w:tr w:rsidR="003A7B6B" w:rsidRPr="00976ED6" w14:paraId="3A30309A" w14:textId="77777777" w:rsidTr="005E6418">
        <w:tc>
          <w:tcPr>
            <w:tcW w:w="1966" w:type="pct"/>
            <w:tcBorders>
              <w:top w:val="single" w:sz="4" w:space="0" w:color="auto"/>
              <w:left w:val="single" w:sz="4" w:space="0" w:color="auto"/>
              <w:bottom w:val="single" w:sz="4" w:space="0" w:color="auto"/>
              <w:right w:val="single" w:sz="4" w:space="0" w:color="auto"/>
            </w:tcBorders>
            <w:hideMark/>
          </w:tcPr>
          <w:p w14:paraId="0ED60AF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Rodiklis </w:t>
            </w:r>
          </w:p>
        </w:tc>
        <w:tc>
          <w:tcPr>
            <w:tcW w:w="1367" w:type="pct"/>
            <w:tcBorders>
              <w:top w:val="single" w:sz="4" w:space="0" w:color="auto"/>
              <w:left w:val="single" w:sz="4" w:space="0" w:color="auto"/>
              <w:bottom w:val="single" w:sz="4" w:space="0" w:color="auto"/>
              <w:right w:val="single" w:sz="4" w:space="0" w:color="auto"/>
            </w:tcBorders>
            <w:hideMark/>
          </w:tcPr>
          <w:p w14:paraId="446ED0D6"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Docetakselis ir trastuzumabas</w:t>
            </w:r>
            <w:r w:rsidRPr="00976ED6">
              <w:rPr>
                <w:rFonts w:ascii="Times New Roman" w:hAnsi="Times New Roman" w:cs="Times New Roman"/>
                <w:color w:val="000000"/>
                <w:vertAlign w:val="superscript"/>
                <w:lang w:val="sl-SI"/>
              </w:rPr>
              <w:t>1</w:t>
            </w:r>
          </w:p>
        </w:tc>
        <w:tc>
          <w:tcPr>
            <w:tcW w:w="1667" w:type="pct"/>
            <w:tcBorders>
              <w:top w:val="single" w:sz="4" w:space="0" w:color="auto"/>
              <w:left w:val="single" w:sz="4" w:space="0" w:color="auto"/>
              <w:bottom w:val="single" w:sz="4" w:space="0" w:color="auto"/>
              <w:right w:val="single" w:sz="4" w:space="0" w:color="auto"/>
            </w:tcBorders>
            <w:hideMark/>
          </w:tcPr>
          <w:p w14:paraId="6A4E834C"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Docetakselis</w:t>
            </w:r>
            <w:r w:rsidRPr="00976ED6">
              <w:rPr>
                <w:rFonts w:ascii="Times New Roman" w:hAnsi="Times New Roman" w:cs="Times New Roman"/>
                <w:color w:val="000000"/>
                <w:vertAlign w:val="superscript"/>
                <w:lang w:val="sl-SI"/>
              </w:rPr>
              <w:t>1</w:t>
            </w:r>
          </w:p>
          <w:p w14:paraId="610FE77A"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n = 94</w:t>
            </w:r>
          </w:p>
        </w:tc>
      </w:tr>
      <w:tr w:rsidR="003A7B6B" w:rsidRPr="00976ED6" w14:paraId="49676966" w14:textId="77777777" w:rsidTr="005E6418">
        <w:tc>
          <w:tcPr>
            <w:tcW w:w="1966" w:type="pct"/>
            <w:tcBorders>
              <w:top w:val="single" w:sz="4" w:space="0" w:color="auto"/>
              <w:left w:val="single" w:sz="4" w:space="0" w:color="auto"/>
              <w:bottom w:val="single" w:sz="4" w:space="0" w:color="auto"/>
              <w:right w:val="single" w:sz="4" w:space="0" w:color="auto"/>
            </w:tcBorders>
            <w:hideMark/>
          </w:tcPr>
          <w:p w14:paraId="65C5526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Atsako dažnis</w:t>
            </w:r>
          </w:p>
          <w:p w14:paraId="5DF6CD5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(95% PI) </w:t>
            </w:r>
          </w:p>
        </w:tc>
        <w:tc>
          <w:tcPr>
            <w:tcW w:w="1367" w:type="pct"/>
            <w:tcBorders>
              <w:top w:val="single" w:sz="4" w:space="0" w:color="auto"/>
              <w:left w:val="single" w:sz="4" w:space="0" w:color="auto"/>
              <w:bottom w:val="single" w:sz="4" w:space="0" w:color="auto"/>
              <w:right w:val="single" w:sz="4" w:space="0" w:color="auto"/>
            </w:tcBorders>
            <w:hideMark/>
          </w:tcPr>
          <w:p w14:paraId="6030B54F"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61%</w:t>
            </w:r>
          </w:p>
          <w:p w14:paraId="47A879B5"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(50-71)</w:t>
            </w:r>
          </w:p>
        </w:tc>
        <w:tc>
          <w:tcPr>
            <w:tcW w:w="1667" w:type="pct"/>
            <w:tcBorders>
              <w:top w:val="single" w:sz="4" w:space="0" w:color="auto"/>
              <w:left w:val="single" w:sz="4" w:space="0" w:color="auto"/>
              <w:bottom w:val="single" w:sz="4" w:space="0" w:color="auto"/>
              <w:right w:val="single" w:sz="4" w:space="0" w:color="auto"/>
            </w:tcBorders>
            <w:hideMark/>
          </w:tcPr>
          <w:p w14:paraId="2551DEB6"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34%</w:t>
            </w:r>
          </w:p>
          <w:p w14:paraId="50D9AA4F"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(25-45)</w:t>
            </w:r>
          </w:p>
        </w:tc>
      </w:tr>
      <w:tr w:rsidR="003A7B6B" w:rsidRPr="00976ED6" w14:paraId="6BE56083" w14:textId="77777777" w:rsidTr="005E6418">
        <w:tc>
          <w:tcPr>
            <w:tcW w:w="1966" w:type="pct"/>
            <w:tcBorders>
              <w:top w:val="single" w:sz="4" w:space="0" w:color="auto"/>
              <w:left w:val="single" w:sz="4" w:space="0" w:color="auto"/>
              <w:bottom w:val="single" w:sz="4" w:space="0" w:color="auto"/>
              <w:right w:val="single" w:sz="4" w:space="0" w:color="auto"/>
            </w:tcBorders>
            <w:hideMark/>
          </w:tcPr>
          <w:p w14:paraId="1F43399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Atsako trukmės mediana (mėn.)</w:t>
            </w:r>
          </w:p>
          <w:p w14:paraId="7104E69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tc>
        <w:tc>
          <w:tcPr>
            <w:tcW w:w="1367" w:type="pct"/>
            <w:tcBorders>
              <w:top w:val="single" w:sz="4" w:space="0" w:color="auto"/>
              <w:left w:val="single" w:sz="4" w:space="0" w:color="auto"/>
              <w:bottom w:val="single" w:sz="4" w:space="0" w:color="auto"/>
              <w:right w:val="single" w:sz="4" w:space="0" w:color="auto"/>
            </w:tcBorders>
            <w:hideMark/>
          </w:tcPr>
          <w:p w14:paraId="640E0F8E" w14:textId="6F8EE72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11</w:t>
            </w:r>
            <w:r>
              <w:rPr>
                <w:rFonts w:ascii="Times New Roman" w:hAnsi="Times New Roman" w:cs="Times New Roman"/>
                <w:color w:val="000000"/>
                <w:lang w:val="sl-SI"/>
              </w:rPr>
              <w:t>,</w:t>
            </w:r>
            <w:r w:rsidRPr="00976ED6">
              <w:rPr>
                <w:rFonts w:ascii="Times New Roman" w:hAnsi="Times New Roman" w:cs="Times New Roman"/>
                <w:color w:val="000000"/>
                <w:lang w:val="sl-SI"/>
              </w:rPr>
              <w:t>4</w:t>
            </w:r>
          </w:p>
          <w:p w14:paraId="0A77B47F" w14:textId="2B85DEEC"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(9</w:t>
            </w:r>
            <w:r>
              <w:rPr>
                <w:rFonts w:ascii="Times New Roman" w:hAnsi="Times New Roman" w:cs="Times New Roman"/>
                <w:color w:val="000000"/>
                <w:lang w:val="sl-SI"/>
              </w:rPr>
              <w:t>,</w:t>
            </w:r>
            <w:r w:rsidRPr="00976ED6">
              <w:rPr>
                <w:rFonts w:ascii="Times New Roman" w:hAnsi="Times New Roman" w:cs="Times New Roman"/>
                <w:color w:val="000000"/>
                <w:lang w:val="sl-SI"/>
              </w:rPr>
              <w:t>2-15</w:t>
            </w:r>
            <w:r>
              <w:rPr>
                <w:rFonts w:ascii="Times New Roman" w:hAnsi="Times New Roman" w:cs="Times New Roman"/>
                <w:color w:val="000000"/>
                <w:lang w:val="sl-SI"/>
              </w:rPr>
              <w:t>,</w:t>
            </w:r>
            <w:r w:rsidRPr="00976ED6">
              <w:rPr>
                <w:rFonts w:ascii="Times New Roman" w:hAnsi="Times New Roman" w:cs="Times New Roman"/>
                <w:color w:val="000000"/>
                <w:lang w:val="sl-SI"/>
              </w:rPr>
              <w:t>0)</w:t>
            </w:r>
          </w:p>
        </w:tc>
        <w:tc>
          <w:tcPr>
            <w:tcW w:w="1667" w:type="pct"/>
            <w:tcBorders>
              <w:top w:val="single" w:sz="4" w:space="0" w:color="auto"/>
              <w:left w:val="single" w:sz="4" w:space="0" w:color="auto"/>
              <w:bottom w:val="single" w:sz="4" w:space="0" w:color="auto"/>
              <w:right w:val="single" w:sz="4" w:space="0" w:color="auto"/>
            </w:tcBorders>
            <w:hideMark/>
          </w:tcPr>
          <w:p w14:paraId="2D5433EB" w14:textId="49C5C539"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5</w:t>
            </w:r>
            <w:r>
              <w:rPr>
                <w:rFonts w:ascii="Times New Roman" w:hAnsi="Times New Roman" w:cs="Times New Roman"/>
                <w:color w:val="000000"/>
                <w:lang w:val="sl-SI"/>
              </w:rPr>
              <w:t>,</w:t>
            </w:r>
            <w:r w:rsidRPr="00976ED6">
              <w:rPr>
                <w:rFonts w:ascii="Times New Roman" w:hAnsi="Times New Roman" w:cs="Times New Roman"/>
                <w:color w:val="000000"/>
                <w:lang w:val="sl-SI"/>
              </w:rPr>
              <w:t>1</w:t>
            </w:r>
          </w:p>
          <w:p w14:paraId="125898AA" w14:textId="070D9DD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(4</w:t>
            </w:r>
            <w:r>
              <w:rPr>
                <w:rFonts w:ascii="Times New Roman" w:hAnsi="Times New Roman" w:cs="Times New Roman"/>
                <w:color w:val="000000"/>
                <w:lang w:val="sl-SI"/>
              </w:rPr>
              <w:t>,</w:t>
            </w:r>
            <w:r w:rsidRPr="00976ED6">
              <w:rPr>
                <w:rFonts w:ascii="Times New Roman" w:hAnsi="Times New Roman" w:cs="Times New Roman"/>
                <w:color w:val="000000"/>
                <w:lang w:val="sl-SI"/>
              </w:rPr>
              <w:t>4-6</w:t>
            </w:r>
            <w:r>
              <w:rPr>
                <w:rFonts w:ascii="Times New Roman" w:hAnsi="Times New Roman" w:cs="Times New Roman"/>
                <w:color w:val="000000"/>
                <w:lang w:val="sl-SI"/>
              </w:rPr>
              <w:t>,</w:t>
            </w:r>
            <w:r w:rsidRPr="00976ED6">
              <w:rPr>
                <w:rFonts w:ascii="Times New Roman" w:hAnsi="Times New Roman" w:cs="Times New Roman"/>
                <w:color w:val="000000"/>
                <w:lang w:val="sl-SI"/>
              </w:rPr>
              <w:t>2)</w:t>
            </w:r>
          </w:p>
        </w:tc>
      </w:tr>
      <w:tr w:rsidR="003A7B6B" w:rsidRPr="00976ED6" w14:paraId="0E225490" w14:textId="77777777" w:rsidTr="005E6418">
        <w:tc>
          <w:tcPr>
            <w:tcW w:w="1966" w:type="pct"/>
            <w:tcBorders>
              <w:top w:val="single" w:sz="4" w:space="0" w:color="auto"/>
              <w:left w:val="single" w:sz="4" w:space="0" w:color="auto"/>
              <w:bottom w:val="single" w:sz="4" w:space="0" w:color="auto"/>
              <w:right w:val="single" w:sz="4" w:space="0" w:color="auto"/>
            </w:tcBorders>
            <w:hideMark/>
          </w:tcPr>
          <w:p w14:paraId="59B4689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LLP mediana (mėn.)</w:t>
            </w:r>
          </w:p>
          <w:p w14:paraId="791E45F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tc>
        <w:tc>
          <w:tcPr>
            <w:tcW w:w="1367" w:type="pct"/>
            <w:tcBorders>
              <w:top w:val="single" w:sz="4" w:space="0" w:color="auto"/>
              <w:left w:val="single" w:sz="4" w:space="0" w:color="auto"/>
              <w:bottom w:val="single" w:sz="4" w:space="0" w:color="auto"/>
              <w:right w:val="single" w:sz="4" w:space="0" w:color="auto"/>
            </w:tcBorders>
            <w:hideMark/>
          </w:tcPr>
          <w:p w14:paraId="196E38DF" w14:textId="306C9593"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10</w:t>
            </w:r>
            <w:r>
              <w:rPr>
                <w:rFonts w:ascii="Times New Roman" w:hAnsi="Times New Roman" w:cs="Times New Roman"/>
                <w:color w:val="000000"/>
                <w:lang w:val="sl-SI"/>
              </w:rPr>
              <w:t>,</w:t>
            </w:r>
            <w:r w:rsidRPr="00976ED6">
              <w:rPr>
                <w:rFonts w:ascii="Times New Roman" w:hAnsi="Times New Roman" w:cs="Times New Roman"/>
                <w:color w:val="000000"/>
                <w:lang w:val="sl-SI"/>
              </w:rPr>
              <w:t>6</w:t>
            </w:r>
          </w:p>
          <w:p w14:paraId="3488827A" w14:textId="7B59197F"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(7</w:t>
            </w:r>
            <w:r>
              <w:rPr>
                <w:rFonts w:ascii="Times New Roman" w:hAnsi="Times New Roman" w:cs="Times New Roman"/>
                <w:color w:val="000000"/>
                <w:lang w:val="sl-SI"/>
              </w:rPr>
              <w:t>,</w:t>
            </w:r>
            <w:r w:rsidRPr="00976ED6">
              <w:rPr>
                <w:rFonts w:ascii="Times New Roman" w:hAnsi="Times New Roman" w:cs="Times New Roman"/>
                <w:color w:val="000000"/>
                <w:lang w:val="sl-SI"/>
              </w:rPr>
              <w:t>6-12</w:t>
            </w:r>
            <w:r>
              <w:rPr>
                <w:rFonts w:ascii="Times New Roman" w:hAnsi="Times New Roman" w:cs="Times New Roman"/>
                <w:color w:val="000000"/>
                <w:lang w:val="sl-SI"/>
              </w:rPr>
              <w:t>,</w:t>
            </w:r>
            <w:r w:rsidRPr="00976ED6">
              <w:rPr>
                <w:rFonts w:ascii="Times New Roman" w:hAnsi="Times New Roman" w:cs="Times New Roman"/>
                <w:color w:val="000000"/>
                <w:lang w:val="sl-SI"/>
              </w:rPr>
              <w:t>9)</w:t>
            </w:r>
          </w:p>
        </w:tc>
        <w:tc>
          <w:tcPr>
            <w:tcW w:w="1667" w:type="pct"/>
            <w:tcBorders>
              <w:top w:val="single" w:sz="4" w:space="0" w:color="auto"/>
              <w:left w:val="single" w:sz="4" w:space="0" w:color="auto"/>
              <w:bottom w:val="single" w:sz="4" w:space="0" w:color="auto"/>
              <w:right w:val="single" w:sz="4" w:space="0" w:color="auto"/>
            </w:tcBorders>
            <w:hideMark/>
          </w:tcPr>
          <w:p w14:paraId="74025663" w14:textId="24342968"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5</w:t>
            </w:r>
            <w:r>
              <w:rPr>
                <w:rFonts w:ascii="Times New Roman" w:hAnsi="Times New Roman" w:cs="Times New Roman"/>
                <w:color w:val="000000"/>
                <w:lang w:val="sl-SI"/>
              </w:rPr>
              <w:t>,</w:t>
            </w:r>
            <w:r w:rsidRPr="00976ED6">
              <w:rPr>
                <w:rFonts w:ascii="Times New Roman" w:hAnsi="Times New Roman" w:cs="Times New Roman"/>
                <w:color w:val="000000"/>
                <w:lang w:val="sl-SI"/>
              </w:rPr>
              <w:t>7</w:t>
            </w:r>
          </w:p>
          <w:p w14:paraId="18B90C87" w14:textId="2D9A6995"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(5</w:t>
            </w:r>
            <w:r>
              <w:rPr>
                <w:rFonts w:ascii="Times New Roman" w:hAnsi="Times New Roman" w:cs="Times New Roman"/>
                <w:color w:val="000000"/>
                <w:lang w:val="sl-SI"/>
              </w:rPr>
              <w:t>,</w:t>
            </w:r>
            <w:r w:rsidRPr="00976ED6">
              <w:rPr>
                <w:rFonts w:ascii="Times New Roman" w:hAnsi="Times New Roman" w:cs="Times New Roman"/>
                <w:color w:val="000000"/>
                <w:lang w:val="sl-SI"/>
              </w:rPr>
              <w:t>0-6</w:t>
            </w:r>
            <w:r>
              <w:rPr>
                <w:rFonts w:ascii="Times New Roman" w:hAnsi="Times New Roman" w:cs="Times New Roman"/>
                <w:color w:val="000000"/>
                <w:lang w:val="sl-SI"/>
              </w:rPr>
              <w:t>,</w:t>
            </w:r>
            <w:r w:rsidRPr="00976ED6">
              <w:rPr>
                <w:rFonts w:ascii="Times New Roman" w:hAnsi="Times New Roman" w:cs="Times New Roman"/>
                <w:color w:val="000000"/>
                <w:lang w:val="sl-SI"/>
              </w:rPr>
              <w:t>5)</w:t>
            </w:r>
          </w:p>
        </w:tc>
      </w:tr>
      <w:tr w:rsidR="003A7B6B" w:rsidRPr="00976ED6" w14:paraId="7173D916" w14:textId="77777777" w:rsidTr="005E6418">
        <w:tc>
          <w:tcPr>
            <w:tcW w:w="1966" w:type="pct"/>
            <w:tcBorders>
              <w:top w:val="single" w:sz="4" w:space="0" w:color="auto"/>
              <w:left w:val="single" w:sz="4" w:space="0" w:color="auto"/>
              <w:bottom w:val="single" w:sz="4" w:space="0" w:color="auto"/>
              <w:right w:val="single" w:sz="4" w:space="0" w:color="auto"/>
            </w:tcBorders>
            <w:hideMark/>
          </w:tcPr>
          <w:p w14:paraId="5612D0A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Išgyvento laikotarpio mediana (mėn.)</w:t>
            </w:r>
          </w:p>
          <w:p w14:paraId="2ADBADA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(95% PI) </w:t>
            </w:r>
          </w:p>
        </w:tc>
        <w:tc>
          <w:tcPr>
            <w:tcW w:w="1367" w:type="pct"/>
            <w:tcBorders>
              <w:top w:val="single" w:sz="4" w:space="0" w:color="auto"/>
              <w:left w:val="single" w:sz="4" w:space="0" w:color="auto"/>
              <w:bottom w:val="single" w:sz="4" w:space="0" w:color="auto"/>
              <w:right w:val="single" w:sz="4" w:space="0" w:color="auto"/>
            </w:tcBorders>
            <w:hideMark/>
          </w:tcPr>
          <w:p w14:paraId="48A1935E" w14:textId="17D136F3"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30</w:t>
            </w:r>
            <w:r>
              <w:rPr>
                <w:rFonts w:ascii="Times New Roman" w:hAnsi="Times New Roman" w:cs="Times New Roman"/>
                <w:color w:val="000000"/>
                <w:lang w:val="sl-SI"/>
              </w:rPr>
              <w:t>,</w:t>
            </w:r>
            <w:r w:rsidRPr="00976ED6">
              <w:rPr>
                <w:rFonts w:ascii="Times New Roman" w:hAnsi="Times New Roman" w:cs="Times New Roman"/>
                <w:color w:val="000000"/>
                <w:lang w:val="sl-SI"/>
              </w:rPr>
              <w:t>5</w:t>
            </w:r>
            <w:r w:rsidRPr="00976ED6">
              <w:rPr>
                <w:rFonts w:ascii="Times New Roman" w:hAnsi="Times New Roman" w:cs="Times New Roman"/>
                <w:color w:val="000000"/>
                <w:vertAlign w:val="superscript"/>
                <w:lang w:val="sl-SI"/>
              </w:rPr>
              <w:t>2</w:t>
            </w:r>
          </w:p>
          <w:p w14:paraId="799F63B9" w14:textId="5035C485"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(26</w:t>
            </w:r>
            <w:r>
              <w:rPr>
                <w:rFonts w:ascii="Times New Roman" w:hAnsi="Times New Roman" w:cs="Times New Roman"/>
                <w:color w:val="000000"/>
                <w:lang w:val="sl-SI"/>
              </w:rPr>
              <w:t>,</w:t>
            </w:r>
            <w:r w:rsidRPr="00976ED6">
              <w:rPr>
                <w:rFonts w:ascii="Times New Roman" w:hAnsi="Times New Roman" w:cs="Times New Roman"/>
                <w:color w:val="000000"/>
                <w:lang w:val="sl-SI"/>
              </w:rPr>
              <w:t>8-nį)</w:t>
            </w:r>
          </w:p>
        </w:tc>
        <w:tc>
          <w:tcPr>
            <w:tcW w:w="1667" w:type="pct"/>
            <w:tcBorders>
              <w:top w:val="single" w:sz="4" w:space="0" w:color="auto"/>
              <w:left w:val="single" w:sz="4" w:space="0" w:color="auto"/>
              <w:bottom w:val="single" w:sz="4" w:space="0" w:color="auto"/>
              <w:right w:val="single" w:sz="4" w:space="0" w:color="auto"/>
            </w:tcBorders>
            <w:hideMark/>
          </w:tcPr>
          <w:p w14:paraId="72C1A398" w14:textId="39C0FDA8"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22</w:t>
            </w:r>
            <w:r>
              <w:rPr>
                <w:rFonts w:ascii="Times New Roman" w:hAnsi="Times New Roman" w:cs="Times New Roman"/>
                <w:color w:val="000000"/>
                <w:lang w:val="sl-SI"/>
              </w:rPr>
              <w:t>,</w:t>
            </w:r>
            <w:r w:rsidRPr="00976ED6">
              <w:rPr>
                <w:rFonts w:ascii="Times New Roman" w:hAnsi="Times New Roman" w:cs="Times New Roman"/>
                <w:color w:val="000000"/>
                <w:lang w:val="sl-SI"/>
              </w:rPr>
              <w:t>1</w:t>
            </w:r>
            <w:r w:rsidRPr="00976ED6">
              <w:rPr>
                <w:rFonts w:ascii="Times New Roman" w:hAnsi="Times New Roman" w:cs="Times New Roman"/>
                <w:color w:val="000000"/>
                <w:vertAlign w:val="superscript"/>
                <w:lang w:val="sl-SI"/>
              </w:rPr>
              <w:t>2</w:t>
            </w:r>
          </w:p>
          <w:p w14:paraId="09ADF3EF" w14:textId="2FDC5618"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(17</w:t>
            </w:r>
            <w:r>
              <w:rPr>
                <w:rFonts w:ascii="Times New Roman" w:hAnsi="Times New Roman" w:cs="Times New Roman"/>
                <w:color w:val="000000"/>
                <w:lang w:val="sl-SI"/>
              </w:rPr>
              <w:t>,</w:t>
            </w:r>
            <w:r w:rsidRPr="00976ED6">
              <w:rPr>
                <w:rFonts w:ascii="Times New Roman" w:hAnsi="Times New Roman" w:cs="Times New Roman"/>
                <w:color w:val="000000"/>
                <w:lang w:val="sl-SI"/>
              </w:rPr>
              <w:t>6-28</w:t>
            </w:r>
            <w:r>
              <w:rPr>
                <w:rFonts w:ascii="Times New Roman" w:hAnsi="Times New Roman" w:cs="Times New Roman"/>
                <w:color w:val="000000"/>
                <w:lang w:val="sl-SI"/>
              </w:rPr>
              <w:t>,</w:t>
            </w:r>
            <w:r w:rsidRPr="00976ED6">
              <w:rPr>
                <w:rFonts w:ascii="Times New Roman" w:hAnsi="Times New Roman" w:cs="Times New Roman"/>
                <w:color w:val="000000"/>
                <w:lang w:val="sl-SI"/>
              </w:rPr>
              <w:t>9)</w:t>
            </w:r>
          </w:p>
        </w:tc>
      </w:tr>
    </w:tbl>
    <w:p w14:paraId="045C02DA"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LLP – laikotarpis iki ligos progresavimo; “nį” rodo, kad jo trukmė negalėjo būti įvertinta arba kad laikas vertinti dar neatėjo.</w:t>
      </w:r>
    </w:p>
    <w:p w14:paraId="58E6215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color w:val="000000"/>
          <w:vertAlign w:val="superscript"/>
          <w:lang w:val="sl-SI"/>
        </w:rPr>
        <w:t xml:space="preserve">1 </w:t>
      </w:r>
      <w:r w:rsidRPr="00976ED6">
        <w:rPr>
          <w:rFonts w:ascii="Times New Roman" w:hAnsi="Times New Roman" w:cs="Times New Roman"/>
          <w:lang w:val="sl-SI"/>
        </w:rPr>
        <w:t>Skaičiuojant visas į tyrimą įtrauktas (planuotas gydyti) pacientes.</w:t>
      </w:r>
    </w:p>
    <w:p w14:paraId="0F9AC128"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color w:val="000000"/>
          <w:vertAlign w:val="superscript"/>
          <w:lang w:val="sl-SI"/>
        </w:rPr>
        <w:t xml:space="preserve">2 </w:t>
      </w:r>
      <w:r w:rsidRPr="00976ED6">
        <w:rPr>
          <w:rFonts w:ascii="Times New Roman" w:hAnsi="Times New Roman" w:cs="Times New Roman"/>
          <w:lang w:val="sl-SI"/>
        </w:rPr>
        <w:t>Apskaičiuotoji išgyvento laikotarpio mediana.</w:t>
      </w:r>
    </w:p>
    <w:p w14:paraId="3EF0E33D"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A4A6E7B"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Docetakselio derinys su kapecitabinu</w:t>
      </w:r>
    </w:p>
    <w:p w14:paraId="547D3DEC"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3BD6D62"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Daugelyje centrų atlikto atsitiktinio kontroliuojamo III fazės klinikinio tyrimo duomenys pagrindžia docetakselio derinimą su kapecitabinu lokaliai progresavusiam ar metastazavusiam krūties vėžiui gydyti po neveiksmingos citotoksinės chemoterapijos, kurios sudėtyje buvo antraciklinas. Šio tyrimo metu 255 pacientės buvo atsitiktinai parinktos vartoti docetakselį (infuzuota 75 mg/m² per 1 val. į veną, kas 3 savaites) ir kapecitabiną (po 1250 mg/m² 2 kartus per parą 2 savaites paskui darant savaitės pertrauką), 256 – tik docetakselį (infuzuota 100 mg/m² per 1 val. į veną, kas 3 savaites). Docetakselį ir kapecitabiną kartu vartojusios grupės pacientės išgyveno ilgiau (p = 0,0126). Išgyvento laikotarpio mediana docetakselio ir kapecitabino derinio grupėje buvo 442 dienos, gydymo tik docetakseliu grupėje – 352 dienos. Bendras objektyvaus atsako dažnis visoje atsitiktinai parinktoje populiacijoje (tyrėjo vertinimu) docetakselio ir kapecitabino derinio grupėje buvo 41,6%, docetakselio – 29,7% (p = 0,0058). Laikotarpis iki ligos progresavimo buvo ilgesnis docetakselio ir kapecitabino derinio grupėje (p &lt; 0,0001). Jo mediana docetakselio ir kapecitabino derinio grupėje buvo 186 dienos, docetakselio – 128 dienos.</w:t>
      </w:r>
    </w:p>
    <w:p w14:paraId="751A42F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B87A299" w14:textId="77777777" w:rsidR="003A7B6B" w:rsidRPr="00976ED6" w:rsidRDefault="003A7B6B" w:rsidP="003A7B6B">
      <w:pPr>
        <w:widowControl w:val="0"/>
        <w:tabs>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Plaučių nesmulkiųjų ląstelių vėžys</w:t>
      </w:r>
    </w:p>
    <w:p w14:paraId="6D75892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511B27CF" w14:textId="77777777" w:rsidR="003A7B6B" w:rsidRPr="002D2EC4" w:rsidRDefault="003A7B6B" w:rsidP="003A7B6B">
      <w:pPr>
        <w:widowControl w:val="0"/>
        <w:tabs>
          <w:tab w:val="left" w:pos="1296"/>
        </w:tabs>
        <w:ind w:left="0" w:firstLine="0"/>
        <w:rPr>
          <w:rFonts w:ascii="Times New Roman" w:hAnsi="Times New Roman" w:cs="Times New Roman"/>
          <w:i/>
          <w:lang w:val="sl-SI"/>
        </w:rPr>
      </w:pPr>
      <w:r w:rsidRPr="002D2EC4">
        <w:rPr>
          <w:rFonts w:ascii="Times New Roman" w:hAnsi="Times New Roman" w:cs="Times New Roman"/>
          <w:i/>
          <w:lang w:val="sl-SI"/>
        </w:rPr>
        <w:t>Pacientai, kuriems anksčiau taikyta chemoterapija (su radioterapija arba be jos)</w:t>
      </w:r>
    </w:p>
    <w:p w14:paraId="19D30240"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F0A00C1"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Su jau gydytais pacientais atliktas III fazės tyrimas parodė, kad, vartojant docetakselį 75 mg/m² dozėmis, laikotarpis iki ligos progresavimo yra reikšmingai ilgesnis negu apsiribojus geriausia palaikomąja priežiūra (laikotarpis iki ligos progresavimo truko atitinkamai 12,3 ir 7 savaites). Vienerius metus išgyvenusių pacientų skaičius docetakselio grupėje taip pat buvo reikšmingai didesnis (atitinkamai 40% ir 16%). Be to, vartojant docetakselį 75 mg/m² dozėmis, mažiau reikėjo morfino grupės analgetikų (p &lt; 0,01), nemorfininių analgetikų (p &lt; 0,01), kitų su liga susijusių vaistų (p &lt; 0,06) ir radioterapijos (p &lt; 0,01) (palyginus su pacientais, turėjusiais geriausią palaikomąją priežiūrą).</w:t>
      </w:r>
    </w:p>
    <w:p w14:paraId="1E61A8B6"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Bendras atsako dažnis, skaičiuojant pacientus, kurių būklę buvo galima įvertinti, buvo 6,8%, atsako trukmės mediana – 26,1 savaitė.</w:t>
      </w:r>
    </w:p>
    <w:p w14:paraId="2392087D"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45C69FE"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Docetakselio derinys su platinos preparatais pacientams, kuriems anksčiau chemoterapija netaikyta</w:t>
      </w:r>
    </w:p>
    <w:p w14:paraId="585B1328"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8FAD639"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III fazės tyrime dalyvavo 1218 pacientų, sirgusių neoperuojamu IIIB ar IV stadijos nesmulkiųjų ląstelių plaučių vėžiu. Jų KPS (būklė pagal </w:t>
      </w:r>
      <w:r w:rsidRPr="00976ED6">
        <w:rPr>
          <w:rFonts w:ascii="Times New Roman" w:hAnsi="Times New Roman" w:cs="Times New Roman"/>
          <w:i/>
          <w:lang w:val="sl-SI"/>
        </w:rPr>
        <w:t>Karnofsky</w:t>
      </w:r>
      <w:r w:rsidRPr="00976ED6">
        <w:rPr>
          <w:rFonts w:ascii="Times New Roman" w:hAnsi="Times New Roman" w:cs="Times New Roman"/>
          <w:lang w:val="sl-SI"/>
        </w:rPr>
        <w:t xml:space="preserve"> skalę) įvertinta 70% arba geriau, dėl šios ligos chemoterapija anksčiau jiems netaikyta. Tyrimo dalyviai buvo atsitiktinai parinkti vartoti: 1) 75 mg/m² docetakselio (T) (infuzijos trukmė – 1 val.) ir paskui tuoj pat 75 mg/m² cisplatinos (Cis) (infuzijos trukmė –30-60 min.), kas 3 savaites (TCis); 2) 75 mg/m² docetakselio (infuzijos trukmė – 1 val.) kartu su karboplatina (plotas po koncentracijos kreive (AUC) – 6 mg/ml x min., infuzijos trukmė – 30-60 min.], kas 3 savaites; arba 3) 25 mg/m² vinorelbino (V) per 6-10 min. (1, 8, 15 ir 22 ciklo dienomis), o paskui 100 mg/m² cisplatinos (1 ciklo dieną), kas 4 savaites (VCis).</w:t>
      </w:r>
    </w:p>
    <w:p w14:paraId="09F929BE"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6C31A1E"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Išgyvenimo trukmės, laikotarpio iki ligos progresavimo medianos, ir atsako dažnio duomenys, nustatyti dvejose tyrimo grupėse, pateikiami lentelėje:</w:t>
      </w:r>
    </w:p>
    <w:p w14:paraId="75CDBE4C" w14:textId="77777777" w:rsidR="003A7B6B" w:rsidRPr="00976ED6" w:rsidRDefault="003A7B6B" w:rsidP="003A7B6B">
      <w:pPr>
        <w:widowControl w:val="0"/>
        <w:tabs>
          <w:tab w:val="left" w:pos="1296"/>
        </w:tabs>
        <w:ind w:left="0" w:firstLine="0"/>
        <w:rPr>
          <w:rFonts w:ascii="Times New Roman" w:hAnsi="Times New Roman" w:cs="Times New Roman"/>
          <w:lang w:val="sl-SI"/>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2"/>
        <w:gridCol w:w="1519"/>
        <w:gridCol w:w="1383"/>
        <w:gridCol w:w="3242"/>
      </w:tblGrid>
      <w:tr w:rsidR="003A7B6B" w:rsidRPr="00976ED6" w14:paraId="0264FDC2" w14:textId="77777777" w:rsidTr="005E6418">
        <w:trPr>
          <w:trHeight w:val="766"/>
        </w:trPr>
        <w:tc>
          <w:tcPr>
            <w:tcW w:w="1695" w:type="pct"/>
            <w:tcBorders>
              <w:top w:val="single" w:sz="4" w:space="0" w:color="auto"/>
              <w:left w:val="single" w:sz="4" w:space="0" w:color="auto"/>
              <w:bottom w:val="single" w:sz="4" w:space="0" w:color="auto"/>
              <w:right w:val="single" w:sz="4" w:space="0" w:color="auto"/>
            </w:tcBorders>
          </w:tcPr>
          <w:p w14:paraId="710A5BC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tc>
        <w:tc>
          <w:tcPr>
            <w:tcW w:w="817" w:type="pct"/>
            <w:tcBorders>
              <w:top w:val="single" w:sz="4" w:space="0" w:color="auto"/>
              <w:left w:val="single" w:sz="4" w:space="0" w:color="auto"/>
              <w:bottom w:val="single" w:sz="4" w:space="0" w:color="auto"/>
              <w:right w:val="single" w:sz="4" w:space="0" w:color="auto"/>
            </w:tcBorders>
            <w:hideMark/>
          </w:tcPr>
          <w:p w14:paraId="35709A6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TCis</w:t>
            </w:r>
          </w:p>
          <w:p w14:paraId="3BE0D7B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 = 408</w:t>
            </w:r>
          </w:p>
        </w:tc>
        <w:tc>
          <w:tcPr>
            <w:tcW w:w="744" w:type="pct"/>
            <w:tcBorders>
              <w:top w:val="single" w:sz="4" w:space="0" w:color="auto"/>
              <w:left w:val="single" w:sz="4" w:space="0" w:color="auto"/>
              <w:bottom w:val="single" w:sz="4" w:space="0" w:color="auto"/>
              <w:right w:val="single" w:sz="4" w:space="0" w:color="auto"/>
            </w:tcBorders>
          </w:tcPr>
          <w:p w14:paraId="3BC0169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VCis</w:t>
            </w:r>
          </w:p>
          <w:p w14:paraId="53307966"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 = 404</w:t>
            </w:r>
          </w:p>
          <w:p w14:paraId="05AE1B4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p>
        </w:tc>
        <w:tc>
          <w:tcPr>
            <w:tcW w:w="1744" w:type="pct"/>
            <w:tcBorders>
              <w:top w:val="single" w:sz="4" w:space="0" w:color="auto"/>
              <w:left w:val="single" w:sz="4" w:space="0" w:color="auto"/>
              <w:bottom w:val="single" w:sz="4" w:space="0" w:color="auto"/>
              <w:right w:val="single" w:sz="4" w:space="0" w:color="auto"/>
            </w:tcBorders>
            <w:hideMark/>
          </w:tcPr>
          <w:p w14:paraId="0358D80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Statistinė analizė</w:t>
            </w:r>
          </w:p>
        </w:tc>
      </w:tr>
      <w:tr w:rsidR="003A7B6B" w:rsidRPr="00976ED6" w14:paraId="7909E9AE" w14:textId="77777777" w:rsidTr="005E6418">
        <w:trPr>
          <w:trHeight w:val="1801"/>
        </w:trPr>
        <w:tc>
          <w:tcPr>
            <w:tcW w:w="1695" w:type="pct"/>
            <w:tcBorders>
              <w:top w:val="single" w:sz="4" w:space="0" w:color="auto"/>
              <w:left w:val="single" w:sz="4" w:space="0" w:color="auto"/>
              <w:bottom w:val="single" w:sz="4" w:space="0" w:color="auto"/>
              <w:right w:val="single" w:sz="4" w:space="0" w:color="auto"/>
            </w:tcBorders>
          </w:tcPr>
          <w:p w14:paraId="7767B43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Bendras išgyvenamumas</w:t>
            </w:r>
          </w:p>
          <w:p w14:paraId="6078CF4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(pagrindinis rodiklis)</w:t>
            </w:r>
          </w:p>
          <w:p w14:paraId="15B419E1" w14:textId="77777777" w:rsidR="003A7B6B" w:rsidRPr="00976ED6" w:rsidRDefault="003A7B6B" w:rsidP="005E6418">
            <w:pPr>
              <w:widowControl w:val="0"/>
              <w:tabs>
                <w:tab w:val="left" w:pos="567"/>
                <w:tab w:val="left" w:pos="1296"/>
              </w:tabs>
              <w:ind w:left="0" w:firstLine="0"/>
              <w:jc w:val="right"/>
              <w:rPr>
                <w:rFonts w:ascii="Times New Roman" w:hAnsi="Times New Roman" w:cs="Times New Roman"/>
                <w:color w:val="000000"/>
                <w:lang w:val="sl-SI"/>
              </w:rPr>
            </w:pPr>
            <w:r w:rsidRPr="00976ED6">
              <w:rPr>
                <w:rFonts w:ascii="Times New Roman" w:hAnsi="Times New Roman" w:cs="Times New Roman"/>
                <w:color w:val="000000"/>
                <w:lang w:val="sl-SI"/>
              </w:rPr>
              <w:t>Išgyvento laikotarpio mediana (mėn.)</w:t>
            </w:r>
          </w:p>
          <w:p w14:paraId="39518CBA" w14:textId="77777777" w:rsidR="003A7B6B" w:rsidRPr="00976ED6" w:rsidRDefault="003A7B6B" w:rsidP="005E6418">
            <w:pPr>
              <w:widowControl w:val="0"/>
              <w:tabs>
                <w:tab w:val="left" w:pos="567"/>
                <w:tab w:val="left" w:pos="1296"/>
              </w:tabs>
              <w:ind w:left="0" w:firstLine="0"/>
              <w:jc w:val="right"/>
              <w:rPr>
                <w:rFonts w:ascii="Times New Roman" w:hAnsi="Times New Roman" w:cs="Times New Roman"/>
                <w:lang w:val="sl-SI"/>
              </w:rPr>
            </w:pPr>
            <w:r w:rsidRPr="00976ED6">
              <w:rPr>
                <w:rFonts w:ascii="Times New Roman" w:hAnsi="Times New Roman" w:cs="Times New Roman"/>
                <w:lang w:val="sl-SI"/>
              </w:rPr>
              <w:t>1 metus išgyvenę pacientai (%)</w:t>
            </w:r>
          </w:p>
          <w:p w14:paraId="08909A0F"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p>
          <w:p w14:paraId="2E72E6CD" w14:textId="77777777" w:rsidR="003A7B6B" w:rsidRPr="00976ED6" w:rsidRDefault="003A7B6B" w:rsidP="005E6418">
            <w:pPr>
              <w:widowControl w:val="0"/>
              <w:tabs>
                <w:tab w:val="left" w:pos="567"/>
                <w:tab w:val="left" w:pos="1296"/>
              </w:tabs>
              <w:ind w:left="0" w:firstLine="0"/>
              <w:jc w:val="right"/>
              <w:rPr>
                <w:rFonts w:ascii="Times New Roman" w:hAnsi="Times New Roman" w:cs="Times New Roman"/>
                <w:lang w:val="sl-SI"/>
              </w:rPr>
            </w:pPr>
            <w:r w:rsidRPr="00976ED6">
              <w:rPr>
                <w:rFonts w:ascii="Times New Roman" w:hAnsi="Times New Roman" w:cs="Times New Roman"/>
                <w:lang w:val="sl-SI"/>
              </w:rPr>
              <w:t>2 metus išgyvenę pacientai (%)</w:t>
            </w:r>
          </w:p>
        </w:tc>
        <w:tc>
          <w:tcPr>
            <w:tcW w:w="817" w:type="pct"/>
            <w:tcBorders>
              <w:top w:val="single" w:sz="4" w:space="0" w:color="auto"/>
              <w:left w:val="single" w:sz="4" w:space="0" w:color="auto"/>
              <w:bottom w:val="single" w:sz="4" w:space="0" w:color="auto"/>
              <w:right w:val="single" w:sz="4" w:space="0" w:color="auto"/>
            </w:tcBorders>
          </w:tcPr>
          <w:p w14:paraId="090D068A"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53C09B39"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1F0FB14D" w14:textId="32DFAC70"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11</w:t>
            </w:r>
            <w:r>
              <w:rPr>
                <w:rFonts w:ascii="Times New Roman" w:hAnsi="Times New Roman" w:cs="Times New Roman"/>
                <w:color w:val="000000"/>
                <w:lang w:val="sl-SI"/>
              </w:rPr>
              <w:t>,</w:t>
            </w:r>
            <w:r w:rsidRPr="00976ED6">
              <w:rPr>
                <w:rFonts w:ascii="Times New Roman" w:hAnsi="Times New Roman" w:cs="Times New Roman"/>
                <w:color w:val="000000"/>
                <w:lang w:val="sl-SI"/>
              </w:rPr>
              <w:t>3</w:t>
            </w:r>
          </w:p>
          <w:p w14:paraId="38119769"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15EA7914"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46</w:t>
            </w:r>
          </w:p>
          <w:p w14:paraId="5F33B740"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5E09FAEC"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21</w:t>
            </w:r>
          </w:p>
        </w:tc>
        <w:tc>
          <w:tcPr>
            <w:tcW w:w="744" w:type="pct"/>
            <w:tcBorders>
              <w:top w:val="single" w:sz="4" w:space="0" w:color="auto"/>
              <w:left w:val="single" w:sz="4" w:space="0" w:color="auto"/>
              <w:bottom w:val="single" w:sz="4" w:space="0" w:color="auto"/>
              <w:right w:val="single" w:sz="4" w:space="0" w:color="auto"/>
            </w:tcBorders>
          </w:tcPr>
          <w:p w14:paraId="3FEC266C"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618ACC48"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24CBD833" w14:textId="49E716BC"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10</w:t>
            </w:r>
            <w:r>
              <w:rPr>
                <w:rFonts w:ascii="Times New Roman" w:hAnsi="Times New Roman" w:cs="Times New Roman"/>
                <w:color w:val="000000"/>
                <w:lang w:val="sl-SI"/>
              </w:rPr>
              <w:t>,</w:t>
            </w:r>
            <w:r w:rsidRPr="00976ED6">
              <w:rPr>
                <w:rFonts w:ascii="Times New Roman" w:hAnsi="Times New Roman" w:cs="Times New Roman"/>
                <w:color w:val="000000"/>
                <w:lang w:val="sl-SI"/>
              </w:rPr>
              <w:t>1</w:t>
            </w:r>
          </w:p>
          <w:p w14:paraId="3B31E189"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03A629C7"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41</w:t>
            </w:r>
          </w:p>
          <w:p w14:paraId="189D6514"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693B6311"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14</w:t>
            </w:r>
          </w:p>
        </w:tc>
        <w:tc>
          <w:tcPr>
            <w:tcW w:w="1744" w:type="pct"/>
            <w:tcBorders>
              <w:top w:val="single" w:sz="4" w:space="0" w:color="auto"/>
              <w:left w:val="single" w:sz="4" w:space="0" w:color="auto"/>
              <w:bottom w:val="single" w:sz="4" w:space="0" w:color="auto"/>
              <w:right w:val="single" w:sz="4" w:space="0" w:color="auto"/>
            </w:tcBorders>
          </w:tcPr>
          <w:p w14:paraId="265462DC"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0E616A0A"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4A2DCC7C" w14:textId="4160002A"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Santykinė rizika: 1</w:t>
            </w:r>
            <w:r>
              <w:rPr>
                <w:rFonts w:ascii="Times New Roman" w:hAnsi="Times New Roman" w:cs="Times New Roman"/>
                <w:color w:val="000000"/>
                <w:lang w:val="sl-SI"/>
              </w:rPr>
              <w:t>,</w:t>
            </w:r>
            <w:r w:rsidRPr="00976ED6">
              <w:rPr>
                <w:rFonts w:ascii="Times New Roman" w:hAnsi="Times New Roman" w:cs="Times New Roman"/>
                <w:color w:val="000000"/>
                <w:lang w:val="sl-SI"/>
              </w:rPr>
              <w:t>122</w:t>
            </w:r>
          </w:p>
          <w:p w14:paraId="5A0A9C7E" w14:textId="7E550D89"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[97</w:t>
            </w:r>
            <w:r>
              <w:rPr>
                <w:rFonts w:ascii="Times New Roman" w:hAnsi="Times New Roman" w:cs="Times New Roman"/>
                <w:color w:val="000000"/>
                <w:lang w:val="sl-SI"/>
              </w:rPr>
              <w:t>,</w:t>
            </w:r>
            <w:r w:rsidRPr="00976ED6">
              <w:rPr>
                <w:rFonts w:ascii="Times New Roman" w:hAnsi="Times New Roman" w:cs="Times New Roman"/>
                <w:color w:val="000000"/>
                <w:lang w:val="sl-SI"/>
              </w:rPr>
              <w:t>2% PI: 0</w:t>
            </w:r>
            <w:r>
              <w:rPr>
                <w:rFonts w:ascii="Times New Roman" w:hAnsi="Times New Roman" w:cs="Times New Roman"/>
                <w:color w:val="000000"/>
                <w:lang w:val="sl-SI"/>
              </w:rPr>
              <w:t>,</w:t>
            </w:r>
            <w:r w:rsidRPr="00976ED6">
              <w:rPr>
                <w:rFonts w:ascii="Times New Roman" w:hAnsi="Times New Roman" w:cs="Times New Roman"/>
                <w:color w:val="000000"/>
                <w:lang w:val="sl-SI"/>
              </w:rPr>
              <w:t>937; 1</w:t>
            </w:r>
            <w:r>
              <w:rPr>
                <w:rFonts w:ascii="Times New Roman" w:hAnsi="Times New Roman" w:cs="Times New Roman"/>
                <w:color w:val="000000"/>
                <w:lang w:val="sl-SI"/>
              </w:rPr>
              <w:t>,</w:t>
            </w:r>
            <w:r w:rsidRPr="00976ED6">
              <w:rPr>
                <w:rFonts w:ascii="Times New Roman" w:hAnsi="Times New Roman" w:cs="Times New Roman"/>
                <w:color w:val="000000"/>
                <w:lang w:val="sl-SI"/>
              </w:rPr>
              <w:t>342]*</w:t>
            </w:r>
          </w:p>
          <w:p w14:paraId="642279BE" w14:textId="0EBC613E"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Su gydymu susijęs skirtumas: 5</w:t>
            </w:r>
            <w:r>
              <w:rPr>
                <w:rFonts w:ascii="Times New Roman" w:hAnsi="Times New Roman" w:cs="Times New Roman"/>
                <w:color w:val="000000"/>
                <w:lang w:val="sl-SI"/>
              </w:rPr>
              <w:t>,</w:t>
            </w:r>
            <w:r w:rsidRPr="00976ED6">
              <w:rPr>
                <w:rFonts w:ascii="Times New Roman" w:hAnsi="Times New Roman" w:cs="Times New Roman"/>
                <w:color w:val="000000"/>
                <w:lang w:val="sl-SI"/>
              </w:rPr>
              <w:t>4% [95% CI: -1</w:t>
            </w:r>
            <w:r>
              <w:rPr>
                <w:rFonts w:ascii="Times New Roman" w:hAnsi="Times New Roman" w:cs="Times New Roman"/>
                <w:color w:val="000000"/>
                <w:lang w:val="sl-SI"/>
              </w:rPr>
              <w:t>,</w:t>
            </w:r>
            <w:r w:rsidRPr="00976ED6">
              <w:rPr>
                <w:rFonts w:ascii="Times New Roman" w:hAnsi="Times New Roman" w:cs="Times New Roman"/>
                <w:color w:val="000000"/>
                <w:lang w:val="sl-SI"/>
              </w:rPr>
              <w:t>1; 12</w:t>
            </w:r>
            <w:r>
              <w:rPr>
                <w:rFonts w:ascii="Times New Roman" w:hAnsi="Times New Roman" w:cs="Times New Roman"/>
                <w:color w:val="000000"/>
                <w:lang w:val="sl-SI"/>
              </w:rPr>
              <w:t>,</w:t>
            </w:r>
            <w:r w:rsidRPr="00976ED6">
              <w:rPr>
                <w:rFonts w:ascii="Times New Roman" w:hAnsi="Times New Roman" w:cs="Times New Roman"/>
                <w:color w:val="000000"/>
                <w:lang w:val="sl-SI"/>
              </w:rPr>
              <w:t>0] *</w:t>
            </w:r>
          </w:p>
          <w:p w14:paraId="19A5646A" w14:textId="11BBE6D9"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Su gydymu susijęs skirtumas: 6</w:t>
            </w:r>
            <w:r>
              <w:rPr>
                <w:rFonts w:ascii="Times New Roman" w:hAnsi="Times New Roman" w:cs="Times New Roman"/>
                <w:color w:val="000000"/>
                <w:lang w:val="sl-SI"/>
              </w:rPr>
              <w:t>,</w:t>
            </w:r>
            <w:r w:rsidRPr="00976ED6">
              <w:rPr>
                <w:rFonts w:ascii="Times New Roman" w:hAnsi="Times New Roman" w:cs="Times New Roman"/>
                <w:color w:val="000000"/>
                <w:lang w:val="sl-SI"/>
              </w:rPr>
              <w:t>2% [95% CI: 0</w:t>
            </w:r>
            <w:r>
              <w:rPr>
                <w:rFonts w:ascii="Times New Roman" w:hAnsi="Times New Roman" w:cs="Times New Roman"/>
                <w:color w:val="000000"/>
                <w:lang w:val="sl-SI"/>
              </w:rPr>
              <w:t>,</w:t>
            </w:r>
            <w:r w:rsidRPr="00976ED6">
              <w:rPr>
                <w:rFonts w:ascii="Times New Roman" w:hAnsi="Times New Roman" w:cs="Times New Roman"/>
                <w:color w:val="000000"/>
                <w:lang w:val="sl-SI"/>
              </w:rPr>
              <w:t>2; 12</w:t>
            </w:r>
            <w:r>
              <w:rPr>
                <w:rFonts w:ascii="Times New Roman" w:hAnsi="Times New Roman" w:cs="Times New Roman"/>
                <w:color w:val="000000"/>
                <w:lang w:val="sl-SI"/>
              </w:rPr>
              <w:t>,</w:t>
            </w:r>
            <w:r w:rsidRPr="00976ED6">
              <w:rPr>
                <w:rFonts w:ascii="Times New Roman" w:hAnsi="Times New Roman" w:cs="Times New Roman"/>
                <w:color w:val="000000"/>
                <w:lang w:val="sl-SI"/>
              </w:rPr>
              <w:t>3]</w:t>
            </w:r>
          </w:p>
        </w:tc>
      </w:tr>
      <w:tr w:rsidR="003A7B6B" w:rsidRPr="00976ED6" w14:paraId="694723C3" w14:textId="77777777" w:rsidTr="005E6418">
        <w:tc>
          <w:tcPr>
            <w:tcW w:w="1695" w:type="pct"/>
            <w:tcBorders>
              <w:top w:val="single" w:sz="4" w:space="0" w:color="auto"/>
              <w:left w:val="single" w:sz="4" w:space="0" w:color="auto"/>
              <w:bottom w:val="single" w:sz="4" w:space="0" w:color="auto"/>
              <w:right w:val="single" w:sz="4" w:space="0" w:color="auto"/>
            </w:tcBorders>
            <w:hideMark/>
          </w:tcPr>
          <w:p w14:paraId="0C56BAB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Laikotarpio iki ligos progresavimo mediana (savaitės)</w:t>
            </w:r>
          </w:p>
        </w:tc>
        <w:tc>
          <w:tcPr>
            <w:tcW w:w="817" w:type="pct"/>
            <w:tcBorders>
              <w:top w:val="single" w:sz="4" w:space="0" w:color="auto"/>
              <w:left w:val="single" w:sz="4" w:space="0" w:color="auto"/>
              <w:bottom w:val="single" w:sz="4" w:space="0" w:color="auto"/>
              <w:right w:val="single" w:sz="4" w:space="0" w:color="auto"/>
            </w:tcBorders>
          </w:tcPr>
          <w:p w14:paraId="7646A851"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0FB42C75" w14:textId="7093CBED"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22</w:t>
            </w:r>
            <w:r>
              <w:rPr>
                <w:rFonts w:ascii="Times New Roman" w:hAnsi="Times New Roman" w:cs="Times New Roman"/>
                <w:color w:val="000000"/>
                <w:lang w:val="sl-SI"/>
              </w:rPr>
              <w:t>,</w:t>
            </w:r>
            <w:r w:rsidRPr="00976ED6">
              <w:rPr>
                <w:rFonts w:ascii="Times New Roman" w:hAnsi="Times New Roman" w:cs="Times New Roman"/>
                <w:color w:val="000000"/>
                <w:lang w:val="sl-SI"/>
              </w:rPr>
              <w:t>0</w:t>
            </w:r>
          </w:p>
        </w:tc>
        <w:tc>
          <w:tcPr>
            <w:tcW w:w="744" w:type="pct"/>
            <w:tcBorders>
              <w:top w:val="single" w:sz="4" w:space="0" w:color="auto"/>
              <w:left w:val="single" w:sz="4" w:space="0" w:color="auto"/>
              <w:bottom w:val="single" w:sz="4" w:space="0" w:color="auto"/>
              <w:right w:val="single" w:sz="4" w:space="0" w:color="auto"/>
            </w:tcBorders>
          </w:tcPr>
          <w:p w14:paraId="0E1A2FE4"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p>
          <w:p w14:paraId="1DABF7D3" w14:textId="71032CAB"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23</w:t>
            </w:r>
            <w:r>
              <w:rPr>
                <w:rFonts w:ascii="Times New Roman" w:hAnsi="Times New Roman" w:cs="Times New Roman"/>
                <w:color w:val="000000"/>
                <w:lang w:val="sl-SI"/>
              </w:rPr>
              <w:t>,</w:t>
            </w:r>
            <w:r w:rsidRPr="00976ED6">
              <w:rPr>
                <w:rFonts w:ascii="Times New Roman" w:hAnsi="Times New Roman" w:cs="Times New Roman"/>
                <w:color w:val="000000"/>
                <w:lang w:val="sl-SI"/>
              </w:rPr>
              <w:t>0</w:t>
            </w:r>
          </w:p>
        </w:tc>
        <w:tc>
          <w:tcPr>
            <w:tcW w:w="1744" w:type="pct"/>
            <w:tcBorders>
              <w:top w:val="single" w:sz="4" w:space="0" w:color="auto"/>
              <w:left w:val="single" w:sz="4" w:space="0" w:color="auto"/>
              <w:bottom w:val="single" w:sz="4" w:space="0" w:color="auto"/>
              <w:right w:val="single" w:sz="4" w:space="0" w:color="auto"/>
            </w:tcBorders>
            <w:hideMark/>
          </w:tcPr>
          <w:p w14:paraId="694F23C1" w14:textId="21D599C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Santykinė rizika: 1</w:t>
            </w:r>
            <w:r>
              <w:rPr>
                <w:rFonts w:ascii="Times New Roman" w:hAnsi="Times New Roman" w:cs="Times New Roman"/>
                <w:color w:val="000000"/>
                <w:lang w:val="sl-SI"/>
              </w:rPr>
              <w:t>,</w:t>
            </w:r>
            <w:r w:rsidRPr="00976ED6">
              <w:rPr>
                <w:rFonts w:ascii="Times New Roman" w:hAnsi="Times New Roman" w:cs="Times New Roman"/>
                <w:color w:val="000000"/>
                <w:lang w:val="sl-SI"/>
              </w:rPr>
              <w:t>032</w:t>
            </w:r>
          </w:p>
          <w:p w14:paraId="1C1B959B" w14:textId="368B60A1"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[95% CI: 0</w:t>
            </w:r>
            <w:r>
              <w:rPr>
                <w:rFonts w:ascii="Times New Roman" w:hAnsi="Times New Roman" w:cs="Times New Roman"/>
                <w:color w:val="000000"/>
                <w:lang w:val="sl-SI"/>
              </w:rPr>
              <w:t>,</w:t>
            </w:r>
            <w:r w:rsidRPr="00976ED6">
              <w:rPr>
                <w:rFonts w:ascii="Times New Roman" w:hAnsi="Times New Roman" w:cs="Times New Roman"/>
                <w:color w:val="000000"/>
                <w:lang w:val="sl-SI"/>
              </w:rPr>
              <w:t>876; 1</w:t>
            </w:r>
            <w:r>
              <w:rPr>
                <w:rFonts w:ascii="Times New Roman" w:hAnsi="Times New Roman" w:cs="Times New Roman"/>
                <w:color w:val="000000"/>
                <w:lang w:val="sl-SI"/>
              </w:rPr>
              <w:t>,</w:t>
            </w:r>
            <w:r w:rsidRPr="00976ED6">
              <w:rPr>
                <w:rFonts w:ascii="Times New Roman" w:hAnsi="Times New Roman" w:cs="Times New Roman"/>
                <w:color w:val="000000"/>
                <w:lang w:val="sl-SI"/>
              </w:rPr>
              <w:t>216]</w:t>
            </w:r>
          </w:p>
        </w:tc>
      </w:tr>
      <w:tr w:rsidR="003A7B6B" w:rsidRPr="00976ED6" w14:paraId="48776EE4" w14:textId="77777777" w:rsidTr="005E6418">
        <w:tc>
          <w:tcPr>
            <w:tcW w:w="1695" w:type="pct"/>
            <w:tcBorders>
              <w:top w:val="single" w:sz="4" w:space="0" w:color="auto"/>
              <w:left w:val="single" w:sz="4" w:space="0" w:color="auto"/>
              <w:bottom w:val="single" w:sz="4" w:space="0" w:color="auto"/>
              <w:right w:val="single" w:sz="4" w:space="0" w:color="auto"/>
            </w:tcBorders>
            <w:hideMark/>
          </w:tcPr>
          <w:p w14:paraId="6933E27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Bendras atsako dažnis (%): </w:t>
            </w:r>
          </w:p>
        </w:tc>
        <w:tc>
          <w:tcPr>
            <w:tcW w:w="817" w:type="pct"/>
            <w:tcBorders>
              <w:top w:val="single" w:sz="4" w:space="0" w:color="auto"/>
              <w:left w:val="single" w:sz="4" w:space="0" w:color="auto"/>
              <w:bottom w:val="single" w:sz="4" w:space="0" w:color="auto"/>
              <w:right w:val="single" w:sz="4" w:space="0" w:color="auto"/>
            </w:tcBorders>
            <w:hideMark/>
          </w:tcPr>
          <w:p w14:paraId="06845F14" w14:textId="1C06E438"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31</w:t>
            </w:r>
            <w:r>
              <w:rPr>
                <w:rFonts w:ascii="Times New Roman" w:hAnsi="Times New Roman" w:cs="Times New Roman"/>
                <w:color w:val="000000"/>
                <w:lang w:val="sl-SI"/>
              </w:rPr>
              <w:t>,</w:t>
            </w:r>
            <w:r w:rsidRPr="00976ED6">
              <w:rPr>
                <w:rFonts w:ascii="Times New Roman" w:hAnsi="Times New Roman" w:cs="Times New Roman"/>
                <w:color w:val="000000"/>
                <w:lang w:val="sl-SI"/>
              </w:rPr>
              <w:t>6</w:t>
            </w:r>
          </w:p>
        </w:tc>
        <w:tc>
          <w:tcPr>
            <w:tcW w:w="744" w:type="pct"/>
            <w:tcBorders>
              <w:top w:val="single" w:sz="4" w:space="0" w:color="auto"/>
              <w:left w:val="single" w:sz="4" w:space="0" w:color="auto"/>
              <w:bottom w:val="single" w:sz="4" w:space="0" w:color="auto"/>
              <w:right w:val="single" w:sz="4" w:space="0" w:color="auto"/>
            </w:tcBorders>
            <w:hideMark/>
          </w:tcPr>
          <w:p w14:paraId="1F40464E" w14:textId="4F6E091E"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24</w:t>
            </w:r>
            <w:r>
              <w:rPr>
                <w:rFonts w:ascii="Times New Roman" w:hAnsi="Times New Roman" w:cs="Times New Roman"/>
                <w:color w:val="000000"/>
                <w:lang w:val="sl-SI"/>
              </w:rPr>
              <w:t>,</w:t>
            </w:r>
            <w:r w:rsidRPr="00976ED6">
              <w:rPr>
                <w:rFonts w:ascii="Times New Roman" w:hAnsi="Times New Roman" w:cs="Times New Roman"/>
                <w:color w:val="000000"/>
                <w:lang w:val="sl-SI"/>
              </w:rPr>
              <w:t>5</w:t>
            </w:r>
          </w:p>
        </w:tc>
        <w:tc>
          <w:tcPr>
            <w:tcW w:w="1744" w:type="pct"/>
            <w:tcBorders>
              <w:top w:val="single" w:sz="4" w:space="0" w:color="auto"/>
              <w:left w:val="single" w:sz="4" w:space="0" w:color="auto"/>
              <w:bottom w:val="single" w:sz="4" w:space="0" w:color="auto"/>
              <w:right w:val="single" w:sz="4" w:space="0" w:color="auto"/>
            </w:tcBorders>
            <w:hideMark/>
          </w:tcPr>
          <w:p w14:paraId="7FD5CF1C" w14:textId="033365FD"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Su gydymu susjęs skirtumas: 7</w:t>
            </w:r>
            <w:r>
              <w:rPr>
                <w:rFonts w:ascii="Times New Roman" w:hAnsi="Times New Roman" w:cs="Times New Roman"/>
                <w:color w:val="000000"/>
                <w:lang w:val="sl-SI"/>
              </w:rPr>
              <w:t>,</w:t>
            </w:r>
            <w:r w:rsidRPr="00976ED6">
              <w:rPr>
                <w:rFonts w:ascii="Times New Roman" w:hAnsi="Times New Roman" w:cs="Times New Roman"/>
                <w:color w:val="000000"/>
                <w:lang w:val="sl-SI"/>
              </w:rPr>
              <w:t>1% [95% CI: 0</w:t>
            </w:r>
            <w:r>
              <w:rPr>
                <w:rFonts w:ascii="Times New Roman" w:hAnsi="Times New Roman" w:cs="Times New Roman"/>
                <w:color w:val="000000"/>
                <w:lang w:val="sl-SI"/>
              </w:rPr>
              <w:t>,</w:t>
            </w:r>
            <w:r w:rsidRPr="00976ED6">
              <w:rPr>
                <w:rFonts w:ascii="Times New Roman" w:hAnsi="Times New Roman" w:cs="Times New Roman"/>
                <w:color w:val="000000"/>
                <w:lang w:val="sl-SI"/>
              </w:rPr>
              <w:t>7; 13</w:t>
            </w:r>
            <w:r>
              <w:rPr>
                <w:rFonts w:ascii="Times New Roman" w:hAnsi="Times New Roman" w:cs="Times New Roman"/>
                <w:color w:val="000000"/>
                <w:lang w:val="sl-SI"/>
              </w:rPr>
              <w:t>,</w:t>
            </w:r>
            <w:r w:rsidRPr="00976ED6">
              <w:rPr>
                <w:rFonts w:ascii="Times New Roman" w:hAnsi="Times New Roman" w:cs="Times New Roman"/>
                <w:color w:val="000000"/>
                <w:lang w:val="sl-SI"/>
              </w:rPr>
              <w:t>5]</w:t>
            </w:r>
          </w:p>
        </w:tc>
      </w:tr>
    </w:tbl>
    <w:p w14:paraId="28E5F546"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Koreguota daugeliui lyginimų ir pritaikyta stratifikavimo veiksniams (ligos stadijai, gydymo regionui), remiantis pacientų populiacijos, kurios stebėjimo duomenis galima įvertinti, duomenimis.</w:t>
      </w:r>
    </w:p>
    <w:p w14:paraId="18FF4D1B"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p>
    <w:p w14:paraId="153DD40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Antriniai rodikliai buvo skausmo, bendros gyvenimo kokybės </w:t>
      </w:r>
      <w:r w:rsidRPr="00976ED6">
        <w:rPr>
          <w:rFonts w:ascii="Times New Roman" w:hAnsi="Times New Roman" w:cs="Times New Roman"/>
          <w:i/>
          <w:lang w:val="sl-SI"/>
        </w:rPr>
        <w:t>(EuroQoL-5D</w:t>
      </w:r>
      <w:r w:rsidRPr="00976ED6">
        <w:rPr>
          <w:rFonts w:ascii="Times New Roman" w:hAnsi="Times New Roman" w:cs="Times New Roman"/>
          <w:lang w:val="sl-SI"/>
        </w:rPr>
        <w:t xml:space="preserve">), įvertinimo pagal plaučių vėžio simptomų skalę ir būklės pagal </w:t>
      </w:r>
      <w:r w:rsidRPr="00976ED6">
        <w:rPr>
          <w:rFonts w:ascii="Times New Roman" w:hAnsi="Times New Roman" w:cs="Times New Roman"/>
          <w:i/>
          <w:lang w:val="sl-SI"/>
        </w:rPr>
        <w:t>Karnofsky</w:t>
      </w:r>
      <w:r w:rsidRPr="00976ED6">
        <w:rPr>
          <w:rFonts w:ascii="Times New Roman" w:hAnsi="Times New Roman" w:cs="Times New Roman"/>
          <w:lang w:val="sl-SI"/>
        </w:rPr>
        <w:t xml:space="preserve"> skalę pokyčiai. Gydymo veiksmingumo vertinimas pagal šiuos rodiklius patvirtino pagrindinio rodiklio duomenis.</w:t>
      </w:r>
    </w:p>
    <w:p w14:paraId="7FFB2A56"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1942EB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Nepavyko įrodyti nei ekvivalentiško, nei ne mažesnio docetakselio ir karboplatinos derinio veiksmingumo palyginus su vinorelbino ir cisplatinos deriniu.</w:t>
      </w:r>
    </w:p>
    <w:p w14:paraId="0CD1C82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6F747B1" w14:textId="77777777" w:rsidR="003A7B6B" w:rsidRPr="00976ED6" w:rsidRDefault="003A7B6B" w:rsidP="003A7B6B">
      <w:pPr>
        <w:widowControl w:val="0"/>
        <w:tabs>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Prostatos vėžys</w:t>
      </w:r>
    </w:p>
    <w:p w14:paraId="378649DC"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5CC60BA" w14:textId="77777777" w:rsidR="003A7B6B" w:rsidRPr="002D2EC4" w:rsidRDefault="003A7B6B" w:rsidP="003A7B6B">
      <w:pPr>
        <w:widowControl w:val="0"/>
        <w:tabs>
          <w:tab w:val="left" w:pos="1296"/>
        </w:tabs>
        <w:ind w:left="0" w:firstLine="0"/>
        <w:rPr>
          <w:rFonts w:ascii="Times New Roman" w:hAnsi="Times New Roman" w:cs="Times New Roman"/>
          <w:u w:val="single"/>
        </w:rPr>
      </w:pPr>
      <w:r w:rsidRPr="002D2EC4">
        <w:rPr>
          <w:rFonts w:ascii="Times New Roman" w:hAnsi="Times New Roman" w:cs="Times New Roman"/>
          <w:u w:val="single"/>
        </w:rPr>
        <w:t>Metastazavęs kastracijai atsparus prostatos vėžys</w:t>
      </w:r>
    </w:p>
    <w:p w14:paraId="7CA7974F" w14:textId="77777777" w:rsidR="003A7B6B" w:rsidRPr="002D2EC4" w:rsidRDefault="003A7B6B" w:rsidP="003A7B6B">
      <w:pPr>
        <w:widowControl w:val="0"/>
        <w:tabs>
          <w:tab w:val="left" w:pos="1296"/>
        </w:tabs>
        <w:ind w:left="0" w:firstLine="0"/>
        <w:rPr>
          <w:rFonts w:ascii="Times New Roman" w:hAnsi="Times New Roman" w:cs="Times New Roman"/>
        </w:rPr>
      </w:pPr>
    </w:p>
    <w:p w14:paraId="4464A670" w14:textId="65DC446B"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Docetakselio, vartojamo kartu su prednizonu ar prednizolonu, saugumas ir veiksmingumas </w:t>
      </w:r>
      <w:r w:rsidRPr="00605088">
        <w:rPr>
          <w:rFonts w:ascii="Times New Roman" w:hAnsi="Times New Roman" w:cs="Times New Roman"/>
          <w:lang w:val="sl-SI"/>
        </w:rPr>
        <w:t>metastazavusiu kastracijai</w:t>
      </w:r>
      <w:r w:rsidRPr="00976ED6">
        <w:rPr>
          <w:rFonts w:ascii="Times New Roman" w:hAnsi="Times New Roman" w:cs="Times New Roman"/>
          <w:lang w:val="sl-SI"/>
        </w:rPr>
        <w:t xml:space="preserve"> atspariu metastazavusiu prostatos vėžiu sergantiems pacientams vertintas atliekant atsitiktinės atrankos daugiacentrinį III fazės tyrimą</w:t>
      </w:r>
      <w:r>
        <w:rPr>
          <w:rFonts w:ascii="Times New Roman" w:hAnsi="Times New Roman" w:cs="Times New Roman"/>
          <w:lang w:val="sl-SI"/>
        </w:rPr>
        <w:t xml:space="preserve"> </w:t>
      </w:r>
      <w:r w:rsidRPr="00605088">
        <w:rPr>
          <w:rFonts w:ascii="Times New Roman" w:hAnsi="Times New Roman" w:cs="Times New Roman"/>
          <w:lang w:val="sl-SI"/>
        </w:rPr>
        <w:t>(TAX 327)</w:t>
      </w:r>
      <w:r w:rsidRPr="00976ED6">
        <w:rPr>
          <w:rFonts w:ascii="Times New Roman" w:hAnsi="Times New Roman" w:cs="Times New Roman"/>
          <w:lang w:val="sl-SI"/>
        </w:rPr>
        <w:t>. Iš viso 1006 pacientai, kurių KPS ≥ 60, buvo atsitiktinai paskirstyti į šias gydymo grupes:</w:t>
      </w:r>
    </w:p>
    <w:p w14:paraId="6451F086" w14:textId="77777777" w:rsidR="003A7B6B" w:rsidRPr="00976ED6" w:rsidRDefault="003A7B6B" w:rsidP="003A7B6B">
      <w:pPr>
        <w:widowControl w:val="0"/>
        <w:numPr>
          <w:ilvl w:val="0"/>
          <w:numId w:val="17"/>
        </w:numPr>
        <w:ind w:left="567" w:hanging="567"/>
        <w:rPr>
          <w:rFonts w:ascii="Times New Roman" w:hAnsi="Times New Roman" w:cs="Times New Roman"/>
          <w:lang w:val="sl-SI"/>
        </w:rPr>
      </w:pPr>
      <w:r w:rsidRPr="00976ED6">
        <w:rPr>
          <w:rFonts w:ascii="Times New Roman" w:hAnsi="Times New Roman" w:cs="Times New Roman"/>
          <w:lang w:val="sl-SI"/>
        </w:rPr>
        <w:t>docetakselio 75 mg/m² kas 3 savaites, 10 ciklų;</w:t>
      </w:r>
    </w:p>
    <w:p w14:paraId="36853CB7" w14:textId="77777777" w:rsidR="003A7B6B" w:rsidRPr="00976ED6" w:rsidRDefault="003A7B6B" w:rsidP="003A7B6B">
      <w:pPr>
        <w:widowControl w:val="0"/>
        <w:numPr>
          <w:ilvl w:val="0"/>
          <w:numId w:val="17"/>
        </w:numPr>
        <w:ind w:left="567" w:hanging="567"/>
        <w:rPr>
          <w:rFonts w:ascii="Times New Roman" w:hAnsi="Times New Roman" w:cs="Times New Roman"/>
          <w:lang w:val="sl-SI"/>
        </w:rPr>
      </w:pPr>
      <w:r w:rsidRPr="00976ED6">
        <w:rPr>
          <w:rFonts w:ascii="Times New Roman" w:hAnsi="Times New Roman" w:cs="Times New Roman"/>
          <w:lang w:val="sl-SI"/>
        </w:rPr>
        <w:t>docetakselio 30 mg/m² kas savaitę pirmas penkias 6 savaičių ciklo savaites, 5 ciklus;</w:t>
      </w:r>
    </w:p>
    <w:p w14:paraId="307711DF" w14:textId="77777777" w:rsidR="003A7B6B" w:rsidRPr="00976ED6" w:rsidRDefault="003A7B6B" w:rsidP="003A7B6B">
      <w:pPr>
        <w:widowControl w:val="0"/>
        <w:numPr>
          <w:ilvl w:val="0"/>
          <w:numId w:val="17"/>
        </w:numPr>
        <w:ind w:left="567" w:hanging="567"/>
        <w:rPr>
          <w:rFonts w:ascii="Times New Roman" w:hAnsi="Times New Roman" w:cs="Times New Roman"/>
          <w:lang w:val="sl-SI"/>
        </w:rPr>
      </w:pPr>
      <w:r w:rsidRPr="00976ED6">
        <w:rPr>
          <w:rFonts w:ascii="Times New Roman" w:hAnsi="Times New Roman" w:cs="Times New Roman"/>
          <w:lang w:val="sl-SI"/>
        </w:rPr>
        <w:t>mitoksantronas 12 mg/m² kas 3 savaites, 10 ciklų.</w:t>
      </w:r>
    </w:p>
    <w:p w14:paraId="62F5663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Visų 3 grupių pacientai kartu vartojo po 5 mg prednizono ar prednizolono 2 kartus per parą be pertraukų.</w:t>
      </w:r>
    </w:p>
    <w:p w14:paraId="7B5FFDE9"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C9CC5F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Docetakselį kas 3 savaites vartojusių pacientų bendra išgyvento laikotarpio trukmė buvo reikšmingai ilgesnė negu vartojusių mitoksantroną. Docetakselį kas savaitę vartojusių pacientų išgyventas laikotarpis nebuvo statistiškai reikšmingai ilgesnis negu kontrolinės mitoksantrono grupės. Gydymo veiksmingumo kriterijai, lyginant docetakselio grupes su kontroline, apibendrinti lentelėje:</w:t>
      </w:r>
    </w:p>
    <w:p w14:paraId="15643595" w14:textId="77777777" w:rsidR="003A7B6B" w:rsidRPr="00976ED6" w:rsidRDefault="003A7B6B" w:rsidP="003A7B6B">
      <w:pPr>
        <w:widowControl w:val="0"/>
        <w:tabs>
          <w:tab w:val="left" w:pos="1296"/>
        </w:tabs>
        <w:ind w:left="0" w:firstLine="0"/>
        <w:rPr>
          <w:rFonts w:ascii="Times New Roman" w:hAnsi="Times New Roman" w:cs="Times New Roman"/>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4"/>
        <w:gridCol w:w="1520"/>
        <w:gridCol w:w="1658"/>
        <w:gridCol w:w="2318"/>
      </w:tblGrid>
      <w:tr w:rsidR="003A7B6B" w:rsidRPr="00976ED6" w14:paraId="2970A547" w14:textId="77777777" w:rsidTr="005E6418">
        <w:tc>
          <w:tcPr>
            <w:tcW w:w="1967" w:type="pct"/>
            <w:tcBorders>
              <w:top w:val="single" w:sz="4" w:space="0" w:color="auto"/>
              <w:left w:val="single" w:sz="4" w:space="0" w:color="auto"/>
              <w:bottom w:val="single" w:sz="4" w:space="0" w:color="auto"/>
              <w:right w:val="single" w:sz="4" w:space="0" w:color="auto"/>
            </w:tcBorders>
            <w:hideMark/>
          </w:tcPr>
          <w:p w14:paraId="4068513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Gydymo veiksmingumo kriterijus</w:t>
            </w:r>
          </w:p>
        </w:tc>
        <w:tc>
          <w:tcPr>
            <w:tcW w:w="839" w:type="pct"/>
            <w:tcBorders>
              <w:top w:val="single" w:sz="4" w:space="0" w:color="auto"/>
              <w:left w:val="single" w:sz="4" w:space="0" w:color="auto"/>
              <w:bottom w:val="single" w:sz="4" w:space="0" w:color="auto"/>
              <w:right w:val="single" w:sz="4" w:space="0" w:color="auto"/>
            </w:tcBorders>
            <w:hideMark/>
          </w:tcPr>
          <w:p w14:paraId="7D00C51B"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Docetakselis</w:t>
            </w:r>
          </w:p>
          <w:p w14:paraId="21968F00"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kas 3 savaites</w:t>
            </w:r>
          </w:p>
        </w:tc>
        <w:tc>
          <w:tcPr>
            <w:tcW w:w="915" w:type="pct"/>
            <w:tcBorders>
              <w:top w:val="single" w:sz="4" w:space="0" w:color="auto"/>
              <w:left w:val="single" w:sz="4" w:space="0" w:color="auto"/>
              <w:bottom w:val="single" w:sz="4" w:space="0" w:color="auto"/>
              <w:right w:val="single" w:sz="4" w:space="0" w:color="auto"/>
            </w:tcBorders>
            <w:hideMark/>
          </w:tcPr>
          <w:p w14:paraId="27F8C5F3"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Docetakselis</w:t>
            </w:r>
          </w:p>
          <w:p w14:paraId="0DCEB1AE"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kas savaitę</w:t>
            </w:r>
          </w:p>
        </w:tc>
        <w:tc>
          <w:tcPr>
            <w:tcW w:w="1279" w:type="pct"/>
            <w:tcBorders>
              <w:top w:val="single" w:sz="4" w:space="0" w:color="auto"/>
              <w:left w:val="single" w:sz="4" w:space="0" w:color="auto"/>
              <w:bottom w:val="single" w:sz="4" w:space="0" w:color="auto"/>
              <w:right w:val="single" w:sz="4" w:space="0" w:color="auto"/>
            </w:tcBorders>
            <w:hideMark/>
          </w:tcPr>
          <w:p w14:paraId="4D830EBE"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Mitoksantronas</w:t>
            </w:r>
          </w:p>
          <w:p w14:paraId="37D96125"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kas 3 savaites</w:t>
            </w:r>
          </w:p>
        </w:tc>
      </w:tr>
      <w:tr w:rsidR="003A7B6B" w:rsidRPr="00976ED6" w14:paraId="2DCAD560" w14:textId="77777777" w:rsidTr="005E6418">
        <w:tc>
          <w:tcPr>
            <w:tcW w:w="1967" w:type="pct"/>
            <w:tcBorders>
              <w:top w:val="single" w:sz="4" w:space="0" w:color="auto"/>
              <w:left w:val="single" w:sz="4" w:space="0" w:color="auto"/>
              <w:bottom w:val="single" w:sz="4" w:space="0" w:color="auto"/>
              <w:right w:val="single" w:sz="4" w:space="0" w:color="auto"/>
            </w:tcBorders>
            <w:hideMark/>
          </w:tcPr>
          <w:p w14:paraId="618170A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Pacientų skaičius</w:t>
            </w:r>
          </w:p>
          <w:p w14:paraId="3DCBAB08"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Išgyvento laikotarpio mediana (mėn.)</w:t>
            </w:r>
          </w:p>
          <w:p w14:paraId="496D2F1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7CB56A3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Santykinė rizika</w:t>
            </w:r>
          </w:p>
          <w:p w14:paraId="56B985E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2653679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p-reikšmė</w:t>
            </w:r>
            <w:r w:rsidRPr="00976ED6">
              <w:rPr>
                <w:rFonts w:ascii="Times New Roman" w:hAnsi="Times New Roman" w:cs="Times New Roman"/>
                <w:color w:val="000000"/>
                <w:vertAlign w:val="superscript"/>
                <w:lang w:val="sl-SI"/>
              </w:rPr>
              <w:t>†</w:t>
            </w:r>
            <w:r w:rsidRPr="00976ED6">
              <w:rPr>
                <w:rFonts w:ascii="Times New Roman" w:hAnsi="Times New Roman" w:cs="Times New Roman"/>
                <w:color w:val="000000"/>
                <w:lang w:val="sl-SI"/>
              </w:rPr>
              <w:t xml:space="preserve">* </w:t>
            </w:r>
          </w:p>
        </w:tc>
        <w:tc>
          <w:tcPr>
            <w:tcW w:w="839" w:type="pct"/>
            <w:tcBorders>
              <w:top w:val="single" w:sz="4" w:space="0" w:color="auto"/>
              <w:left w:val="single" w:sz="4" w:space="0" w:color="auto"/>
              <w:bottom w:val="single" w:sz="4" w:space="0" w:color="auto"/>
              <w:right w:val="single" w:sz="4" w:space="0" w:color="auto"/>
            </w:tcBorders>
            <w:hideMark/>
          </w:tcPr>
          <w:p w14:paraId="68BA79FA"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335</w:t>
            </w:r>
          </w:p>
          <w:p w14:paraId="54E64F66" w14:textId="4E39AED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18</w:t>
            </w:r>
            <w:r>
              <w:rPr>
                <w:rFonts w:ascii="Times New Roman" w:hAnsi="Times New Roman" w:cs="Times New Roman"/>
                <w:color w:val="000000"/>
                <w:lang w:val="sl-SI"/>
              </w:rPr>
              <w:t>,</w:t>
            </w:r>
            <w:r w:rsidRPr="00976ED6">
              <w:rPr>
                <w:rFonts w:ascii="Times New Roman" w:hAnsi="Times New Roman" w:cs="Times New Roman"/>
                <w:color w:val="000000"/>
                <w:lang w:val="sl-SI"/>
              </w:rPr>
              <w:t>9</w:t>
            </w:r>
          </w:p>
          <w:p w14:paraId="2280E542" w14:textId="7D1DE8DC"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(17</w:t>
            </w:r>
            <w:r>
              <w:rPr>
                <w:rFonts w:ascii="Times New Roman" w:hAnsi="Times New Roman" w:cs="Times New Roman"/>
                <w:color w:val="000000"/>
                <w:lang w:val="sl-SI"/>
              </w:rPr>
              <w:t>,</w:t>
            </w:r>
            <w:r w:rsidRPr="00976ED6">
              <w:rPr>
                <w:rFonts w:ascii="Times New Roman" w:hAnsi="Times New Roman" w:cs="Times New Roman"/>
                <w:color w:val="000000"/>
                <w:lang w:val="sl-SI"/>
              </w:rPr>
              <w:t>0-21</w:t>
            </w:r>
            <w:r>
              <w:rPr>
                <w:rFonts w:ascii="Times New Roman" w:hAnsi="Times New Roman" w:cs="Times New Roman"/>
                <w:color w:val="000000"/>
                <w:lang w:val="sl-SI"/>
              </w:rPr>
              <w:t>,</w:t>
            </w:r>
            <w:r w:rsidRPr="00976ED6">
              <w:rPr>
                <w:rFonts w:ascii="Times New Roman" w:hAnsi="Times New Roman" w:cs="Times New Roman"/>
                <w:color w:val="000000"/>
                <w:lang w:val="sl-SI"/>
              </w:rPr>
              <w:t>2)</w:t>
            </w:r>
          </w:p>
          <w:p w14:paraId="45E7C95A" w14:textId="7F7B3AE0"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761</w:t>
            </w:r>
          </w:p>
          <w:p w14:paraId="68245A42" w14:textId="3C937199"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619-0</w:t>
            </w:r>
            <w:r>
              <w:rPr>
                <w:rFonts w:ascii="Times New Roman" w:hAnsi="Times New Roman" w:cs="Times New Roman"/>
                <w:color w:val="000000"/>
                <w:lang w:val="sl-SI"/>
              </w:rPr>
              <w:t>,</w:t>
            </w:r>
            <w:r w:rsidRPr="00976ED6">
              <w:rPr>
                <w:rFonts w:ascii="Times New Roman" w:hAnsi="Times New Roman" w:cs="Times New Roman"/>
                <w:color w:val="000000"/>
                <w:lang w:val="sl-SI"/>
              </w:rPr>
              <w:t>936)</w:t>
            </w:r>
          </w:p>
          <w:p w14:paraId="55A78AA4" w14:textId="7F79D7CA"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0094</w:t>
            </w:r>
          </w:p>
        </w:tc>
        <w:tc>
          <w:tcPr>
            <w:tcW w:w="915" w:type="pct"/>
            <w:tcBorders>
              <w:top w:val="single" w:sz="4" w:space="0" w:color="auto"/>
              <w:left w:val="single" w:sz="4" w:space="0" w:color="auto"/>
              <w:bottom w:val="single" w:sz="4" w:space="0" w:color="auto"/>
              <w:right w:val="single" w:sz="4" w:space="0" w:color="auto"/>
            </w:tcBorders>
            <w:hideMark/>
          </w:tcPr>
          <w:p w14:paraId="177E884D"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334</w:t>
            </w:r>
          </w:p>
          <w:p w14:paraId="6C3FB9D4" w14:textId="00585F1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17</w:t>
            </w:r>
            <w:r>
              <w:rPr>
                <w:rFonts w:ascii="Times New Roman" w:hAnsi="Times New Roman" w:cs="Times New Roman"/>
                <w:color w:val="000000"/>
                <w:lang w:val="sl-SI"/>
              </w:rPr>
              <w:t>,</w:t>
            </w:r>
            <w:r w:rsidRPr="00976ED6">
              <w:rPr>
                <w:rFonts w:ascii="Times New Roman" w:hAnsi="Times New Roman" w:cs="Times New Roman"/>
                <w:color w:val="000000"/>
                <w:lang w:val="sl-SI"/>
              </w:rPr>
              <w:t>4</w:t>
            </w:r>
          </w:p>
          <w:p w14:paraId="63C8DB45" w14:textId="3AF3BAB5"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(15</w:t>
            </w:r>
            <w:r>
              <w:rPr>
                <w:rFonts w:ascii="Times New Roman" w:hAnsi="Times New Roman" w:cs="Times New Roman"/>
                <w:color w:val="000000"/>
                <w:lang w:val="sl-SI"/>
              </w:rPr>
              <w:t>,</w:t>
            </w:r>
            <w:r w:rsidRPr="00976ED6">
              <w:rPr>
                <w:rFonts w:ascii="Times New Roman" w:hAnsi="Times New Roman" w:cs="Times New Roman"/>
                <w:color w:val="000000"/>
                <w:lang w:val="sl-SI"/>
              </w:rPr>
              <w:t>7-19</w:t>
            </w:r>
            <w:r>
              <w:rPr>
                <w:rFonts w:ascii="Times New Roman" w:hAnsi="Times New Roman" w:cs="Times New Roman"/>
                <w:color w:val="000000"/>
                <w:lang w:val="sl-SI"/>
              </w:rPr>
              <w:t>,</w:t>
            </w:r>
            <w:r w:rsidRPr="00976ED6">
              <w:rPr>
                <w:rFonts w:ascii="Times New Roman" w:hAnsi="Times New Roman" w:cs="Times New Roman"/>
                <w:color w:val="000000"/>
                <w:lang w:val="sl-SI"/>
              </w:rPr>
              <w:t>0)</w:t>
            </w:r>
          </w:p>
          <w:p w14:paraId="2B90DD94" w14:textId="334E82C1"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912</w:t>
            </w:r>
          </w:p>
          <w:p w14:paraId="6F9145BD" w14:textId="6582901E"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747-1</w:t>
            </w:r>
            <w:r>
              <w:rPr>
                <w:rFonts w:ascii="Times New Roman" w:hAnsi="Times New Roman" w:cs="Times New Roman"/>
                <w:color w:val="000000"/>
                <w:lang w:val="sl-SI"/>
              </w:rPr>
              <w:t>,</w:t>
            </w:r>
            <w:r w:rsidRPr="00976ED6">
              <w:rPr>
                <w:rFonts w:ascii="Times New Roman" w:hAnsi="Times New Roman" w:cs="Times New Roman"/>
                <w:color w:val="000000"/>
                <w:lang w:val="sl-SI"/>
              </w:rPr>
              <w:t>113)</w:t>
            </w:r>
          </w:p>
          <w:p w14:paraId="332D4EBC" w14:textId="5CDFBDA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3624</w:t>
            </w:r>
          </w:p>
        </w:tc>
        <w:tc>
          <w:tcPr>
            <w:tcW w:w="1279" w:type="pct"/>
            <w:tcBorders>
              <w:top w:val="single" w:sz="4" w:space="0" w:color="auto"/>
              <w:left w:val="single" w:sz="4" w:space="0" w:color="auto"/>
              <w:bottom w:val="single" w:sz="4" w:space="0" w:color="auto"/>
              <w:right w:val="single" w:sz="4" w:space="0" w:color="auto"/>
            </w:tcBorders>
            <w:hideMark/>
          </w:tcPr>
          <w:p w14:paraId="6C324B80"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337</w:t>
            </w:r>
          </w:p>
          <w:p w14:paraId="60875918" w14:textId="0E7B2841"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16</w:t>
            </w:r>
            <w:r>
              <w:rPr>
                <w:rFonts w:ascii="Times New Roman" w:hAnsi="Times New Roman" w:cs="Times New Roman"/>
                <w:color w:val="000000"/>
                <w:lang w:val="sl-SI"/>
              </w:rPr>
              <w:t>,</w:t>
            </w:r>
            <w:r w:rsidRPr="00976ED6">
              <w:rPr>
                <w:rFonts w:ascii="Times New Roman" w:hAnsi="Times New Roman" w:cs="Times New Roman"/>
                <w:color w:val="000000"/>
                <w:lang w:val="sl-SI"/>
              </w:rPr>
              <w:t>5</w:t>
            </w:r>
          </w:p>
          <w:p w14:paraId="4371E7A1" w14:textId="6A5197DC"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(14</w:t>
            </w:r>
            <w:r>
              <w:rPr>
                <w:rFonts w:ascii="Times New Roman" w:hAnsi="Times New Roman" w:cs="Times New Roman"/>
                <w:color w:val="000000"/>
                <w:lang w:val="sl-SI"/>
              </w:rPr>
              <w:t>,</w:t>
            </w:r>
            <w:r w:rsidRPr="00976ED6">
              <w:rPr>
                <w:rFonts w:ascii="Times New Roman" w:hAnsi="Times New Roman" w:cs="Times New Roman"/>
                <w:color w:val="000000"/>
                <w:lang w:val="sl-SI"/>
              </w:rPr>
              <w:t>4-18</w:t>
            </w:r>
            <w:r>
              <w:rPr>
                <w:rFonts w:ascii="Times New Roman" w:hAnsi="Times New Roman" w:cs="Times New Roman"/>
                <w:color w:val="000000"/>
                <w:lang w:val="sl-SI"/>
              </w:rPr>
              <w:t>,</w:t>
            </w:r>
            <w:r w:rsidRPr="00976ED6">
              <w:rPr>
                <w:rFonts w:ascii="Times New Roman" w:hAnsi="Times New Roman" w:cs="Times New Roman"/>
                <w:color w:val="000000"/>
                <w:lang w:val="sl-SI"/>
              </w:rPr>
              <w:t>6)</w:t>
            </w:r>
          </w:p>
          <w:p w14:paraId="03CFD346"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w:t>
            </w:r>
          </w:p>
          <w:p w14:paraId="56E8D85B"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w:t>
            </w:r>
          </w:p>
          <w:p w14:paraId="3DC0F02D"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w:t>
            </w:r>
          </w:p>
        </w:tc>
      </w:tr>
      <w:tr w:rsidR="003A7B6B" w:rsidRPr="00976ED6" w14:paraId="197D3976" w14:textId="77777777" w:rsidTr="005E6418">
        <w:tc>
          <w:tcPr>
            <w:tcW w:w="1967" w:type="pct"/>
            <w:tcBorders>
              <w:top w:val="single" w:sz="4" w:space="0" w:color="auto"/>
              <w:left w:val="single" w:sz="4" w:space="0" w:color="auto"/>
              <w:bottom w:val="single" w:sz="4" w:space="0" w:color="auto"/>
              <w:right w:val="single" w:sz="4" w:space="0" w:color="auto"/>
            </w:tcBorders>
            <w:hideMark/>
          </w:tcPr>
          <w:p w14:paraId="5968945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Pacientų skaičius</w:t>
            </w:r>
          </w:p>
          <w:p w14:paraId="1C0FF75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PSA** atsako dažnis (%)</w:t>
            </w:r>
          </w:p>
          <w:p w14:paraId="2B8FC83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46011ED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w:t>
            </w:r>
            <w:r w:rsidRPr="00976ED6">
              <w:rPr>
                <w:rFonts w:ascii="Times New Roman" w:hAnsi="Times New Roman" w:cs="Times New Roman"/>
                <w:lang w:val="sl-SI"/>
              </w:rPr>
              <w:t xml:space="preserve"> </w:t>
            </w:r>
            <w:r w:rsidRPr="00976ED6">
              <w:rPr>
                <w:rFonts w:ascii="Times New Roman" w:hAnsi="Times New Roman" w:cs="Times New Roman"/>
                <w:color w:val="000000"/>
                <w:lang w:val="sl-SI"/>
              </w:rPr>
              <w:t xml:space="preserve">reikšmė* </w:t>
            </w:r>
          </w:p>
        </w:tc>
        <w:tc>
          <w:tcPr>
            <w:tcW w:w="839" w:type="pct"/>
            <w:tcBorders>
              <w:top w:val="single" w:sz="4" w:space="0" w:color="auto"/>
              <w:left w:val="single" w:sz="4" w:space="0" w:color="auto"/>
              <w:bottom w:val="single" w:sz="4" w:space="0" w:color="auto"/>
              <w:right w:val="single" w:sz="4" w:space="0" w:color="auto"/>
            </w:tcBorders>
            <w:hideMark/>
          </w:tcPr>
          <w:p w14:paraId="340888FA"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291</w:t>
            </w:r>
          </w:p>
          <w:p w14:paraId="467BB01E" w14:textId="573BD3F3"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45</w:t>
            </w:r>
            <w:r>
              <w:rPr>
                <w:rFonts w:ascii="Times New Roman" w:hAnsi="Times New Roman" w:cs="Times New Roman"/>
                <w:color w:val="000000"/>
                <w:lang w:val="sl-SI"/>
              </w:rPr>
              <w:t>,</w:t>
            </w:r>
            <w:r w:rsidRPr="00976ED6">
              <w:rPr>
                <w:rFonts w:ascii="Times New Roman" w:hAnsi="Times New Roman" w:cs="Times New Roman"/>
                <w:color w:val="000000"/>
                <w:lang w:val="sl-SI"/>
              </w:rPr>
              <w:t>4</w:t>
            </w:r>
          </w:p>
          <w:p w14:paraId="12204BD0" w14:textId="60927DCB"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(39</w:t>
            </w:r>
            <w:r>
              <w:rPr>
                <w:rFonts w:ascii="Times New Roman" w:hAnsi="Times New Roman" w:cs="Times New Roman"/>
                <w:color w:val="000000"/>
                <w:lang w:val="sl-SI"/>
              </w:rPr>
              <w:t>,</w:t>
            </w:r>
            <w:r w:rsidRPr="00976ED6">
              <w:rPr>
                <w:rFonts w:ascii="Times New Roman" w:hAnsi="Times New Roman" w:cs="Times New Roman"/>
                <w:color w:val="000000"/>
                <w:lang w:val="sl-SI"/>
              </w:rPr>
              <w:t>5-51</w:t>
            </w:r>
            <w:r>
              <w:rPr>
                <w:rFonts w:ascii="Times New Roman" w:hAnsi="Times New Roman" w:cs="Times New Roman"/>
                <w:color w:val="000000"/>
                <w:lang w:val="sl-SI"/>
              </w:rPr>
              <w:t>,</w:t>
            </w:r>
            <w:r w:rsidRPr="00976ED6">
              <w:rPr>
                <w:rFonts w:ascii="Times New Roman" w:hAnsi="Times New Roman" w:cs="Times New Roman"/>
                <w:color w:val="000000"/>
                <w:lang w:val="sl-SI"/>
              </w:rPr>
              <w:t>3)</w:t>
            </w:r>
          </w:p>
          <w:p w14:paraId="7C092707" w14:textId="6EF0CD7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0005</w:t>
            </w:r>
          </w:p>
        </w:tc>
        <w:tc>
          <w:tcPr>
            <w:tcW w:w="915" w:type="pct"/>
            <w:tcBorders>
              <w:top w:val="single" w:sz="4" w:space="0" w:color="auto"/>
              <w:left w:val="single" w:sz="4" w:space="0" w:color="auto"/>
              <w:bottom w:val="single" w:sz="4" w:space="0" w:color="auto"/>
              <w:right w:val="single" w:sz="4" w:space="0" w:color="auto"/>
            </w:tcBorders>
            <w:hideMark/>
          </w:tcPr>
          <w:p w14:paraId="062B27CA"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282</w:t>
            </w:r>
          </w:p>
          <w:p w14:paraId="40A227C1" w14:textId="2706CCE2"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47</w:t>
            </w:r>
            <w:r>
              <w:rPr>
                <w:rFonts w:ascii="Times New Roman" w:hAnsi="Times New Roman" w:cs="Times New Roman"/>
                <w:color w:val="000000"/>
                <w:lang w:val="sl-SI"/>
              </w:rPr>
              <w:t>,</w:t>
            </w:r>
            <w:r w:rsidRPr="00976ED6">
              <w:rPr>
                <w:rFonts w:ascii="Times New Roman" w:hAnsi="Times New Roman" w:cs="Times New Roman"/>
                <w:color w:val="000000"/>
                <w:lang w:val="sl-SI"/>
              </w:rPr>
              <w:t>9</w:t>
            </w:r>
          </w:p>
          <w:p w14:paraId="27DBF9DF" w14:textId="45BEA7D0"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(41</w:t>
            </w:r>
            <w:r>
              <w:rPr>
                <w:rFonts w:ascii="Times New Roman" w:hAnsi="Times New Roman" w:cs="Times New Roman"/>
                <w:color w:val="000000"/>
                <w:lang w:val="sl-SI"/>
              </w:rPr>
              <w:t>,</w:t>
            </w:r>
            <w:r w:rsidRPr="00976ED6">
              <w:rPr>
                <w:rFonts w:ascii="Times New Roman" w:hAnsi="Times New Roman" w:cs="Times New Roman"/>
                <w:color w:val="000000"/>
                <w:lang w:val="sl-SI"/>
              </w:rPr>
              <w:t>9-53</w:t>
            </w:r>
            <w:r>
              <w:rPr>
                <w:rFonts w:ascii="Times New Roman" w:hAnsi="Times New Roman" w:cs="Times New Roman"/>
                <w:color w:val="000000"/>
                <w:lang w:val="sl-SI"/>
              </w:rPr>
              <w:t>,</w:t>
            </w:r>
            <w:r w:rsidRPr="00976ED6">
              <w:rPr>
                <w:rFonts w:ascii="Times New Roman" w:hAnsi="Times New Roman" w:cs="Times New Roman"/>
                <w:color w:val="000000"/>
                <w:lang w:val="sl-SI"/>
              </w:rPr>
              <w:t>9)</w:t>
            </w:r>
          </w:p>
          <w:p w14:paraId="3D0DA2EC" w14:textId="3E38A0F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&lt;0</w:t>
            </w:r>
            <w:r>
              <w:rPr>
                <w:rFonts w:ascii="Times New Roman" w:hAnsi="Times New Roman" w:cs="Times New Roman"/>
                <w:color w:val="000000"/>
                <w:lang w:val="sl-SI"/>
              </w:rPr>
              <w:t>,</w:t>
            </w:r>
            <w:r w:rsidRPr="00976ED6">
              <w:rPr>
                <w:rFonts w:ascii="Times New Roman" w:hAnsi="Times New Roman" w:cs="Times New Roman"/>
                <w:color w:val="000000"/>
                <w:lang w:val="sl-SI"/>
              </w:rPr>
              <w:t>0001</w:t>
            </w:r>
          </w:p>
        </w:tc>
        <w:tc>
          <w:tcPr>
            <w:tcW w:w="1279" w:type="pct"/>
            <w:tcBorders>
              <w:top w:val="single" w:sz="4" w:space="0" w:color="auto"/>
              <w:left w:val="single" w:sz="4" w:space="0" w:color="auto"/>
              <w:bottom w:val="single" w:sz="4" w:space="0" w:color="auto"/>
              <w:right w:val="single" w:sz="4" w:space="0" w:color="auto"/>
            </w:tcBorders>
            <w:hideMark/>
          </w:tcPr>
          <w:p w14:paraId="4F301971"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300</w:t>
            </w:r>
          </w:p>
          <w:p w14:paraId="034CD880" w14:textId="1D840BBC"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31</w:t>
            </w:r>
            <w:r>
              <w:rPr>
                <w:rFonts w:ascii="Times New Roman" w:hAnsi="Times New Roman" w:cs="Times New Roman"/>
                <w:color w:val="000000"/>
                <w:lang w:val="sl-SI"/>
              </w:rPr>
              <w:t>,</w:t>
            </w:r>
            <w:r w:rsidRPr="00976ED6">
              <w:rPr>
                <w:rFonts w:ascii="Times New Roman" w:hAnsi="Times New Roman" w:cs="Times New Roman"/>
                <w:color w:val="000000"/>
                <w:lang w:val="sl-SI"/>
              </w:rPr>
              <w:t>7</w:t>
            </w:r>
          </w:p>
          <w:p w14:paraId="361A4ED0" w14:textId="68959BD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(26</w:t>
            </w:r>
            <w:r>
              <w:rPr>
                <w:rFonts w:ascii="Times New Roman" w:hAnsi="Times New Roman" w:cs="Times New Roman"/>
                <w:color w:val="000000"/>
                <w:lang w:val="sl-SI"/>
              </w:rPr>
              <w:t>,</w:t>
            </w:r>
            <w:r w:rsidRPr="00976ED6">
              <w:rPr>
                <w:rFonts w:ascii="Times New Roman" w:hAnsi="Times New Roman" w:cs="Times New Roman"/>
                <w:color w:val="000000"/>
                <w:lang w:val="sl-SI"/>
              </w:rPr>
              <w:t>4-37</w:t>
            </w:r>
            <w:r>
              <w:rPr>
                <w:rFonts w:ascii="Times New Roman" w:hAnsi="Times New Roman" w:cs="Times New Roman"/>
                <w:color w:val="000000"/>
                <w:lang w:val="sl-SI"/>
              </w:rPr>
              <w:t>,</w:t>
            </w:r>
            <w:r w:rsidRPr="00976ED6">
              <w:rPr>
                <w:rFonts w:ascii="Times New Roman" w:hAnsi="Times New Roman" w:cs="Times New Roman"/>
                <w:color w:val="000000"/>
                <w:lang w:val="sl-SI"/>
              </w:rPr>
              <w:t>3)</w:t>
            </w:r>
          </w:p>
          <w:p w14:paraId="2A4E50C4"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w:t>
            </w:r>
          </w:p>
        </w:tc>
      </w:tr>
      <w:tr w:rsidR="003A7B6B" w:rsidRPr="00976ED6" w14:paraId="73DB362F" w14:textId="77777777" w:rsidTr="005E6418">
        <w:tc>
          <w:tcPr>
            <w:tcW w:w="1967" w:type="pct"/>
            <w:tcBorders>
              <w:top w:val="single" w:sz="4" w:space="0" w:color="auto"/>
              <w:left w:val="single" w:sz="4" w:space="0" w:color="auto"/>
              <w:bottom w:val="single" w:sz="4" w:space="0" w:color="auto"/>
              <w:right w:val="single" w:sz="4" w:space="0" w:color="auto"/>
            </w:tcBorders>
            <w:hideMark/>
          </w:tcPr>
          <w:p w14:paraId="74121791"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Pacientų skaičius</w:t>
            </w:r>
          </w:p>
          <w:p w14:paraId="751EFC4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Skausmo atsako dažnis (%)</w:t>
            </w:r>
          </w:p>
          <w:p w14:paraId="40C016B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243440E0"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w:t>
            </w:r>
            <w:r w:rsidRPr="00976ED6">
              <w:rPr>
                <w:rFonts w:ascii="Times New Roman" w:hAnsi="Times New Roman" w:cs="Times New Roman"/>
                <w:lang w:val="sl-SI"/>
              </w:rPr>
              <w:t xml:space="preserve"> </w:t>
            </w:r>
            <w:r w:rsidRPr="00976ED6">
              <w:rPr>
                <w:rFonts w:ascii="Times New Roman" w:hAnsi="Times New Roman" w:cs="Times New Roman"/>
                <w:color w:val="000000"/>
                <w:lang w:val="sl-SI"/>
              </w:rPr>
              <w:t>reikšmė*</w:t>
            </w:r>
          </w:p>
        </w:tc>
        <w:tc>
          <w:tcPr>
            <w:tcW w:w="839" w:type="pct"/>
            <w:tcBorders>
              <w:top w:val="single" w:sz="4" w:space="0" w:color="auto"/>
              <w:left w:val="single" w:sz="4" w:space="0" w:color="auto"/>
              <w:bottom w:val="single" w:sz="4" w:space="0" w:color="auto"/>
              <w:right w:val="single" w:sz="4" w:space="0" w:color="auto"/>
            </w:tcBorders>
            <w:hideMark/>
          </w:tcPr>
          <w:p w14:paraId="03A9956A"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153</w:t>
            </w:r>
          </w:p>
          <w:p w14:paraId="1BD5B44A" w14:textId="4E8875ED"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34</w:t>
            </w:r>
            <w:r>
              <w:rPr>
                <w:rFonts w:ascii="Times New Roman" w:hAnsi="Times New Roman" w:cs="Times New Roman"/>
                <w:color w:val="000000"/>
                <w:lang w:val="sl-SI"/>
              </w:rPr>
              <w:t>,</w:t>
            </w:r>
            <w:r w:rsidRPr="00976ED6">
              <w:rPr>
                <w:rFonts w:ascii="Times New Roman" w:hAnsi="Times New Roman" w:cs="Times New Roman"/>
                <w:color w:val="000000"/>
                <w:lang w:val="sl-SI"/>
              </w:rPr>
              <w:t>6</w:t>
            </w:r>
          </w:p>
          <w:p w14:paraId="707237DF" w14:textId="5A0D264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(27</w:t>
            </w:r>
            <w:r>
              <w:rPr>
                <w:rFonts w:ascii="Times New Roman" w:hAnsi="Times New Roman" w:cs="Times New Roman"/>
                <w:color w:val="000000"/>
                <w:lang w:val="sl-SI"/>
              </w:rPr>
              <w:t>,</w:t>
            </w:r>
            <w:r w:rsidRPr="00976ED6">
              <w:rPr>
                <w:rFonts w:ascii="Times New Roman" w:hAnsi="Times New Roman" w:cs="Times New Roman"/>
                <w:color w:val="000000"/>
                <w:lang w:val="sl-SI"/>
              </w:rPr>
              <w:t>1-42</w:t>
            </w:r>
            <w:r>
              <w:rPr>
                <w:rFonts w:ascii="Times New Roman" w:hAnsi="Times New Roman" w:cs="Times New Roman"/>
                <w:color w:val="000000"/>
                <w:lang w:val="sl-SI"/>
              </w:rPr>
              <w:t>,</w:t>
            </w:r>
            <w:r w:rsidRPr="00976ED6">
              <w:rPr>
                <w:rFonts w:ascii="Times New Roman" w:hAnsi="Times New Roman" w:cs="Times New Roman"/>
                <w:color w:val="000000"/>
                <w:lang w:val="sl-SI"/>
              </w:rPr>
              <w:t>7)</w:t>
            </w:r>
          </w:p>
          <w:p w14:paraId="68D660AB" w14:textId="4581E91A"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0107</w:t>
            </w:r>
          </w:p>
        </w:tc>
        <w:tc>
          <w:tcPr>
            <w:tcW w:w="915" w:type="pct"/>
            <w:tcBorders>
              <w:top w:val="single" w:sz="4" w:space="0" w:color="auto"/>
              <w:left w:val="single" w:sz="4" w:space="0" w:color="auto"/>
              <w:bottom w:val="single" w:sz="4" w:space="0" w:color="auto"/>
              <w:right w:val="single" w:sz="4" w:space="0" w:color="auto"/>
            </w:tcBorders>
            <w:hideMark/>
          </w:tcPr>
          <w:p w14:paraId="0347674D"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154</w:t>
            </w:r>
          </w:p>
          <w:p w14:paraId="6552AD04" w14:textId="23D8619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31</w:t>
            </w:r>
            <w:r>
              <w:rPr>
                <w:rFonts w:ascii="Times New Roman" w:hAnsi="Times New Roman" w:cs="Times New Roman"/>
                <w:color w:val="000000"/>
                <w:lang w:val="sl-SI"/>
              </w:rPr>
              <w:t>,</w:t>
            </w:r>
            <w:r w:rsidRPr="00976ED6">
              <w:rPr>
                <w:rFonts w:ascii="Times New Roman" w:hAnsi="Times New Roman" w:cs="Times New Roman"/>
                <w:color w:val="000000"/>
                <w:lang w:val="sl-SI"/>
              </w:rPr>
              <w:t>2</w:t>
            </w:r>
          </w:p>
          <w:p w14:paraId="2FC46D90" w14:textId="7A554B20"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(24</w:t>
            </w:r>
            <w:r>
              <w:rPr>
                <w:rFonts w:ascii="Times New Roman" w:hAnsi="Times New Roman" w:cs="Times New Roman"/>
                <w:color w:val="000000"/>
                <w:lang w:val="sl-SI"/>
              </w:rPr>
              <w:t>,</w:t>
            </w:r>
            <w:r w:rsidRPr="00976ED6">
              <w:rPr>
                <w:rFonts w:ascii="Times New Roman" w:hAnsi="Times New Roman" w:cs="Times New Roman"/>
                <w:color w:val="000000"/>
                <w:lang w:val="sl-SI"/>
              </w:rPr>
              <w:t>0-39</w:t>
            </w:r>
            <w:r>
              <w:rPr>
                <w:rFonts w:ascii="Times New Roman" w:hAnsi="Times New Roman" w:cs="Times New Roman"/>
                <w:color w:val="000000"/>
                <w:lang w:val="sl-SI"/>
              </w:rPr>
              <w:t>,</w:t>
            </w:r>
            <w:r w:rsidRPr="00976ED6">
              <w:rPr>
                <w:rFonts w:ascii="Times New Roman" w:hAnsi="Times New Roman" w:cs="Times New Roman"/>
                <w:color w:val="000000"/>
                <w:lang w:val="sl-SI"/>
              </w:rPr>
              <w:t>1)</w:t>
            </w:r>
          </w:p>
          <w:p w14:paraId="1DAC0881" w14:textId="352FF1BA"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0798</w:t>
            </w:r>
          </w:p>
        </w:tc>
        <w:tc>
          <w:tcPr>
            <w:tcW w:w="1279" w:type="pct"/>
            <w:tcBorders>
              <w:top w:val="single" w:sz="4" w:space="0" w:color="auto"/>
              <w:left w:val="single" w:sz="4" w:space="0" w:color="auto"/>
              <w:bottom w:val="single" w:sz="4" w:space="0" w:color="auto"/>
              <w:right w:val="single" w:sz="4" w:space="0" w:color="auto"/>
            </w:tcBorders>
            <w:hideMark/>
          </w:tcPr>
          <w:p w14:paraId="6BCEF282"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157</w:t>
            </w:r>
          </w:p>
          <w:p w14:paraId="7D3A6786" w14:textId="0B59440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21</w:t>
            </w:r>
            <w:r>
              <w:rPr>
                <w:rFonts w:ascii="Times New Roman" w:hAnsi="Times New Roman" w:cs="Times New Roman"/>
                <w:color w:val="000000"/>
                <w:lang w:val="sl-SI"/>
              </w:rPr>
              <w:t>,</w:t>
            </w:r>
            <w:r w:rsidRPr="00976ED6">
              <w:rPr>
                <w:rFonts w:ascii="Times New Roman" w:hAnsi="Times New Roman" w:cs="Times New Roman"/>
                <w:color w:val="000000"/>
                <w:lang w:val="sl-SI"/>
              </w:rPr>
              <w:t>7</w:t>
            </w:r>
          </w:p>
          <w:p w14:paraId="44A27B16" w14:textId="74721DD0"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(15</w:t>
            </w:r>
            <w:r>
              <w:rPr>
                <w:rFonts w:ascii="Times New Roman" w:hAnsi="Times New Roman" w:cs="Times New Roman"/>
                <w:color w:val="000000"/>
                <w:lang w:val="sl-SI"/>
              </w:rPr>
              <w:t>,</w:t>
            </w:r>
            <w:r w:rsidRPr="00976ED6">
              <w:rPr>
                <w:rFonts w:ascii="Times New Roman" w:hAnsi="Times New Roman" w:cs="Times New Roman"/>
                <w:color w:val="000000"/>
                <w:lang w:val="sl-SI"/>
              </w:rPr>
              <w:t>5-28</w:t>
            </w:r>
            <w:r>
              <w:rPr>
                <w:rFonts w:ascii="Times New Roman" w:hAnsi="Times New Roman" w:cs="Times New Roman"/>
                <w:color w:val="000000"/>
                <w:lang w:val="sl-SI"/>
              </w:rPr>
              <w:t>,</w:t>
            </w:r>
            <w:r w:rsidRPr="00976ED6">
              <w:rPr>
                <w:rFonts w:ascii="Times New Roman" w:hAnsi="Times New Roman" w:cs="Times New Roman"/>
                <w:color w:val="000000"/>
                <w:lang w:val="sl-SI"/>
              </w:rPr>
              <w:t>9)</w:t>
            </w:r>
          </w:p>
          <w:p w14:paraId="2858DB21"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w:t>
            </w:r>
          </w:p>
        </w:tc>
      </w:tr>
      <w:tr w:rsidR="003A7B6B" w:rsidRPr="00976ED6" w14:paraId="519238BD" w14:textId="77777777" w:rsidTr="005E6418">
        <w:tc>
          <w:tcPr>
            <w:tcW w:w="1967" w:type="pct"/>
            <w:tcBorders>
              <w:top w:val="single" w:sz="4" w:space="0" w:color="auto"/>
              <w:left w:val="single" w:sz="4" w:space="0" w:color="auto"/>
              <w:bottom w:val="single" w:sz="4" w:space="0" w:color="auto"/>
              <w:right w:val="single" w:sz="4" w:space="0" w:color="auto"/>
            </w:tcBorders>
            <w:hideMark/>
          </w:tcPr>
          <w:p w14:paraId="3BBAA7E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Pacientų skaičius</w:t>
            </w:r>
          </w:p>
          <w:p w14:paraId="02C91CDF"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Naviko atsako dažnis (%)</w:t>
            </w:r>
          </w:p>
          <w:p w14:paraId="78654E75"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617FC83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w:t>
            </w:r>
            <w:r w:rsidRPr="00976ED6">
              <w:rPr>
                <w:rFonts w:ascii="Times New Roman" w:hAnsi="Times New Roman" w:cs="Times New Roman"/>
                <w:lang w:val="sl-SI"/>
              </w:rPr>
              <w:t xml:space="preserve"> </w:t>
            </w:r>
            <w:r w:rsidRPr="00976ED6">
              <w:rPr>
                <w:rFonts w:ascii="Times New Roman" w:hAnsi="Times New Roman" w:cs="Times New Roman"/>
                <w:color w:val="000000"/>
                <w:lang w:val="sl-SI"/>
              </w:rPr>
              <w:t>reikšmė*</w:t>
            </w:r>
          </w:p>
        </w:tc>
        <w:tc>
          <w:tcPr>
            <w:tcW w:w="839" w:type="pct"/>
            <w:tcBorders>
              <w:top w:val="single" w:sz="4" w:space="0" w:color="auto"/>
              <w:left w:val="single" w:sz="4" w:space="0" w:color="auto"/>
              <w:bottom w:val="single" w:sz="4" w:space="0" w:color="auto"/>
              <w:right w:val="single" w:sz="4" w:space="0" w:color="auto"/>
            </w:tcBorders>
            <w:hideMark/>
          </w:tcPr>
          <w:p w14:paraId="7E315539"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141</w:t>
            </w:r>
          </w:p>
          <w:p w14:paraId="459F6B16" w14:textId="58EE9D3C"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12</w:t>
            </w:r>
            <w:r>
              <w:rPr>
                <w:rFonts w:ascii="Times New Roman" w:hAnsi="Times New Roman" w:cs="Times New Roman"/>
                <w:color w:val="000000"/>
                <w:lang w:val="sl-SI"/>
              </w:rPr>
              <w:t>,</w:t>
            </w:r>
            <w:r w:rsidRPr="00976ED6">
              <w:rPr>
                <w:rFonts w:ascii="Times New Roman" w:hAnsi="Times New Roman" w:cs="Times New Roman"/>
                <w:color w:val="000000"/>
                <w:lang w:val="sl-SI"/>
              </w:rPr>
              <w:t>1</w:t>
            </w:r>
          </w:p>
          <w:p w14:paraId="0FDBFCBE" w14:textId="54962CF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(7</w:t>
            </w:r>
            <w:r>
              <w:rPr>
                <w:rFonts w:ascii="Times New Roman" w:hAnsi="Times New Roman" w:cs="Times New Roman"/>
                <w:color w:val="000000"/>
                <w:lang w:val="sl-SI"/>
              </w:rPr>
              <w:t>,</w:t>
            </w:r>
            <w:r w:rsidRPr="00976ED6">
              <w:rPr>
                <w:rFonts w:ascii="Times New Roman" w:hAnsi="Times New Roman" w:cs="Times New Roman"/>
                <w:color w:val="000000"/>
                <w:lang w:val="sl-SI"/>
              </w:rPr>
              <w:t>2-18</w:t>
            </w:r>
            <w:r>
              <w:rPr>
                <w:rFonts w:ascii="Times New Roman" w:hAnsi="Times New Roman" w:cs="Times New Roman"/>
                <w:color w:val="000000"/>
                <w:lang w:val="sl-SI"/>
              </w:rPr>
              <w:t>,</w:t>
            </w:r>
            <w:r w:rsidRPr="00976ED6">
              <w:rPr>
                <w:rFonts w:ascii="Times New Roman" w:hAnsi="Times New Roman" w:cs="Times New Roman"/>
                <w:color w:val="000000"/>
                <w:lang w:val="sl-SI"/>
              </w:rPr>
              <w:t>6)</w:t>
            </w:r>
          </w:p>
          <w:p w14:paraId="057BBF06" w14:textId="2047EDA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1112</w:t>
            </w:r>
          </w:p>
        </w:tc>
        <w:tc>
          <w:tcPr>
            <w:tcW w:w="915" w:type="pct"/>
            <w:tcBorders>
              <w:top w:val="single" w:sz="4" w:space="0" w:color="auto"/>
              <w:left w:val="single" w:sz="4" w:space="0" w:color="auto"/>
              <w:bottom w:val="single" w:sz="4" w:space="0" w:color="auto"/>
              <w:right w:val="single" w:sz="4" w:space="0" w:color="auto"/>
            </w:tcBorders>
            <w:hideMark/>
          </w:tcPr>
          <w:p w14:paraId="775BECEB"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134</w:t>
            </w:r>
          </w:p>
          <w:p w14:paraId="1C9CE5DD" w14:textId="0274E50E"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8</w:t>
            </w:r>
            <w:r>
              <w:rPr>
                <w:rFonts w:ascii="Times New Roman" w:hAnsi="Times New Roman" w:cs="Times New Roman"/>
                <w:color w:val="000000"/>
                <w:lang w:val="sl-SI"/>
              </w:rPr>
              <w:t>,</w:t>
            </w:r>
            <w:r w:rsidRPr="00976ED6">
              <w:rPr>
                <w:rFonts w:ascii="Times New Roman" w:hAnsi="Times New Roman" w:cs="Times New Roman"/>
                <w:color w:val="000000"/>
                <w:lang w:val="sl-SI"/>
              </w:rPr>
              <w:t>2</w:t>
            </w:r>
          </w:p>
          <w:p w14:paraId="4A2B17BE" w14:textId="38C881CC"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(4</w:t>
            </w:r>
            <w:r>
              <w:rPr>
                <w:rFonts w:ascii="Times New Roman" w:hAnsi="Times New Roman" w:cs="Times New Roman"/>
                <w:color w:val="000000"/>
                <w:lang w:val="sl-SI"/>
              </w:rPr>
              <w:t>,</w:t>
            </w:r>
            <w:r w:rsidRPr="00976ED6">
              <w:rPr>
                <w:rFonts w:ascii="Times New Roman" w:hAnsi="Times New Roman" w:cs="Times New Roman"/>
                <w:color w:val="000000"/>
                <w:lang w:val="sl-SI"/>
              </w:rPr>
              <w:t>2-14</w:t>
            </w:r>
            <w:r>
              <w:rPr>
                <w:rFonts w:ascii="Times New Roman" w:hAnsi="Times New Roman" w:cs="Times New Roman"/>
                <w:color w:val="000000"/>
                <w:lang w:val="sl-SI"/>
              </w:rPr>
              <w:t>,</w:t>
            </w:r>
            <w:r w:rsidRPr="00976ED6">
              <w:rPr>
                <w:rFonts w:ascii="Times New Roman" w:hAnsi="Times New Roman" w:cs="Times New Roman"/>
                <w:color w:val="000000"/>
                <w:lang w:val="sl-SI"/>
              </w:rPr>
              <w:t>2)</w:t>
            </w:r>
          </w:p>
          <w:p w14:paraId="723AA04C" w14:textId="7F283AC9"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5853</w:t>
            </w:r>
          </w:p>
        </w:tc>
        <w:tc>
          <w:tcPr>
            <w:tcW w:w="1279" w:type="pct"/>
            <w:tcBorders>
              <w:top w:val="single" w:sz="4" w:space="0" w:color="auto"/>
              <w:left w:val="single" w:sz="4" w:space="0" w:color="auto"/>
              <w:bottom w:val="single" w:sz="4" w:space="0" w:color="auto"/>
              <w:right w:val="single" w:sz="4" w:space="0" w:color="auto"/>
            </w:tcBorders>
            <w:hideMark/>
          </w:tcPr>
          <w:p w14:paraId="4E24805D"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137</w:t>
            </w:r>
          </w:p>
          <w:p w14:paraId="695D5A42" w14:textId="45641C6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6</w:t>
            </w:r>
            <w:r>
              <w:rPr>
                <w:rFonts w:ascii="Times New Roman" w:hAnsi="Times New Roman" w:cs="Times New Roman"/>
                <w:color w:val="000000"/>
                <w:lang w:val="sl-SI"/>
              </w:rPr>
              <w:t>,</w:t>
            </w:r>
            <w:r w:rsidRPr="00976ED6">
              <w:rPr>
                <w:rFonts w:ascii="Times New Roman" w:hAnsi="Times New Roman" w:cs="Times New Roman"/>
                <w:color w:val="000000"/>
                <w:lang w:val="sl-SI"/>
              </w:rPr>
              <w:t>6</w:t>
            </w:r>
          </w:p>
          <w:p w14:paraId="3D5C7416" w14:textId="5FE929E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w:t>
            </w:r>
            <w:r>
              <w:rPr>
                <w:rFonts w:ascii="Times New Roman" w:hAnsi="Times New Roman" w:cs="Times New Roman"/>
                <w:color w:val="000000"/>
                <w:lang w:val="sl-SI"/>
              </w:rPr>
              <w:t>,</w:t>
            </w:r>
            <w:r w:rsidRPr="00976ED6">
              <w:rPr>
                <w:rFonts w:ascii="Times New Roman" w:hAnsi="Times New Roman" w:cs="Times New Roman"/>
                <w:color w:val="000000"/>
                <w:lang w:val="sl-SI"/>
              </w:rPr>
              <w:t>0-12</w:t>
            </w:r>
            <w:r>
              <w:rPr>
                <w:rFonts w:ascii="Times New Roman" w:hAnsi="Times New Roman" w:cs="Times New Roman"/>
                <w:color w:val="000000"/>
                <w:lang w:val="sl-SI"/>
              </w:rPr>
              <w:t>,</w:t>
            </w:r>
            <w:r w:rsidRPr="00976ED6">
              <w:rPr>
                <w:rFonts w:ascii="Times New Roman" w:hAnsi="Times New Roman" w:cs="Times New Roman"/>
                <w:color w:val="000000"/>
                <w:lang w:val="sl-SI"/>
              </w:rPr>
              <w:t>1)</w:t>
            </w:r>
          </w:p>
          <w:p w14:paraId="1EDE4F3A"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w:t>
            </w:r>
          </w:p>
        </w:tc>
      </w:tr>
    </w:tbl>
    <w:p w14:paraId="71978E3D" w14:textId="77777777" w:rsidR="003A7B6B" w:rsidRPr="00976ED6" w:rsidRDefault="003A7B6B" w:rsidP="003A7B6B">
      <w:pPr>
        <w:widowControl w:val="0"/>
        <w:tabs>
          <w:tab w:val="left" w:pos="567"/>
          <w:tab w:val="left" w:pos="1296"/>
        </w:tabs>
        <w:autoSpaceDE w:val="0"/>
        <w:autoSpaceDN w:val="0"/>
        <w:adjustRightInd w:val="0"/>
        <w:ind w:left="0" w:firstLine="0"/>
        <w:rPr>
          <w:rFonts w:ascii="Times New Roman" w:hAnsi="Times New Roman" w:cs="Times New Roman"/>
          <w:lang w:val="sl-SI"/>
        </w:rPr>
      </w:pPr>
      <w:r w:rsidRPr="00976ED6">
        <w:rPr>
          <w:rFonts w:ascii="Times New Roman" w:hAnsi="Times New Roman" w:cs="Times New Roman"/>
          <w:lang w:val="sl-SI"/>
        </w:rPr>
        <w:t>†Stratifikuotas logaritminio rango testas</w:t>
      </w:r>
    </w:p>
    <w:p w14:paraId="5E38A35C" w14:textId="77777777" w:rsidR="003A7B6B" w:rsidRPr="00976ED6" w:rsidRDefault="003A7B6B" w:rsidP="003A7B6B">
      <w:pPr>
        <w:widowControl w:val="0"/>
        <w:tabs>
          <w:tab w:val="left" w:pos="567"/>
          <w:tab w:val="left" w:pos="1296"/>
        </w:tabs>
        <w:autoSpaceDE w:val="0"/>
        <w:autoSpaceDN w:val="0"/>
        <w:adjustRightInd w:val="0"/>
        <w:ind w:left="0" w:firstLine="0"/>
        <w:rPr>
          <w:rFonts w:ascii="Times New Roman" w:hAnsi="Times New Roman" w:cs="Times New Roman"/>
          <w:lang w:val="sl-SI"/>
        </w:rPr>
      </w:pPr>
      <w:r w:rsidRPr="00976ED6">
        <w:rPr>
          <w:rFonts w:ascii="Times New Roman" w:hAnsi="Times New Roman" w:cs="Times New Roman"/>
          <w:lang w:val="sl-SI"/>
        </w:rPr>
        <w:t>*Statistinio reikšmingumo lygmuo = 0.0175</w:t>
      </w:r>
    </w:p>
    <w:p w14:paraId="3DDFDB29"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**PSA – prostatos specifinis antigenas</w:t>
      </w:r>
    </w:p>
    <w:p w14:paraId="4FE78C76"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104592C" w14:textId="77777777" w:rsidR="003A7B6B" w:rsidRPr="00605088"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Atsižvelgiant į tai, kad kas savaitę vartojamo docetakselio saugumas buvo šiek kiek geresnis, nei docetakselio infuzuojant kas 3 savaites, tikėtina, kad kai kuriems pacientams gali būti naudinga d</w:t>
      </w:r>
      <w:r w:rsidRPr="00605088">
        <w:rPr>
          <w:rFonts w:ascii="Times New Roman" w:hAnsi="Times New Roman" w:cs="Times New Roman"/>
          <w:lang w:val="sl-SI"/>
        </w:rPr>
        <w:t>ocetakselio vartoti kas savaitę.</w:t>
      </w:r>
    </w:p>
    <w:p w14:paraId="1EDD9958" w14:textId="77777777" w:rsidR="003A7B6B" w:rsidRPr="00605088" w:rsidRDefault="003A7B6B" w:rsidP="003A7B6B">
      <w:pPr>
        <w:widowControl w:val="0"/>
        <w:tabs>
          <w:tab w:val="left" w:pos="1296"/>
        </w:tabs>
        <w:ind w:left="0" w:firstLine="0"/>
        <w:rPr>
          <w:rFonts w:ascii="Times New Roman" w:hAnsi="Times New Roman" w:cs="Times New Roman"/>
          <w:lang w:val="sl-SI"/>
        </w:rPr>
      </w:pPr>
    </w:p>
    <w:p w14:paraId="36508CD4" w14:textId="77777777" w:rsidR="003A7B6B" w:rsidRPr="004F3426" w:rsidRDefault="003A7B6B" w:rsidP="003A7B6B">
      <w:pPr>
        <w:widowControl w:val="0"/>
        <w:tabs>
          <w:tab w:val="left" w:pos="1296"/>
        </w:tabs>
        <w:ind w:left="0" w:firstLine="0"/>
        <w:rPr>
          <w:rFonts w:ascii="Times New Roman" w:hAnsi="Times New Roman" w:cs="Times New Roman"/>
          <w:lang w:val="sl-SI"/>
        </w:rPr>
      </w:pPr>
      <w:r w:rsidRPr="004F3426">
        <w:rPr>
          <w:rFonts w:ascii="Times New Roman" w:hAnsi="Times New Roman" w:cs="Times New Roman"/>
          <w:lang w:val="sl-SI"/>
        </w:rPr>
        <w:t>Statistinių bendros gyvenimo kokybės skirtumų tarp gydymo grupių nenustatyta.</w:t>
      </w:r>
    </w:p>
    <w:p w14:paraId="4B376769" w14:textId="77777777" w:rsidR="003A7B6B" w:rsidRPr="00605088" w:rsidRDefault="003A7B6B" w:rsidP="003A7B6B">
      <w:pPr>
        <w:widowControl w:val="0"/>
        <w:tabs>
          <w:tab w:val="left" w:pos="1296"/>
        </w:tabs>
        <w:ind w:left="0" w:firstLine="0"/>
        <w:rPr>
          <w:rFonts w:ascii="Times New Roman" w:hAnsi="Times New Roman" w:cs="Times New Roman"/>
          <w:lang w:val="sl-SI"/>
        </w:rPr>
      </w:pPr>
    </w:p>
    <w:p w14:paraId="278706C1" w14:textId="77777777" w:rsidR="003A7B6B" w:rsidRPr="00F52238" w:rsidRDefault="003A7B6B" w:rsidP="003A7B6B">
      <w:pPr>
        <w:widowControl w:val="0"/>
        <w:tabs>
          <w:tab w:val="left" w:pos="1296"/>
        </w:tabs>
        <w:ind w:left="0" w:firstLine="0"/>
        <w:rPr>
          <w:rFonts w:ascii="Times New Roman" w:hAnsi="Times New Roman" w:cs="Times New Roman"/>
          <w:u w:val="single"/>
        </w:rPr>
      </w:pPr>
      <w:r w:rsidRPr="00F52238">
        <w:rPr>
          <w:rFonts w:ascii="Times New Roman" w:hAnsi="Times New Roman" w:cs="Times New Roman"/>
          <w:u w:val="single"/>
        </w:rPr>
        <w:t>Metastazavęs hormonams jautrus prostatos vėžys</w:t>
      </w:r>
    </w:p>
    <w:p w14:paraId="021AEB44" w14:textId="77777777" w:rsidR="003A7B6B" w:rsidRPr="002D2EC4" w:rsidRDefault="003A7B6B" w:rsidP="003A7B6B">
      <w:pPr>
        <w:widowControl w:val="0"/>
        <w:tabs>
          <w:tab w:val="left" w:pos="1296"/>
        </w:tabs>
        <w:ind w:left="0" w:firstLine="0"/>
        <w:rPr>
          <w:rFonts w:ascii="Times New Roman" w:hAnsi="Times New Roman" w:cs="Times New Roman"/>
          <w:i/>
        </w:rPr>
      </w:pPr>
      <w:r w:rsidRPr="002D2EC4">
        <w:rPr>
          <w:rFonts w:ascii="Times New Roman" w:hAnsi="Times New Roman" w:cs="Times New Roman"/>
          <w:i/>
        </w:rPr>
        <w:t>STAMPEDE tyrimas</w:t>
      </w:r>
    </w:p>
    <w:p w14:paraId="5DC03850" w14:textId="77777777" w:rsidR="003A7B6B" w:rsidRPr="002D2EC4" w:rsidRDefault="003A7B6B" w:rsidP="003A7B6B">
      <w:pPr>
        <w:widowControl w:val="0"/>
        <w:tabs>
          <w:tab w:val="left" w:pos="1296"/>
        </w:tabs>
        <w:ind w:left="0" w:firstLine="0"/>
        <w:rPr>
          <w:rFonts w:ascii="Times New Roman" w:hAnsi="Times New Roman" w:cs="Times New Roman"/>
          <w:i/>
        </w:rPr>
      </w:pPr>
    </w:p>
    <w:p w14:paraId="323D4023" w14:textId="77777777" w:rsidR="003A7B6B" w:rsidRPr="00605088" w:rsidRDefault="003A7B6B" w:rsidP="003A7B6B">
      <w:pPr>
        <w:widowControl w:val="0"/>
        <w:tabs>
          <w:tab w:val="left" w:pos="1296"/>
        </w:tabs>
        <w:ind w:left="0" w:firstLine="0"/>
        <w:rPr>
          <w:rFonts w:ascii="Times New Roman" w:hAnsi="Times New Roman" w:cs="Times New Roman"/>
        </w:rPr>
      </w:pPr>
      <w:r w:rsidRPr="002D2EC4">
        <w:rPr>
          <w:rFonts w:ascii="Times New Roman" w:hAnsi="Times New Roman" w:cs="Times New Roman"/>
        </w:rPr>
        <w:t>Docetakselio saugumas ir veiksmingumas kartu taikant įprastinį gydymą (ADT) pacientams, sergantiems didelės rizikos lokaliai progresavusiu ar metastazavusiu hormonams jautriu prostatos</w:t>
      </w:r>
      <w:r>
        <w:rPr>
          <w:rFonts w:ascii="Times New Roman" w:hAnsi="Times New Roman" w:cs="Times New Roman"/>
        </w:rPr>
        <w:t xml:space="preserve"> </w:t>
      </w:r>
      <w:r w:rsidRPr="002D2EC4">
        <w:rPr>
          <w:rFonts w:ascii="Times New Roman" w:hAnsi="Times New Roman" w:cs="Times New Roman"/>
        </w:rPr>
        <w:t>vėžiu, buvo vertintas atsitiktinių imčių, kelių grupių ir kelių stadijų (angl. multi-arm multi-stage, MAMS) nuoseklių II/III fazių tyrimo (STAMPEDE – MRC PR08) metu. Iš viso 1 776 pacientai vyrai buvo įtraukti į</w:t>
      </w:r>
      <w:r w:rsidRPr="00605088">
        <w:rPr>
          <w:rFonts w:ascii="Times New Roman" w:hAnsi="Times New Roman" w:cs="Times New Roman"/>
        </w:rPr>
        <w:t xml:space="preserve"> specifines tiriamąsias grupes:</w:t>
      </w:r>
    </w:p>
    <w:p w14:paraId="72D25ED8" w14:textId="77777777" w:rsidR="003A7B6B" w:rsidRPr="002D2EC4" w:rsidRDefault="003A7B6B" w:rsidP="002D2EC4">
      <w:pPr>
        <w:pStyle w:val="Sraopastraipa"/>
        <w:widowControl w:val="0"/>
        <w:numPr>
          <w:ilvl w:val="0"/>
          <w:numId w:val="34"/>
        </w:numPr>
        <w:spacing w:line="240" w:lineRule="auto"/>
        <w:ind w:left="567" w:hanging="567"/>
        <w:rPr>
          <w:rFonts w:ascii="Times New Roman" w:hAnsi="Times New Roman"/>
        </w:rPr>
      </w:pPr>
      <w:r w:rsidRPr="002D2EC4">
        <w:rPr>
          <w:rFonts w:ascii="Times New Roman" w:hAnsi="Times New Roman"/>
        </w:rPr>
        <w:t>įprastinio gydymo + docetakselio 75 mg/m² kas 3 savaites 6 ciklus;</w:t>
      </w:r>
    </w:p>
    <w:p w14:paraId="0B8D8666" w14:textId="77777777" w:rsidR="003A7B6B" w:rsidRPr="002D2EC4" w:rsidRDefault="003A7B6B" w:rsidP="002D2EC4">
      <w:pPr>
        <w:pStyle w:val="Sraopastraipa"/>
        <w:widowControl w:val="0"/>
        <w:numPr>
          <w:ilvl w:val="0"/>
          <w:numId w:val="34"/>
        </w:numPr>
        <w:spacing w:after="0" w:line="240" w:lineRule="auto"/>
        <w:ind w:left="567" w:hanging="567"/>
        <w:rPr>
          <w:rFonts w:ascii="Times New Roman" w:hAnsi="Times New Roman"/>
        </w:rPr>
      </w:pPr>
      <w:r w:rsidRPr="002D2EC4">
        <w:rPr>
          <w:rFonts w:ascii="Times New Roman" w:hAnsi="Times New Roman"/>
        </w:rPr>
        <w:t>vien tik įprastinio gydymo.</w:t>
      </w:r>
    </w:p>
    <w:p w14:paraId="4F69A955" w14:textId="77777777" w:rsidR="003A7B6B" w:rsidRPr="003425F0" w:rsidRDefault="003A7B6B" w:rsidP="003A7B6B">
      <w:pPr>
        <w:widowControl w:val="0"/>
        <w:tabs>
          <w:tab w:val="left" w:pos="1296"/>
        </w:tabs>
        <w:ind w:left="0" w:firstLine="0"/>
        <w:rPr>
          <w:rFonts w:ascii="Times New Roman" w:hAnsi="Times New Roman" w:cs="Times New Roman"/>
        </w:rPr>
      </w:pPr>
      <w:r w:rsidRPr="002D2EC4">
        <w:rPr>
          <w:rFonts w:ascii="Times New Roman" w:hAnsi="Times New Roman" w:cs="Times New Roman"/>
        </w:rPr>
        <w:t xml:space="preserve">Docetakselio buvo vartojama kartu su prednizonu arba prednizolonu (po 5 mg du </w:t>
      </w:r>
      <w:r w:rsidRPr="003425F0">
        <w:rPr>
          <w:rFonts w:ascii="Times New Roman" w:hAnsi="Times New Roman" w:cs="Times New Roman"/>
        </w:rPr>
        <w:t>kartus per parą, be pertraukų).</w:t>
      </w:r>
    </w:p>
    <w:p w14:paraId="2391F726" w14:textId="77777777" w:rsidR="003A7B6B" w:rsidRDefault="003A7B6B" w:rsidP="003A7B6B">
      <w:pPr>
        <w:widowControl w:val="0"/>
        <w:tabs>
          <w:tab w:val="left" w:pos="1296"/>
        </w:tabs>
        <w:ind w:left="0" w:firstLine="0"/>
        <w:rPr>
          <w:rFonts w:ascii="Times New Roman" w:hAnsi="Times New Roman" w:cs="Times New Roman"/>
        </w:rPr>
      </w:pPr>
      <w:r w:rsidRPr="002D2EC4">
        <w:rPr>
          <w:rFonts w:ascii="Times New Roman" w:hAnsi="Times New Roman" w:cs="Times New Roman"/>
        </w:rPr>
        <w:t>Iš 1 776 atsitiktinėms imtims priskirtų pacientų 1 086 (61 %) sirgo metastazavusia liga, 362 buvo atsitiktinai priskirti vartoti docetakselį kartu skiriant standartinį gydymą, o 724 pacientams skirtas tik standartinis gydymas.</w:t>
      </w:r>
    </w:p>
    <w:p w14:paraId="31C33B68" w14:textId="77777777" w:rsidR="003A7B6B" w:rsidRDefault="003A7B6B" w:rsidP="003A7B6B">
      <w:pPr>
        <w:widowControl w:val="0"/>
        <w:tabs>
          <w:tab w:val="left" w:pos="1296"/>
        </w:tabs>
        <w:ind w:left="0" w:firstLine="0"/>
        <w:rPr>
          <w:rFonts w:ascii="Times New Roman" w:hAnsi="Times New Roman" w:cs="Times New Roman"/>
        </w:rPr>
      </w:pPr>
    </w:p>
    <w:p w14:paraId="29CACD04" w14:textId="77777777" w:rsidR="003A7B6B" w:rsidRDefault="003A7B6B" w:rsidP="003A7B6B">
      <w:pPr>
        <w:widowControl w:val="0"/>
        <w:tabs>
          <w:tab w:val="left" w:pos="1296"/>
        </w:tabs>
        <w:ind w:left="0" w:firstLine="0"/>
        <w:rPr>
          <w:rFonts w:ascii="Times New Roman" w:hAnsi="Times New Roman" w:cs="Times New Roman"/>
        </w:rPr>
      </w:pPr>
      <w:r w:rsidRPr="002D2EC4">
        <w:rPr>
          <w:rFonts w:ascii="Times New Roman" w:hAnsi="Times New Roman" w:cs="Times New Roman"/>
        </w:rPr>
        <w:t>Šių metastazavusiu prostatos vėžiu sirgusių pacientų bendrojo išgyvento laikotarpio trukmės mediana buvo reikšmingai didesnė gydymo docetakseliu grupėje, palyginti su vien tik standartinio gydymo grupe: įprastinį gydymą papildžius docetakseliu, bendrojo išgyvento laikotarpio trukmės mediana pailgėjo 19 mėnesių (SR=0,76,</w:t>
      </w:r>
      <w:r w:rsidRPr="00605088">
        <w:rPr>
          <w:rFonts w:ascii="Times New Roman" w:hAnsi="Times New Roman" w:cs="Times New Roman"/>
        </w:rPr>
        <w:t xml:space="preserve"> 95 % PI = 0,62-0,92, p=0,005).</w:t>
      </w:r>
    </w:p>
    <w:p w14:paraId="6427C9D3" w14:textId="77777777" w:rsidR="003A7B6B" w:rsidRPr="00605088" w:rsidRDefault="003A7B6B" w:rsidP="003A7B6B">
      <w:pPr>
        <w:widowControl w:val="0"/>
        <w:tabs>
          <w:tab w:val="left" w:pos="1296"/>
        </w:tabs>
        <w:ind w:left="0" w:firstLine="0"/>
        <w:rPr>
          <w:rFonts w:ascii="Times New Roman" w:hAnsi="Times New Roman" w:cs="Times New Roman"/>
        </w:rPr>
      </w:pPr>
    </w:p>
    <w:p w14:paraId="65768668" w14:textId="77777777" w:rsidR="003A7B6B" w:rsidRDefault="003A7B6B" w:rsidP="003A7B6B">
      <w:pPr>
        <w:widowControl w:val="0"/>
        <w:tabs>
          <w:tab w:val="left" w:pos="1296"/>
        </w:tabs>
        <w:ind w:left="0" w:firstLine="0"/>
        <w:rPr>
          <w:rFonts w:ascii="Times New Roman" w:hAnsi="Times New Roman" w:cs="Times New Roman"/>
        </w:rPr>
      </w:pPr>
      <w:r w:rsidRPr="002D2EC4">
        <w:rPr>
          <w:rFonts w:ascii="Times New Roman" w:hAnsi="Times New Roman" w:cs="Times New Roman"/>
        </w:rPr>
        <w:t>Docetakselio ir kontrolinės grupės metastazavusiu prostatos vėžiu sirgusiems pacientams veiksmingumo rezultatai apibendrinti</w:t>
      </w:r>
      <w:r w:rsidRPr="00605088">
        <w:rPr>
          <w:rFonts w:ascii="Times New Roman" w:hAnsi="Times New Roman" w:cs="Times New Roman"/>
        </w:rPr>
        <w:t xml:space="preserve"> toliau pateikiamoje lentelėje.</w:t>
      </w:r>
    </w:p>
    <w:p w14:paraId="0F0F2D0F" w14:textId="77777777" w:rsidR="003A7B6B" w:rsidRPr="00605088" w:rsidRDefault="003A7B6B" w:rsidP="003A7B6B">
      <w:pPr>
        <w:widowControl w:val="0"/>
        <w:tabs>
          <w:tab w:val="left" w:pos="1296"/>
        </w:tabs>
        <w:ind w:left="0" w:firstLine="0"/>
        <w:rPr>
          <w:rFonts w:ascii="Times New Roman" w:hAnsi="Times New Roman" w:cs="Times New Roman"/>
        </w:rPr>
      </w:pPr>
    </w:p>
    <w:p w14:paraId="544053CB" w14:textId="77777777" w:rsidR="003A7B6B" w:rsidRDefault="003A7B6B" w:rsidP="003A7B6B">
      <w:pPr>
        <w:widowControl w:val="0"/>
        <w:tabs>
          <w:tab w:val="left" w:pos="1296"/>
        </w:tabs>
        <w:ind w:left="0" w:firstLine="0"/>
        <w:rPr>
          <w:rFonts w:ascii="Times New Roman" w:hAnsi="Times New Roman" w:cs="Times New Roman"/>
        </w:rPr>
      </w:pPr>
      <w:r w:rsidRPr="002D2EC4">
        <w:rPr>
          <w:rFonts w:ascii="Times New Roman" w:hAnsi="Times New Roman" w:cs="Times New Roman"/>
        </w:rPr>
        <w:t>Metastazavusiu hormonams jautriu prostatos vėžiu sergančių pacientų gydymo docetakseliu kartu skiriant prednizoną ar prednizoloną ir standartinį gydymą veiksmingumo rezultatai (STAMPEDE tyrimas)</w:t>
      </w:r>
    </w:p>
    <w:p w14:paraId="42DB6731" w14:textId="77777777" w:rsidR="003A7B6B" w:rsidRPr="002D2EC4" w:rsidRDefault="003A7B6B" w:rsidP="003A7B6B">
      <w:pPr>
        <w:widowControl w:val="0"/>
        <w:tabs>
          <w:tab w:val="left" w:pos="1296"/>
        </w:tabs>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2836"/>
        <w:gridCol w:w="2417"/>
      </w:tblGrid>
      <w:tr w:rsidR="003A7B6B" w:rsidRPr="00605088" w14:paraId="0EAE9C77" w14:textId="77777777" w:rsidTr="002D2EC4">
        <w:trPr>
          <w:trHeight w:val="686"/>
        </w:trPr>
        <w:tc>
          <w:tcPr>
            <w:tcW w:w="3360" w:type="dxa"/>
            <w:shd w:val="clear" w:color="auto" w:fill="auto"/>
          </w:tcPr>
          <w:p w14:paraId="76129179" w14:textId="77777777" w:rsidR="003A7B6B" w:rsidRPr="00605088" w:rsidRDefault="003A7B6B" w:rsidP="005E6418">
            <w:pPr>
              <w:widowControl w:val="0"/>
              <w:autoSpaceDE w:val="0"/>
              <w:autoSpaceDN w:val="0"/>
              <w:spacing w:before="60"/>
              <w:ind w:left="0" w:firstLine="0"/>
              <w:rPr>
                <w:rFonts w:ascii="Times New Roman" w:eastAsia="Times New Roman" w:hAnsi="Times New Roman" w:cs="Times New Roman"/>
                <w:lang w:val="en-US"/>
              </w:rPr>
            </w:pPr>
            <w:r>
              <w:rPr>
                <w:rFonts w:ascii="Times New Roman" w:eastAsia="Times New Roman" w:hAnsi="Times New Roman" w:cs="Times New Roman"/>
                <w:lang w:val="en-US"/>
              </w:rPr>
              <w:t>Vertinamoji baigtis</w:t>
            </w:r>
          </w:p>
        </w:tc>
        <w:tc>
          <w:tcPr>
            <w:tcW w:w="2836" w:type="dxa"/>
            <w:tcBorders>
              <w:bottom w:val="single" w:sz="4" w:space="0" w:color="auto"/>
            </w:tcBorders>
            <w:shd w:val="clear" w:color="auto" w:fill="auto"/>
          </w:tcPr>
          <w:p w14:paraId="4163C485" w14:textId="77777777" w:rsidR="003A7B6B" w:rsidRPr="00605088" w:rsidRDefault="003A7B6B" w:rsidP="005E6418">
            <w:pPr>
              <w:widowControl w:val="0"/>
              <w:autoSpaceDE w:val="0"/>
              <w:autoSpaceDN w:val="0"/>
              <w:spacing w:before="60"/>
              <w:ind w:left="0" w:right="123"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Docetakselis + standartinis gydymas</w:t>
            </w:r>
          </w:p>
        </w:tc>
        <w:tc>
          <w:tcPr>
            <w:tcW w:w="2417" w:type="dxa"/>
            <w:shd w:val="clear" w:color="auto" w:fill="auto"/>
          </w:tcPr>
          <w:p w14:paraId="2B76FC02" w14:textId="77777777" w:rsidR="003A7B6B" w:rsidRPr="00605088" w:rsidRDefault="003A7B6B" w:rsidP="005E6418">
            <w:pPr>
              <w:widowControl w:val="0"/>
              <w:autoSpaceDE w:val="0"/>
              <w:autoSpaceDN w:val="0"/>
              <w:spacing w:before="60"/>
              <w:ind w:left="0" w:right="-72" w:firstLine="0"/>
              <w:rPr>
                <w:rFonts w:ascii="Times New Roman" w:eastAsia="Times New Roman" w:hAnsi="Times New Roman" w:cs="Times New Roman"/>
                <w:lang w:val="en-US"/>
              </w:rPr>
            </w:pPr>
            <w:r>
              <w:rPr>
                <w:rFonts w:ascii="Times New Roman" w:eastAsia="Times New Roman" w:hAnsi="Times New Roman" w:cs="Times New Roman"/>
                <w:lang w:val="en-US"/>
              </w:rPr>
              <w:t>Vien tik standartinis gydymas</w:t>
            </w:r>
          </w:p>
        </w:tc>
      </w:tr>
      <w:tr w:rsidR="003A7B6B" w:rsidRPr="00605088" w14:paraId="69493E41" w14:textId="77777777" w:rsidTr="002D2EC4">
        <w:trPr>
          <w:trHeight w:val="1146"/>
        </w:trPr>
        <w:tc>
          <w:tcPr>
            <w:tcW w:w="3360" w:type="dxa"/>
            <w:vMerge w:val="restart"/>
            <w:shd w:val="clear" w:color="auto" w:fill="auto"/>
          </w:tcPr>
          <w:p w14:paraId="5BB53C7F" w14:textId="77777777" w:rsidR="003A7B6B" w:rsidRPr="002D2EC4" w:rsidRDefault="003A7B6B" w:rsidP="002D2EC4">
            <w:pPr>
              <w:widowControl w:val="0"/>
              <w:tabs>
                <w:tab w:val="left" w:pos="1044"/>
                <w:tab w:val="left" w:pos="1446"/>
                <w:tab w:val="left" w:pos="2555"/>
              </w:tabs>
              <w:autoSpaceDE w:val="0"/>
              <w:autoSpaceDN w:val="0"/>
              <w:spacing w:before="1"/>
              <w:ind w:left="0" w:right="95" w:firstLine="0"/>
              <w:rPr>
                <w:rFonts w:ascii="Times New Roman" w:eastAsia="Times New Roman" w:hAnsi="Times New Roman" w:cs="Times New Roman"/>
              </w:rPr>
            </w:pPr>
            <w:r w:rsidRPr="002D2EC4">
              <w:rPr>
                <w:rFonts w:ascii="Times New Roman" w:hAnsi="Times New Roman" w:cs="Times New Roman"/>
              </w:rPr>
              <w:t xml:space="preserve">Metastazavusiu prostatos vėžiu sirgusių pacientų skaičius Bendrojo išgyvento laikotarpio mediana (mėn.) </w:t>
            </w:r>
            <w:r w:rsidRPr="002D2EC4">
              <w:rPr>
                <w:rFonts w:ascii="Times New Roman" w:eastAsia="Times New Roman" w:hAnsi="Times New Roman" w:cs="Times New Roman"/>
              </w:rPr>
              <w:t>95%</w:t>
            </w:r>
            <w:r w:rsidRPr="002D2EC4">
              <w:rPr>
                <w:rFonts w:ascii="Times New Roman" w:eastAsia="Times New Roman" w:hAnsi="Times New Roman" w:cs="Times New Roman"/>
                <w:spacing w:val="-2"/>
              </w:rPr>
              <w:t xml:space="preserve"> </w:t>
            </w:r>
            <w:r w:rsidRPr="002D2EC4">
              <w:rPr>
                <w:rFonts w:ascii="Times New Roman" w:eastAsia="Times New Roman" w:hAnsi="Times New Roman" w:cs="Times New Roman"/>
              </w:rPr>
              <w:t>PI</w:t>
            </w:r>
          </w:p>
          <w:p w14:paraId="52DEC7FA" w14:textId="77777777" w:rsidR="003A7B6B" w:rsidRPr="002D2EC4" w:rsidRDefault="003A7B6B" w:rsidP="005E6418">
            <w:pPr>
              <w:widowControl w:val="0"/>
              <w:autoSpaceDE w:val="0"/>
              <w:autoSpaceDN w:val="0"/>
              <w:spacing w:before="168"/>
              <w:ind w:left="0" w:right="303" w:firstLine="0"/>
              <w:rPr>
                <w:rFonts w:ascii="Times New Roman" w:eastAsia="Times New Roman" w:hAnsi="Times New Roman" w:cs="Times New Roman"/>
                <w:spacing w:val="-3"/>
              </w:rPr>
            </w:pPr>
            <w:r w:rsidRPr="002D2EC4">
              <w:rPr>
                <w:rFonts w:ascii="Times New Roman" w:eastAsia="Times New Roman" w:hAnsi="Times New Roman" w:cs="Times New Roman"/>
              </w:rPr>
              <w:t>Koreguota santykinė rizika</w:t>
            </w:r>
          </w:p>
          <w:p w14:paraId="47AA949E" w14:textId="77777777" w:rsidR="003A7B6B" w:rsidRPr="002D2EC4" w:rsidRDefault="003A7B6B" w:rsidP="005E6418">
            <w:pPr>
              <w:widowControl w:val="0"/>
              <w:autoSpaceDE w:val="0"/>
              <w:autoSpaceDN w:val="0"/>
              <w:ind w:left="0" w:right="303" w:firstLine="0"/>
              <w:rPr>
                <w:rFonts w:ascii="Times New Roman" w:eastAsia="Times New Roman" w:hAnsi="Times New Roman" w:cs="Times New Roman"/>
              </w:rPr>
            </w:pPr>
            <w:r w:rsidRPr="002D2EC4">
              <w:rPr>
                <w:rFonts w:ascii="Times New Roman" w:eastAsia="Times New Roman" w:hAnsi="Times New Roman" w:cs="Times New Roman"/>
              </w:rPr>
              <w:t>95%</w:t>
            </w:r>
            <w:r w:rsidRPr="002D2EC4">
              <w:rPr>
                <w:rFonts w:ascii="Times New Roman" w:eastAsia="Times New Roman" w:hAnsi="Times New Roman" w:cs="Times New Roman"/>
                <w:spacing w:val="-2"/>
              </w:rPr>
              <w:t xml:space="preserve"> </w:t>
            </w:r>
            <w:r w:rsidRPr="002D2EC4">
              <w:rPr>
                <w:rFonts w:ascii="Times New Roman" w:eastAsia="Times New Roman" w:hAnsi="Times New Roman" w:cs="Times New Roman"/>
              </w:rPr>
              <w:t>PI</w:t>
            </w:r>
          </w:p>
          <w:p w14:paraId="76144038" w14:textId="77777777" w:rsidR="003A7B6B" w:rsidRPr="002D2EC4" w:rsidRDefault="003A7B6B" w:rsidP="005E6418">
            <w:pPr>
              <w:widowControl w:val="0"/>
              <w:autoSpaceDE w:val="0"/>
              <w:autoSpaceDN w:val="0"/>
              <w:spacing w:line="292" w:lineRule="exact"/>
              <w:ind w:left="0" w:firstLine="0"/>
              <w:rPr>
                <w:rFonts w:ascii="Times New Roman" w:eastAsia="Times New Roman" w:hAnsi="Times New Roman" w:cs="Times New Roman"/>
                <w:i/>
              </w:rPr>
            </w:pPr>
            <w:r w:rsidRPr="002D2EC4">
              <w:rPr>
                <w:rFonts w:ascii="Times New Roman" w:eastAsia="Times New Roman" w:hAnsi="Times New Roman" w:cs="Times New Roman"/>
              </w:rPr>
              <w:t>p-reikšmė</w:t>
            </w:r>
            <w:r w:rsidRPr="002D2EC4">
              <w:rPr>
                <w:rFonts w:ascii="Times New Roman" w:eastAsia="Times New Roman" w:hAnsi="Times New Roman" w:cs="Times New Roman"/>
                <w:i/>
                <w:position w:val="6"/>
                <w:sz w:val="18"/>
              </w:rPr>
              <w:t>a</w:t>
            </w:r>
          </w:p>
        </w:tc>
        <w:tc>
          <w:tcPr>
            <w:tcW w:w="2836" w:type="dxa"/>
            <w:tcBorders>
              <w:bottom w:val="nil"/>
            </w:tcBorders>
            <w:shd w:val="clear" w:color="auto" w:fill="auto"/>
          </w:tcPr>
          <w:p w14:paraId="01F0A7D9" w14:textId="77777777" w:rsidR="003A7B6B" w:rsidRPr="00605088" w:rsidRDefault="003A7B6B" w:rsidP="005E6418">
            <w:pPr>
              <w:widowControl w:val="0"/>
              <w:autoSpaceDE w:val="0"/>
              <w:autoSpaceDN w:val="0"/>
              <w:spacing w:before="1"/>
              <w:ind w:left="0" w:right="123" w:firstLine="0"/>
              <w:jc w:val="center"/>
              <w:rPr>
                <w:rFonts w:ascii="Times New Roman" w:eastAsia="Times New Roman" w:hAnsi="Times New Roman" w:cs="Times New Roman"/>
                <w:lang w:val="en-US"/>
              </w:rPr>
            </w:pPr>
            <w:r w:rsidRPr="00605088">
              <w:rPr>
                <w:rFonts w:ascii="Times New Roman" w:eastAsia="Times New Roman" w:hAnsi="Times New Roman" w:cs="Times New Roman"/>
                <w:lang w:val="en-US"/>
              </w:rPr>
              <w:t>362</w:t>
            </w:r>
          </w:p>
          <w:p w14:paraId="0863DAEB" w14:textId="77777777" w:rsidR="003A7B6B" w:rsidRPr="00605088" w:rsidRDefault="003A7B6B" w:rsidP="005E6418">
            <w:pPr>
              <w:widowControl w:val="0"/>
              <w:autoSpaceDE w:val="0"/>
              <w:autoSpaceDN w:val="0"/>
              <w:spacing w:before="10"/>
              <w:ind w:left="0" w:firstLine="0"/>
              <w:rPr>
                <w:rFonts w:ascii="Times New Roman" w:eastAsia="Times New Roman" w:hAnsi="Times New Roman" w:cs="Times New Roman"/>
                <w:sz w:val="21"/>
                <w:lang w:val="en-US"/>
              </w:rPr>
            </w:pPr>
          </w:p>
          <w:p w14:paraId="79D22DDB" w14:textId="77777777" w:rsidR="003A7B6B" w:rsidRPr="00605088" w:rsidRDefault="003A7B6B" w:rsidP="002D2EC4">
            <w:pPr>
              <w:widowControl w:val="0"/>
              <w:autoSpaceDE w:val="0"/>
              <w:autoSpaceDN w:val="0"/>
              <w:spacing w:before="40"/>
              <w:ind w:left="0" w:right="123" w:firstLine="0"/>
              <w:jc w:val="center"/>
              <w:rPr>
                <w:rFonts w:ascii="Times New Roman" w:eastAsia="Times New Roman" w:hAnsi="Times New Roman" w:cs="Times New Roman"/>
                <w:lang w:val="en-US"/>
              </w:rPr>
            </w:pPr>
            <w:r w:rsidRPr="00605088">
              <w:rPr>
                <w:rFonts w:ascii="Times New Roman" w:eastAsia="Times New Roman" w:hAnsi="Times New Roman" w:cs="Times New Roman"/>
                <w:lang w:val="en-US"/>
              </w:rPr>
              <w:t>62</w:t>
            </w:r>
          </w:p>
          <w:p w14:paraId="0F361C25" w14:textId="77777777" w:rsidR="003A7B6B" w:rsidRPr="00605088" w:rsidRDefault="003A7B6B" w:rsidP="002D2EC4">
            <w:pPr>
              <w:widowControl w:val="0"/>
              <w:autoSpaceDE w:val="0"/>
              <w:autoSpaceDN w:val="0"/>
              <w:spacing w:before="40"/>
              <w:ind w:left="0" w:right="122" w:firstLine="0"/>
              <w:jc w:val="center"/>
              <w:rPr>
                <w:rFonts w:ascii="Times New Roman" w:eastAsia="Times New Roman" w:hAnsi="Times New Roman" w:cs="Times New Roman"/>
                <w:lang w:val="en-US"/>
              </w:rPr>
            </w:pPr>
            <w:r w:rsidRPr="00605088">
              <w:rPr>
                <w:rFonts w:ascii="Times New Roman" w:eastAsia="Times New Roman" w:hAnsi="Times New Roman" w:cs="Times New Roman"/>
                <w:lang w:val="en-US"/>
              </w:rPr>
              <w:t>51-73</w:t>
            </w:r>
          </w:p>
        </w:tc>
        <w:tc>
          <w:tcPr>
            <w:tcW w:w="2417" w:type="dxa"/>
            <w:shd w:val="clear" w:color="auto" w:fill="auto"/>
          </w:tcPr>
          <w:p w14:paraId="29E269DF" w14:textId="77777777" w:rsidR="003A7B6B" w:rsidRPr="00605088" w:rsidRDefault="003A7B6B" w:rsidP="005E6418">
            <w:pPr>
              <w:widowControl w:val="0"/>
              <w:autoSpaceDE w:val="0"/>
              <w:autoSpaceDN w:val="0"/>
              <w:spacing w:before="1"/>
              <w:ind w:left="0" w:right="270" w:firstLine="0"/>
              <w:jc w:val="center"/>
              <w:rPr>
                <w:rFonts w:ascii="Times New Roman" w:eastAsia="Times New Roman" w:hAnsi="Times New Roman" w:cs="Times New Roman"/>
                <w:lang w:val="en-US"/>
              </w:rPr>
            </w:pPr>
            <w:r w:rsidRPr="00605088">
              <w:rPr>
                <w:rFonts w:ascii="Times New Roman" w:eastAsia="Times New Roman" w:hAnsi="Times New Roman" w:cs="Times New Roman"/>
                <w:lang w:val="en-US"/>
              </w:rPr>
              <w:t>724</w:t>
            </w:r>
          </w:p>
          <w:p w14:paraId="6E044CDA" w14:textId="77777777" w:rsidR="003A7B6B" w:rsidRPr="00605088" w:rsidRDefault="003A7B6B" w:rsidP="005E6418">
            <w:pPr>
              <w:widowControl w:val="0"/>
              <w:autoSpaceDE w:val="0"/>
              <w:autoSpaceDN w:val="0"/>
              <w:spacing w:before="10"/>
              <w:ind w:left="0" w:right="270" w:firstLine="0"/>
              <w:rPr>
                <w:rFonts w:ascii="Times New Roman" w:eastAsia="Times New Roman" w:hAnsi="Times New Roman" w:cs="Times New Roman"/>
                <w:sz w:val="21"/>
                <w:lang w:val="en-US"/>
              </w:rPr>
            </w:pPr>
          </w:p>
          <w:p w14:paraId="360533EB" w14:textId="77777777" w:rsidR="003A7B6B" w:rsidRPr="00605088" w:rsidRDefault="003A7B6B" w:rsidP="002D2EC4">
            <w:pPr>
              <w:widowControl w:val="0"/>
              <w:autoSpaceDE w:val="0"/>
              <w:autoSpaceDN w:val="0"/>
              <w:spacing w:before="40"/>
              <w:ind w:left="0" w:right="270" w:firstLine="0"/>
              <w:jc w:val="center"/>
              <w:rPr>
                <w:rFonts w:ascii="Times New Roman" w:eastAsia="Times New Roman" w:hAnsi="Times New Roman" w:cs="Times New Roman"/>
                <w:lang w:val="en-US"/>
              </w:rPr>
            </w:pPr>
            <w:r w:rsidRPr="00605088">
              <w:rPr>
                <w:rFonts w:ascii="Times New Roman" w:eastAsia="Times New Roman" w:hAnsi="Times New Roman" w:cs="Times New Roman"/>
                <w:lang w:val="en-US"/>
              </w:rPr>
              <w:t>43</w:t>
            </w:r>
          </w:p>
          <w:p w14:paraId="00A5876E" w14:textId="77777777" w:rsidR="003A7B6B" w:rsidRPr="00605088" w:rsidRDefault="003A7B6B" w:rsidP="002D2EC4">
            <w:pPr>
              <w:widowControl w:val="0"/>
              <w:autoSpaceDE w:val="0"/>
              <w:autoSpaceDN w:val="0"/>
              <w:spacing w:before="40"/>
              <w:ind w:left="0" w:right="270" w:firstLine="0"/>
              <w:jc w:val="center"/>
              <w:rPr>
                <w:rFonts w:ascii="Times New Roman" w:eastAsia="Times New Roman" w:hAnsi="Times New Roman" w:cs="Times New Roman"/>
                <w:lang w:val="en-US"/>
              </w:rPr>
            </w:pPr>
            <w:r w:rsidRPr="00605088">
              <w:rPr>
                <w:rFonts w:ascii="Times New Roman" w:eastAsia="Times New Roman" w:hAnsi="Times New Roman" w:cs="Times New Roman"/>
                <w:lang w:val="en-US"/>
              </w:rPr>
              <w:t>40-48</w:t>
            </w:r>
          </w:p>
        </w:tc>
      </w:tr>
      <w:tr w:rsidR="003A7B6B" w:rsidRPr="00605088" w14:paraId="2A2C91F2" w14:textId="77777777" w:rsidTr="005E6418">
        <w:trPr>
          <w:trHeight w:val="813"/>
        </w:trPr>
        <w:tc>
          <w:tcPr>
            <w:tcW w:w="3360" w:type="dxa"/>
            <w:vMerge/>
            <w:shd w:val="clear" w:color="auto" w:fill="auto"/>
          </w:tcPr>
          <w:p w14:paraId="39E645C4" w14:textId="77777777" w:rsidR="003A7B6B" w:rsidRPr="00605088" w:rsidRDefault="003A7B6B" w:rsidP="005E6418">
            <w:pPr>
              <w:widowControl w:val="0"/>
              <w:autoSpaceDE w:val="0"/>
              <w:autoSpaceDN w:val="0"/>
              <w:ind w:left="0" w:firstLine="0"/>
              <w:rPr>
                <w:rFonts w:ascii="Times New Roman" w:eastAsia="Times New Roman" w:hAnsi="Times New Roman" w:cs="Times New Roman"/>
                <w:sz w:val="2"/>
                <w:szCs w:val="2"/>
                <w:lang w:val="en-US"/>
              </w:rPr>
            </w:pPr>
          </w:p>
        </w:tc>
        <w:tc>
          <w:tcPr>
            <w:tcW w:w="5253" w:type="dxa"/>
            <w:gridSpan w:val="2"/>
            <w:shd w:val="clear" w:color="auto" w:fill="auto"/>
          </w:tcPr>
          <w:p w14:paraId="520F42B3" w14:textId="77777777" w:rsidR="003A7B6B" w:rsidRPr="00605088" w:rsidRDefault="003A7B6B" w:rsidP="002D2EC4">
            <w:pPr>
              <w:widowControl w:val="0"/>
              <w:autoSpaceDE w:val="0"/>
              <w:autoSpaceDN w:val="0"/>
              <w:spacing w:before="60" w:line="248" w:lineRule="exact"/>
              <w:ind w:left="0" w:right="-15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605088">
              <w:rPr>
                <w:rFonts w:ascii="Times New Roman" w:eastAsia="Times New Roman" w:hAnsi="Times New Roman" w:cs="Times New Roman"/>
                <w:lang w:val="en-US"/>
              </w:rPr>
              <w:t>76</w:t>
            </w:r>
          </w:p>
          <w:p w14:paraId="2E7EA658" w14:textId="77777777" w:rsidR="003A7B6B" w:rsidRPr="00605088" w:rsidRDefault="003A7B6B" w:rsidP="005E6418">
            <w:pPr>
              <w:widowControl w:val="0"/>
              <w:autoSpaceDE w:val="0"/>
              <w:autoSpaceDN w:val="0"/>
              <w:spacing w:line="252" w:lineRule="exact"/>
              <w:ind w:left="0" w:right="-155" w:firstLine="0"/>
              <w:jc w:val="center"/>
              <w:rPr>
                <w:rFonts w:ascii="Times New Roman" w:eastAsia="Times New Roman" w:hAnsi="Times New Roman" w:cs="Times New Roman"/>
                <w:lang w:val="en-US"/>
              </w:rPr>
            </w:pPr>
            <w:r w:rsidRPr="00605088">
              <w:rPr>
                <w:rFonts w:ascii="Times New Roman" w:eastAsia="Times New Roman" w:hAnsi="Times New Roman" w:cs="Times New Roman"/>
                <w:lang w:val="en-US"/>
              </w:rPr>
              <w:t>(0</w:t>
            </w:r>
            <w:r>
              <w:rPr>
                <w:rFonts w:ascii="Times New Roman" w:eastAsia="Times New Roman" w:hAnsi="Times New Roman" w:cs="Times New Roman"/>
                <w:lang w:val="en-US"/>
              </w:rPr>
              <w:t>,62-0,</w:t>
            </w:r>
            <w:r w:rsidRPr="00605088">
              <w:rPr>
                <w:rFonts w:ascii="Times New Roman" w:eastAsia="Times New Roman" w:hAnsi="Times New Roman" w:cs="Times New Roman"/>
                <w:lang w:val="en-US"/>
              </w:rPr>
              <w:t>92)</w:t>
            </w:r>
          </w:p>
          <w:p w14:paraId="4BC0453A" w14:textId="77777777" w:rsidR="003A7B6B" w:rsidRPr="00605088" w:rsidRDefault="003A7B6B" w:rsidP="005E6418">
            <w:pPr>
              <w:widowControl w:val="0"/>
              <w:autoSpaceDE w:val="0"/>
              <w:autoSpaceDN w:val="0"/>
              <w:spacing w:line="252" w:lineRule="exact"/>
              <w:ind w:left="0" w:right="-15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605088">
              <w:rPr>
                <w:rFonts w:ascii="Times New Roman" w:eastAsia="Times New Roman" w:hAnsi="Times New Roman" w:cs="Times New Roman"/>
                <w:lang w:val="en-US"/>
              </w:rPr>
              <w:t>005</w:t>
            </w:r>
          </w:p>
        </w:tc>
      </w:tr>
      <w:tr w:rsidR="003A7B6B" w:rsidRPr="00605088" w14:paraId="598A72EB" w14:textId="77777777" w:rsidTr="002D2EC4">
        <w:trPr>
          <w:trHeight w:val="318"/>
        </w:trPr>
        <w:tc>
          <w:tcPr>
            <w:tcW w:w="3360" w:type="dxa"/>
            <w:tcBorders>
              <w:bottom w:val="nil"/>
            </w:tcBorders>
            <w:shd w:val="clear" w:color="auto" w:fill="auto"/>
          </w:tcPr>
          <w:p w14:paraId="0AE7BC85" w14:textId="77777777" w:rsidR="003A7B6B" w:rsidRPr="004F3426" w:rsidRDefault="003A7B6B" w:rsidP="005E6418">
            <w:pPr>
              <w:widowControl w:val="0"/>
              <w:autoSpaceDE w:val="0"/>
              <w:autoSpaceDN w:val="0"/>
              <w:spacing w:before="1" w:line="297" w:lineRule="exact"/>
              <w:ind w:left="0" w:firstLine="0"/>
              <w:rPr>
                <w:rFonts w:ascii="Times New Roman" w:eastAsia="Times New Roman" w:hAnsi="Times New Roman" w:cs="Times New Roman"/>
                <w:i/>
                <w:lang w:val="en-US"/>
              </w:rPr>
            </w:pPr>
            <w:r w:rsidRPr="002D2EC4">
              <w:rPr>
                <w:rFonts w:ascii="Times New Roman" w:hAnsi="Times New Roman" w:cs="Times New Roman"/>
              </w:rPr>
              <w:t xml:space="preserve">Be gydomojo poveikio išnykimo </w:t>
            </w:r>
          </w:p>
        </w:tc>
        <w:tc>
          <w:tcPr>
            <w:tcW w:w="2836" w:type="dxa"/>
            <w:tcBorders>
              <w:bottom w:val="nil"/>
            </w:tcBorders>
            <w:shd w:val="clear" w:color="auto" w:fill="auto"/>
          </w:tcPr>
          <w:p w14:paraId="7737F85B" w14:textId="77777777" w:rsidR="003A7B6B" w:rsidRPr="00605088" w:rsidRDefault="003A7B6B" w:rsidP="005E6418">
            <w:pPr>
              <w:widowControl w:val="0"/>
              <w:autoSpaceDE w:val="0"/>
              <w:autoSpaceDN w:val="0"/>
              <w:ind w:left="0" w:firstLine="0"/>
              <w:rPr>
                <w:rFonts w:ascii="Times New Roman" w:eastAsia="Times New Roman" w:hAnsi="Times New Roman" w:cs="Times New Roman"/>
                <w:sz w:val="24"/>
                <w:lang w:val="en-US"/>
              </w:rPr>
            </w:pPr>
          </w:p>
        </w:tc>
        <w:tc>
          <w:tcPr>
            <w:tcW w:w="2417" w:type="dxa"/>
            <w:tcBorders>
              <w:bottom w:val="nil"/>
            </w:tcBorders>
            <w:shd w:val="clear" w:color="auto" w:fill="auto"/>
          </w:tcPr>
          <w:p w14:paraId="393FA42F" w14:textId="77777777" w:rsidR="003A7B6B" w:rsidRPr="00605088" w:rsidRDefault="003A7B6B" w:rsidP="005E6418">
            <w:pPr>
              <w:widowControl w:val="0"/>
              <w:autoSpaceDE w:val="0"/>
              <w:autoSpaceDN w:val="0"/>
              <w:ind w:left="0" w:firstLine="0"/>
              <w:rPr>
                <w:rFonts w:ascii="Times New Roman" w:eastAsia="Times New Roman" w:hAnsi="Times New Roman" w:cs="Times New Roman"/>
                <w:sz w:val="24"/>
                <w:lang w:val="en-US"/>
              </w:rPr>
            </w:pPr>
          </w:p>
        </w:tc>
      </w:tr>
      <w:tr w:rsidR="003A7B6B" w:rsidRPr="00605088" w14:paraId="6103DE37" w14:textId="77777777" w:rsidTr="002D2EC4">
        <w:trPr>
          <w:trHeight w:val="252"/>
        </w:trPr>
        <w:tc>
          <w:tcPr>
            <w:tcW w:w="3360" w:type="dxa"/>
            <w:tcBorders>
              <w:top w:val="nil"/>
              <w:bottom w:val="nil"/>
            </w:tcBorders>
            <w:shd w:val="clear" w:color="auto" w:fill="auto"/>
          </w:tcPr>
          <w:p w14:paraId="2F678507" w14:textId="77777777" w:rsidR="003A7B6B" w:rsidRPr="004F3426" w:rsidRDefault="003A7B6B" w:rsidP="005E6418">
            <w:pPr>
              <w:widowControl w:val="0"/>
              <w:autoSpaceDE w:val="0"/>
              <w:autoSpaceDN w:val="0"/>
              <w:spacing w:line="233" w:lineRule="exact"/>
              <w:ind w:left="0" w:firstLine="0"/>
              <w:rPr>
                <w:rFonts w:ascii="Times New Roman" w:eastAsia="Times New Roman" w:hAnsi="Times New Roman" w:cs="Times New Roman"/>
                <w:lang w:val="en-US"/>
              </w:rPr>
            </w:pPr>
            <w:r w:rsidRPr="002D2EC4">
              <w:rPr>
                <w:rFonts w:ascii="Times New Roman" w:hAnsi="Times New Roman" w:cs="Times New Roman"/>
              </w:rPr>
              <w:t>išgyvento laikotarpio</w:t>
            </w:r>
            <w:r w:rsidRPr="002D2EC4">
              <w:rPr>
                <w:rFonts w:ascii="Times New Roman" w:hAnsi="Times New Roman" w:cs="Times New Roman"/>
                <w:i/>
                <w:vertAlign w:val="superscript"/>
              </w:rPr>
              <w:t>b</w:t>
            </w:r>
            <w:r w:rsidRPr="002D2EC4">
              <w:rPr>
                <w:rFonts w:ascii="Times New Roman" w:hAnsi="Times New Roman" w:cs="Times New Roman"/>
              </w:rPr>
              <w:t xml:space="preserve"> mediana (mėn.)</w:t>
            </w:r>
          </w:p>
        </w:tc>
        <w:tc>
          <w:tcPr>
            <w:tcW w:w="2836" w:type="dxa"/>
            <w:tcBorders>
              <w:top w:val="nil"/>
              <w:bottom w:val="nil"/>
            </w:tcBorders>
            <w:shd w:val="clear" w:color="auto" w:fill="auto"/>
          </w:tcPr>
          <w:p w14:paraId="31672759" w14:textId="77777777" w:rsidR="003A7B6B" w:rsidRPr="00605088" w:rsidRDefault="003A7B6B" w:rsidP="005E6418">
            <w:pPr>
              <w:widowControl w:val="0"/>
              <w:autoSpaceDE w:val="0"/>
              <w:autoSpaceDN w:val="0"/>
              <w:spacing w:line="233" w:lineRule="exact"/>
              <w:ind w:left="0" w:right="123"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20,</w:t>
            </w:r>
            <w:r w:rsidRPr="00605088">
              <w:rPr>
                <w:rFonts w:ascii="Times New Roman" w:eastAsia="Times New Roman" w:hAnsi="Times New Roman" w:cs="Times New Roman"/>
                <w:lang w:val="en-US"/>
              </w:rPr>
              <w:t>4</w:t>
            </w:r>
          </w:p>
        </w:tc>
        <w:tc>
          <w:tcPr>
            <w:tcW w:w="2417" w:type="dxa"/>
            <w:tcBorders>
              <w:top w:val="nil"/>
              <w:bottom w:val="nil"/>
            </w:tcBorders>
            <w:shd w:val="clear" w:color="auto" w:fill="auto"/>
          </w:tcPr>
          <w:p w14:paraId="5D5D57F3" w14:textId="77777777" w:rsidR="003A7B6B" w:rsidRPr="00605088" w:rsidRDefault="003A7B6B" w:rsidP="005E6418">
            <w:pPr>
              <w:widowControl w:val="0"/>
              <w:autoSpaceDE w:val="0"/>
              <w:autoSpaceDN w:val="0"/>
              <w:spacing w:line="233" w:lineRule="exact"/>
              <w:ind w:left="0" w:right="175" w:firstLine="0"/>
              <w:jc w:val="center"/>
              <w:rPr>
                <w:rFonts w:ascii="Times New Roman" w:eastAsia="Times New Roman" w:hAnsi="Times New Roman" w:cs="Times New Roman"/>
                <w:lang w:val="en-US"/>
              </w:rPr>
            </w:pPr>
            <w:r w:rsidRPr="00605088">
              <w:rPr>
                <w:rFonts w:ascii="Times New Roman" w:eastAsia="Times New Roman" w:hAnsi="Times New Roman" w:cs="Times New Roman"/>
                <w:lang w:val="en-US"/>
              </w:rPr>
              <w:t>12</w:t>
            </w:r>
          </w:p>
        </w:tc>
      </w:tr>
      <w:tr w:rsidR="003A7B6B" w:rsidRPr="00605088" w14:paraId="567B4FA2" w14:textId="77777777" w:rsidTr="002D2EC4">
        <w:trPr>
          <w:trHeight w:val="248"/>
        </w:trPr>
        <w:tc>
          <w:tcPr>
            <w:tcW w:w="3360" w:type="dxa"/>
            <w:tcBorders>
              <w:top w:val="nil"/>
              <w:bottom w:val="nil"/>
            </w:tcBorders>
            <w:shd w:val="clear" w:color="auto" w:fill="auto"/>
          </w:tcPr>
          <w:p w14:paraId="6C70D51F" w14:textId="77777777" w:rsidR="003A7B6B" w:rsidRPr="00605088" w:rsidRDefault="003A7B6B" w:rsidP="005E6418">
            <w:pPr>
              <w:widowControl w:val="0"/>
              <w:autoSpaceDE w:val="0"/>
              <w:autoSpaceDN w:val="0"/>
              <w:spacing w:line="229" w:lineRule="exact"/>
              <w:ind w:left="0" w:firstLine="0"/>
              <w:rPr>
                <w:rFonts w:ascii="Times New Roman" w:eastAsia="Times New Roman" w:hAnsi="Times New Roman" w:cs="Times New Roman"/>
                <w:lang w:val="en-US"/>
              </w:rPr>
            </w:pPr>
            <w:r>
              <w:rPr>
                <w:rFonts w:ascii="Times New Roman" w:eastAsia="Times New Roman" w:hAnsi="Times New Roman" w:cs="Times New Roman"/>
                <w:lang w:val="en-US"/>
              </w:rPr>
              <w:t>95% P</w:t>
            </w:r>
            <w:r w:rsidRPr="00605088">
              <w:rPr>
                <w:rFonts w:ascii="Times New Roman" w:eastAsia="Times New Roman" w:hAnsi="Times New Roman" w:cs="Times New Roman"/>
                <w:lang w:val="en-US"/>
              </w:rPr>
              <w:t>I</w:t>
            </w:r>
          </w:p>
        </w:tc>
        <w:tc>
          <w:tcPr>
            <w:tcW w:w="2836" w:type="dxa"/>
            <w:tcBorders>
              <w:top w:val="nil"/>
              <w:bottom w:val="nil"/>
            </w:tcBorders>
            <w:shd w:val="clear" w:color="auto" w:fill="auto"/>
          </w:tcPr>
          <w:p w14:paraId="3FACEABE" w14:textId="77777777" w:rsidR="003A7B6B" w:rsidRPr="00605088" w:rsidRDefault="003A7B6B" w:rsidP="005E6418">
            <w:pPr>
              <w:widowControl w:val="0"/>
              <w:autoSpaceDE w:val="0"/>
              <w:autoSpaceDN w:val="0"/>
              <w:spacing w:line="229" w:lineRule="exact"/>
              <w:ind w:left="0" w:right="123"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16,8-25,</w:t>
            </w:r>
            <w:r w:rsidRPr="00605088">
              <w:rPr>
                <w:rFonts w:ascii="Times New Roman" w:eastAsia="Times New Roman" w:hAnsi="Times New Roman" w:cs="Times New Roman"/>
                <w:lang w:val="en-US"/>
              </w:rPr>
              <w:t>2</w:t>
            </w:r>
          </w:p>
        </w:tc>
        <w:tc>
          <w:tcPr>
            <w:tcW w:w="2417" w:type="dxa"/>
            <w:tcBorders>
              <w:top w:val="nil"/>
              <w:bottom w:val="nil"/>
            </w:tcBorders>
            <w:shd w:val="clear" w:color="auto" w:fill="auto"/>
          </w:tcPr>
          <w:p w14:paraId="67B644D3" w14:textId="77777777" w:rsidR="003A7B6B" w:rsidRPr="00605088" w:rsidRDefault="003A7B6B" w:rsidP="005E6418">
            <w:pPr>
              <w:widowControl w:val="0"/>
              <w:autoSpaceDE w:val="0"/>
              <w:autoSpaceDN w:val="0"/>
              <w:spacing w:line="229" w:lineRule="exact"/>
              <w:ind w:left="0" w:right="17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9,</w:t>
            </w:r>
            <w:r w:rsidRPr="00605088">
              <w:rPr>
                <w:rFonts w:ascii="Times New Roman" w:eastAsia="Times New Roman" w:hAnsi="Times New Roman" w:cs="Times New Roman"/>
                <w:lang w:val="en-US"/>
              </w:rPr>
              <w:t>6-12</w:t>
            </w:r>
          </w:p>
        </w:tc>
      </w:tr>
      <w:tr w:rsidR="003A7B6B" w:rsidRPr="00605088" w14:paraId="60007928" w14:textId="77777777" w:rsidTr="002D2EC4">
        <w:trPr>
          <w:trHeight w:val="257"/>
        </w:trPr>
        <w:tc>
          <w:tcPr>
            <w:tcW w:w="3360" w:type="dxa"/>
            <w:tcBorders>
              <w:top w:val="nil"/>
              <w:bottom w:val="nil"/>
            </w:tcBorders>
            <w:shd w:val="clear" w:color="auto" w:fill="auto"/>
          </w:tcPr>
          <w:p w14:paraId="53AAD2CA" w14:textId="77777777" w:rsidR="003A7B6B" w:rsidRPr="00605088" w:rsidRDefault="003A7B6B" w:rsidP="005E6418">
            <w:pPr>
              <w:widowControl w:val="0"/>
              <w:autoSpaceDE w:val="0"/>
              <w:autoSpaceDN w:val="0"/>
              <w:spacing w:line="238" w:lineRule="exact"/>
              <w:ind w:left="0" w:firstLine="0"/>
              <w:rPr>
                <w:rFonts w:ascii="Times New Roman" w:eastAsia="Times New Roman" w:hAnsi="Times New Roman" w:cs="Times New Roman"/>
                <w:lang w:val="en-US"/>
              </w:rPr>
            </w:pPr>
            <w:r>
              <w:rPr>
                <w:rFonts w:ascii="Times New Roman" w:eastAsia="Times New Roman" w:hAnsi="Times New Roman" w:cs="Times New Roman"/>
                <w:lang w:val="en-US"/>
              </w:rPr>
              <w:lastRenderedPageBreak/>
              <w:t>Koreguota antykinė rizika</w:t>
            </w:r>
          </w:p>
        </w:tc>
        <w:tc>
          <w:tcPr>
            <w:tcW w:w="5253" w:type="dxa"/>
            <w:gridSpan w:val="2"/>
            <w:tcBorders>
              <w:top w:val="nil"/>
              <w:bottom w:val="nil"/>
            </w:tcBorders>
            <w:shd w:val="clear" w:color="auto" w:fill="auto"/>
          </w:tcPr>
          <w:p w14:paraId="5B658086" w14:textId="77777777" w:rsidR="003A7B6B" w:rsidRPr="00605088" w:rsidRDefault="003A7B6B" w:rsidP="002D2EC4">
            <w:pPr>
              <w:widowControl w:val="0"/>
              <w:autoSpaceDE w:val="0"/>
              <w:autoSpaceDN w:val="0"/>
              <w:spacing w:line="233" w:lineRule="exact"/>
              <w:ind w:left="0" w:right="-250"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605088">
              <w:rPr>
                <w:rFonts w:ascii="Times New Roman" w:eastAsia="Times New Roman" w:hAnsi="Times New Roman" w:cs="Times New Roman"/>
                <w:lang w:val="en-US"/>
              </w:rPr>
              <w:t>66</w:t>
            </w:r>
          </w:p>
        </w:tc>
      </w:tr>
      <w:tr w:rsidR="003A7B6B" w:rsidRPr="00605088" w14:paraId="347AC8FE" w14:textId="77777777" w:rsidTr="002D2EC4">
        <w:trPr>
          <w:trHeight w:val="253"/>
        </w:trPr>
        <w:tc>
          <w:tcPr>
            <w:tcW w:w="3360" w:type="dxa"/>
            <w:tcBorders>
              <w:top w:val="nil"/>
              <w:bottom w:val="nil"/>
            </w:tcBorders>
            <w:shd w:val="clear" w:color="auto" w:fill="auto"/>
          </w:tcPr>
          <w:p w14:paraId="0D34E3A1" w14:textId="77777777" w:rsidR="003A7B6B" w:rsidRPr="00605088" w:rsidRDefault="003A7B6B" w:rsidP="005E6418">
            <w:pPr>
              <w:widowControl w:val="0"/>
              <w:autoSpaceDE w:val="0"/>
              <w:autoSpaceDN w:val="0"/>
              <w:spacing w:line="233" w:lineRule="exact"/>
              <w:ind w:left="0" w:firstLine="0"/>
              <w:rPr>
                <w:rFonts w:ascii="Times New Roman" w:eastAsia="Times New Roman" w:hAnsi="Times New Roman" w:cs="Times New Roman"/>
                <w:lang w:val="en-US"/>
              </w:rPr>
            </w:pPr>
            <w:r>
              <w:rPr>
                <w:rFonts w:ascii="Times New Roman" w:eastAsia="Times New Roman" w:hAnsi="Times New Roman" w:cs="Times New Roman"/>
                <w:lang w:val="en-US"/>
              </w:rPr>
              <w:t>95% P</w:t>
            </w:r>
            <w:r w:rsidRPr="00605088">
              <w:rPr>
                <w:rFonts w:ascii="Times New Roman" w:eastAsia="Times New Roman" w:hAnsi="Times New Roman" w:cs="Times New Roman"/>
                <w:lang w:val="en-US"/>
              </w:rPr>
              <w:t>I</w:t>
            </w:r>
          </w:p>
        </w:tc>
        <w:tc>
          <w:tcPr>
            <w:tcW w:w="5253" w:type="dxa"/>
            <w:gridSpan w:val="2"/>
            <w:tcBorders>
              <w:top w:val="nil"/>
              <w:bottom w:val="nil"/>
            </w:tcBorders>
            <w:shd w:val="clear" w:color="auto" w:fill="auto"/>
          </w:tcPr>
          <w:p w14:paraId="410D40C6" w14:textId="77777777" w:rsidR="003A7B6B" w:rsidRPr="00605088" w:rsidRDefault="003A7B6B" w:rsidP="005E6418">
            <w:pPr>
              <w:widowControl w:val="0"/>
              <w:autoSpaceDE w:val="0"/>
              <w:autoSpaceDN w:val="0"/>
              <w:spacing w:line="233" w:lineRule="exact"/>
              <w:ind w:left="0" w:right="-250"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(0,57-0,</w:t>
            </w:r>
            <w:r w:rsidRPr="00605088">
              <w:rPr>
                <w:rFonts w:ascii="Times New Roman" w:eastAsia="Times New Roman" w:hAnsi="Times New Roman" w:cs="Times New Roman"/>
                <w:lang w:val="en-US"/>
              </w:rPr>
              <w:t>76)</w:t>
            </w:r>
          </w:p>
        </w:tc>
      </w:tr>
      <w:tr w:rsidR="003A7B6B" w:rsidRPr="00605088" w14:paraId="1245792B" w14:textId="77777777" w:rsidTr="002D2EC4">
        <w:trPr>
          <w:trHeight w:val="312"/>
        </w:trPr>
        <w:tc>
          <w:tcPr>
            <w:tcW w:w="3360" w:type="dxa"/>
            <w:tcBorders>
              <w:top w:val="nil"/>
            </w:tcBorders>
            <w:shd w:val="clear" w:color="auto" w:fill="auto"/>
          </w:tcPr>
          <w:p w14:paraId="657D82AD" w14:textId="77777777" w:rsidR="003A7B6B" w:rsidRPr="00605088" w:rsidRDefault="003A7B6B" w:rsidP="005E6418">
            <w:pPr>
              <w:widowControl w:val="0"/>
              <w:autoSpaceDE w:val="0"/>
              <w:autoSpaceDN w:val="0"/>
              <w:spacing w:line="292" w:lineRule="exact"/>
              <w:ind w:left="0" w:firstLine="0"/>
              <w:rPr>
                <w:rFonts w:ascii="Times New Roman" w:eastAsia="Times New Roman" w:hAnsi="Times New Roman" w:cs="Times New Roman"/>
                <w:i/>
                <w:lang w:val="en-US"/>
              </w:rPr>
            </w:pPr>
            <w:r>
              <w:rPr>
                <w:rFonts w:ascii="Times New Roman" w:eastAsia="Times New Roman" w:hAnsi="Times New Roman" w:cs="Times New Roman"/>
                <w:lang w:val="en-US"/>
              </w:rPr>
              <w:t>p-reikšmė</w:t>
            </w:r>
            <w:r w:rsidRPr="002D2EC4">
              <w:rPr>
                <w:rFonts w:ascii="Times New Roman" w:eastAsia="Times New Roman" w:hAnsi="Times New Roman" w:cs="Times New Roman"/>
                <w:i/>
                <w:position w:val="6"/>
                <w:sz w:val="18"/>
                <w:lang w:val="en-US"/>
              </w:rPr>
              <w:t>a</w:t>
            </w:r>
          </w:p>
        </w:tc>
        <w:tc>
          <w:tcPr>
            <w:tcW w:w="5253" w:type="dxa"/>
            <w:gridSpan w:val="2"/>
            <w:tcBorders>
              <w:top w:val="nil"/>
            </w:tcBorders>
            <w:shd w:val="clear" w:color="auto" w:fill="auto"/>
          </w:tcPr>
          <w:p w14:paraId="1B0B0EDA" w14:textId="77777777" w:rsidR="003A7B6B" w:rsidRPr="00605088" w:rsidRDefault="003A7B6B" w:rsidP="005E6418">
            <w:pPr>
              <w:widowControl w:val="0"/>
              <w:autoSpaceDE w:val="0"/>
              <w:autoSpaceDN w:val="0"/>
              <w:spacing w:line="248" w:lineRule="exact"/>
              <w:ind w:left="0" w:right="-250"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&lt; 0,</w:t>
            </w:r>
            <w:r w:rsidRPr="00605088">
              <w:rPr>
                <w:rFonts w:ascii="Times New Roman" w:eastAsia="Times New Roman" w:hAnsi="Times New Roman" w:cs="Times New Roman"/>
                <w:lang w:val="en-US"/>
              </w:rPr>
              <w:t>001</w:t>
            </w:r>
          </w:p>
        </w:tc>
      </w:tr>
    </w:tbl>
    <w:p w14:paraId="0E463466" w14:textId="0EF90B3D" w:rsidR="003A7B6B" w:rsidRPr="00C91F0E" w:rsidRDefault="003A7B6B" w:rsidP="003A7B6B">
      <w:pPr>
        <w:widowControl w:val="0"/>
        <w:tabs>
          <w:tab w:val="left" w:pos="1296"/>
        </w:tabs>
        <w:ind w:left="0" w:firstLine="0"/>
        <w:rPr>
          <w:rFonts w:ascii="Times New Roman" w:hAnsi="Times New Roman" w:cs="Times New Roman"/>
        </w:rPr>
      </w:pPr>
      <w:r w:rsidRPr="002D2EC4">
        <w:rPr>
          <w:rFonts w:ascii="Times New Roman" w:hAnsi="Times New Roman" w:cs="Times New Roman"/>
          <w:i/>
          <w:vertAlign w:val="superscript"/>
        </w:rPr>
        <w:t>a</w:t>
      </w:r>
      <w:r w:rsidRPr="002D2EC4">
        <w:rPr>
          <w:rFonts w:ascii="Times New Roman" w:hAnsi="Times New Roman" w:cs="Times New Roman"/>
        </w:rPr>
        <w:t xml:space="preserve"> </w:t>
      </w:r>
      <w:r w:rsidRPr="00C91F0E">
        <w:rPr>
          <w:rFonts w:ascii="Times New Roman" w:hAnsi="Times New Roman" w:cs="Times New Roman"/>
        </w:rPr>
        <w:t>p reikšm</w:t>
      </w:r>
      <w:r w:rsidR="00267DD8" w:rsidRPr="00C91F0E">
        <w:rPr>
          <w:rFonts w:ascii="Times New Roman" w:hAnsi="Times New Roman" w:cs="Times New Roman"/>
        </w:rPr>
        <w:t>ė</w:t>
      </w:r>
      <w:r w:rsidRPr="00C91F0E">
        <w:rPr>
          <w:rFonts w:ascii="Times New Roman" w:hAnsi="Times New Roman" w:cs="Times New Roman"/>
        </w:rPr>
        <w:t xml:space="preserve"> apskaičiuota remiantis tikėtinumo santykio testu ir koreguota pagal visus stratifikavimo veiksnius (išskyrus centrą ir planuotą gydymą hormonais) bei stratifikuota pagal tyrimo laikotarpį</w:t>
      </w:r>
    </w:p>
    <w:p w14:paraId="7455AF1F" w14:textId="20D7CBB6" w:rsidR="003A7B6B" w:rsidRDefault="003A7B6B" w:rsidP="003A7B6B">
      <w:pPr>
        <w:widowControl w:val="0"/>
        <w:tabs>
          <w:tab w:val="left" w:pos="1296"/>
        </w:tabs>
        <w:ind w:left="0" w:firstLine="0"/>
        <w:rPr>
          <w:rFonts w:ascii="Times New Roman" w:hAnsi="Times New Roman" w:cs="Times New Roman"/>
        </w:rPr>
      </w:pPr>
      <w:r w:rsidRPr="00C91F0E">
        <w:rPr>
          <w:rFonts w:ascii="Times New Roman" w:hAnsi="Times New Roman" w:cs="Times New Roman"/>
          <w:i/>
          <w:vertAlign w:val="superscript"/>
        </w:rPr>
        <w:t>b</w:t>
      </w:r>
      <w:r w:rsidRPr="00C91F0E">
        <w:rPr>
          <w:rFonts w:ascii="Times New Roman" w:hAnsi="Times New Roman" w:cs="Times New Roman"/>
        </w:rPr>
        <w:t xml:space="preserve"> Be gydomojo poveikio išnykimo išgyventas laikotarpis: laikotarpis nuo priskyrimo atsitiktinei imčiai iki pirmojo bent vieno toliau paminėto reiškinio pasireiškimo: biocheminių rodmenų pablogėjimo (apibūdinama kaip PSA kiekio padidėjimas 50 % virš mažiausio rodmens 24 savaičių laikotarpiu bei virš 4 ng/ml, patvirtintas kartotiniu tyrimu ar gydymu); lokalaus progresavimo (limfmazgiuose) arba tolimųjų metastazių atsiradimo; su skeletu susijusių reiškinių</w:t>
      </w:r>
      <w:r w:rsidR="00267DD8" w:rsidRPr="00C91F0E">
        <w:rPr>
          <w:rFonts w:ascii="Times New Roman" w:hAnsi="Times New Roman" w:cs="Times New Roman"/>
        </w:rPr>
        <w:t xml:space="preserve"> arba</w:t>
      </w:r>
      <w:r w:rsidRPr="00C91F0E">
        <w:rPr>
          <w:rFonts w:ascii="Times New Roman" w:hAnsi="Times New Roman" w:cs="Times New Roman"/>
        </w:rPr>
        <w:t xml:space="preserve"> mirties nuo prostatos vėžio.</w:t>
      </w:r>
    </w:p>
    <w:p w14:paraId="11AEBD3E" w14:textId="77777777" w:rsidR="00794927" w:rsidRPr="00C91F0E" w:rsidRDefault="00794927" w:rsidP="003A7B6B">
      <w:pPr>
        <w:widowControl w:val="0"/>
        <w:tabs>
          <w:tab w:val="left" w:pos="1296"/>
        </w:tabs>
        <w:ind w:left="0" w:firstLine="0"/>
        <w:rPr>
          <w:rFonts w:ascii="Times New Roman" w:hAnsi="Times New Roman" w:cs="Times New Roman"/>
        </w:rPr>
      </w:pPr>
    </w:p>
    <w:p w14:paraId="162C3D43" w14:textId="77777777" w:rsidR="003A7B6B" w:rsidRDefault="003A7B6B" w:rsidP="003A7B6B">
      <w:pPr>
        <w:widowControl w:val="0"/>
        <w:tabs>
          <w:tab w:val="left" w:pos="1296"/>
        </w:tabs>
        <w:ind w:left="0" w:firstLine="0"/>
        <w:rPr>
          <w:rFonts w:ascii="Times New Roman" w:hAnsi="Times New Roman" w:cs="Times New Roman"/>
          <w:i/>
          <w:lang w:val="sl-SI"/>
        </w:rPr>
      </w:pPr>
      <w:r w:rsidRPr="00C91F0E">
        <w:rPr>
          <w:rFonts w:ascii="Times New Roman" w:hAnsi="Times New Roman" w:cs="Times New Roman"/>
          <w:i/>
          <w:lang w:val="sl-SI"/>
        </w:rPr>
        <w:t>CHAARTED tyrimas</w:t>
      </w:r>
    </w:p>
    <w:p w14:paraId="3A36F6B3" w14:textId="77777777" w:rsidR="003A7B6B" w:rsidRPr="002D2EC4" w:rsidRDefault="003A7B6B" w:rsidP="003A7B6B">
      <w:pPr>
        <w:widowControl w:val="0"/>
        <w:tabs>
          <w:tab w:val="left" w:pos="1296"/>
        </w:tabs>
        <w:ind w:left="0" w:firstLine="0"/>
        <w:rPr>
          <w:rFonts w:ascii="Times New Roman" w:hAnsi="Times New Roman" w:cs="Times New Roman"/>
          <w:i/>
          <w:lang w:val="sl-SI"/>
        </w:rPr>
      </w:pPr>
    </w:p>
    <w:p w14:paraId="69A3162E" w14:textId="77777777" w:rsidR="003A7B6B" w:rsidRPr="004F3426" w:rsidRDefault="003A7B6B" w:rsidP="003A7B6B">
      <w:pPr>
        <w:widowControl w:val="0"/>
        <w:tabs>
          <w:tab w:val="left" w:pos="1296"/>
        </w:tabs>
        <w:ind w:left="0" w:firstLine="0"/>
        <w:rPr>
          <w:rFonts w:ascii="Times New Roman" w:hAnsi="Times New Roman" w:cs="Times New Roman"/>
          <w:lang w:val="sl-SI"/>
        </w:rPr>
      </w:pPr>
      <w:r w:rsidRPr="004F3426">
        <w:rPr>
          <w:rFonts w:ascii="Times New Roman" w:hAnsi="Times New Roman" w:cs="Times New Roman"/>
          <w:lang w:val="sl-SI"/>
        </w:rPr>
        <w:t>Docetakselio saugumas ir veiksmingumas jo skiriant metastazavu</w:t>
      </w:r>
      <w:r>
        <w:rPr>
          <w:rFonts w:ascii="Times New Roman" w:hAnsi="Times New Roman" w:cs="Times New Roman"/>
          <w:lang w:val="sl-SI"/>
        </w:rPr>
        <w:t xml:space="preserve">siu hormonams jautriu prostatos </w:t>
      </w:r>
      <w:r w:rsidRPr="004F3426">
        <w:rPr>
          <w:rFonts w:ascii="Times New Roman" w:hAnsi="Times New Roman" w:cs="Times New Roman"/>
          <w:lang w:val="sl-SI"/>
        </w:rPr>
        <w:t>vėžiu sergantiems pacientams androgenų deprivacijos terapijos (ADT) pradžioje buvo įvertinti</w:t>
      </w:r>
      <w:r w:rsidRPr="004F3426">
        <w:t xml:space="preserve"> </w:t>
      </w:r>
      <w:r w:rsidRPr="004F3426">
        <w:rPr>
          <w:rFonts w:ascii="Times New Roman" w:hAnsi="Times New Roman" w:cs="Times New Roman"/>
          <w:lang w:val="sl-SI"/>
        </w:rPr>
        <w:t>atsitiktinių imčių daugiacentrio III fazės tyrimo (CHAARTED) metu.</w:t>
      </w:r>
      <w:r>
        <w:rPr>
          <w:rFonts w:ascii="Times New Roman" w:hAnsi="Times New Roman" w:cs="Times New Roman"/>
          <w:lang w:val="sl-SI"/>
        </w:rPr>
        <w:t xml:space="preserve"> Iš viso 790 pacientų vyrų buvo </w:t>
      </w:r>
      <w:r w:rsidRPr="004F3426">
        <w:rPr>
          <w:rFonts w:ascii="Times New Roman" w:hAnsi="Times New Roman" w:cs="Times New Roman"/>
          <w:lang w:val="sl-SI"/>
        </w:rPr>
        <w:t>suskirstyti į 2 tiriamąsias grupes:</w:t>
      </w:r>
    </w:p>
    <w:p w14:paraId="3096C4CB" w14:textId="77777777" w:rsidR="003A7B6B" w:rsidRPr="002D2EC4" w:rsidRDefault="003A7B6B" w:rsidP="002D2EC4">
      <w:pPr>
        <w:pStyle w:val="Sraopastraipa"/>
        <w:widowControl w:val="0"/>
        <w:numPr>
          <w:ilvl w:val="0"/>
          <w:numId w:val="35"/>
        </w:numPr>
        <w:ind w:left="567" w:hanging="567"/>
        <w:rPr>
          <w:rFonts w:ascii="Times New Roman" w:hAnsi="Times New Roman"/>
          <w:lang w:val="sl-SI"/>
        </w:rPr>
      </w:pPr>
      <w:r w:rsidRPr="002D2EC4">
        <w:rPr>
          <w:rFonts w:ascii="Times New Roman" w:hAnsi="Times New Roman"/>
          <w:lang w:val="sl-SI"/>
        </w:rPr>
        <w:t>ADT + docetakselis 75 mg/m², skiriamas ADT pradžioje kas 3 savaites 6 ciklus;</w:t>
      </w:r>
    </w:p>
    <w:p w14:paraId="230870AC" w14:textId="77777777" w:rsidR="003A7B6B" w:rsidRPr="002D2EC4" w:rsidRDefault="003A7B6B" w:rsidP="002D2EC4">
      <w:pPr>
        <w:pStyle w:val="Sraopastraipa"/>
        <w:widowControl w:val="0"/>
        <w:numPr>
          <w:ilvl w:val="0"/>
          <w:numId w:val="35"/>
        </w:numPr>
        <w:spacing w:after="0"/>
        <w:ind w:left="567" w:hanging="567"/>
        <w:rPr>
          <w:rFonts w:ascii="Times New Roman" w:hAnsi="Times New Roman"/>
          <w:lang w:val="sl-SI"/>
        </w:rPr>
      </w:pPr>
      <w:r w:rsidRPr="002D2EC4">
        <w:rPr>
          <w:rFonts w:ascii="Times New Roman" w:hAnsi="Times New Roman"/>
          <w:lang w:val="sl-SI"/>
        </w:rPr>
        <w:t>Vien tik ADT.</w:t>
      </w:r>
    </w:p>
    <w:p w14:paraId="15D7308F" w14:textId="77777777" w:rsidR="003A7B6B" w:rsidRDefault="003A7B6B" w:rsidP="003A7B6B">
      <w:pPr>
        <w:widowControl w:val="0"/>
        <w:tabs>
          <w:tab w:val="left" w:pos="1296"/>
        </w:tabs>
        <w:ind w:left="0" w:firstLine="0"/>
        <w:rPr>
          <w:rFonts w:ascii="Times New Roman" w:hAnsi="Times New Roman" w:cs="Times New Roman"/>
          <w:lang w:val="sl-SI"/>
        </w:rPr>
      </w:pPr>
    </w:p>
    <w:p w14:paraId="7B6E88A8" w14:textId="77777777" w:rsidR="003A7B6B" w:rsidRPr="004F3426" w:rsidRDefault="003A7B6B" w:rsidP="003A7B6B">
      <w:pPr>
        <w:widowControl w:val="0"/>
        <w:tabs>
          <w:tab w:val="left" w:pos="1296"/>
        </w:tabs>
        <w:ind w:left="0" w:firstLine="0"/>
        <w:rPr>
          <w:rFonts w:ascii="Times New Roman" w:hAnsi="Times New Roman" w:cs="Times New Roman"/>
          <w:lang w:val="sl-SI"/>
        </w:rPr>
      </w:pPr>
      <w:r w:rsidRPr="004F3426">
        <w:rPr>
          <w:rFonts w:ascii="Times New Roman" w:hAnsi="Times New Roman" w:cs="Times New Roman"/>
          <w:lang w:val="sl-SI"/>
        </w:rPr>
        <w:t>Gydymo docetakselio grupėje, palyginti su vien tik ADT grupe, bendroj</w:t>
      </w:r>
      <w:r>
        <w:rPr>
          <w:rFonts w:ascii="Times New Roman" w:hAnsi="Times New Roman" w:cs="Times New Roman"/>
          <w:lang w:val="sl-SI"/>
        </w:rPr>
        <w:t xml:space="preserve">o išgyvento laikotarpio </w:t>
      </w:r>
      <w:r w:rsidRPr="004F3426">
        <w:rPr>
          <w:rFonts w:ascii="Times New Roman" w:hAnsi="Times New Roman" w:cs="Times New Roman"/>
          <w:lang w:val="sl-SI"/>
        </w:rPr>
        <w:t>trukmės mediana buvo reikšmingai didesnė: ADT papildžius docetakseliu, bendrojo išgyvento</w:t>
      </w:r>
      <w:r>
        <w:rPr>
          <w:rFonts w:ascii="Times New Roman" w:hAnsi="Times New Roman" w:cs="Times New Roman"/>
          <w:lang w:val="sl-SI"/>
        </w:rPr>
        <w:t xml:space="preserve"> </w:t>
      </w:r>
      <w:r w:rsidRPr="004F3426">
        <w:rPr>
          <w:rFonts w:ascii="Times New Roman" w:hAnsi="Times New Roman" w:cs="Times New Roman"/>
          <w:lang w:val="sl-SI"/>
        </w:rPr>
        <w:t>laikotarpio trukmės mediana pailgėjo 13,6 mėnesio (santykinė rizika (</w:t>
      </w:r>
      <w:r>
        <w:rPr>
          <w:rFonts w:ascii="Times New Roman" w:hAnsi="Times New Roman" w:cs="Times New Roman"/>
          <w:lang w:val="sl-SI"/>
        </w:rPr>
        <w:t xml:space="preserve">SR)=0,61, 95 % pasikliautinieji </w:t>
      </w:r>
      <w:r w:rsidRPr="004F3426">
        <w:rPr>
          <w:rFonts w:ascii="Times New Roman" w:hAnsi="Times New Roman" w:cs="Times New Roman"/>
          <w:lang w:val="sl-SI"/>
        </w:rPr>
        <w:t>intervalai (PI) = 0,47-0,80, p=0,0003).</w:t>
      </w:r>
    </w:p>
    <w:p w14:paraId="5A7D8366" w14:textId="77777777" w:rsidR="003A7B6B" w:rsidRDefault="003A7B6B" w:rsidP="003A7B6B">
      <w:pPr>
        <w:widowControl w:val="0"/>
        <w:tabs>
          <w:tab w:val="left" w:pos="1296"/>
        </w:tabs>
        <w:ind w:left="0" w:firstLine="0"/>
        <w:rPr>
          <w:rFonts w:ascii="Times New Roman" w:hAnsi="Times New Roman" w:cs="Times New Roman"/>
          <w:lang w:val="sl-SI"/>
        </w:rPr>
      </w:pPr>
    </w:p>
    <w:p w14:paraId="1C26CF53" w14:textId="77777777" w:rsidR="003A7B6B" w:rsidRPr="004F3426" w:rsidRDefault="003A7B6B" w:rsidP="003A7B6B">
      <w:pPr>
        <w:widowControl w:val="0"/>
        <w:tabs>
          <w:tab w:val="left" w:pos="1296"/>
        </w:tabs>
        <w:ind w:left="0" w:firstLine="0"/>
        <w:rPr>
          <w:rFonts w:ascii="Times New Roman" w:hAnsi="Times New Roman" w:cs="Times New Roman"/>
          <w:lang w:val="sl-SI"/>
        </w:rPr>
      </w:pPr>
      <w:r w:rsidRPr="004F3426">
        <w:rPr>
          <w:rFonts w:ascii="Times New Roman" w:hAnsi="Times New Roman" w:cs="Times New Roman"/>
          <w:lang w:val="sl-SI"/>
        </w:rPr>
        <w:t>Docetakselio ir kontrolinės grupėse veiksmingumo rezultatai a</w:t>
      </w:r>
      <w:r>
        <w:rPr>
          <w:rFonts w:ascii="Times New Roman" w:hAnsi="Times New Roman" w:cs="Times New Roman"/>
          <w:lang w:val="sl-SI"/>
        </w:rPr>
        <w:t xml:space="preserve">pibendrinti toliau pateikiamoje </w:t>
      </w:r>
      <w:r w:rsidRPr="004F3426">
        <w:rPr>
          <w:rFonts w:ascii="Times New Roman" w:hAnsi="Times New Roman" w:cs="Times New Roman"/>
          <w:lang w:val="sl-SI"/>
        </w:rPr>
        <w:t>lentelėje.</w:t>
      </w:r>
    </w:p>
    <w:p w14:paraId="17EC72E1" w14:textId="77777777" w:rsidR="003A7B6B" w:rsidRDefault="003A7B6B" w:rsidP="003A7B6B">
      <w:pPr>
        <w:widowControl w:val="0"/>
        <w:tabs>
          <w:tab w:val="left" w:pos="1296"/>
        </w:tabs>
        <w:ind w:left="0" w:firstLine="0"/>
        <w:rPr>
          <w:rFonts w:ascii="Times New Roman" w:hAnsi="Times New Roman" w:cs="Times New Roman"/>
          <w:lang w:val="sl-SI"/>
        </w:rPr>
      </w:pPr>
    </w:p>
    <w:p w14:paraId="64FFDF67" w14:textId="77777777" w:rsidR="003A7B6B" w:rsidRDefault="003A7B6B" w:rsidP="003A7B6B">
      <w:pPr>
        <w:widowControl w:val="0"/>
        <w:tabs>
          <w:tab w:val="left" w:pos="1296"/>
        </w:tabs>
        <w:ind w:left="0" w:firstLine="0"/>
        <w:rPr>
          <w:rFonts w:ascii="Times New Roman" w:hAnsi="Times New Roman" w:cs="Times New Roman"/>
          <w:lang w:val="sl-SI"/>
        </w:rPr>
      </w:pPr>
      <w:r w:rsidRPr="004F3426">
        <w:rPr>
          <w:rFonts w:ascii="Times New Roman" w:hAnsi="Times New Roman" w:cs="Times New Roman"/>
          <w:lang w:val="sl-SI"/>
        </w:rPr>
        <w:t>Metastazavusiu hormonams jautriu prostatos vėžiu sergančių paci</w:t>
      </w:r>
      <w:r>
        <w:rPr>
          <w:rFonts w:ascii="Times New Roman" w:hAnsi="Times New Roman" w:cs="Times New Roman"/>
          <w:lang w:val="sl-SI"/>
        </w:rPr>
        <w:t xml:space="preserve">entų gydymo docetakseliu ir ADT </w:t>
      </w:r>
      <w:r w:rsidRPr="004F3426">
        <w:rPr>
          <w:rFonts w:ascii="Times New Roman" w:hAnsi="Times New Roman" w:cs="Times New Roman"/>
          <w:lang w:val="sl-SI"/>
        </w:rPr>
        <w:t>veiksmingumas (CHAARTED tyrimas)</w:t>
      </w:r>
    </w:p>
    <w:p w14:paraId="472A5F10" w14:textId="77777777" w:rsidR="003A7B6B" w:rsidRDefault="003A7B6B" w:rsidP="003A7B6B">
      <w:pPr>
        <w:widowControl w:val="0"/>
        <w:tabs>
          <w:tab w:val="left" w:pos="1296"/>
        </w:tabs>
        <w:ind w:left="0" w:firstLine="0"/>
        <w:rPr>
          <w:rFonts w:ascii="Times New Roman" w:hAnsi="Times New Roman" w:cs="Times New Roman"/>
          <w:lang w:val="sl-S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6"/>
        <w:gridCol w:w="2675"/>
        <w:gridCol w:w="1675"/>
      </w:tblGrid>
      <w:tr w:rsidR="003A7B6B" w:rsidRPr="004F3426" w14:paraId="177E4834" w14:textId="77777777" w:rsidTr="005E6418">
        <w:trPr>
          <w:trHeight w:val="686"/>
        </w:trPr>
        <w:tc>
          <w:tcPr>
            <w:tcW w:w="4936" w:type="dxa"/>
            <w:shd w:val="clear" w:color="auto" w:fill="auto"/>
          </w:tcPr>
          <w:p w14:paraId="3F8DD130" w14:textId="77777777" w:rsidR="003A7B6B" w:rsidRPr="004F3426" w:rsidRDefault="003A7B6B" w:rsidP="002D2EC4">
            <w:pPr>
              <w:widowControl w:val="0"/>
              <w:autoSpaceDE w:val="0"/>
              <w:autoSpaceDN w:val="0"/>
              <w:spacing w:before="60"/>
              <w:ind w:left="0" w:right="2000" w:firstLine="0"/>
              <w:jc w:val="center"/>
              <w:rPr>
                <w:rFonts w:ascii="Times New Roman" w:eastAsia="Times New Roman" w:hAnsi="Times New Roman" w:cs="Times New Roman"/>
                <w:b/>
                <w:lang w:val="en-US"/>
              </w:rPr>
            </w:pPr>
            <w:r>
              <w:rPr>
                <w:rFonts w:ascii="Times New Roman" w:eastAsia="Times New Roman" w:hAnsi="Times New Roman" w:cs="Times New Roman"/>
                <w:b/>
                <w:lang w:val="en-US"/>
              </w:rPr>
              <w:t>Vertinamoji baigtis</w:t>
            </w:r>
          </w:p>
        </w:tc>
        <w:tc>
          <w:tcPr>
            <w:tcW w:w="2675" w:type="dxa"/>
            <w:shd w:val="clear" w:color="auto" w:fill="auto"/>
          </w:tcPr>
          <w:p w14:paraId="3E9EF940" w14:textId="77777777" w:rsidR="003A7B6B" w:rsidRPr="004F3426" w:rsidRDefault="003A7B6B" w:rsidP="005E6418">
            <w:pPr>
              <w:keepNext/>
              <w:keepLines/>
              <w:widowControl w:val="0"/>
              <w:autoSpaceDE w:val="0"/>
              <w:autoSpaceDN w:val="0"/>
              <w:spacing w:before="60"/>
              <w:ind w:left="0" w:right="528" w:firstLine="0"/>
              <w:jc w:val="center"/>
              <w:rPr>
                <w:rFonts w:ascii="Times New Roman" w:eastAsia="Times New Roman" w:hAnsi="Times New Roman" w:cs="Times New Roman"/>
                <w:b/>
                <w:lang w:val="en-US"/>
              </w:rPr>
            </w:pPr>
            <w:r>
              <w:rPr>
                <w:rFonts w:ascii="Times New Roman" w:eastAsia="Times New Roman" w:hAnsi="Times New Roman" w:cs="Times New Roman"/>
                <w:b/>
                <w:lang w:val="en-US"/>
              </w:rPr>
              <w:t>Docetakselis</w:t>
            </w:r>
            <w:r w:rsidRPr="004F3426">
              <w:rPr>
                <w:rFonts w:ascii="Times New Roman" w:eastAsia="Times New Roman" w:hAnsi="Times New Roman" w:cs="Times New Roman"/>
                <w:b/>
                <w:lang w:val="en-US"/>
              </w:rPr>
              <w:t xml:space="preserve"> +ADT</w:t>
            </w:r>
          </w:p>
        </w:tc>
        <w:tc>
          <w:tcPr>
            <w:tcW w:w="1675" w:type="dxa"/>
            <w:shd w:val="clear" w:color="auto" w:fill="auto"/>
          </w:tcPr>
          <w:p w14:paraId="73CCEBC8" w14:textId="77777777" w:rsidR="003A7B6B" w:rsidRPr="004F3426" w:rsidRDefault="003A7B6B" w:rsidP="005E6418">
            <w:pPr>
              <w:keepNext/>
              <w:keepLines/>
              <w:widowControl w:val="0"/>
              <w:autoSpaceDE w:val="0"/>
              <w:autoSpaceDN w:val="0"/>
              <w:spacing w:before="60"/>
              <w:ind w:left="0" w:right="298" w:firstLine="0"/>
              <w:jc w:val="center"/>
              <w:rPr>
                <w:rFonts w:ascii="Times New Roman" w:eastAsia="Times New Roman" w:hAnsi="Times New Roman" w:cs="Times New Roman"/>
                <w:b/>
                <w:lang w:val="en-US"/>
              </w:rPr>
            </w:pPr>
            <w:r>
              <w:rPr>
                <w:rFonts w:ascii="Times New Roman" w:eastAsia="Times New Roman" w:hAnsi="Times New Roman" w:cs="Times New Roman"/>
                <w:b/>
                <w:lang w:val="en-US"/>
              </w:rPr>
              <w:t>Vien tik ADT</w:t>
            </w:r>
          </w:p>
        </w:tc>
      </w:tr>
      <w:tr w:rsidR="003A7B6B" w:rsidRPr="004F3426" w14:paraId="2AE822C1" w14:textId="77777777" w:rsidTr="005E6418">
        <w:trPr>
          <w:trHeight w:val="1878"/>
        </w:trPr>
        <w:tc>
          <w:tcPr>
            <w:tcW w:w="4936" w:type="dxa"/>
            <w:shd w:val="clear" w:color="auto" w:fill="auto"/>
          </w:tcPr>
          <w:p w14:paraId="62A49FC5" w14:textId="77777777" w:rsidR="003A7B6B" w:rsidRPr="002D2EC4" w:rsidRDefault="003A7B6B" w:rsidP="002D2EC4">
            <w:pPr>
              <w:widowControl w:val="0"/>
              <w:autoSpaceDE w:val="0"/>
              <w:autoSpaceDN w:val="0"/>
              <w:spacing w:before="1" w:line="237"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Pacientų skaičius</w:t>
            </w:r>
          </w:p>
          <w:p w14:paraId="60924133" w14:textId="77777777" w:rsidR="003A7B6B" w:rsidRPr="002D2EC4" w:rsidRDefault="003A7B6B" w:rsidP="002D2EC4">
            <w:pPr>
              <w:widowControl w:val="0"/>
              <w:autoSpaceDE w:val="0"/>
              <w:autoSpaceDN w:val="0"/>
              <w:spacing w:line="233" w:lineRule="exact"/>
              <w:ind w:left="0" w:firstLine="0"/>
              <w:rPr>
                <w:rFonts w:ascii="Times New Roman" w:hAnsi="Times New Roman" w:cs="Times New Roman"/>
              </w:rPr>
            </w:pPr>
            <w:r w:rsidRPr="002D2EC4">
              <w:rPr>
                <w:rFonts w:ascii="Times New Roman" w:hAnsi="Times New Roman" w:cs="Times New Roman"/>
              </w:rPr>
              <w:t>Bendrojo išgyvento laikotarpio mediana (mėn.)</w:t>
            </w:r>
          </w:p>
          <w:p w14:paraId="65DC2C4C" w14:textId="77777777" w:rsidR="003A7B6B" w:rsidRPr="002D2EC4" w:rsidRDefault="003A7B6B" w:rsidP="002D2EC4">
            <w:pPr>
              <w:widowControl w:val="0"/>
              <w:autoSpaceDE w:val="0"/>
              <w:autoSpaceDN w:val="0"/>
              <w:spacing w:line="272" w:lineRule="exact"/>
              <w:ind w:left="0" w:firstLine="0"/>
              <w:rPr>
                <w:rFonts w:ascii="Times New Roman" w:hAnsi="Times New Roman" w:cs="Times New Roman"/>
              </w:rPr>
            </w:pPr>
            <w:r w:rsidRPr="002D2EC4">
              <w:rPr>
                <w:rFonts w:ascii="Times New Roman" w:hAnsi="Times New Roman" w:cs="Times New Roman"/>
              </w:rPr>
              <w:t>Visi pacientai</w:t>
            </w:r>
          </w:p>
          <w:p w14:paraId="4A9C5998" w14:textId="77777777" w:rsidR="003A7B6B" w:rsidRPr="002D2EC4" w:rsidRDefault="003A7B6B" w:rsidP="002D2EC4">
            <w:pPr>
              <w:widowControl w:val="0"/>
              <w:autoSpaceDE w:val="0"/>
              <w:autoSpaceDN w:val="0"/>
              <w:spacing w:line="272" w:lineRule="exact"/>
              <w:ind w:left="0" w:firstLine="0"/>
              <w:rPr>
                <w:rFonts w:ascii="Times New Roman" w:eastAsia="Times New Roman" w:hAnsi="Times New Roman" w:cs="Times New Roman"/>
                <w:b/>
                <w:i/>
                <w:lang w:val="it-IT"/>
              </w:rPr>
            </w:pPr>
            <w:r w:rsidRPr="002D2EC4">
              <w:rPr>
                <w:rFonts w:ascii="Times New Roman" w:eastAsia="Times New Roman" w:hAnsi="Times New Roman" w:cs="Times New Roman"/>
                <w:b/>
                <w:i/>
                <w:lang w:val="it-IT"/>
              </w:rPr>
              <w:t>95% PI</w:t>
            </w:r>
          </w:p>
          <w:p w14:paraId="6B25EAF7" w14:textId="77777777" w:rsidR="003A7B6B" w:rsidRPr="002D2EC4" w:rsidRDefault="003A7B6B" w:rsidP="002D2EC4">
            <w:pPr>
              <w:widowControl w:val="0"/>
              <w:autoSpaceDE w:val="0"/>
              <w:autoSpaceDN w:val="0"/>
              <w:spacing w:line="272" w:lineRule="exact"/>
              <w:ind w:left="0" w:firstLine="0"/>
              <w:rPr>
                <w:rFonts w:ascii="Times New Roman" w:eastAsia="Times New Roman" w:hAnsi="Times New Roman" w:cs="Times New Roman"/>
                <w:lang w:val="it-IT"/>
              </w:rPr>
            </w:pPr>
            <w:r w:rsidRPr="002D2EC4">
              <w:rPr>
                <w:rFonts w:ascii="Times New Roman" w:hAnsi="Times New Roman" w:cs="Times New Roman"/>
              </w:rPr>
              <w:t>Koreguota santykinė rizika</w:t>
            </w:r>
          </w:p>
          <w:p w14:paraId="28B40243" w14:textId="77777777" w:rsidR="003A7B6B" w:rsidRPr="00A60516" w:rsidRDefault="003A7B6B" w:rsidP="005E6418">
            <w:pPr>
              <w:widowControl w:val="0"/>
              <w:autoSpaceDE w:val="0"/>
              <w:autoSpaceDN w:val="0"/>
              <w:spacing w:line="233" w:lineRule="exact"/>
              <w:ind w:left="0" w:firstLine="0"/>
              <w:rPr>
                <w:rFonts w:ascii="Times New Roman" w:eastAsia="Times New Roman" w:hAnsi="Times New Roman" w:cs="Times New Roman"/>
                <w:lang w:val="en-US"/>
              </w:rPr>
            </w:pPr>
            <w:r w:rsidRPr="00A60516">
              <w:rPr>
                <w:rFonts w:ascii="Times New Roman" w:eastAsia="Times New Roman" w:hAnsi="Times New Roman" w:cs="Times New Roman"/>
                <w:lang w:val="en-US"/>
              </w:rPr>
              <w:t>95% PI</w:t>
            </w:r>
          </w:p>
          <w:p w14:paraId="1CC799FC" w14:textId="77777777" w:rsidR="003A7B6B" w:rsidRPr="004F3426" w:rsidRDefault="003A7B6B" w:rsidP="005E6418">
            <w:pPr>
              <w:widowControl w:val="0"/>
              <w:autoSpaceDE w:val="0"/>
              <w:autoSpaceDN w:val="0"/>
              <w:spacing w:line="288" w:lineRule="exact"/>
              <w:ind w:left="0" w:firstLine="0"/>
              <w:rPr>
                <w:rFonts w:ascii="Times New Roman" w:eastAsia="Times New Roman" w:hAnsi="Times New Roman" w:cs="Times New Roman"/>
                <w:lang w:val="en-US"/>
              </w:rPr>
            </w:pPr>
            <w:r w:rsidRPr="00A60516">
              <w:rPr>
                <w:rFonts w:ascii="Times New Roman" w:eastAsia="Times New Roman" w:hAnsi="Times New Roman" w:cs="Times New Roman"/>
                <w:lang w:val="en-US"/>
              </w:rPr>
              <w:t>p-reikšmė</w:t>
            </w:r>
            <w:r w:rsidRPr="002D2EC4">
              <w:rPr>
                <w:rFonts w:ascii="Times New Roman" w:eastAsia="Times New Roman" w:hAnsi="Times New Roman" w:cs="Times New Roman"/>
                <w:i/>
                <w:position w:val="6"/>
                <w:sz w:val="18"/>
                <w:lang w:val="en-US"/>
              </w:rPr>
              <w:t>a</w:t>
            </w:r>
          </w:p>
        </w:tc>
        <w:tc>
          <w:tcPr>
            <w:tcW w:w="2675" w:type="dxa"/>
            <w:shd w:val="clear" w:color="auto" w:fill="auto"/>
          </w:tcPr>
          <w:p w14:paraId="306B23A0" w14:textId="77777777" w:rsidR="003A7B6B" w:rsidRPr="004F3426" w:rsidRDefault="003A7B6B" w:rsidP="005E6418">
            <w:pPr>
              <w:keepNext/>
              <w:keepLines/>
              <w:widowControl w:val="0"/>
              <w:autoSpaceDE w:val="0"/>
              <w:autoSpaceDN w:val="0"/>
              <w:spacing w:before="1" w:line="237" w:lineRule="exact"/>
              <w:ind w:left="0" w:right="302"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397</w:t>
            </w:r>
          </w:p>
          <w:p w14:paraId="19428B1E" w14:textId="77777777" w:rsidR="003A7B6B" w:rsidRPr="004F3426" w:rsidRDefault="003A7B6B" w:rsidP="002D2EC4">
            <w:pPr>
              <w:keepNext/>
              <w:keepLines/>
              <w:widowControl w:val="0"/>
              <w:autoSpaceDE w:val="0"/>
              <w:autoSpaceDN w:val="0"/>
              <w:spacing w:before="1" w:after="80" w:line="237" w:lineRule="exact"/>
              <w:ind w:left="0" w:right="302" w:firstLine="0"/>
              <w:jc w:val="center"/>
              <w:rPr>
                <w:rFonts w:ascii="Times New Roman" w:eastAsia="Times New Roman" w:hAnsi="Times New Roman" w:cs="Times New Roman"/>
                <w:lang w:val="en-US"/>
              </w:rPr>
            </w:pPr>
          </w:p>
          <w:p w14:paraId="28DFB725" w14:textId="77777777" w:rsidR="003A7B6B" w:rsidRPr="004F3426" w:rsidRDefault="003A7B6B" w:rsidP="005E6418">
            <w:pPr>
              <w:keepNext/>
              <w:keepLines/>
              <w:widowControl w:val="0"/>
              <w:autoSpaceDE w:val="0"/>
              <w:autoSpaceDN w:val="0"/>
              <w:spacing w:line="233"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57,</w:t>
            </w:r>
            <w:r w:rsidRPr="004F3426">
              <w:rPr>
                <w:rFonts w:ascii="Times New Roman" w:eastAsia="Times New Roman" w:hAnsi="Times New Roman" w:cs="Times New Roman"/>
                <w:lang w:val="en-US"/>
              </w:rPr>
              <w:t>6</w:t>
            </w:r>
          </w:p>
          <w:p w14:paraId="2981D797" w14:textId="77777777" w:rsidR="003A7B6B" w:rsidRPr="004F3426" w:rsidRDefault="003A7B6B" w:rsidP="005E6418">
            <w:pPr>
              <w:keepNext/>
              <w:keepLines/>
              <w:widowControl w:val="0"/>
              <w:autoSpaceDE w:val="0"/>
              <w:autoSpaceDN w:val="0"/>
              <w:spacing w:line="24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49,1-72,</w:t>
            </w:r>
            <w:r w:rsidRPr="004F3426">
              <w:rPr>
                <w:rFonts w:ascii="Times New Roman" w:eastAsia="Times New Roman" w:hAnsi="Times New Roman" w:cs="Times New Roman"/>
                <w:lang w:val="en-US"/>
              </w:rPr>
              <w:t>8</w:t>
            </w:r>
          </w:p>
          <w:p w14:paraId="75388AD4" w14:textId="77777777" w:rsidR="003A7B6B" w:rsidRPr="004F3426" w:rsidRDefault="003A7B6B" w:rsidP="005E6418">
            <w:pPr>
              <w:keepNext/>
              <w:keepLines/>
              <w:widowControl w:val="0"/>
              <w:autoSpaceDE w:val="0"/>
              <w:autoSpaceDN w:val="0"/>
              <w:spacing w:line="23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4F3426">
              <w:rPr>
                <w:rFonts w:ascii="Times New Roman" w:eastAsia="Times New Roman" w:hAnsi="Times New Roman" w:cs="Times New Roman"/>
                <w:lang w:val="en-US"/>
              </w:rPr>
              <w:t>61</w:t>
            </w:r>
          </w:p>
          <w:p w14:paraId="1532D217" w14:textId="77777777" w:rsidR="003A7B6B" w:rsidRPr="004F3426" w:rsidRDefault="003A7B6B" w:rsidP="005E6418">
            <w:pPr>
              <w:widowControl w:val="0"/>
              <w:autoSpaceDE w:val="0"/>
              <w:autoSpaceDN w:val="0"/>
              <w:spacing w:line="233"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(0,47-0,</w:t>
            </w:r>
            <w:r w:rsidRPr="004F3426">
              <w:rPr>
                <w:rFonts w:ascii="Times New Roman" w:eastAsia="Times New Roman" w:hAnsi="Times New Roman" w:cs="Times New Roman"/>
                <w:lang w:val="en-US"/>
              </w:rPr>
              <w:t>80)</w:t>
            </w:r>
          </w:p>
          <w:p w14:paraId="59B2858F" w14:textId="77777777" w:rsidR="003A7B6B" w:rsidRPr="004F3426" w:rsidRDefault="003A7B6B" w:rsidP="005E6418">
            <w:pPr>
              <w:widowControl w:val="0"/>
              <w:autoSpaceDE w:val="0"/>
              <w:autoSpaceDN w:val="0"/>
              <w:spacing w:line="24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4F3426">
              <w:rPr>
                <w:rFonts w:ascii="Times New Roman" w:eastAsia="Times New Roman" w:hAnsi="Times New Roman" w:cs="Times New Roman"/>
                <w:lang w:val="en-US"/>
              </w:rPr>
              <w:t>0003</w:t>
            </w:r>
          </w:p>
        </w:tc>
        <w:tc>
          <w:tcPr>
            <w:tcW w:w="1675" w:type="dxa"/>
            <w:shd w:val="clear" w:color="auto" w:fill="auto"/>
          </w:tcPr>
          <w:p w14:paraId="30BAAA8C" w14:textId="77777777" w:rsidR="003A7B6B" w:rsidRPr="004F3426" w:rsidRDefault="003A7B6B" w:rsidP="005E6418">
            <w:pPr>
              <w:keepNext/>
              <w:keepLines/>
              <w:widowControl w:val="0"/>
              <w:autoSpaceDE w:val="0"/>
              <w:autoSpaceDN w:val="0"/>
              <w:spacing w:line="237"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393</w:t>
            </w:r>
          </w:p>
          <w:p w14:paraId="042D9069" w14:textId="77777777" w:rsidR="003A7B6B" w:rsidRPr="004F3426" w:rsidRDefault="003A7B6B" w:rsidP="002D2EC4">
            <w:pPr>
              <w:keepNext/>
              <w:keepLines/>
              <w:widowControl w:val="0"/>
              <w:autoSpaceDE w:val="0"/>
              <w:autoSpaceDN w:val="0"/>
              <w:spacing w:after="80" w:line="237" w:lineRule="exact"/>
              <w:ind w:left="0" w:right="145" w:firstLine="0"/>
              <w:jc w:val="center"/>
              <w:rPr>
                <w:rFonts w:ascii="Times New Roman" w:eastAsia="Times New Roman" w:hAnsi="Times New Roman" w:cs="Times New Roman"/>
                <w:lang w:val="en-US"/>
              </w:rPr>
            </w:pPr>
          </w:p>
          <w:p w14:paraId="6309AD90" w14:textId="77777777" w:rsidR="003A7B6B" w:rsidRPr="004F3426" w:rsidRDefault="003A7B6B" w:rsidP="005E6418">
            <w:pPr>
              <w:keepNext/>
              <w:keepLines/>
              <w:widowControl w:val="0"/>
              <w:autoSpaceDE w:val="0"/>
              <w:autoSpaceDN w:val="0"/>
              <w:spacing w:line="233" w:lineRule="exact"/>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44,</w:t>
            </w:r>
            <w:r w:rsidRPr="004F3426">
              <w:rPr>
                <w:rFonts w:ascii="Times New Roman" w:eastAsia="Times New Roman" w:hAnsi="Times New Roman" w:cs="Times New Roman"/>
                <w:lang w:val="en-US"/>
              </w:rPr>
              <w:t>0</w:t>
            </w:r>
          </w:p>
          <w:p w14:paraId="0554479B" w14:textId="77777777" w:rsidR="003A7B6B" w:rsidRPr="004F3426" w:rsidRDefault="003A7B6B" w:rsidP="005E6418">
            <w:pPr>
              <w:keepNext/>
              <w:keepLines/>
              <w:widowControl w:val="0"/>
              <w:autoSpaceDE w:val="0"/>
              <w:autoSpaceDN w:val="0"/>
              <w:spacing w:line="248" w:lineRule="exact"/>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34,4-49,</w:t>
            </w:r>
            <w:r w:rsidRPr="004F3426">
              <w:rPr>
                <w:rFonts w:ascii="Times New Roman" w:eastAsia="Times New Roman" w:hAnsi="Times New Roman" w:cs="Times New Roman"/>
                <w:lang w:val="en-US"/>
              </w:rPr>
              <w:t>1</w:t>
            </w:r>
          </w:p>
          <w:p w14:paraId="0D4BB411" w14:textId="77777777" w:rsidR="003A7B6B" w:rsidRPr="004F3426" w:rsidRDefault="003A7B6B" w:rsidP="005E6418">
            <w:pPr>
              <w:keepNext/>
              <w:keepLines/>
              <w:widowControl w:val="0"/>
              <w:autoSpaceDE w:val="0"/>
              <w:autoSpaceDN w:val="0"/>
              <w:spacing w:line="238"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p w14:paraId="2C47B0D7" w14:textId="77777777" w:rsidR="003A7B6B" w:rsidRPr="004F3426" w:rsidRDefault="003A7B6B" w:rsidP="005E6418">
            <w:pPr>
              <w:widowControl w:val="0"/>
              <w:autoSpaceDE w:val="0"/>
              <w:autoSpaceDN w:val="0"/>
              <w:spacing w:line="233"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p w14:paraId="5557F894" w14:textId="77777777" w:rsidR="003A7B6B" w:rsidRPr="004F3426" w:rsidRDefault="003A7B6B" w:rsidP="005E6418">
            <w:pPr>
              <w:widowControl w:val="0"/>
              <w:autoSpaceDE w:val="0"/>
              <w:autoSpaceDN w:val="0"/>
              <w:spacing w:line="248"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tc>
      </w:tr>
      <w:tr w:rsidR="003A7B6B" w:rsidRPr="004F3426" w14:paraId="2BDB0424" w14:textId="77777777" w:rsidTr="005E6418">
        <w:trPr>
          <w:trHeight w:val="1538"/>
        </w:trPr>
        <w:tc>
          <w:tcPr>
            <w:tcW w:w="4936" w:type="dxa"/>
            <w:shd w:val="clear" w:color="auto" w:fill="auto"/>
          </w:tcPr>
          <w:p w14:paraId="268A098D" w14:textId="77777777" w:rsidR="003A7B6B" w:rsidRPr="002D2EC4" w:rsidRDefault="003A7B6B" w:rsidP="002D2EC4">
            <w:pPr>
              <w:widowControl w:val="0"/>
              <w:autoSpaceDE w:val="0"/>
              <w:autoSpaceDN w:val="0"/>
              <w:spacing w:after="20" w:line="223" w:lineRule="exact"/>
              <w:ind w:left="0" w:firstLine="0"/>
              <w:rPr>
                <w:rFonts w:ascii="Times New Roman" w:hAnsi="Times New Roman" w:cs="Times New Roman"/>
              </w:rPr>
            </w:pPr>
            <w:r w:rsidRPr="002D2EC4">
              <w:rPr>
                <w:rFonts w:ascii="Times New Roman" w:hAnsi="Times New Roman" w:cs="Times New Roman"/>
              </w:rPr>
              <w:t xml:space="preserve">Be ligos progresavimo išgyvento laikotarpio </w:t>
            </w:r>
          </w:p>
          <w:p w14:paraId="189D2BFC" w14:textId="77777777" w:rsidR="003A7B6B" w:rsidRPr="002D2EC4" w:rsidRDefault="003A7B6B" w:rsidP="002D2EC4">
            <w:pPr>
              <w:widowControl w:val="0"/>
              <w:autoSpaceDE w:val="0"/>
              <w:autoSpaceDN w:val="0"/>
              <w:spacing w:after="20" w:line="223"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Mediana (mėn)</w:t>
            </w:r>
          </w:p>
          <w:p w14:paraId="60AD1A24" w14:textId="77777777" w:rsidR="003A7B6B" w:rsidRPr="002D2EC4" w:rsidRDefault="003A7B6B" w:rsidP="002D2EC4">
            <w:pPr>
              <w:widowControl w:val="0"/>
              <w:autoSpaceDE w:val="0"/>
              <w:autoSpaceDN w:val="0"/>
              <w:spacing w:after="20" w:line="224"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95% PI</w:t>
            </w:r>
          </w:p>
          <w:p w14:paraId="6BD0CEBC" w14:textId="77777777" w:rsidR="003A7B6B" w:rsidRPr="002D2EC4" w:rsidRDefault="003A7B6B" w:rsidP="005E6418">
            <w:pPr>
              <w:widowControl w:val="0"/>
              <w:autoSpaceDE w:val="0"/>
              <w:autoSpaceDN w:val="0"/>
              <w:spacing w:line="272" w:lineRule="exact"/>
              <w:ind w:left="0" w:firstLine="0"/>
              <w:rPr>
                <w:rFonts w:ascii="Times New Roman" w:eastAsia="Times New Roman" w:hAnsi="Times New Roman" w:cs="Times New Roman"/>
                <w:lang w:val="it-IT"/>
              </w:rPr>
            </w:pPr>
            <w:r w:rsidRPr="00552C07">
              <w:rPr>
                <w:rFonts w:ascii="Times New Roman" w:hAnsi="Times New Roman" w:cs="Times New Roman"/>
              </w:rPr>
              <w:t>Koreguota santykinė rizika</w:t>
            </w:r>
          </w:p>
          <w:p w14:paraId="44980592" w14:textId="77777777" w:rsidR="003A7B6B" w:rsidRPr="002D2EC4" w:rsidRDefault="003A7B6B" w:rsidP="002D2EC4">
            <w:pPr>
              <w:widowControl w:val="0"/>
              <w:autoSpaceDE w:val="0"/>
              <w:autoSpaceDN w:val="0"/>
              <w:spacing w:after="20" w:line="223"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95% PI</w:t>
            </w:r>
          </w:p>
          <w:p w14:paraId="171A94DF" w14:textId="77777777" w:rsidR="003A7B6B" w:rsidRPr="002D2EC4" w:rsidRDefault="003A7B6B" w:rsidP="002D2EC4">
            <w:pPr>
              <w:widowControl w:val="0"/>
              <w:autoSpaceDE w:val="0"/>
              <w:autoSpaceDN w:val="0"/>
              <w:spacing w:after="20" w:line="224"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p-reikšmė*</w:t>
            </w:r>
          </w:p>
        </w:tc>
        <w:tc>
          <w:tcPr>
            <w:tcW w:w="2675" w:type="dxa"/>
            <w:shd w:val="clear" w:color="auto" w:fill="auto"/>
          </w:tcPr>
          <w:p w14:paraId="71CDF8E3" w14:textId="77777777" w:rsidR="003A7B6B" w:rsidRPr="002D2EC4" w:rsidRDefault="003A7B6B" w:rsidP="005E6418">
            <w:pPr>
              <w:widowControl w:val="0"/>
              <w:autoSpaceDE w:val="0"/>
              <w:autoSpaceDN w:val="0"/>
              <w:spacing w:before="11"/>
              <w:ind w:left="0" w:right="302" w:firstLine="0"/>
              <w:rPr>
                <w:rFonts w:ascii="Times New Roman" w:eastAsia="Times New Roman" w:hAnsi="Times New Roman" w:cs="Times New Roman"/>
                <w:sz w:val="21"/>
                <w:lang w:val="it-IT"/>
              </w:rPr>
            </w:pPr>
          </w:p>
          <w:p w14:paraId="05D2206B" w14:textId="77777777" w:rsidR="003A7B6B" w:rsidRPr="004F3426" w:rsidRDefault="003A7B6B" w:rsidP="005E6418">
            <w:pPr>
              <w:widowControl w:val="0"/>
              <w:autoSpaceDE w:val="0"/>
              <w:autoSpaceDN w:val="0"/>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19,</w:t>
            </w:r>
            <w:r w:rsidRPr="004F3426">
              <w:rPr>
                <w:rFonts w:ascii="Times New Roman" w:eastAsia="Times New Roman" w:hAnsi="Times New Roman" w:cs="Times New Roman"/>
                <w:lang w:val="en-US"/>
              </w:rPr>
              <w:t>8</w:t>
            </w:r>
          </w:p>
          <w:p w14:paraId="69325766" w14:textId="77777777" w:rsidR="003A7B6B" w:rsidRPr="004F3426" w:rsidRDefault="003A7B6B" w:rsidP="005E6418">
            <w:pPr>
              <w:widowControl w:val="0"/>
              <w:autoSpaceDE w:val="0"/>
              <w:autoSpaceDN w:val="0"/>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16,7-22,</w:t>
            </w:r>
            <w:r w:rsidRPr="004F3426">
              <w:rPr>
                <w:rFonts w:ascii="Times New Roman" w:eastAsia="Times New Roman" w:hAnsi="Times New Roman" w:cs="Times New Roman"/>
                <w:lang w:val="en-US"/>
              </w:rPr>
              <w:t>8</w:t>
            </w:r>
          </w:p>
          <w:p w14:paraId="4B4FDC8A" w14:textId="77777777" w:rsidR="003A7B6B" w:rsidRPr="004F3426" w:rsidRDefault="003A7B6B" w:rsidP="005E6418">
            <w:pPr>
              <w:widowControl w:val="0"/>
              <w:autoSpaceDE w:val="0"/>
              <w:autoSpaceDN w:val="0"/>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4F3426">
              <w:rPr>
                <w:rFonts w:ascii="Times New Roman" w:eastAsia="Times New Roman" w:hAnsi="Times New Roman" w:cs="Times New Roman"/>
                <w:lang w:val="en-US"/>
              </w:rPr>
              <w:t>60</w:t>
            </w:r>
          </w:p>
          <w:p w14:paraId="51CC76F8" w14:textId="77777777" w:rsidR="003A7B6B" w:rsidRPr="004F3426" w:rsidRDefault="003A7B6B" w:rsidP="005E6418">
            <w:pPr>
              <w:widowControl w:val="0"/>
              <w:autoSpaceDE w:val="0"/>
              <w:autoSpaceDN w:val="0"/>
              <w:spacing w:before="1"/>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0,51-0,</w:t>
            </w:r>
            <w:r w:rsidRPr="004F3426">
              <w:rPr>
                <w:rFonts w:ascii="Times New Roman" w:eastAsia="Times New Roman" w:hAnsi="Times New Roman" w:cs="Times New Roman"/>
                <w:lang w:val="en-US"/>
              </w:rPr>
              <w:t>72</w:t>
            </w:r>
          </w:p>
          <w:p w14:paraId="2BFCE3F5" w14:textId="77777777" w:rsidR="003A7B6B" w:rsidRPr="004F3426" w:rsidRDefault="003A7B6B" w:rsidP="005E6418">
            <w:pPr>
              <w:widowControl w:val="0"/>
              <w:autoSpaceDE w:val="0"/>
              <w:autoSpaceDN w:val="0"/>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P&lt;0,</w:t>
            </w:r>
            <w:r w:rsidRPr="004F3426">
              <w:rPr>
                <w:rFonts w:ascii="Times New Roman" w:eastAsia="Times New Roman" w:hAnsi="Times New Roman" w:cs="Times New Roman"/>
                <w:lang w:val="en-US"/>
              </w:rPr>
              <w:t>0001</w:t>
            </w:r>
          </w:p>
        </w:tc>
        <w:tc>
          <w:tcPr>
            <w:tcW w:w="1675" w:type="dxa"/>
            <w:shd w:val="clear" w:color="auto" w:fill="auto"/>
          </w:tcPr>
          <w:p w14:paraId="1FC1FC02" w14:textId="77777777" w:rsidR="003A7B6B" w:rsidRPr="004F3426" w:rsidRDefault="003A7B6B" w:rsidP="005E6418">
            <w:pPr>
              <w:widowControl w:val="0"/>
              <w:autoSpaceDE w:val="0"/>
              <w:autoSpaceDN w:val="0"/>
              <w:spacing w:before="11"/>
              <w:ind w:left="0" w:right="145" w:firstLine="0"/>
              <w:rPr>
                <w:rFonts w:ascii="Times New Roman" w:eastAsia="Times New Roman" w:hAnsi="Times New Roman" w:cs="Times New Roman"/>
                <w:sz w:val="21"/>
                <w:lang w:val="en-US"/>
              </w:rPr>
            </w:pPr>
          </w:p>
          <w:p w14:paraId="6FED8F92" w14:textId="77777777" w:rsidR="003A7B6B" w:rsidRPr="004F3426" w:rsidRDefault="003A7B6B" w:rsidP="005E6418">
            <w:pPr>
              <w:widowControl w:val="0"/>
              <w:autoSpaceDE w:val="0"/>
              <w:autoSpaceDN w:val="0"/>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11,</w:t>
            </w:r>
            <w:r w:rsidRPr="004F3426">
              <w:rPr>
                <w:rFonts w:ascii="Times New Roman" w:eastAsia="Times New Roman" w:hAnsi="Times New Roman" w:cs="Times New Roman"/>
                <w:lang w:val="en-US"/>
              </w:rPr>
              <w:t>6</w:t>
            </w:r>
          </w:p>
          <w:p w14:paraId="07A9D2BF" w14:textId="77777777" w:rsidR="003A7B6B" w:rsidRPr="004F3426" w:rsidRDefault="003A7B6B" w:rsidP="005E6418">
            <w:pPr>
              <w:widowControl w:val="0"/>
              <w:autoSpaceDE w:val="0"/>
              <w:autoSpaceDN w:val="0"/>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10,8-14,</w:t>
            </w:r>
            <w:r w:rsidRPr="004F3426">
              <w:rPr>
                <w:rFonts w:ascii="Times New Roman" w:eastAsia="Times New Roman" w:hAnsi="Times New Roman" w:cs="Times New Roman"/>
                <w:lang w:val="en-US"/>
              </w:rPr>
              <w:t>3</w:t>
            </w:r>
          </w:p>
          <w:p w14:paraId="1906A2DC" w14:textId="77777777" w:rsidR="003A7B6B" w:rsidRPr="004F3426" w:rsidRDefault="003A7B6B" w:rsidP="005E6418">
            <w:pPr>
              <w:widowControl w:val="0"/>
              <w:autoSpaceDE w:val="0"/>
              <w:autoSpaceDN w:val="0"/>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p w14:paraId="2EA2919D" w14:textId="77777777" w:rsidR="003A7B6B" w:rsidRPr="004F3426" w:rsidRDefault="003A7B6B" w:rsidP="005E6418">
            <w:pPr>
              <w:widowControl w:val="0"/>
              <w:autoSpaceDE w:val="0"/>
              <w:autoSpaceDN w:val="0"/>
              <w:spacing w:before="1"/>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p w14:paraId="2DB8F6A6" w14:textId="77777777" w:rsidR="003A7B6B" w:rsidRPr="004F3426" w:rsidRDefault="003A7B6B" w:rsidP="005E6418">
            <w:pPr>
              <w:widowControl w:val="0"/>
              <w:autoSpaceDE w:val="0"/>
              <w:autoSpaceDN w:val="0"/>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tc>
      </w:tr>
      <w:tr w:rsidR="003A7B6B" w:rsidRPr="004F3426" w14:paraId="458338F9" w14:textId="77777777" w:rsidTr="005E6418">
        <w:trPr>
          <w:trHeight w:val="575"/>
        </w:trPr>
        <w:tc>
          <w:tcPr>
            <w:tcW w:w="4936" w:type="dxa"/>
            <w:shd w:val="clear" w:color="auto" w:fill="auto"/>
          </w:tcPr>
          <w:p w14:paraId="0C3A97A6" w14:textId="77777777" w:rsidR="003A7B6B" w:rsidRPr="002D2EC4" w:rsidRDefault="003A7B6B" w:rsidP="005E6418">
            <w:pPr>
              <w:widowControl w:val="0"/>
              <w:autoSpaceDE w:val="0"/>
              <w:autoSpaceDN w:val="0"/>
              <w:spacing w:line="237"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PSA atsakas** po 6 mėnesių – N(%)</w:t>
            </w:r>
          </w:p>
          <w:p w14:paraId="3ED8621E" w14:textId="77777777" w:rsidR="003A7B6B" w:rsidRPr="004F3426" w:rsidRDefault="003A7B6B" w:rsidP="005E6418">
            <w:pPr>
              <w:widowControl w:val="0"/>
              <w:autoSpaceDE w:val="0"/>
              <w:autoSpaceDN w:val="0"/>
              <w:spacing w:line="288" w:lineRule="exact"/>
              <w:ind w:left="0" w:firstLine="0"/>
              <w:rPr>
                <w:rFonts w:ascii="Times New Roman" w:eastAsia="Times New Roman" w:hAnsi="Times New Roman" w:cs="Times New Roman"/>
                <w:lang w:val="en-US"/>
              </w:rPr>
            </w:pPr>
            <w:r w:rsidRPr="004F3426">
              <w:rPr>
                <w:rFonts w:ascii="Times New Roman" w:eastAsia="Times New Roman" w:hAnsi="Times New Roman" w:cs="Times New Roman"/>
                <w:lang w:val="en-US"/>
              </w:rPr>
              <w:t>p-</w:t>
            </w:r>
            <w:r>
              <w:rPr>
                <w:rFonts w:ascii="Times New Roman" w:eastAsia="Times New Roman" w:hAnsi="Times New Roman" w:cs="Times New Roman"/>
                <w:lang w:val="en-US"/>
              </w:rPr>
              <w:t>reikšmė</w:t>
            </w:r>
            <w:r w:rsidRPr="002D2EC4">
              <w:rPr>
                <w:rFonts w:ascii="Times New Roman" w:eastAsia="Times New Roman" w:hAnsi="Times New Roman" w:cs="Times New Roman"/>
                <w:i/>
                <w:position w:val="6"/>
                <w:sz w:val="18"/>
                <w:lang w:val="en-US"/>
              </w:rPr>
              <w:t>a</w:t>
            </w:r>
            <w:r w:rsidRPr="004F3426">
              <w:rPr>
                <w:rFonts w:ascii="Times New Roman" w:eastAsia="Times New Roman" w:hAnsi="Times New Roman" w:cs="Times New Roman"/>
                <w:i/>
                <w:position w:val="6"/>
                <w:lang w:val="en-US"/>
              </w:rPr>
              <w:t>*</w:t>
            </w:r>
          </w:p>
        </w:tc>
        <w:tc>
          <w:tcPr>
            <w:tcW w:w="2675" w:type="dxa"/>
            <w:shd w:val="clear" w:color="auto" w:fill="auto"/>
          </w:tcPr>
          <w:p w14:paraId="0E38F630" w14:textId="77777777" w:rsidR="003A7B6B" w:rsidRPr="004F3426" w:rsidRDefault="003A7B6B" w:rsidP="002D2EC4">
            <w:pPr>
              <w:widowControl w:val="0"/>
              <w:autoSpaceDE w:val="0"/>
              <w:autoSpaceDN w:val="0"/>
              <w:spacing w:after="20" w:line="237"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127 (32,</w:t>
            </w:r>
            <w:r w:rsidRPr="004F3426">
              <w:rPr>
                <w:rFonts w:ascii="Times New Roman" w:eastAsia="Times New Roman" w:hAnsi="Times New Roman" w:cs="Times New Roman"/>
                <w:lang w:val="en-US"/>
              </w:rPr>
              <w:t>0)</w:t>
            </w:r>
          </w:p>
          <w:p w14:paraId="3A494862" w14:textId="77777777" w:rsidR="003A7B6B" w:rsidRPr="004F3426" w:rsidRDefault="003A7B6B" w:rsidP="002D2EC4">
            <w:pPr>
              <w:widowControl w:val="0"/>
              <w:autoSpaceDE w:val="0"/>
              <w:autoSpaceDN w:val="0"/>
              <w:spacing w:after="20" w:line="248" w:lineRule="exact"/>
              <w:ind w:left="0" w:right="302"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&lt;0</w:t>
            </w:r>
            <w:r>
              <w:rPr>
                <w:rFonts w:ascii="Times New Roman" w:eastAsia="Times New Roman" w:hAnsi="Times New Roman" w:cs="Times New Roman"/>
                <w:lang w:val="en-US"/>
              </w:rPr>
              <w:t>,</w:t>
            </w:r>
            <w:r w:rsidRPr="004F3426">
              <w:rPr>
                <w:rFonts w:ascii="Times New Roman" w:eastAsia="Times New Roman" w:hAnsi="Times New Roman" w:cs="Times New Roman"/>
                <w:lang w:val="en-US"/>
              </w:rPr>
              <w:t>0001</w:t>
            </w:r>
          </w:p>
        </w:tc>
        <w:tc>
          <w:tcPr>
            <w:tcW w:w="1675" w:type="dxa"/>
            <w:shd w:val="clear" w:color="auto" w:fill="auto"/>
          </w:tcPr>
          <w:p w14:paraId="286AB33E" w14:textId="77777777" w:rsidR="003A7B6B" w:rsidRPr="004F3426" w:rsidRDefault="003A7B6B" w:rsidP="005E6418">
            <w:pPr>
              <w:widowControl w:val="0"/>
              <w:autoSpaceDE w:val="0"/>
              <w:autoSpaceDN w:val="0"/>
              <w:spacing w:line="237" w:lineRule="exact"/>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77 (19,</w:t>
            </w:r>
            <w:r w:rsidRPr="004F3426">
              <w:rPr>
                <w:rFonts w:ascii="Times New Roman" w:eastAsia="Times New Roman" w:hAnsi="Times New Roman" w:cs="Times New Roman"/>
                <w:lang w:val="en-US"/>
              </w:rPr>
              <w:t>6)</w:t>
            </w:r>
          </w:p>
          <w:p w14:paraId="206B0A9F" w14:textId="77777777" w:rsidR="003A7B6B" w:rsidRPr="004F3426" w:rsidRDefault="003A7B6B" w:rsidP="005E6418">
            <w:pPr>
              <w:widowControl w:val="0"/>
              <w:autoSpaceDE w:val="0"/>
              <w:autoSpaceDN w:val="0"/>
              <w:spacing w:line="248"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tc>
      </w:tr>
      <w:tr w:rsidR="003A7B6B" w:rsidRPr="004F3426" w14:paraId="7DC83C55" w14:textId="77777777" w:rsidTr="005E6418">
        <w:trPr>
          <w:trHeight w:val="575"/>
        </w:trPr>
        <w:tc>
          <w:tcPr>
            <w:tcW w:w="4936" w:type="dxa"/>
            <w:shd w:val="clear" w:color="auto" w:fill="auto"/>
          </w:tcPr>
          <w:p w14:paraId="562D7FAC" w14:textId="77777777" w:rsidR="003A7B6B" w:rsidRPr="002D2EC4" w:rsidRDefault="003A7B6B" w:rsidP="005E6418">
            <w:pPr>
              <w:widowControl w:val="0"/>
              <w:autoSpaceDE w:val="0"/>
              <w:autoSpaceDN w:val="0"/>
              <w:spacing w:line="238"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PSA atsakas** po 12 mėnesių – N(%)</w:t>
            </w:r>
          </w:p>
          <w:p w14:paraId="2A87D3CF" w14:textId="77777777" w:rsidR="003A7B6B" w:rsidRPr="004F3426" w:rsidRDefault="003A7B6B" w:rsidP="005E6418">
            <w:pPr>
              <w:widowControl w:val="0"/>
              <w:autoSpaceDE w:val="0"/>
              <w:autoSpaceDN w:val="0"/>
              <w:spacing w:line="289" w:lineRule="exact"/>
              <w:ind w:left="0" w:firstLine="0"/>
              <w:rPr>
                <w:rFonts w:ascii="Times New Roman" w:eastAsia="Times New Roman" w:hAnsi="Times New Roman" w:cs="Times New Roman"/>
                <w:lang w:val="en-US"/>
              </w:rPr>
            </w:pPr>
            <w:r w:rsidRPr="004F3426">
              <w:rPr>
                <w:rFonts w:ascii="Times New Roman" w:eastAsia="Times New Roman" w:hAnsi="Times New Roman" w:cs="Times New Roman"/>
                <w:lang w:val="en-US"/>
              </w:rPr>
              <w:t>p-</w:t>
            </w:r>
            <w:r>
              <w:rPr>
                <w:rFonts w:ascii="Times New Roman" w:eastAsia="Times New Roman" w:hAnsi="Times New Roman" w:cs="Times New Roman"/>
                <w:lang w:val="en-US"/>
              </w:rPr>
              <w:t>reikšmė</w:t>
            </w:r>
            <w:r w:rsidRPr="002D2EC4">
              <w:rPr>
                <w:rFonts w:ascii="Times New Roman" w:eastAsia="Times New Roman" w:hAnsi="Times New Roman" w:cs="Times New Roman"/>
                <w:i/>
                <w:position w:val="6"/>
                <w:sz w:val="18"/>
                <w:lang w:val="en-US"/>
              </w:rPr>
              <w:t>a</w:t>
            </w:r>
            <w:r w:rsidRPr="004F3426">
              <w:rPr>
                <w:rFonts w:ascii="Times New Roman" w:eastAsia="Times New Roman" w:hAnsi="Times New Roman" w:cs="Times New Roman"/>
                <w:i/>
                <w:position w:val="6"/>
                <w:lang w:val="en-US"/>
              </w:rPr>
              <w:t>*</w:t>
            </w:r>
          </w:p>
        </w:tc>
        <w:tc>
          <w:tcPr>
            <w:tcW w:w="2675" w:type="dxa"/>
            <w:shd w:val="clear" w:color="auto" w:fill="auto"/>
          </w:tcPr>
          <w:p w14:paraId="37D57C60" w14:textId="77777777" w:rsidR="003A7B6B" w:rsidRPr="004F3426" w:rsidRDefault="003A7B6B" w:rsidP="002D2EC4">
            <w:pPr>
              <w:widowControl w:val="0"/>
              <w:autoSpaceDE w:val="0"/>
              <w:autoSpaceDN w:val="0"/>
              <w:spacing w:after="20" w:line="23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110 (27,</w:t>
            </w:r>
            <w:r w:rsidRPr="004F3426">
              <w:rPr>
                <w:rFonts w:ascii="Times New Roman" w:eastAsia="Times New Roman" w:hAnsi="Times New Roman" w:cs="Times New Roman"/>
                <w:lang w:val="en-US"/>
              </w:rPr>
              <w:t>7)</w:t>
            </w:r>
          </w:p>
          <w:p w14:paraId="14112FFE" w14:textId="77777777" w:rsidR="003A7B6B" w:rsidRPr="004F3426" w:rsidRDefault="003A7B6B" w:rsidP="002D2EC4">
            <w:pPr>
              <w:widowControl w:val="0"/>
              <w:autoSpaceDE w:val="0"/>
              <w:autoSpaceDN w:val="0"/>
              <w:spacing w:after="20" w:line="24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&lt;0,</w:t>
            </w:r>
            <w:r w:rsidRPr="004F3426">
              <w:rPr>
                <w:rFonts w:ascii="Times New Roman" w:eastAsia="Times New Roman" w:hAnsi="Times New Roman" w:cs="Times New Roman"/>
                <w:lang w:val="en-US"/>
              </w:rPr>
              <w:t>0001</w:t>
            </w:r>
          </w:p>
        </w:tc>
        <w:tc>
          <w:tcPr>
            <w:tcW w:w="1675" w:type="dxa"/>
            <w:shd w:val="clear" w:color="auto" w:fill="auto"/>
          </w:tcPr>
          <w:p w14:paraId="726AD0D4" w14:textId="77777777" w:rsidR="003A7B6B" w:rsidRPr="004F3426" w:rsidRDefault="003A7B6B" w:rsidP="002D2EC4">
            <w:pPr>
              <w:widowControl w:val="0"/>
              <w:autoSpaceDE w:val="0"/>
              <w:autoSpaceDN w:val="0"/>
              <w:spacing w:after="20" w:line="238" w:lineRule="exact"/>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66 (16,</w:t>
            </w:r>
            <w:r w:rsidRPr="004F3426">
              <w:rPr>
                <w:rFonts w:ascii="Times New Roman" w:eastAsia="Times New Roman" w:hAnsi="Times New Roman" w:cs="Times New Roman"/>
                <w:lang w:val="en-US"/>
              </w:rPr>
              <w:t>8)</w:t>
            </w:r>
          </w:p>
          <w:p w14:paraId="06DA3FA4" w14:textId="77777777" w:rsidR="003A7B6B" w:rsidRPr="004F3426" w:rsidRDefault="003A7B6B" w:rsidP="002D2EC4">
            <w:pPr>
              <w:widowControl w:val="0"/>
              <w:autoSpaceDE w:val="0"/>
              <w:autoSpaceDN w:val="0"/>
              <w:spacing w:after="20" w:line="248"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tc>
      </w:tr>
      <w:tr w:rsidR="003A7B6B" w:rsidRPr="004F3426" w14:paraId="1276E488" w14:textId="77777777" w:rsidTr="005E6418">
        <w:trPr>
          <w:trHeight w:val="1708"/>
        </w:trPr>
        <w:tc>
          <w:tcPr>
            <w:tcW w:w="4936" w:type="dxa"/>
            <w:shd w:val="clear" w:color="auto" w:fill="auto"/>
          </w:tcPr>
          <w:p w14:paraId="05BF8D35" w14:textId="77777777" w:rsidR="003A7B6B" w:rsidRPr="002D2EC4" w:rsidRDefault="003A7B6B" w:rsidP="002D2EC4">
            <w:pPr>
              <w:widowControl w:val="0"/>
              <w:autoSpaceDE w:val="0"/>
              <w:autoSpaceDN w:val="0"/>
              <w:spacing w:after="20" w:line="298" w:lineRule="exact"/>
              <w:ind w:left="0" w:firstLine="0"/>
              <w:rPr>
                <w:rFonts w:ascii="Times New Roman" w:eastAsia="Times New Roman" w:hAnsi="Times New Roman" w:cs="Times New Roman"/>
                <w:i/>
              </w:rPr>
            </w:pPr>
            <w:r w:rsidRPr="002D2EC4">
              <w:rPr>
                <w:rFonts w:ascii="Times New Roman" w:hAnsi="Times New Roman" w:cs="Times New Roman"/>
              </w:rPr>
              <w:lastRenderedPageBreak/>
              <w:t>Laikotarpio iki kastracijai atsparaus prostatos vėžio pasireiškimo</w:t>
            </w:r>
            <w:r w:rsidRPr="002D2EC4">
              <w:rPr>
                <w:rFonts w:ascii="Times New Roman" w:eastAsia="Times New Roman" w:hAnsi="Times New Roman" w:cs="Times New Roman"/>
                <w:i/>
                <w:position w:val="6"/>
                <w:sz w:val="18"/>
              </w:rPr>
              <w:t>b</w:t>
            </w:r>
          </w:p>
          <w:p w14:paraId="2098D557" w14:textId="77777777" w:rsidR="003A7B6B" w:rsidRPr="002D2EC4" w:rsidRDefault="003A7B6B" w:rsidP="002D2EC4">
            <w:pPr>
              <w:widowControl w:val="0"/>
              <w:autoSpaceDE w:val="0"/>
              <w:autoSpaceDN w:val="0"/>
              <w:spacing w:after="20" w:line="233"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Mediana (mėn)</w:t>
            </w:r>
          </w:p>
          <w:p w14:paraId="223D2F18" w14:textId="77777777" w:rsidR="003A7B6B" w:rsidRPr="002D2EC4" w:rsidRDefault="003A7B6B" w:rsidP="002D2EC4">
            <w:pPr>
              <w:widowControl w:val="0"/>
              <w:autoSpaceDE w:val="0"/>
              <w:autoSpaceDN w:val="0"/>
              <w:spacing w:after="20" w:line="233"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95% PI</w:t>
            </w:r>
          </w:p>
          <w:p w14:paraId="20445FF2" w14:textId="77777777" w:rsidR="003A7B6B" w:rsidRPr="002D2EC4" w:rsidRDefault="003A7B6B" w:rsidP="005E6418">
            <w:pPr>
              <w:widowControl w:val="0"/>
              <w:autoSpaceDE w:val="0"/>
              <w:autoSpaceDN w:val="0"/>
              <w:spacing w:line="272" w:lineRule="exact"/>
              <w:ind w:left="0" w:firstLine="0"/>
              <w:rPr>
                <w:rFonts w:ascii="Times New Roman" w:eastAsia="Times New Roman" w:hAnsi="Times New Roman" w:cs="Times New Roman"/>
                <w:lang w:val="it-IT"/>
              </w:rPr>
            </w:pPr>
            <w:r w:rsidRPr="00661617">
              <w:rPr>
                <w:rFonts w:ascii="Times New Roman" w:hAnsi="Times New Roman" w:cs="Times New Roman"/>
              </w:rPr>
              <w:t>Koreguota santykinė rizika</w:t>
            </w:r>
          </w:p>
          <w:p w14:paraId="7A21918A" w14:textId="77777777" w:rsidR="003A7B6B" w:rsidRPr="004F3426" w:rsidRDefault="003A7B6B" w:rsidP="002D2EC4">
            <w:pPr>
              <w:widowControl w:val="0"/>
              <w:autoSpaceDE w:val="0"/>
              <w:autoSpaceDN w:val="0"/>
              <w:spacing w:after="20" w:line="232" w:lineRule="exact"/>
              <w:ind w:left="0" w:firstLine="0"/>
              <w:rPr>
                <w:rFonts w:ascii="Times New Roman" w:eastAsia="Times New Roman" w:hAnsi="Times New Roman" w:cs="Times New Roman"/>
                <w:lang w:val="en-US"/>
              </w:rPr>
            </w:pPr>
            <w:r>
              <w:rPr>
                <w:rFonts w:ascii="Times New Roman" w:eastAsia="Times New Roman" w:hAnsi="Times New Roman" w:cs="Times New Roman"/>
                <w:lang w:val="en-US"/>
              </w:rPr>
              <w:t>95% P</w:t>
            </w:r>
            <w:r w:rsidRPr="004F3426">
              <w:rPr>
                <w:rFonts w:ascii="Times New Roman" w:eastAsia="Times New Roman" w:hAnsi="Times New Roman" w:cs="Times New Roman"/>
                <w:lang w:val="en-US"/>
              </w:rPr>
              <w:t>I</w:t>
            </w:r>
          </w:p>
          <w:p w14:paraId="74D95809" w14:textId="77777777" w:rsidR="003A7B6B" w:rsidRPr="004F3426" w:rsidRDefault="003A7B6B" w:rsidP="002D2EC4">
            <w:pPr>
              <w:widowControl w:val="0"/>
              <w:autoSpaceDE w:val="0"/>
              <w:autoSpaceDN w:val="0"/>
              <w:spacing w:after="20" w:line="288" w:lineRule="exact"/>
              <w:ind w:left="0" w:firstLine="0"/>
              <w:rPr>
                <w:rFonts w:ascii="Times New Roman" w:eastAsia="Times New Roman" w:hAnsi="Times New Roman" w:cs="Times New Roman"/>
                <w:i/>
                <w:lang w:val="en-US"/>
              </w:rPr>
            </w:pPr>
            <w:r>
              <w:rPr>
                <w:rFonts w:ascii="Times New Roman" w:eastAsia="Times New Roman" w:hAnsi="Times New Roman" w:cs="Times New Roman"/>
                <w:lang w:val="en-US"/>
              </w:rPr>
              <w:t>p-reikšmė</w:t>
            </w:r>
            <w:r w:rsidRPr="002D2EC4">
              <w:rPr>
                <w:rFonts w:ascii="Times New Roman" w:eastAsia="Times New Roman" w:hAnsi="Times New Roman" w:cs="Times New Roman"/>
                <w:i/>
                <w:position w:val="6"/>
                <w:sz w:val="18"/>
                <w:lang w:val="en-US"/>
              </w:rPr>
              <w:t>a</w:t>
            </w:r>
            <w:r w:rsidRPr="004F3426">
              <w:rPr>
                <w:rFonts w:ascii="Times New Roman" w:eastAsia="Times New Roman" w:hAnsi="Times New Roman" w:cs="Times New Roman"/>
                <w:i/>
                <w:position w:val="6"/>
                <w:lang w:val="en-US"/>
              </w:rPr>
              <w:t>*</w:t>
            </w:r>
          </w:p>
        </w:tc>
        <w:tc>
          <w:tcPr>
            <w:tcW w:w="2675" w:type="dxa"/>
            <w:shd w:val="clear" w:color="auto" w:fill="auto"/>
          </w:tcPr>
          <w:p w14:paraId="511349AE" w14:textId="77777777" w:rsidR="003A7B6B" w:rsidRPr="004F3426" w:rsidRDefault="003A7B6B" w:rsidP="002D2EC4">
            <w:pPr>
              <w:widowControl w:val="0"/>
              <w:autoSpaceDE w:val="0"/>
              <w:autoSpaceDN w:val="0"/>
              <w:spacing w:after="20" w:line="233" w:lineRule="exact"/>
              <w:ind w:left="0" w:right="302" w:firstLine="0"/>
              <w:jc w:val="center"/>
              <w:rPr>
                <w:rFonts w:ascii="Times New Roman" w:eastAsia="Times New Roman" w:hAnsi="Times New Roman" w:cs="Times New Roman"/>
                <w:lang w:val="en-US"/>
              </w:rPr>
            </w:pPr>
          </w:p>
          <w:p w14:paraId="6BFE6E27" w14:textId="77777777" w:rsidR="003A7B6B" w:rsidRPr="004F3426" w:rsidRDefault="003A7B6B" w:rsidP="002D2EC4">
            <w:pPr>
              <w:widowControl w:val="0"/>
              <w:autoSpaceDE w:val="0"/>
              <w:autoSpaceDN w:val="0"/>
              <w:spacing w:after="20" w:line="233"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20,</w:t>
            </w:r>
            <w:r w:rsidRPr="004F3426">
              <w:rPr>
                <w:rFonts w:ascii="Times New Roman" w:eastAsia="Times New Roman" w:hAnsi="Times New Roman" w:cs="Times New Roman"/>
                <w:lang w:val="en-US"/>
              </w:rPr>
              <w:t>2</w:t>
            </w:r>
          </w:p>
          <w:p w14:paraId="1AD4B51F" w14:textId="77777777" w:rsidR="003A7B6B" w:rsidRPr="004F3426" w:rsidRDefault="003A7B6B" w:rsidP="002D2EC4">
            <w:pPr>
              <w:widowControl w:val="0"/>
              <w:autoSpaceDE w:val="0"/>
              <w:autoSpaceDN w:val="0"/>
              <w:spacing w:after="20" w:line="233"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(17,2-23,</w:t>
            </w:r>
            <w:r w:rsidRPr="004F3426">
              <w:rPr>
                <w:rFonts w:ascii="Times New Roman" w:eastAsia="Times New Roman" w:hAnsi="Times New Roman" w:cs="Times New Roman"/>
                <w:lang w:val="en-US"/>
              </w:rPr>
              <w:t>6)</w:t>
            </w:r>
          </w:p>
          <w:p w14:paraId="6D352FEA" w14:textId="77777777" w:rsidR="003A7B6B" w:rsidRPr="004F3426" w:rsidRDefault="003A7B6B" w:rsidP="002D2EC4">
            <w:pPr>
              <w:widowControl w:val="0"/>
              <w:autoSpaceDE w:val="0"/>
              <w:autoSpaceDN w:val="0"/>
              <w:spacing w:after="20" w:line="24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4F3426">
              <w:rPr>
                <w:rFonts w:ascii="Times New Roman" w:eastAsia="Times New Roman" w:hAnsi="Times New Roman" w:cs="Times New Roman"/>
                <w:lang w:val="en-US"/>
              </w:rPr>
              <w:t>61</w:t>
            </w:r>
          </w:p>
          <w:p w14:paraId="2C7C130E" w14:textId="77777777" w:rsidR="003A7B6B" w:rsidRPr="004F3426" w:rsidRDefault="003A7B6B" w:rsidP="002D2EC4">
            <w:pPr>
              <w:widowControl w:val="0"/>
              <w:autoSpaceDE w:val="0"/>
              <w:autoSpaceDN w:val="0"/>
              <w:spacing w:after="20" w:line="232"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(0,51-0,</w:t>
            </w:r>
            <w:r w:rsidRPr="004F3426">
              <w:rPr>
                <w:rFonts w:ascii="Times New Roman" w:eastAsia="Times New Roman" w:hAnsi="Times New Roman" w:cs="Times New Roman"/>
                <w:lang w:val="en-US"/>
              </w:rPr>
              <w:t>72)</w:t>
            </w:r>
          </w:p>
          <w:p w14:paraId="2EF3BB0E" w14:textId="77777777" w:rsidR="003A7B6B" w:rsidRPr="004F3426" w:rsidRDefault="003A7B6B" w:rsidP="002D2EC4">
            <w:pPr>
              <w:widowControl w:val="0"/>
              <w:autoSpaceDE w:val="0"/>
              <w:autoSpaceDN w:val="0"/>
              <w:spacing w:after="20" w:line="24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&lt;0,</w:t>
            </w:r>
            <w:r w:rsidRPr="004F3426">
              <w:rPr>
                <w:rFonts w:ascii="Times New Roman" w:eastAsia="Times New Roman" w:hAnsi="Times New Roman" w:cs="Times New Roman"/>
                <w:lang w:val="en-US"/>
              </w:rPr>
              <w:t>0001</w:t>
            </w:r>
          </w:p>
        </w:tc>
        <w:tc>
          <w:tcPr>
            <w:tcW w:w="1675" w:type="dxa"/>
            <w:shd w:val="clear" w:color="auto" w:fill="auto"/>
          </w:tcPr>
          <w:p w14:paraId="575BE00D" w14:textId="77777777" w:rsidR="003A7B6B" w:rsidRPr="004F3426" w:rsidRDefault="003A7B6B" w:rsidP="002D2EC4">
            <w:pPr>
              <w:widowControl w:val="0"/>
              <w:autoSpaceDE w:val="0"/>
              <w:autoSpaceDN w:val="0"/>
              <w:spacing w:after="20" w:line="233" w:lineRule="exact"/>
              <w:ind w:left="0" w:right="145" w:firstLine="0"/>
              <w:jc w:val="center"/>
              <w:rPr>
                <w:rFonts w:ascii="Times New Roman" w:eastAsia="Times New Roman" w:hAnsi="Times New Roman" w:cs="Times New Roman"/>
                <w:lang w:val="en-US"/>
              </w:rPr>
            </w:pPr>
          </w:p>
          <w:p w14:paraId="7AAF3600" w14:textId="77777777" w:rsidR="003A7B6B" w:rsidRPr="004F3426" w:rsidRDefault="003A7B6B" w:rsidP="002D2EC4">
            <w:pPr>
              <w:widowControl w:val="0"/>
              <w:autoSpaceDE w:val="0"/>
              <w:autoSpaceDN w:val="0"/>
              <w:spacing w:after="20" w:line="233" w:lineRule="exact"/>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11,</w:t>
            </w:r>
            <w:r w:rsidRPr="004F3426">
              <w:rPr>
                <w:rFonts w:ascii="Times New Roman" w:eastAsia="Times New Roman" w:hAnsi="Times New Roman" w:cs="Times New Roman"/>
                <w:lang w:val="en-US"/>
              </w:rPr>
              <w:t>7</w:t>
            </w:r>
          </w:p>
          <w:p w14:paraId="2EB791B1" w14:textId="77777777" w:rsidR="003A7B6B" w:rsidRPr="004F3426" w:rsidRDefault="003A7B6B" w:rsidP="002D2EC4">
            <w:pPr>
              <w:widowControl w:val="0"/>
              <w:autoSpaceDE w:val="0"/>
              <w:autoSpaceDN w:val="0"/>
              <w:spacing w:after="20" w:line="233"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r>
              <w:rPr>
                <w:rFonts w:ascii="Times New Roman" w:eastAsia="Times New Roman" w:hAnsi="Times New Roman" w:cs="Times New Roman"/>
                <w:lang w:val="en-US"/>
              </w:rPr>
              <w:t>10,8-14,</w:t>
            </w:r>
            <w:r w:rsidRPr="004F3426">
              <w:rPr>
                <w:rFonts w:ascii="Times New Roman" w:eastAsia="Times New Roman" w:hAnsi="Times New Roman" w:cs="Times New Roman"/>
                <w:lang w:val="en-US"/>
              </w:rPr>
              <w:t>7)</w:t>
            </w:r>
          </w:p>
          <w:p w14:paraId="535CF829" w14:textId="77777777" w:rsidR="003A7B6B" w:rsidRPr="004F3426" w:rsidRDefault="003A7B6B" w:rsidP="002D2EC4">
            <w:pPr>
              <w:widowControl w:val="0"/>
              <w:autoSpaceDE w:val="0"/>
              <w:autoSpaceDN w:val="0"/>
              <w:spacing w:after="20" w:line="248"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p w14:paraId="30A913F6" w14:textId="77777777" w:rsidR="003A7B6B" w:rsidRPr="004F3426" w:rsidRDefault="003A7B6B" w:rsidP="002D2EC4">
            <w:pPr>
              <w:widowControl w:val="0"/>
              <w:autoSpaceDE w:val="0"/>
              <w:autoSpaceDN w:val="0"/>
              <w:spacing w:after="20" w:line="232"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p w14:paraId="616FA0C1" w14:textId="77777777" w:rsidR="003A7B6B" w:rsidRPr="004F3426" w:rsidRDefault="003A7B6B" w:rsidP="002D2EC4">
            <w:pPr>
              <w:widowControl w:val="0"/>
              <w:autoSpaceDE w:val="0"/>
              <w:autoSpaceDN w:val="0"/>
              <w:spacing w:after="20" w:line="248"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tc>
      </w:tr>
      <w:tr w:rsidR="003A7B6B" w:rsidRPr="004F3426" w14:paraId="16B58178" w14:textId="77777777" w:rsidTr="005E6418">
        <w:trPr>
          <w:trHeight w:val="1709"/>
        </w:trPr>
        <w:tc>
          <w:tcPr>
            <w:tcW w:w="4936" w:type="dxa"/>
            <w:shd w:val="clear" w:color="auto" w:fill="auto"/>
          </w:tcPr>
          <w:p w14:paraId="7629F5C4" w14:textId="77777777" w:rsidR="003A7B6B" w:rsidRPr="002D2EC4" w:rsidRDefault="003A7B6B" w:rsidP="002D2EC4">
            <w:pPr>
              <w:widowControl w:val="0"/>
              <w:autoSpaceDE w:val="0"/>
              <w:autoSpaceDN w:val="0"/>
              <w:spacing w:after="20" w:line="298" w:lineRule="exact"/>
              <w:ind w:left="0" w:firstLine="0"/>
              <w:rPr>
                <w:rFonts w:ascii="Times New Roman" w:eastAsia="Times New Roman" w:hAnsi="Times New Roman" w:cs="Times New Roman"/>
                <w:i/>
                <w:lang w:val="it-IT"/>
              </w:rPr>
            </w:pPr>
            <w:r w:rsidRPr="002D2EC4">
              <w:rPr>
                <w:rFonts w:ascii="Times New Roman" w:hAnsi="Times New Roman" w:cs="Times New Roman"/>
              </w:rPr>
              <w:t>Laikotarpio iki klinikinio progresavimo</w:t>
            </w:r>
            <w:r w:rsidRPr="002D2EC4">
              <w:rPr>
                <w:rFonts w:ascii="Times New Roman" w:eastAsia="Times New Roman" w:hAnsi="Times New Roman" w:cs="Times New Roman"/>
                <w:i/>
                <w:position w:val="6"/>
                <w:lang w:val="it-IT"/>
              </w:rPr>
              <w:t>c</w:t>
            </w:r>
          </w:p>
          <w:p w14:paraId="42C66188" w14:textId="77777777" w:rsidR="003A7B6B" w:rsidRPr="002D2EC4" w:rsidRDefault="003A7B6B" w:rsidP="002D2EC4">
            <w:pPr>
              <w:widowControl w:val="0"/>
              <w:autoSpaceDE w:val="0"/>
              <w:autoSpaceDN w:val="0"/>
              <w:spacing w:after="20" w:line="233"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Mediana (mėn)</w:t>
            </w:r>
          </w:p>
          <w:p w14:paraId="4F9865AA" w14:textId="77777777" w:rsidR="003A7B6B" w:rsidRPr="002D2EC4" w:rsidRDefault="003A7B6B" w:rsidP="002D2EC4">
            <w:pPr>
              <w:widowControl w:val="0"/>
              <w:autoSpaceDE w:val="0"/>
              <w:autoSpaceDN w:val="0"/>
              <w:spacing w:after="20" w:line="233"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95% PI</w:t>
            </w:r>
          </w:p>
          <w:p w14:paraId="2480FAA2" w14:textId="77777777" w:rsidR="003A7B6B" w:rsidRPr="002D2EC4" w:rsidRDefault="003A7B6B" w:rsidP="005E6418">
            <w:pPr>
              <w:widowControl w:val="0"/>
              <w:autoSpaceDE w:val="0"/>
              <w:autoSpaceDN w:val="0"/>
              <w:spacing w:line="272" w:lineRule="exact"/>
              <w:ind w:left="0" w:firstLine="0"/>
              <w:rPr>
                <w:rFonts w:ascii="Times New Roman" w:eastAsia="Times New Roman" w:hAnsi="Times New Roman" w:cs="Times New Roman"/>
                <w:lang w:val="it-IT"/>
              </w:rPr>
            </w:pPr>
            <w:r w:rsidRPr="00BA39E5">
              <w:rPr>
                <w:rFonts w:ascii="Times New Roman" w:hAnsi="Times New Roman" w:cs="Times New Roman"/>
              </w:rPr>
              <w:t>Koreguota santykinė rizika</w:t>
            </w:r>
          </w:p>
          <w:p w14:paraId="031BE475" w14:textId="77777777" w:rsidR="003A7B6B" w:rsidRPr="002D2EC4" w:rsidRDefault="003A7B6B" w:rsidP="002D2EC4">
            <w:pPr>
              <w:widowControl w:val="0"/>
              <w:autoSpaceDE w:val="0"/>
              <w:autoSpaceDN w:val="0"/>
              <w:spacing w:after="20" w:line="233" w:lineRule="exact"/>
              <w:ind w:left="0" w:firstLine="0"/>
              <w:rPr>
                <w:rFonts w:ascii="Times New Roman" w:eastAsia="Times New Roman" w:hAnsi="Times New Roman" w:cs="Times New Roman"/>
                <w:lang w:val="it-IT"/>
              </w:rPr>
            </w:pPr>
            <w:r w:rsidRPr="002D2EC4">
              <w:rPr>
                <w:rFonts w:ascii="Times New Roman" w:eastAsia="Times New Roman" w:hAnsi="Times New Roman" w:cs="Times New Roman"/>
                <w:lang w:val="it-IT"/>
              </w:rPr>
              <w:t>95% PI</w:t>
            </w:r>
          </w:p>
          <w:p w14:paraId="60181A8B" w14:textId="77777777" w:rsidR="003A7B6B" w:rsidRPr="002D2EC4" w:rsidRDefault="003A7B6B" w:rsidP="002D2EC4">
            <w:pPr>
              <w:widowControl w:val="0"/>
              <w:autoSpaceDE w:val="0"/>
              <w:autoSpaceDN w:val="0"/>
              <w:spacing w:after="20" w:line="288" w:lineRule="exact"/>
              <w:ind w:left="0" w:firstLine="0"/>
              <w:rPr>
                <w:rFonts w:ascii="Times New Roman" w:eastAsia="Times New Roman" w:hAnsi="Times New Roman" w:cs="Times New Roman"/>
                <w:i/>
                <w:lang w:val="it-IT"/>
              </w:rPr>
            </w:pPr>
            <w:r w:rsidRPr="002D2EC4">
              <w:rPr>
                <w:rFonts w:ascii="Times New Roman" w:eastAsia="Times New Roman" w:hAnsi="Times New Roman" w:cs="Times New Roman"/>
                <w:lang w:val="it-IT"/>
              </w:rPr>
              <w:t>p-reikšmė</w:t>
            </w:r>
            <w:r w:rsidRPr="002D2EC4">
              <w:rPr>
                <w:rFonts w:ascii="Times New Roman" w:eastAsia="Times New Roman" w:hAnsi="Times New Roman" w:cs="Times New Roman"/>
                <w:i/>
                <w:position w:val="6"/>
                <w:sz w:val="18"/>
                <w:lang w:val="it-IT"/>
              </w:rPr>
              <w:t>a</w:t>
            </w:r>
            <w:r w:rsidRPr="002D2EC4">
              <w:rPr>
                <w:rFonts w:ascii="Times New Roman" w:eastAsia="Times New Roman" w:hAnsi="Times New Roman" w:cs="Times New Roman"/>
                <w:i/>
                <w:position w:val="6"/>
                <w:lang w:val="it-IT"/>
              </w:rPr>
              <w:t>*</w:t>
            </w:r>
          </w:p>
        </w:tc>
        <w:tc>
          <w:tcPr>
            <w:tcW w:w="2675" w:type="dxa"/>
            <w:shd w:val="clear" w:color="auto" w:fill="auto"/>
          </w:tcPr>
          <w:p w14:paraId="17BF2FA0" w14:textId="77777777" w:rsidR="003A7B6B" w:rsidRPr="002D2EC4" w:rsidRDefault="003A7B6B" w:rsidP="002D2EC4">
            <w:pPr>
              <w:widowControl w:val="0"/>
              <w:autoSpaceDE w:val="0"/>
              <w:autoSpaceDN w:val="0"/>
              <w:spacing w:after="20" w:line="233" w:lineRule="exact"/>
              <w:ind w:left="0" w:right="302" w:firstLine="0"/>
              <w:jc w:val="center"/>
              <w:rPr>
                <w:rFonts w:ascii="Times New Roman" w:eastAsia="Times New Roman" w:hAnsi="Times New Roman" w:cs="Times New Roman"/>
                <w:lang w:val="it-IT"/>
              </w:rPr>
            </w:pPr>
          </w:p>
          <w:p w14:paraId="1C92D189" w14:textId="77777777" w:rsidR="003A7B6B" w:rsidRPr="004F3426" w:rsidRDefault="003A7B6B" w:rsidP="002D2EC4">
            <w:pPr>
              <w:widowControl w:val="0"/>
              <w:autoSpaceDE w:val="0"/>
              <w:autoSpaceDN w:val="0"/>
              <w:spacing w:after="20" w:line="233"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33,</w:t>
            </w:r>
            <w:r w:rsidRPr="004F3426">
              <w:rPr>
                <w:rFonts w:ascii="Times New Roman" w:eastAsia="Times New Roman" w:hAnsi="Times New Roman" w:cs="Times New Roman"/>
                <w:lang w:val="en-US"/>
              </w:rPr>
              <w:t>0</w:t>
            </w:r>
          </w:p>
          <w:p w14:paraId="477D4864" w14:textId="77777777" w:rsidR="003A7B6B" w:rsidRPr="004F3426" w:rsidRDefault="003A7B6B" w:rsidP="002D2EC4">
            <w:pPr>
              <w:widowControl w:val="0"/>
              <w:autoSpaceDE w:val="0"/>
              <w:autoSpaceDN w:val="0"/>
              <w:spacing w:after="20" w:line="233"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(27,3-41,</w:t>
            </w:r>
            <w:r w:rsidRPr="004F3426">
              <w:rPr>
                <w:rFonts w:ascii="Times New Roman" w:eastAsia="Times New Roman" w:hAnsi="Times New Roman" w:cs="Times New Roman"/>
                <w:lang w:val="en-US"/>
              </w:rPr>
              <w:t>2)</w:t>
            </w:r>
          </w:p>
          <w:p w14:paraId="2C4EF314" w14:textId="77777777" w:rsidR="003A7B6B" w:rsidRPr="004F3426" w:rsidRDefault="003A7B6B" w:rsidP="002D2EC4">
            <w:pPr>
              <w:widowControl w:val="0"/>
              <w:autoSpaceDE w:val="0"/>
              <w:autoSpaceDN w:val="0"/>
              <w:spacing w:after="20" w:line="24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w:t>
            </w:r>
            <w:r w:rsidRPr="004F3426">
              <w:rPr>
                <w:rFonts w:ascii="Times New Roman" w:eastAsia="Times New Roman" w:hAnsi="Times New Roman" w:cs="Times New Roman"/>
                <w:lang w:val="en-US"/>
              </w:rPr>
              <w:t>61</w:t>
            </w:r>
          </w:p>
          <w:p w14:paraId="6BD01C6E" w14:textId="77777777" w:rsidR="003A7B6B" w:rsidRPr="004F3426" w:rsidRDefault="003A7B6B" w:rsidP="002D2EC4">
            <w:pPr>
              <w:widowControl w:val="0"/>
              <w:autoSpaceDE w:val="0"/>
              <w:autoSpaceDN w:val="0"/>
              <w:spacing w:after="20" w:line="233"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(0,50-0,</w:t>
            </w:r>
            <w:r w:rsidRPr="004F3426">
              <w:rPr>
                <w:rFonts w:ascii="Times New Roman" w:eastAsia="Times New Roman" w:hAnsi="Times New Roman" w:cs="Times New Roman"/>
                <w:lang w:val="en-US"/>
              </w:rPr>
              <w:t>75)</w:t>
            </w:r>
          </w:p>
          <w:p w14:paraId="29DFA3D2" w14:textId="77777777" w:rsidR="003A7B6B" w:rsidRPr="004F3426" w:rsidRDefault="003A7B6B" w:rsidP="002D2EC4">
            <w:pPr>
              <w:widowControl w:val="0"/>
              <w:autoSpaceDE w:val="0"/>
              <w:autoSpaceDN w:val="0"/>
              <w:spacing w:after="20" w:line="248" w:lineRule="exact"/>
              <w:ind w:left="0" w:right="302"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&lt;0,</w:t>
            </w:r>
            <w:r w:rsidRPr="004F3426">
              <w:rPr>
                <w:rFonts w:ascii="Times New Roman" w:eastAsia="Times New Roman" w:hAnsi="Times New Roman" w:cs="Times New Roman"/>
                <w:lang w:val="en-US"/>
              </w:rPr>
              <w:t>0001</w:t>
            </w:r>
          </w:p>
        </w:tc>
        <w:tc>
          <w:tcPr>
            <w:tcW w:w="1675" w:type="dxa"/>
            <w:shd w:val="clear" w:color="auto" w:fill="auto"/>
          </w:tcPr>
          <w:p w14:paraId="039C6C82" w14:textId="77777777" w:rsidR="003A7B6B" w:rsidRPr="004F3426" w:rsidRDefault="003A7B6B" w:rsidP="002D2EC4">
            <w:pPr>
              <w:widowControl w:val="0"/>
              <w:autoSpaceDE w:val="0"/>
              <w:autoSpaceDN w:val="0"/>
              <w:spacing w:after="20" w:line="233" w:lineRule="exact"/>
              <w:ind w:left="0" w:right="145" w:firstLine="0"/>
              <w:jc w:val="center"/>
              <w:rPr>
                <w:rFonts w:ascii="Times New Roman" w:eastAsia="Times New Roman" w:hAnsi="Times New Roman" w:cs="Times New Roman"/>
                <w:lang w:val="en-US"/>
              </w:rPr>
            </w:pPr>
          </w:p>
          <w:p w14:paraId="22FB7A11" w14:textId="77777777" w:rsidR="003A7B6B" w:rsidRPr="004F3426" w:rsidRDefault="003A7B6B" w:rsidP="002D2EC4">
            <w:pPr>
              <w:widowControl w:val="0"/>
              <w:autoSpaceDE w:val="0"/>
              <w:autoSpaceDN w:val="0"/>
              <w:spacing w:after="20" w:line="233" w:lineRule="exact"/>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19,</w:t>
            </w:r>
            <w:r w:rsidRPr="004F3426">
              <w:rPr>
                <w:rFonts w:ascii="Times New Roman" w:eastAsia="Times New Roman" w:hAnsi="Times New Roman" w:cs="Times New Roman"/>
                <w:lang w:val="en-US"/>
              </w:rPr>
              <w:t>8</w:t>
            </w:r>
          </w:p>
          <w:p w14:paraId="2486928D" w14:textId="77777777" w:rsidR="003A7B6B" w:rsidRPr="004F3426" w:rsidRDefault="003A7B6B" w:rsidP="002D2EC4">
            <w:pPr>
              <w:widowControl w:val="0"/>
              <w:autoSpaceDE w:val="0"/>
              <w:autoSpaceDN w:val="0"/>
              <w:spacing w:after="20" w:line="233" w:lineRule="exact"/>
              <w:ind w:left="0" w:right="145"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(17,9-22,</w:t>
            </w:r>
            <w:r w:rsidRPr="004F3426">
              <w:rPr>
                <w:rFonts w:ascii="Times New Roman" w:eastAsia="Times New Roman" w:hAnsi="Times New Roman" w:cs="Times New Roman"/>
                <w:lang w:val="en-US"/>
              </w:rPr>
              <w:t>8)</w:t>
            </w:r>
          </w:p>
          <w:p w14:paraId="59B103C9" w14:textId="77777777" w:rsidR="003A7B6B" w:rsidRPr="004F3426" w:rsidRDefault="003A7B6B" w:rsidP="002D2EC4">
            <w:pPr>
              <w:widowControl w:val="0"/>
              <w:autoSpaceDE w:val="0"/>
              <w:autoSpaceDN w:val="0"/>
              <w:spacing w:after="20" w:line="248"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p w14:paraId="76EB2AAE" w14:textId="77777777" w:rsidR="003A7B6B" w:rsidRPr="004F3426" w:rsidRDefault="003A7B6B" w:rsidP="002D2EC4">
            <w:pPr>
              <w:widowControl w:val="0"/>
              <w:autoSpaceDE w:val="0"/>
              <w:autoSpaceDN w:val="0"/>
              <w:spacing w:after="20" w:line="233"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p w14:paraId="36D14E4C" w14:textId="77777777" w:rsidR="003A7B6B" w:rsidRPr="004F3426" w:rsidRDefault="003A7B6B" w:rsidP="002D2EC4">
            <w:pPr>
              <w:widowControl w:val="0"/>
              <w:autoSpaceDE w:val="0"/>
              <w:autoSpaceDN w:val="0"/>
              <w:spacing w:after="20" w:line="248" w:lineRule="exact"/>
              <w:ind w:left="0" w:right="145" w:firstLine="0"/>
              <w:jc w:val="center"/>
              <w:rPr>
                <w:rFonts w:ascii="Times New Roman" w:eastAsia="Times New Roman" w:hAnsi="Times New Roman" w:cs="Times New Roman"/>
                <w:lang w:val="en-US"/>
              </w:rPr>
            </w:pPr>
            <w:r w:rsidRPr="004F3426">
              <w:rPr>
                <w:rFonts w:ascii="Times New Roman" w:eastAsia="Times New Roman" w:hAnsi="Times New Roman" w:cs="Times New Roman"/>
                <w:lang w:val="en-US"/>
              </w:rPr>
              <w:t>--</w:t>
            </w:r>
          </w:p>
        </w:tc>
      </w:tr>
    </w:tbl>
    <w:p w14:paraId="4C34937D" w14:textId="77777777" w:rsidR="003A7B6B" w:rsidRPr="002D2EC4" w:rsidRDefault="003A7B6B" w:rsidP="003A7B6B">
      <w:pPr>
        <w:widowControl w:val="0"/>
        <w:tabs>
          <w:tab w:val="left" w:pos="1296"/>
        </w:tabs>
        <w:ind w:left="0" w:firstLine="0"/>
        <w:rPr>
          <w:rFonts w:ascii="Times New Roman" w:hAnsi="Times New Roman" w:cs="Times New Roman"/>
          <w:sz w:val="20"/>
          <w:szCs w:val="20"/>
          <w:lang w:val="sl-SI"/>
        </w:rPr>
      </w:pPr>
      <w:r w:rsidRPr="002D2EC4">
        <w:rPr>
          <w:rFonts w:ascii="Times New Roman" w:hAnsi="Times New Roman" w:cs="Times New Roman"/>
          <w:sz w:val="20"/>
          <w:szCs w:val="20"/>
          <w:vertAlign w:val="superscript"/>
          <w:lang w:val="sl-SI"/>
        </w:rPr>
        <w:t>a</w:t>
      </w:r>
      <w:r w:rsidRPr="002D2EC4">
        <w:rPr>
          <w:rFonts w:ascii="Times New Roman" w:hAnsi="Times New Roman" w:cs="Times New Roman"/>
          <w:sz w:val="20"/>
          <w:szCs w:val="20"/>
          <w:lang w:val="sl-SI"/>
        </w:rPr>
        <w:t xml:space="preserve"> Laikotarpio iki reiškinio kintamieji: stratifikuotas </w:t>
      </w:r>
      <w:r w:rsidRPr="002D2EC4">
        <w:rPr>
          <w:rFonts w:ascii="Times New Roman" w:hAnsi="Times New Roman" w:cs="Times New Roman"/>
          <w:i/>
          <w:sz w:val="20"/>
          <w:szCs w:val="20"/>
          <w:lang w:val="sl-SI"/>
        </w:rPr>
        <w:t>log-rank</w:t>
      </w:r>
      <w:r w:rsidRPr="002D2EC4">
        <w:rPr>
          <w:rFonts w:ascii="Times New Roman" w:hAnsi="Times New Roman" w:cs="Times New Roman"/>
          <w:sz w:val="20"/>
          <w:szCs w:val="20"/>
          <w:lang w:val="sl-SI"/>
        </w:rPr>
        <w:t xml:space="preserve"> testas.</w:t>
      </w:r>
    </w:p>
    <w:p w14:paraId="180AF369" w14:textId="77777777" w:rsidR="003A7B6B" w:rsidRPr="002D2EC4" w:rsidRDefault="003A7B6B" w:rsidP="003A7B6B">
      <w:pPr>
        <w:widowControl w:val="0"/>
        <w:tabs>
          <w:tab w:val="left" w:pos="1296"/>
        </w:tabs>
        <w:ind w:left="0" w:firstLine="0"/>
        <w:rPr>
          <w:rFonts w:ascii="Times New Roman" w:hAnsi="Times New Roman" w:cs="Times New Roman"/>
          <w:sz w:val="20"/>
          <w:szCs w:val="20"/>
          <w:lang w:val="sl-SI"/>
        </w:rPr>
      </w:pPr>
      <w:r w:rsidRPr="002D2EC4">
        <w:rPr>
          <w:rFonts w:ascii="Times New Roman" w:hAnsi="Times New Roman" w:cs="Times New Roman"/>
          <w:sz w:val="20"/>
          <w:szCs w:val="20"/>
          <w:lang w:val="sl-SI"/>
        </w:rPr>
        <w:t xml:space="preserve">Atsako dažnio kintamieji: </w:t>
      </w:r>
      <w:r w:rsidRPr="002D2EC4">
        <w:rPr>
          <w:rFonts w:ascii="Times New Roman" w:hAnsi="Times New Roman" w:cs="Times New Roman"/>
          <w:i/>
          <w:sz w:val="20"/>
          <w:szCs w:val="20"/>
          <w:lang w:val="sl-SI"/>
        </w:rPr>
        <w:t>Fisher's</w:t>
      </w:r>
      <w:r w:rsidRPr="002D2EC4">
        <w:rPr>
          <w:rFonts w:ascii="Times New Roman" w:hAnsi="Times New Roman" w:cs="Times New Roman"/>
          <w:sz w:val="20"/>
          <w:szCs w:val="20"/>
          <w:lang w:val="sl-SI"/>
        </w:rPr>
        <w:t xml:space="preserve"> tikslusis testas.</w:t>
      </w:r>
    </w:p>
    <w:p w14:paraId="7728C42E" w14:textId="77777777" w:rsidR="003A7B6B" w:rsidRPr="002D2EC4" w:rsidRDefault="003A7B6B" w:rsidP="003A7B6B">
      <w:pPr>
        <w:widowControl w:val="0"/>
        <w:tabs>
          <w:tab w:val="left" w:pos="1296"/>
        </w:tabs>
        <w:ind w:left="0" w:firstLine="0"/>
        <w:rPr>
          <w:rFonts w:ascii="Times New Roman" w:hAnsi="Times New Roman" w:cs="Times New Roman"/>
          <w:sz w:val="20"/>
          <w:szCs w:val="20"/>
          <w:lang w:val="sl-SI"/>
        </w:rPr>
      </w:pPr>
      <w:r w:rsidRPr="002D2EC4">
        <w:rPr>
          <w:rFonts w:ascii="Times New Roman" w:hAnsi="Times New Roman" w:cs="Times New Roman"/>
          <w:sz w:val="20"/>
          <w:szCs w:val="20"/>
          <w:lang w:val="sl-SI"/>
        </w:rPr>
        <w:t>* p reikšmė aprašomiesiems tikslams.</w:t>
      </w:r>
    </w:p>
    <w:p w14:paraId="71FB0C06" w14:textId="057616CD" w:rsidR="003A7B6B" w:rsidRPr="002D2EC4" w:rsidRDefault="003A7B6B" w:rsidP="003A7B6B">
      <w:pPr>
        <w:widowControl w:val="0"/>
        <w:tabs>
          <w:tab w:val="left" w:pos="1296"/>
        </w:tabs>
        <w:ind w:left="0" w:firstLine="0"/>
        <w:rPr>
          <w:rFonts w:ascii="Times New Roman" w:hAnsi="Times New Roman" w:cs="Times New Roman"/>
          <w:sz w:val="20"/>
          <w:szCs w:val="20"/>
          <w:lang w:val="sl-SI"/>
        </w:rPr>
      </w:pPr>
      <w:r w:rsidRPr="002D2EC4">
        <w:rPr>
          <w:rFonts w:ascii="Times New Roman" w:hAnsi="Times New Roman" w:cs="Times New Roman"/>
          <w:sz w:val="20"/>
          <w:szCs w:val="20"/>
          <w:lang w:val="sl-SI"/>
        </w:rPr>
        <w:t>** PSA atsakas: prostatai specifinio antigeno atsakas: PSA kiekis &lt; 0,2 ng/ml, nustatytas dviem iš</w:t>
      </w:r>
      <w:r w:rsidR="001319E7">
        <w:rPr>
          <w:rFonts w:ascii="Times New Roman" w:hAnsi="Times New Roman" w:cs="Times New Roman"/>
          <w:sz w:val="20"/>
          <w:szCs w:val="20"/>
          <w:lang w:val="sl-SI"/>
        </w:rPr>
        <w:t xml:space="preserve"> </w:t>
      </w:r>
      <w:r w:rsidRPr="002D2EC4">
        <w:rPr>
          <w:rFonts w:ascii="Times New Roman" w:hAnsi="Times New Roman" w:cs="Times New Roman"/>
          <w:sz w:val="20"/>
          <w:szCs w:val="20"/>
          <w:lang w:val="sl-SI"/>
        </w:rPr>
        <w:t>eilės atliktais tyrimais, tarp kurių buvo ne mažesnė kaip 4 savaičių pertrauka.</w:t>
      </w:r>
    </w:p>
    <w:p w14:paraId="47093100" w14:textId="7914BEC7" w:rsidR="003A7B6B" w:rsidRDefault="003A7B6B" w:rsidP="003A7B6B">
      <w:pPr>
        <w:widowControl w:val="0"/>
        <w:tabs>
          <w:tab w:val="left" w:pos="1296"/>
        </w:tabs>
        <w:ind w:left="0" w:firstLine="0"/>
        <w:rPr>
          <w:rFonts w:ascii="Times New Roman" w:hAnsi="Times New Roman" w:cs="Times New Roman"/>
          <w:sz w:val="20"/>
          <w:szCs w:val="20"/>
          <w:lang w:val="sl-SI"/>
        </w:rPr>
      </w:pPr>
      <w:r w:rsidRPr="002D2EC4">
        <w:rPr>
          <w:rFonts w:ascii="Times New Roman" w:hAnsi="Times New Roman" w:cs="Times New Roman"/>
          <w:sz w:val="20"/>
          <w:szCs w:val="20"/>
          <w:vertAlign w:val="superscript"/>
          <w:lang w:val="sl-SI"/>
        </w:rPr>
        <w:t>b</w:t>
      </w:r>
      <w:r w:rsidRPr="002D2EC4">
        <w:rPr>
          <w:rFonts w:ascii="Times New Roman" w:hAnsi="Times New Roman" w:cs="Times New Roman"/>
          <w:sz w:val="20"/>
          <w:szCs w:val="20"/>
          <w:lang w:val="sl-SI"/>
        </w:rPr>
        <w:t xml:space="preserve"> </w:t>
      </w:r>
      <w:r w:rsidRPr="00C91F0E">
        <w:rPr>
          <w:rFonts w:ascii="Times New Roman" w:hAnsi="Times New Roman" w:cs="Times New Roman"/>
          <w:sz w:val="20"/>
          <w:szCs w:val="20"/>
          <w:lang w:val="sl-SI"/>
        </w:rPr>
        <w:t xml:space="preserve">Laikotarpis iki kastracijai atsparaus prostatos vėžio pasireiškimo – laikotarpis nuo priskyrimo atsitiktinei imčiai iki PSA progresavimo, klinikinio progresavimo (t. y. simptominių metastazių kauluose progresavimo, progresavimo pagal </w:t>
      </w:r>
      <w:r w:rsidR="001319E7" w:rsidRPr="00C91F0E">
        <w:rPr>
          <w:rFonts w:ascii="Times New Roman" w:hAnsi="Times New Roman" w:cs="Times New Roman"/>
          <w:sz w:val="20"/>
          <w:szCs w:val="20"/>
          <w:lang w:val="sl-SI"/>
        </w:rPr>
        <w:t>s</w:t>
      </w:r>
      <w:r w:rsidRPr="00C91F0E">
        <w:rPr>
          <w:rFonts w:ascii="Times New Roman" w:hAnsi="Times New Roman" w:cs="Times New Roman"/>
          <w:sz w:val="20"/>
          <w:szCs w:val="20"/>
          <w:lang w:val="sl-SI"/>
        </w:rPr>
        <w:t>tandžiojo naviko atsako vertinimo kriterijus (</w:t>
      </w:r>
      <w:r w:rsidRPr="00C91F0E">
        <w:rPr>
          <w:rFonts w:ascii="Times New Roman" w:hAnsi="Times New Roman" w:cs="Times New Roman"/>
          <w:i/>
          <w:sz w:val="20"/>
          <w:szCs w:val="20"/>
          <w:lang w:val="sl-SI"/>
        </w:rPr>
        <w:t xml:space="preserve">angl. Response Evaluation Criteria in Solid Tumours, </w:t>
      </w:r>
      <w:r w:rsidRPr="00C91F0E">
        <w:rPr>
          <w:rFonts w:ascii="Times New Roman" w:hAnsi="Times New Roman" w:cs="Times New Roman"/>
          <w:sz w:val="20"/>
          <w:szCs w:val="20"/>
          <w:lang w:val="sl-SI"/>
        </w:rPr>
        <w:t>RECIST</w:t>
      </w:r>
      <w:r w:rsidRPr="002D2EC4">
        <w:rPr>
          <w:rFonts w:ascii="Times New Roman" w:hAnsi="Times New Roman" w:cs="Times New Roman"/>
          <w:sz w:val="20"/>
          <w:szCs w:val="20"/>
          <w:lang w:val="sl-SI"/>
        </w:rPr>
        <w:t xml:space="preserve">) ar vėžio nulemto klinikinės būklės blogėjimo tyrėjo sprendimu), priklausomai nuo to, kas pasireiškia anksčiau. </w:t>
      </w:r>
    </w:p>
    <w:p w14:paraId="46A9995A" w14:textId="77777777" w:rsidR="003A7B6B" w:rsidRPr="002D2EC4" w:rsidRDefault="003A7B6B" w:rsidP="003A7B6B">
      <w:pPr>
        <w:widowControl w:val="0"/>
        <w:tabs>
          <w:tab w:val="left" w:pos="1296"/>
        </w:tabs>
        <w:ind w:left="0" w:firstLine="0"/>
        <w:rPr>
          <w:rFonts w:ascii="Times New Roman" w:hAnsi="Times New Roman" w:cs="Times New Roman"/>
          <w:sz w:val="20"/>
          <w:szCs w:val="20"/>
          <w:lang w:val="sl-SI"/>
        </w:rPr>
      </w:pPr>
      <w:r w:rsidRPr="002D2EC4">
        <w:rPr>
          <w:rFonts w:ascii="Times New Roman" w:hAnsi="Times New Roman" w:cs="Times New Roman"/>
          <w:sz w:val="20"/>
          <w:szCs w:val="20"/>
          <w:lang w:val="sl-SI"/>
        </w:rPr>
        <w:t>c Laikotarpis iki klinikinio progresavimo – laikotarpis nuo priskyrimo atsitiktinei imčiai iki klinikinio progresavimo (t. y. simptominių metastazių kauluose progresavimo, progresavimo pagal RECIST kriterijus ar vėžio nulemto klinikinės būklės blogėjimo tyrėjo sprendimu).</w:t>
      </w:r>
    </w:p>
    <w:p w14:paraId="736CEF0E" w14:textId="77777777" w:rsidR="003A7B6B" w:rsidRPr="004F3426" w:rsidRDefault="003A7B6B" w:rsidP="003A7B6B">
      <w:pPr>
        <w:widowControl w:val="0"/>
        <w:tabs>
          <w:tab w:val="left" w:pos="1296"/>
        </w:tabs>
        <w:ind w:left="0" w:firstLine="0"/>
        <w:rPr>
          <w:rFonts w:ascii="Times New Roman" w:hAnsi="Times New Roman" w:cs="Times New Roman"/>
          <w:lang w:val="sl-SI"/>
        </w:rPr>
      </w:pPr>
    </w:p>
    <w:p w14:paraId="351BD25D" w14:textId="77777777" w:rsidR="003A7B6B" w:rsidRPr="00976ED6" w:rsidRDefault="003A7B6B" w:rsidP="003A7B6B">
      <w:pPr>
        <w:widowControl w:val="0"/>
        <w:tabs>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Skrandžio adenokarcinoma</w:t>
      </w:r>
    </w:p>
    <w:p w14:paraId="0762116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584176A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Buvo atliktas daugiacentris atviras atsitiktinių imčių tyrimas, kurio metu vertintas pacientų, kurie sirgo metastazavusia skrandžio adenokarcinoma, įskaitant skrandžio ir stemplės jungties adenokarcinomą, ir kuriems metastazavusios ligos chemoterapija anksčiau netaikyta, gydymo docetakseliu veiksmingumas bei saugumas. Viso 445 pacientai, kurių KPS buvo &gt; 70, gydyti arba docetakseliu (T) (75 mg/m² 1 parą), cisplatina (C) (75 mg/m² 1 parą) ir 5-fluorouracilu (F) (750 mg/m² per parą 5 dienas), arba cisplatina (100 mg/m² 1 parą) ir 5-fluorouracilu (1000 mg/m² per parą 5 dienas).</w:t>
      </w:r>
    </w:p>
    <w:p w14:paraId="6272ACC7"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Gydymo ciklo trukmė TCF grupėje buvo 3 savaitės, CF grupėje - 4 savaitės. TCF grupėje pacientui skirtų gydymo ciklų mediana buvo 6 (1-16), o CF grupėje 4 (1-12). Pagrindinė vertinamoji baigtis buvo laikotarpis iki ligos progresavimo (angl. Time to progression (TTP). TCF grupės gydymo rezultatai buvo geresni: progresavimo pavojus sumažėjo 32,1% o TTP buvo reikšmingai ilgesnis (p = 0,0004). Bendras išgyvenamumas TCF grupėje buvo reikšmingai ilgesnis (p = 0,0201), mirties pavojus sumažėjo 22,7%. Gydymo veiksmingumo duomenys apibendrinami žemiau pateiktoje lentelėje.</w:t>
      </w:r>
    </w:p>
    <w:p w14:paraId="645B37A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A727741"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Docetakselio veiksmingumas gydant skrandžio adenokarcinoma sergančius pacientus:</w:t>
      </w:r>
    </w:p>
    <w:p w14:paraId="3455C8F0"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6"/>
        <w:gridCol w:w="1812"/>
        <w:gridCol w:w="1812"/>
      </w:tblGrid>
      <w:tr w:rsidR="003A7B6B" w:rsidRPr="00976ED6" w14:paraId="3A2B81F6" w14:textId="77777777" w:rsidTr="005E6418">
        <w:tc>
          <w:tcPr>
            <w:tcW w:w="3000" w:type="pct"/>
            <w:tcBorders>
              <w:top w:val="single" w:sz="4" w:space="0" w:color="auto"/>
              <w:left w:val="single" w:sz="4" w:space="0" w:color="auto"/>
              <w:bottom w:val="single" w:sz="4" w:space="0" w:color="auto"/>
              <w:right w:val="single" w:sz="4" w:space="0" w:color="auto"/>
            </w:tcBorders>
            <w:hideMark/>
          </w:tcPr>
          <w:p w14:paraId="5A0A6E3C"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b/>
                <w:color w:val="000000"/>
                <w:lang w:val="sl-SI"/>
              </w:rPr>
              <w:t>Vertinamoji baigtis</w:t>
            </w:r>
          </w:p>
        </w:tc>
        <w:tc>
          <w:tcPr>
            <w:tcW w:w="1000" w:type="pct"/>
            <w:tcBorders>
              <w:top w:val="single" w:sz="4" w:space="0" w:color="auto"/>
              <w:left w:val="single" w:sz="4" w:space="0" w:color="auto"/>
              <w:bottom w:val="single" w:sz="4" w:space="0" w:color="auto"/>
              <w:right w:val="single" w:sz="4" w:space="0" w:color="auto"/>
            </w:tcBorders>
            <w:hideMark/>
          </w:tcPr>
          <w:p w14:paraId="5D33E5D6"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b/>
                <w:color w:val="000000"/>
                <w:lang w:val="sl-SI"/>
              </w:rPr>
              <w:t>TCF</w:t>
            </w:r>
          </w:p>
          <w:p w14:paraId="2B052E1E"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n = 221</w:t>
            </w:r>
          </w:p>
        </w:tc>
        <w:tc>
          <w:tcPr>
            <w:tcW w:w="1000" w:type="pct"/>
            <w:tcBorders>
              <w:top w:val="single" w:sz="4" w:space="0" w:color="auto"/>
              <w:left w:val="single" w:sz="4" w:space="0" w:color="auto"/>
              <w:bottom w:val="single" w:sz="4" w:space="0" w:color="auto"/>
              <w:right w:val="single" w:sz="4" w:space="0" w:color="auto"/>
            </w:tcBorders>
            <w:hideMark/>
          </w:tcPr>
          <w:p w14:paraId="00C6F38B"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b/>
                <w:color w:val="000000"/>
                <w:lang w:val="sl-SI"/>
              </w:rPr>
              <w:t>CF</w:t>
            </w:r>
          </w:p>
          <w:p w14:paraId="6B79C946" w14:textId="7777777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n = 224</w:t>
            </w:r>
          </w:p>
        </w:tc>
      </w:tr>
      <w:tr w:rsidR="003A7B6B" w:rsidRPr="00976ED6" w14:paraId="15168571" w14:textId="77777777" w:rsidTr="005E6418">
        <w:trPr>
          <w:trHeight w:val="516"/>
        </w:trPr>
        <w:tc>
          <w:tcPr>
            <w:tcW w:w="3000" w:type="pct"/>
            <w:vMerge w:val="restart"/>
            <w:tcBorders>
              <w:top w:val="single" w:sz="4" w:space="0" w:color="auto"/>
              <w:left w:val="single" w:sz="4" w:space="0" w:color="auto"/>
              <w:bottom w:val="single" w:sz="4" w:space="0" w:color="auto"/>
              <w:right w:val="single" w:sz="4" w:space="0" w:color="auto"/>
            </w:tcBorders>
            <w:hideMark/>
          </w:tcPr>
          <w:p w14:paraId="32257F3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TTP mediana (mėnesiai)</w:t>
            </w:r>
          </w:p>
          <w:p w14:paraId="638EAB23"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73483A1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Rizikos koeficientas</w:t>
            </w:r>
          </w:p>
          <w:p w14:paraId="34E9CFD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08D811A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*p-reikšmė</w:t>
            </w:r>
          </w:p>
        </w:tc>
        <w:tc>
          <w:tcPr>
            <w:tcW w:w="1000" w:type="pct"/>
            <w:tcBorders>
              <w:top w:val="single" w:sz="4" w:space="0" w:color="auto"/>
              <w:left w:val="single" w:sz="4" w:space="0" w:color="auto"/>
              <w:bottom w:val="single" w:sz="4" w:space="0" w:color="auto"/>
              <w:right w:val="single" w:sz="4" w:space="0" w:color="auto"/>
            </w:tcBorders>
            <w:hideMark/>
          </w:tcPr>
          <w:p w14:paraId="6429E844" w14:textId="2BE7DC9C"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5</w:t>
            </w:r>
            <w:r>
              <w:rPr>
                <w:rFonts w:ascii="Times New Roman" w:hAnsi="Times New Roman" w:cs="Times New Roman"/>
                <w:color w:val="000000"/>
                <w:lang w:val="sl-SI"/>
              </w:rPr>
              <w:t>,</w:t>
            </w:r>
            <w:r w:rsidRPr="00976ED6">
              <w:rPr>
                <w:rFonts w:ascii="Times New Roman" w:hAnsi="Times New Roman" w:cs="Times New Roman"/>
                <w:color w:val="000000"/>
                <w:lang w:val="sl-SI"/>
              </w:rPr>
              <w:t>6</w:t>
            </w:r>
          </w:p>
          <w:p w14:paraId="36C0662D" w14:textId="1ED0EA22"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(4</w:t>
            </w:r>
            <w:r>
              <w:rPr>
                <w:rFonts w:ascii="Times New Roman" w:hAnsi="Times New Roman" w:cs="Times New Roman"/>
                <w:color w:val="000000"/>
                <w:lang w:val="sl-SI"/>
              </w:rPr>
              <w:t>,</w:t>
            </w:r>
            <w:r w:rsidRPr="00976ED6">
              <w:rPr>
                <w:rFonts w:ascii="Times New Roman" w:hAnsi="Times New Roman" w:cs="Times New Roman"/>
                <w:color w:val="000000"/>
                <w:lang w:val="sl-SI"/>
              </w:rPr>
              <w:t>86-5</w:t>
            </w:r>
            <w:r>
              <w:rPr>
                <w:rFonts w:ascii="Times New Roman" w:hAnsi="Times New Roman" w:cs="Times New Roman"/>
                <w:color w:val="000000"/>
                <w:lang w:val="sl-SI"/>
              </w:rPr>
              <w:t>,</w:t>
            </w:r>
            <w:r w:rsidRPr="00976ED6">
              <w:rPr>
                <w:rFonts w:ascii="Times New Roman" w:hAnsi="Times New Roman" w:cs="Times New Roman"/>
                <w:color w:val="000000"/>
                <w:lang w:val="sl-SI"/>
              </w:rPr>
              <w:t>91)</w:t>
            </w:r>
          </w:p>
        </w:tc>
        <w:tc>
          <w:tcPr>
            <w:tcW w:w="1000" w:type="pct"/>
            <w:tcBorders>
              <w:top w:val="single" w:sz="4" w:space="0" w:color="auto"/>
              <w:left w:val="single" w:sz="4" w:space="0" w:color="auto"/>
              <w:bottom w:val="single" w:sz="4" w:space="0" w:color="auto"/>
              <w:right w:val="single" w:sz="4" w:space="0" w:color="auto"/>
            </w:tcBorders>
            <w:hideMark/>
          </w:tcPr>
          <w:p w14:paraId="0E1C8E4A" w14:textId="4FB2CB6E"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w:t>
            </w:r>
            <w:r>
              <w:rPr>
                <w:rFonts w:ascii="Times New Roman" w:hAnsi="Times New Roman" w:cs="Times New Roman"/>
                <w:color w:val="000000"/>
                <w:lang w:val="sl-SI"/>
              </w:rPr>
              <w:t>,</w:t>
            </w:r>
            <w:r w:rsidRPr="00976ED6">
              <w:rPr>
                <w:rFonts w:ascii="Times New Roman" w:hAnsi="Times New Roman" w:cs="Times New Roman"/>
                <w:color w:val="000000"/>
                <w:lang w:val="sl-SI"/>
              </w:rPr>
              <w:t>7</w:t>
            </w:r>
          </w:p>
          <w:p w14:paraId="788B5A5C" w14:textId="578C6FD3"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w:t>
            </w:r>
            <w:r>
              <w:rPr>
                <w:rFonts w:ascii="Times New Roman" w:hAnsi="Times New Roman" w:cs="Times New Roman"/>
                <w:color w:val="000000"/>
                <w:lang w:val="sl-SI"/>
              </w:rPr>
              <w:t>,</w:t>
            </w:r>
            <w:r w:rsidRPr="00976ED6">
              <w:rPr>
                <w:rFonts w:ascii="Times New Roman" w:hAnsi="Times New Roman" w:cs="Times New Roman"/>
                <w:color w:val="000000"/>
                <w:lang w:val="sl-SI"/>
              </w:rPr>
              <w:t>45-4</w:t>
            </w:r>
            <w:r>
              <w:rPr>
                <w:rFonts w:ascii="Times New Roman" w:hAnsi="Times New Roman" w:cs="Times New Roman"/>
                <w:color w:val="000000"/>
                <w:lang w:val="sl-SI"/>
              </w:rPr>
              <w:t>,</w:t>
            </w:r>
            <w:r w:rsidRPr="00976ED6">
              <w:rPr>
                <w:rFonts w:ascii="Times New Roman" w:hAnsi="Times New Roman" w:cs="Times New Roman"/>
                <w:color w:val="000000"/>
                <w:lang w:val="sl-SI"/>
              </w:rPr>
              <w:t>47)</w:t>
            </w:r>
          </w:p>
        </w:tc>
      </w:tr>
      <w:tr w:rsidR="003A7B6B" w:rsidRPr="00976ED6" w14:paraId="264BD39D" w14:textId="77777777" w:rsidTr="005E6418">
        <w:trPr>
          <w:trHeight w:val="7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A0A02" w14:textId="77777777" w:rsidR="003A7B6B" w:rsidRPr="00976ED6" w:rsidRDefault="003A7B6B" w:rsidP="005E6418">
            <w:pPr>
              <w:ind w:left="0" w:firstLine="0"/>
              <w:rPr>
                <w:rFonts w:ascii="Times New Roman" w:hAnsi="Times New Roman" w:cs="Times New Roman"/>
                <w:color w:val="000000"/>
                <w:lang w:val="sl-SI"/>
              </w:rPr>
            </w:pPr>
          </w:p>
        </w:tc>
        <w:tc>
          <w:tcPr>
            <w:tcW w:w="2000" w:type="pct"/>
            <w:gridSpan w:val="2"/>
            <w:tcBorders>
              <w:top w:val="single" w:sz="4" w:space="0" w:color="auto"/>
              <w:left w:val="single" w:sz="4" w:space="0" w:color="auto"/>
              <w:bottom w:val="single" w:sz="4" w:space="0" w:color="auto"/>
              <w:right w:val="single" w:sz="4" w:space="0" w:color="auto"/>
            </w:tcBorders>
            <w:hideMark/>
          </w:tcPr>
          <w:p w14:paraId="482EACEB" w14:textId="41AADA41"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w:t>
            </w:r>
            <w:r>
              <w:rPr>
                <w:rFonts w:ascii="Times New Roman" w:hAnsi="Times New Roman" w:cs="Times New Roman"/>
                <w:color w:val="000000"/>
                <w:lang w:val="sl-SI"/>
              </w:rPr>
              <w:t>,</w:t>
            </w:r>
            <w:r w:rsidRPr="00976ED6">
              <w:rPr>
                <w:rFonts w:ascii="Times New Roman" w:hAnsi="Times New Roman" w:cs="Times New Roman"/>
                <w:color w:val="000000"/>
                <w:lang w:val="sl-SI"/>
              </w:rPr>
              <w:t>473</w:t>
            </w:r>
          </w:p>
          <w:p w14:paraId="41AC8412" w14:textId="225BD54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w:t>
            </w:r>
            <w:r>
              <w:rPr>
                <w:rFonts w:ascii="Times New Roman" w:hAnsi="Times New Roman" w:cs="Times New Roman"/>
                <w:color w:val="000000"/>
                <w:lang w:val="sl-SI"/>
              </w:rPr>
              <w:t>,</w:t>
            </w:r>
            <w:r w:rsidRPr="00976ED6">
              <w:rPr>
                <w:rFonts w:ascii="Times New Roman" w:hAnsi="Times New Roman" w:cs="Times New Roman"/>
                <w:color w:val="000000"/>
                <w:lang w:val="sl-SI"/>
              </w:rPr>
              <w:t>189-1</w:t>
            </w:r>
            <w:r>
              <w:rPr>
                <w:rFonts w:ascii="Times New Roman" w:hAnsi="Times New Roman" w:cs="Times New Roman"/>
                <w:color w:val="000000"/>
                <w:lang w:val="sl-SI"/>
              </w:rPr>
              <w:t>,</w:t>
            </w:r>
            <w:r w:rsidRPr="00976ED6">
              <w:rPr>
                <w:rFonts w:ascii="Times New Roman" w:hAnsi="Times New Roman" w:cs="Times New Roman"/>
                <w:color w:val="000000"/>
                <w:lang w:val="sl-SI"/>
              </w:rPr>
              <w:t>825)</w:t>
            </w:r>
          </w:p>
          <w:p w14:paraId="12537212" w14:textId="38115D02"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0004</w:t>
            </w:r>
          </w:p>
        </w:tc>
      </w:tr>
      <w:tr w:rsidR="003A7B6B" w:rsidRPr="00976ED6" w14:paraId="4D179506" w14:textId="77777777" w:rsidTr="005E6418">
        <w:trPr>
          <w:trHeight w:val="759"/>
        </w:trPr>
        <w:tc>
          <w:tcPr>
            <w:tcW w:w="3000" w:type="pct"/>
            <w:vMerge w:val="restart"/>
            <w:tcBorders>
              <w:top w:val="single" w:sz="4" w:space="0" w:color="auto"/>
              <w:left w:val="single" w:sz="4" w:space="0" w:color="auto"/>
              <w:bottom w:val="single" w:sz="4" w:space="0" w:color="auto"/>
              <w:right w:val="single" w:sz="4" w:space="0" w:color="auto"/>
            </w:tcBorders>
            <w:hideMark/>
          </w:tcPr>
          <w:p w14:paraId="4601F4EB"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Išgyvenamumo mediana (mėnesiai)</w:t>
            </w:r>
          </w:p>
          <w:p w14:paraId="541DAEC4"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11C6756A"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2- metų įvertis (%)</w:t>
            </w:r>
          </w:p>
          <w:p w14:paraId="05931FA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lastRenderedPageBreak/>
              <w:t>Rizikos koeficientas</w:t>
            </w:r>
          </w:p>
          <w:p w14:paraId="78330437"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(95% PI)</w:t>
            </w:r>
          </w:p>
          <w:p w14:paraId="5835A00D"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w:t>
            </w:r>
            <w:r w:rsidRPr="00976ED6">
              <w:rPr>
                <w:rFonts w:ascii="Times New Roman" w:hAnsi="Times New Roman" w:cs="Times New Roman"/>
                <w:lang w:val="sl-SI"/>
              </w:rPr>
              <w:t xml:space="preserve"> </w:t>
            </w:r>
            <w:r w:rsidRPr="00976ED6">
              <w:rPr>
                <w:rFonts w:ascii="Times New Roman" w:hAnsi="Times New Roman" w:cs="Times New Roman"/>
                <w:color w:val="000000"/>
                <w:lang w:val="sl-SI"/>
              </w:rPr>
              <w:t>reikšmė</w:t>
            </w:r>
          </w:p>
        </w:tc>
        <w:tc>
          <w:tcPr>
            <w:tcW w:w="1000" w:type="pct"/>
            <w:tcBorders>
              <w:top w:val="single" w:sz="4" w:space="0" w:color="auto"/>
              <w:left w:val="single" w:sz="4" w:space="0" w:color="auto"/>
              <w:bottom w:val="single" w:sz="4" w:space="0" w:color="auto"/>
              <w:right w:val="single" w:sz="4" w:space="0" w:color="auto"/>
            </w:tcBorders>
            <w:hideMark/>
          </w:tcPr>
          <w:p w14:paraId="1C49E61F" w14:textId="0D29DE43"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lastRenderedPageBreak/>
              <w:t>9</w:t>
            </w:r>
            <w:r>
              <w:rPr>
                <w:rFonts w:ascii="Times New Roman" w:hAnsi="Times New Roman" w:cs="Times New Roman"/>
                <w:color w:val="000000"/>
                <w:lang w:val="sl-SI"/>
              </w:rPr>
              <w:t>,</w:t>
            </w:r>
            <w:r w:rsidRPr="00976ED6">
              <w:rPr>
                <w:rFonts w:ascii="Times New Roman" w:hAnsi="Times New Roman" w:cs="Times New Roman"/>
                <w:color w:val="000000"/>
                <w:lang w:val="sl-SI"/>
              </w:rPr>
              <w:t>2</w:t>
            </w:r>
          </w:p>
          <w:p w14:paraId="5A0DED1B" w14:textId="324525FB"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(8</w:t>
            </w:r>
            <w:r>
              <w:rPr>
                <w:rFonts w:ascii="Times New Roman" w:hAnsi="Times New Roman" w:cs="Times New Roman"/>
                <w:color w:val="000000"/>
                <w:lang w:val="sl-SI"/>
              </w:rPr>
              <w:t>,</w:t>
            </w:r>
            <w:r w:rsidRPr="00976ED6">
              <w:rPr>
                <w:rFonts w:ascii="Times New Roman" w:hAnsi="Times New Roman" w:cs="Times New Roman"/>
                <w:color w:val="000000"/>
                <w:lang w:val="sl-SI"/>
              </w:rPr>
              <w:t>38-10</w:t>
            </w:r>
            <w:r>
              <w:rPr>
                <w:rFonts w:ascii="Times New Roman" w:hAnsi="Times New Roman" w:cs="Times New Roman"/>
                <w:color w:val="000000"/>
                <w:lang w:val="sl-SI"/>
              </w:rPr>
              <w:t>,</w:t>
            </w:r>
            <w:r w:rsidRPr="00976ED6">
              <w:rPr>
                <w:rFonts w:ascii="Times New Roman" w:hAnsi="Times New Roman" w:cs="Times New Roman"/>
                <w:color w:val="000000"/>
                <w:lang w:val="sl-SI"/>
              </w:rPr>
              <w:t>58)</w:t>
            </w:r>
          </w:p>
          <w:p w14:paraId="634E0756" w14:textId="21CED298"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18</w:t>
            </w:r>
            <w:r>
              <w:rPr>
                <w:rFonts w:ascii="Times New Roman" w:hAnsi="Times New Roman" w:cs="Times New Roman"/>
                <w:color w:val="000000"/>
                <w:lang w:val="sl-SI"/>
              </w:rPr>
              <w:t>,</w:t>
            </w:r>
            <w:r w:rsidRPr="00976ED6">
              <w:rPr>
                <w:rFonts w:ascii="Times New Roman" w:hAnsi="Times New Roman" w:cs="Times New Roman"/>
                <w:color w:val="000000"/>
                <w:lang w:val="sl-SI"/>
              </w:rPr>
              <w:t>4</w:t>
            </w:r>
          </w:p>
        </w:tc>
        <w:tc>
          <w:tcPr>
            <w:tcW w:w="1000" w:type="pct"/>
            <w:tcBorders>
              <w:top w:val="single" w:sz="4" w:space="0" w:color="auto"/>
              <w:left w:val="single" w:sz="4" w:space="0" w:color="auto"/>
              <w:bottom w:val="single" w:sz="4" w:space="0" w:color="auto"/>
              <w:right w:val="single" w:sz="4" w:space="0" w:color="auto"/>
            </w:tcBorders>
            <w:hideMark/>
          </w:tcPr>
          <w:p w14:paraId="437C68FA" w14:textId="1671E4D7"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8</w:t>
            </w:r>
            <w:r>
              <w:rPr>
                <w:rFonts w:ascii="Times New Roman" w:hAnsi="Times New Roman" w:cs="Times New Roman"/>
                <w:color w:val="000000"/>
                <w:lang w:val="sl-SI"/>
              </w:rPr>
              <w:t>,</w:t>
            </w:r>
            <w:r w:rsidRPr="00976ED6">
              <w:rPr>
                <w:rFonts w:ascii="Times New Roman" w:hAnsi="Times New Roman" w:cs="Times New Roman"/>
                <w:color w:val="000000"/>
                <w:lang w:val="sl-SI"/>
              </w:rPr>
              <w:t>6</w:t>
            </w:r>
          </w:p>
          <w:p w14:paraId="16D40688" w14:textId="7A2CD9B9"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(7</w:t>
            </w:r>
            <w:r>
              <w:rPr>
                <w:rFonts w:ascii="Times New Roman" w:hAnsi="Times New Roman" w:cs="Times New Roman"/>
                <w:color w:val="000000"/>
                <w:lang w:val="sl-SI"/>
              </w:rPr>
              <w:t>,</w:t>
            </w:r>
            <w:r w:rsidRPr="00976ED6">
              <w:rPr>
                <w:rFonts w:ascii="Times New Roman" w:hAnsi="Times New Roman" w:cs="Times New Roman"/>
                <w:color w:val="000000"/>
                <w:lang w:val="sl-SI"/>
              </w:rPr>
              <w:t>16-9</w:t>
            </w:r>
            <w:r>
              <w:rPr>
                <w:rFonts w:ascii="Times New Roman" w:hAnsi="Times New Roman" w:cs="Times New Roman"/>
                <w:color w:val="000000"/>
                <w:lang w:val="sl-SI"/>
              </w:rPr>
              <w:t>,</w:t>
            </w:r>
            <w:r w:rsidRPr="00976ED6">
              <w:rPr>
                <w:rFonts w:ascii="Times New Roman" w:hAnsi="Times New Roman" w:cs="Times New Roman"/>
                <w:color w:val="000000"/>
                <w:lang w:val="sl-SI"/>
              </w:rPr>
              <w:t>46)</w:t>
            </w:r>
          </w:p>
          <w:p w14:paraId="5F0B3C5D" w14:textId="25A98A11"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8</w:t>
            </w:r>
            <w:r>
              <w:rPr>
                <w:rFonts w:ascii="Times New Roman" w:hAnsi="Times New Roman" w:cs="Times New Roman"/>
                <w:color w:val="000000"/>
                <w:lang w:val="sl-SI"/>
              </w:rPr>
              <w:t>,</w:t>
            </w:r>
            <w:r w:rsidRPr="00976ED6">
              <w:rPr>
                <w:rFonts w:ascii="Times New Roman" w:hAnsi="Times New Roman" w:cs="Times New Roman"/>
                <w:color w:val="000000"/>
                <w:lang w:val="sl-SI"/>
              </w:rPr>
              <w:t>8</w:t>
            </w:r>
          </w:p>
        </w:tc>
      </w:tr>
      <w:tr w:rsidR="003A7B6B" w:rsidRPr="00976ED6" w14:paraId="1DA0E2F5" w14:textId="77777777" w:rsidTr="005E6418">
        <w:trPr>
          <w:trHeight w:val="7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CEDD5" w14:textId="77777777" w:rsidR="003A7B6B" w:rsidRPr="00976ED6" w:rsidRDefault="003A7B6B" w:rsidP="005E6418">
            <w:pPr>
              <w:ind w:left="0" w:firstLine="0"/>
              <w:rPr>
                <w:rFonts w:ascii="Times New Roman" w:hAnsi="Times New Roman" w:cs="Times New Roman"/>
                <w:color w:val="000000"/>
                <w:lang w:val="sl-SI"/>
              </w:rPr>
            </w:pPr>
          </w:p>
        </w:tc>
        <w:tc>
          <w:tcPr>
            <w:tcW w:w="2000" w:type="pct"/>
            <w:gridSpan w:val="2"/>
            <w:tcBorders>
              <w:top w:val="single" w:sz="4" w:space="0" w:color="auto"/>
              <w:left w:val="single" w:sz="4" w:space="0" w:color="auto"/>
              <w:bottom w:val="single" w:sz="4" w:space="0" w:color="auto"/>
              <w:right w:val="single" w:sz="4" w:space="0" w:color="auto"/>
            </w:tcBorders>
            <w:hideMark/>
          </w:tcPr>
          <w:p w14:paraId="16FCD860" w14:textId="74226B64"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w:t>
            </w:r>
            <w:r>
              <w:rPr>
                <w:rFonts w:ascii="Times New Roman" w:hAnsi="Times New Roman" w:cs="Times New Roman"/>
                <w:color w:val="000000"/>
                <w:lang w:val="sl-SI"/>
              </w:rPr>
              <w:t>,</w:t>
            </w:r>
            <w:r w:rsidRPr="00976ED6">
              <w:rPr>
                <w:rFonts w:ascii="Times New Roman" w:hAnsi="Times New Roman" w:cs="Times New Roman"/>
                <w:color w:val="000000"/>
                <w:lang w:val="sl-SI"/>
              </w:rPr>
              <w:t>293</w:t>
            </w:r>
          </w:p>
          <w:p w14:paraId="7D05A619" w14:textId="054649C9"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w:t>
            </w:r>
            <w:r>
              <w:rPr>
                <w:rFonts w:ascii="Times New Roman" w:hAnsi="Times New Roman" w:cs="Times New Roman"/>
                <w:color w:val="000000"/>
                <w:lang w:val="sl-SI"/>
              </w:rPr>
              <w:t>,</w:t>
            </w:r>
            <w:r w:rsidRPr="00976ED6">
              <w:rPr>
                <w:rFonts w:ascii="Times New Roman" w:hAnsi="Times New Roman" w:cs="Times New Roman"/>
                <w:color w:val="000000"/>
                <w:lang w:val="sl-SI"/>
              </w:rPr>
              <w:t>041-1</w:t>
            </w:r>
            <w:r>
              <w:rPr>
                <w:rFonts w:ascii="Times New Roman" w:hAnsi="Times New Roman" w:cs="Times New Roman"/>
                <w:color w:val="000000"/>
                <w:lang w:val="sl-SI"/>
              </w:rPr>
              <w:t>,</w:t>
            </w:r>
            <w:r w:rsidRPr="00976ED6">
              <w:rPr>
                <w:rFonts w:ascii="Times New Roman" w:hAnsi="Times New Roman" w:cs="Times New Roman"/>
                <w:color w:val="000000"/>
                <w:lang w:val="sl-SI"/>
              </w:rPr>
              <w:t>606)</w:t>
            </w:r>
          </w:p>
          <w:p w14:paraId="5CC21B5F" w14:textId="74895638"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0201</w:t>
            </w:r>
          </w:p>
        </w:tc>
      </w:tr>
      <w:tr w:rsidR="003A7B6B" w:rsidRPr="00976ED6" w14:paraId="24220465" w14:textId="77777777" w:rsidTr="005E6418">
        <w:tc>
          <w:tcPr>
            <w:tcW w:w="3000" w:type="pct"/>
            <w:vMerge w:val="restart"/>
            <w:tcBorders>
              <w:top w:val="single" w:sz="4" w:space="0" w:color="auto"/>
              <w:left w:val="single" w:sz="4" w:space="0" w:color="auto"/>
              <w:bottom w:val="single" w:sz="4" w:space="0" w:color="auto"/>
              <w:right w:val="single" w:sz="4" w:space="0" w:color="auto"/>
            </w:tcBorders>
            <w:hideMark/>
          </w:tcPr>
          <w:p w14:paraId="402F8382"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Bendras atsako dažnis (CR+PR) (%)</w:t>
            </w:r>
          </w:p>
          <w:p w14:paraId="79D4D609"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w:t>
            </w:r>
            <w:r w:rsidRPr="00976ED6">
              <w:rPr>
                <w:rFonts w:ascii="Times New Roman" w:hAnsi="Times New Roman" w:cs="Times New Roman"/>
                <w:lang w:val="sl-SI"/>
              </w:rPr>
              <w:t xml:space="preserve"> </w:t>
            </w:r>
            <w:r w:rsidRPr="00976ED6">
              <w:rPr>
                <w:rFonts w:ascii="Times New Roman" w:hAnsi="Times New Roman" w:cs="Times New Roman"/>
                <w:color w:val="000000"/>
                <w:lang w:val="sl-SI"/>
              </w:rPr>
              <w:t>reikšmė</w:t>
            </w:r>
          </w:p>
        </w:tc>
        <w:tc>
          <w:tcPr>
            <w:tcW w:w="1000" w:type="pct"/>
            <w:tcBorders>
              <w:top w:val="single" w:sz="4" w:space="0" w:color="auto"/>
              <w:left w:val="single" w:sz="4" w:space="0" w:color="auto"/>
              <w:bottom w:val="single" w:sz="4" w:space="0" w:color="auto"/>
              <w:right w:val="single" w:sz="4" w:space="0" w:color="auto"/>
            </w:tcBorders>
            <w:hideMark/>
          </w:tcPr>
          <w:p w14:paraId="7523FFDE" w14:textId="53BD9702"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36</w:t>
            </w:r>
            <w:r>
              <w:rPr>
                <w:rFonts w:ascii="Times New Roman" w:hAnsi="Times New Roman" w:cs="Times New Roman"/>
                <w:color w:val="000000"/>
                <w:lang w:val="sl-SI"/>
              </w:rPr>
              <w:t>,</w:t>
            </w:r>
            <w:r w:rsidRPr="00976ED6">
              <w:rPr>
                <w:rFonts w:ascii="Times New Roman" w:hAnsi="Times New Roman" w:cs="Times New Roman"/>
                <w:color w:val="000000"/>
                <w:lang w:val="sl-SI"/>
              </w:rPr>
              <w:t>7</w:t>
            </w:r>
          </w:p>
        </w:tc>
        <w:tc>
          <w:tcPr>
            <w:tcW w:w="1000" w:type="pct"/>
            <w:tcBorders>
              <w:top w:val="single" w:sz="4" w:space="0" w:color="auto"/>
              <w:left w:val="single" w:sz="4" w:space="0" w:color="auto"/>
              <w:bottom w:val="single" w:sz="4" w:space="0" w:color="auto"/>
              <w:right w:val="single" w:sz="4" w:space="0" w:color="auto"/>
            </w:tcBorders>
            <w:hideMark/>
          </w:tcPr>
          <w:p w14:paraId="011BD75F" w14:textId="2B56FA86"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25</w:t>
            </w:r>
            <w:r>
              <w:rPr>
                <w:rFonts w:ascii="Times New Roman" w:hAnsi="Times New Roman" w:cs="Times New Roman"/>
                <w:color w:val="000000"/>
                <w:lang w:val="sl-SI"/>
              </w:rPr>
              <w:t>,</w:t>
            </w:r>
            <w:r w:rsidRPr="00976ED6">
              <w:rPr>
                <w:rFonts w:ascii="Times New Roman" w:hAnsi="Times New Roman" w:cs="Times New Roman"/>
                <w:color w:val="000000"/>
                <w:lang w:val="sl-SI"/>
              </w:rPr>
              <w:t>4</w:t>
            </w:r>
          </w:p>
        </w:tc>
      </w:tr>
      <w:tr w:rsidR="003A7B6B" w:rsidRPr="00976ED6" w14:paraId="6D71C4E2" w14:textId="77777777" w:rsidTr="005E6418">
        <w:tc>
          <w:tcPr>
            <w:tcW w:w="0" w:type="auto"/>
            <w:vMerge/>
            <w:tcBorders>
              <w:top w:val="single" w:sz="4" w:space="0" w:color="auto"/>
              <w:left w:val="single" w:sz="4" w:space="0" w:color="auto"/>
              <w:bottom w:val="single" w:sz="4" w:space="0" w:color="auto"/>
              <w:right w:val="single" w:sz="4" w:space="0" w:color="auto"/>
            </w:tcBorders>
            <w:vAlign w:val="center"/>
            <w:hideMark/>
          </w:tcPr>
          <w:p w14:paraId="480F68F7" w14:textId="77777777" w:rsidR="003A7B6B" w:rsidRPr="00976ED6" w:rsidRDefault="003A7B6B" w:rsidP="005E6418">
            <w:pPr>
              <w:ind w:left="0" w:firstLine="0"/>
              <w:rPr>
                <w:rFonts w:ascii="Times New Roman" w:hAnsi="Times New Roman" w:cs="Times New Roman"/>
                <w:color w:val="000000"/>
                <w:lang w:val="sl-SI"/>
              </w:rPr>
            </w:pPr>
          </w:p>
        </w:tc>
        <w:tc>
          <w:tcPr>
            <w:tcW w:w="2000" w:type="pct"/>
            <w:gridSpan w:val="2"/>
            <w:tcBorders>
              <w:top w:val="single" w:sz="4" w:space="0" w:color="auto"/>
              <w:left w:val="single" w:sz="4" w:space="0" w:color="auto"/>
              <w:bottom w:val="single" w:sz="4" w:space="0" w:color="auto"/>
              <w:right w:val="single" w:sz="4" w:space="0" w:color="auto"/>
            </w:tcBorders>
            <w:hideMark/>
          </w:tcPr>
          <w:p w14:paraId="123A9BA5" w14:textId="42D5B581"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0</w:t>
            </w:r>
            <w:r>
              <w:rPr>
                <w:rFonts w:ascii="Times New Roman" w:hAnsi="Times New Roman" w:cs="Times New Roman"/>
                <w:color w:val="000000"/>
                <w:lang w:val="sl-SI"/>
              </w:rPr>
              <w:t>,</w:t>
            </w:r>
            <w:r w:rsidRPr="00976ED6">
              <w:rPr>
                <w:rFonts w:ascii="Times New Roman" w:hAnsi="Times New Roman" w:cs="Times New Roman"/>
                <w:color w:val="000000"/>
                <w:lang w:val="sl-SI"/>
              </w:rPr>
              <w:t>0106</w:t>
            </w:r>
          </w:p>
        </w:tc>
      </w:tr>
      <w:tr w:rsidR="003A7B6B" w:rsidRPr="00976ED6" w14:paraId="6323A9A3" w14:textId="77777777" w:rsidTr="005E6418">
        <w:tc>
          <w:tcPr>
            <w:tcW w:w="3000" w:type="pct"/>
            <w:tcBorders>
              <w:top w:val="single" w:sz="4" w:space="0" w:color="auto"/>
              <w:left w:val="single" w:sz="4" w:space="0" w:color="auto"/>
              <w:bottom w:val="single" w:sz="4" w:space="0" w:color="auto"/>
              <w:right w:val="single" w:sz="4" w:space="0" w:color="auto"/>
            </w:tcBorders>
            <w:hideMark/>
          </w:tcPr>
          <w:p w14:paraId="409AF7EE" w14:textId="77777777" w:rsidR="003A7B6B" w:rsidRPr="00976ED6" w:rsidRDefault="003A7B6B" w:rsidP="005E6418">
            <w:pPr>
              <w:widowControl w:val="0"/>
              <w:tabs>
                <w:tab w:val="left" w:pos="567"/>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Ligos progresavimas kaip geriausias bendras atsako dažnis (%) </w:t>
            </w:r>
          </w:p>
        </w:tc>
        <w:tc>
          <w:tcPr>
            <w:tcW w:w="1000" w:type="pct"/>
            <w:tcBorders>
              <w:top w:val="single" w:sz="4" w:space="0" w:color="auto"/>
              <w:left w:val="single" w:sz="4" w:space="0" w:color="auto"/>
              <w:bottom w:val="single" w:sz="4" w:space="0" w:color="auto"/>
              <w:right w:val="single" w:sz="4" w:space="0" w:color="auto"/>
            </w:tcBorders>
            <w:hideMark/>
          </w:tcPr>
          <w:p w14:paraId="1426399C" w14:textId="1BA0F300"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16</w:t>
            </w:r>
            <w:r>
              <w:rPr>
                <w:rFonts w:ascii="Times New Roman" w:hAnsi="Times New Roman" w:cs="Times New Roman"/>
                <w:color w:val="000000"/>
                <w:lang w:val="sl-SI"/>
              </w:rPr>
              <w:t>,</w:t>
            </w:r>
            <w:r w:rsidRPr="00976ED6">
              <w:rPr>
                <w:rFonts w:ascii="Times New Roman" w:hAnsi="Times New Roman" w:cs="Times New Roman"/>
                <w:color w:val="000000"/>
                <w:lang w:val="sl-SI"/>
              </w:rPr>
              <w:t>7</w:t>
            </w:r>
          </w:p>
        </w:tc>
        <w:tc>
          <w:tcPr>
            <w:tcW w:w="1000" w:type="pct"/>
            <w:tcBorders>
              <w:top w:val="single" w:sz="4" w:space="0" w:color="auto"/>
              <w:left w:val="single" w:sz="4" w:space="0" w:color="auto"/>
              <w:bottom w:val="single" w:sz="4" w:space="0" w:color="auto"/>
              <w:right w:val="single" w:sz="4" w:space="0" w:color="auto"/>
            </w:tcBorders>
            <w:hideMark/>
          </w:tcPr>
          <w:p w14:paraId="197CC87A" w14:textId="08971860" w:rsidR="003A7B6B" w:rsidRPr="00976ED6" w:rsidRDefault="003A7B6B" w:rsidP="005E6418">
            <w:pPr>
              <w:widowControl w:val="0"/>
              <w:tabs>
                <w:tab w:val="left" w:pos="567"/>
                <w:tab w:val="left" w:pos="1296"/>
              </w:tabs>
              <w:ind w:left="0" w:firstLine="0"/>
              <w:jc w:val="center"/>
              <w:rPr>
                <w:rFonts w:ascii="Times New Roman" w:hAnsi="Times New Roman" w:cs="Times New Roman"/>
                <w:color w:val="000000"/>
                <w:lang w:val="sl-SI"/>
              </w:rPr>
            </w:pPr>
            <w:r w:rsidRPr="00976ED6">
              <w:rPr>
                <w:rFonts w:ascii="Times New Roman" w:hAnsi="Times New Roman" w:cs="Times New Roman"/>
                <w:color w:val="000000"/>
                <w:lang w:val="sl-SI"/>
              </w:rPr>
              <w:t>25</w:t>
            </w:r>
            <w:r>
              <w:rPr>
                <w:rFonts w:ascii="Times New Roman" w:hAnsi="Times New Roman" w:cs="Times New Roman"/>
                <w:color w:val="000000"/>
                <w:lang w:val="sl-SI"/>
              </w:rPr>
              <w:t>,</w:t>
            </w:r>
            <w:r w:rsidRPr="00976ED6">
              <w:rPr>
                <w:rFonts w:ascii="Times New Roman" w:hAnsi="Times New Roman" w:cs="Times New Roman"/>
                <w:color w:val="000000"/>
                <w:lang w:val="sl-SI"/>
              </w:rPr>
              <w:t>9</w:t>
            </w:r>
          </w:p>
        </w:tc>
      </w:tr>
    </w:tbl>
    <w:p w14:paraId="6A2FD0B1"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*Nestratifikuotas logaritminio rango testas</w:t>
      </w:r>
    </w:p>
    <w:p w14:paraId="47660784"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p>
    <w:p w14:paraId="303B3E67"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Pogrupių (pacientus skirstant pagal amžių, lytį ar rasę) analizė patvirtino pastovų TCF pranašumą prieš CF.</w:t>
      </w:r>
    </w:p>
    <w:p w14:paraId="6BD5BB06"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p>
    <w:p w14:paraId="0174CB92"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Papildomos išgyvenamumo analizės (stebėjimo mediana – 41,6 mėnesio) metu tolesnio statistiškai reikšmingo skirtumo nenustatyta, tačiau visada TCF grupės gydymo rezultatai buvo palankesni, o 18 - 30 stebėjimo mėnesiais TCF pranašumas prieš CF buvo akivaizdus.</w:t>
      </w:r>
    </w:p>
    <w:p w14:paraId="78B25336"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p>
    <w:p w14:paraId="6C2F4124"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 xml:space="preserve">Gyvenimo kokybės bei klinikinio poveikio analizė parodė pastovų TCF pranašumą. TCF grupės pacientams laikotarpis iki bendros sveikatos būklės pablogėjimo (vertinant remtasi QLQ-C30 klausimynu) buvo 5% ilgesnis (p = 0,0121), o laikotarpis iki būklės pablogėjimo, vertinat pagal </w:t>
      </w:r>
      <w:r w:rsidRPr="00976ED6">
        <w:rPr>
          <w:rFonts w:ascii="Times New Roman" w:hAnsi="Times New Roman" w:cs="Times New Roman"/>
          <w:i/>
          <w:color w:val="000000"/>
          <w:lang w:val="sl-SI"/>
        </w:rPr>
        <w:t xml:space="preserve">Karnofsky </w:t>
      </w:r>
      <w:r w:rsidRPr="00976ED6">
        <w:rPr>
          <w:rFonts w:ascii="Times New Roman" w:hAnsi="Times New Roman" w:cs="Times New Roman"/>
          <w:color w:val="000000"/>
          <w:lang w:val="sl-SI"/>
        </w:rPr>
        <w:t>skalę, irgi buvo ilgesnis (p = 0,0088) (lyginta su CF grupės pacientais).</w:t>
      </w:r>
    </w:p>
    <w:p w14:paraId="6BE2F77D"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p>
    <w:p w14:paraId="7D3D6886" w14:textId="77777777" w:rsidR="003A7B6B" w:rsidRPr="00976ED6" w:rsidRDefault="003A7B6B" w:rsidP="003A7B6B">
      <w:pPr>
        <w:widowControl w:val="0"/>
        <w:tabs>
          <w:tab w:val="left" w:pos="1296"/>
        </w:tabs>
        <w:ind w:left="0" w:firstLine="0"/>
        <w:rPr>
          <w:rFonts w:ascii="Times New Roman" w:hAnsi="Times New Roman" w:cs="Times New Roman"/>
          <w:i/>
          <w:color w:val="000000"/>
          <w:u w:val="single"/>
          <w:lang w:val="sl-SI"/>
        </w:rPr>
      </w:pPr>
      <w:r w:rsidRPr="00976ED6">
        <w:rPr>
          <w:rFonts w:ascii="Times New Roman" w:hAnsi="Times New Roman" w:cs="Times New Roman"/>
          <w:i/>
          <w:color w:val="000000"/>
          <w:u w:val="single"/>
          <w:lang w:val="sl-SI"/>
        </w:rPr>
        <w:t>Galvos ir kaklo vėžys</w:t>
      </w:r>
    </w:p>
    <w:p w14:paraId="37DFCF19"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p>
    <w:p w14:paraId="2018B3A6" w14:textId="77777777" w:rsidR="003A7B6B" w:rsidRPr="00976ED6" w:rsidRDefault="003A7B6B" w:rsidP="003A7B6B">
      <w:pPr>
        <w:widowControl w:val="0"/>
        <w:numPr>
          <w:ilvl w:val="0"/>
          <w:numId w:val="18"/>
        </w:numPr>
        <w:ind w:left="567" w:hanging="567"/>
        <w:rPr>
          <w:rFonts w:ascii="Times New Roman" w:hAnsi="Times New Roman" w:cs="Times New Roman"/>
          <w:lang w:val="sl-SI"/>
        </w:rPr>
      </w:pPr>
      <w:r w:rsidRPr="00976ED6">
        <w:rPr>
          <w:rFonts w:ascii="Times New Roman" w:hAnsi="Times New Roman" w:cs="Times New Roman"/>
          <w:color w:val="000000"/>
          <w:lang w:val="sl-SI"/>
        </w:rPr>
        <w:t>Įvadinė chemoterapija, kai vėliau gydoma spinduliais (TAX 323)</w:t>
      </w:r>
    </w:p>
    <w:p w14:paraId="6EB0984E"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p>
    <w:p w14:paraId="07CFE099"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r w:rsidRPr="00976ED6">
        <w:rPr>
          <w:rFonts w:ascii="Times New Roman" w:hAnsi="Times New Roman" w:cs="Times New Roman"/>
          <w:color w:val="000000"/>
          <w:lang w:val="sl-SI"/>
        </w:rPr>
        <w:t>Docetakselio veikmingumas bei saugumas jo vartojant įvadiniam plokščialąsteliniu galvos ir kaklo vėžiu (PGKV) sergančių pacientų gydymui tirtas III fazės daugiacentriu atviru atsitiktinių imčių tyrimu (TAX323). Šio tyrimo metu 358 neoperuojamu lokaliai progresavusiu PGKV sirgę pacientai, kurių aktyvumo būklė pagal PSO vertinimą buvo 0 arba 1, atsitiktinai parinkus buvo priskirti vienai iš dviejų gydymo grupių. Docetakselio grupės pacientams skirta 75 mg/m² docetakselio (T), po to 75 mg/m² cisplatinos (P), po to 5 dienas nuolat infuzuota 5-fluorouracilo (F) (paros dozė 750 mg/m²). Jei po 2 ciklų pasireikšdavo bent minimali reakcija (dviem kryptimis išmatuoto naviko dydis sumažėdavo ≥ 25%), tokie gydymo ciklai buvo kartojami kas 3 savaites 4 kartus. Baigus chemoterapiją, mažiausiai po 4 savaičių, bet daugiausiai po 7 savaičių pacientams, kuriems liga neprogresavo, 7 savaites taikytas gydymas spinduliais (RT), atsižvelgiant į įstaigoje patvirtintas gaires (TPF/RT). Palyginamosios grupės pacientams skirta 100 mg/m² cisplatinos ir po to 5 dienas 5-fluorouracilo (paros dozė 1000 mg/m²) (PF schema). Jei po 2 gydymo ciklų buvo gauta bent minimali reakcija (≥ 25% sumažėjo naviko dydis, jį matuojant dviejose dimensijose), tokie gydymo ciklai kartoti kas tris savaites 4 kartus. Baigus chemoterapiją, mažiausiai po 4 savaičių, bet daugiausiai po 7 savaičių pacientams, kuriems liga neprogresavo, 7 savaites taikytas lokalus gydymas spinduliais, atsižvelgiant į įstaigoje patvirtintas gaires (PF/RT): spinduliuota įprastinėmis frakcijomis (1,8 – 2,0 kartą per parą 5 dienas per savaitę, suminė dozė 66 – 70 Gy) arba taikyta pagreitinto ar hiperfrakcionuoto gydymo spinduliais schema (du kartus per parą, 5 dienas per savaitę, minimali pertrauka tarp seansų - 6 valandos). Taikant pagreitintą schemą, rekomenduojama bendra dozė buvo 70 Gy, taikant hiperfrakcionuotą schemą – 74 Gy. Baigus chemoterapiją, navikas galėjo būti pašalintas operuojant (prieš gydymą spinduliais arba po jo). TPF grupės pacientai profilaktikai vartodavo antibiotikų: po 500 mg geriamo ciprofloksacino du kartus per parą 10 dienų (preparato būdavo pradedama vartoti 5 kiekvieno ciklo dieną). Pragyventas laikotarpis be ligos progresavimo (PLBLP) (pagrindinė vertinamoji šio tyrimo baigtis) buvo reikšmingai ilgesnis TPF grupėje nei PF grupėje, p = 0,0042 (PLBLP mediana atitinkamai 11,4 ir 8,3 mėnesio, bendra pacientų stebėjimo mediana 33,7 mėnesio). Bendro išgyvenamumo mediana irgi buvo reikšmingai didesnė TPF grupėje nei PF grupėje (atitinkamai 18,6 ir 14,5 mėnesi). Mirties pavojus sumažėjo 28% (p = 0,0128). Gydymo veiksmingumo duomenys apibendrinami žemiau pateiktoje lentelėje:</w:t>
      </w:r>
    </w:p>
    <w:p w14:paraId="4CE81596" w14:textId="77777777" w:rsidR="003A7B6B" w:rsidRPr="00976ED6" w:rsidRDefault="003A7B6B" w:rsidP="003A7B6B">
      <w:pPr>
        <w:widowControl w:val="0"/>
        <w:tabs>
          <w:tab w:val="left" w:pos="1296"/>
        </w:tabs>
        <w:ind w:left="0" w:firstLine="0"/>
        <w:rPr>
          <w:rFonts w:ascii="Times New Roman" w:hAnsi="Times New Roman" w:cs="Times New Roman"/>
          <w:color w:val="000000"/>
          <w:lang w:val="sl-SI"/>
        </w:rPr>
      </w:pPr>
    </w:p>
    <w:p w14:paraId="7E910AAF" w14:textId="77777777" w:rsidR="003A7B6B" w:rsidRPr="00976ED6" w:rsidRDefault="003A7B6B" w:rsidP="003A7B6B">
      <w:pPr>
        <w:widowControl w:val="0"/>
        <w:tabs>
          <w:tab w:val="left" w:pos="1296"/>
        </w:tabs>
        <w:ind w:left="0" w:firstLine="0"/>
        <w:rPr>
          <w:rFonts w:ascii="Times New Roman" w:hAnsi="Times New Roman" w:cs="Times New Roman"/>
          <w:color w:val="000000"/>
          <w:u w:val="single"/>
          <w:lang w:val="sl-SI"/>
        </w:rPr>
      </w:pPr>
      <w:r w:rsidRPr="00976ED6">
        <w:rPr>
          <w:rFonts w:ascii="Times New Roman" w:hAnsi="Times New Roman" w:cs="Times New Roman"/>
          <w:color w:val="000000"/>
          <w:u w:val="single"/>
          <w:lang w:val="sl-SI"/>
        </w:rPr>
        <w:t>Docetakselio veiksmingumas jo skiriant įvadiniam neoperuojamam lokaliai progresavusiam PGKV gydymui (</w:t>
      </w:r>
      <w:r w:rsidRPr="00976ED6">
        <w:rPr>
          <w:rFonts w:ascii="Times New Roman" w:hAnsi="Times New Roman" w:cs="Times New Roman"/>
          <w:i/>
          <w:color w:val="000000"/>
          <w:u w:val="single"/>
          <w:lang w:val="sl-SI"/>
        </w:rPr>
        <w:t>Intent-to-Treat</w:t>
      </w:r>
      <w:r w:rsidRPr="00976ED6">
        <w:rPr>
          <w:rFonts w:ascii="Times New Roman" w:hAnsi="Times New Roman" w:cs="Times New Roman"/>
          <w:color w:val="000000"/>
          <w:u w:val="single"/>
          <w:lang w:val="sl-SI"/>
        </w:rPr>
        <w:t xml:space="preserve"> analizė):</w:t>
      </w:r>
    </w:p>
    <w:p w14:paraId="1D53CAB2" w14:textId="77777777" w:rsidR="003A7B6B" w:rsidRPr="00976ED6" w:rsidRDefault="003A7B6B" w:rsidP="003A7B6B">
      <w:pPr>
        <w:widowControl w:val="0"/>
        <w:tabs>
          <w:tab w:val="left" w:pos="1296"/>
        </w:tabs>
        <w:ind w:left="0" w:firstLine="0"/>
        <w:rPr>
          <w:rFonts w:ascii="Times New Roman" w:hAnsi="Times New Roman" w:cs="Times New Roman"/>
          <w:lang w:val="sl-SI"/>
        </w:rPr>
      </w:pPr>
    </w:p>
    <w:tbl>
      <w:tblPr>
        <w:tblStyle w:val="Lentelstinklelis"/>
        <w:tblW w:w="5000" w:type="pct"/>
        <w:tblInd w:w="-5" w:type="dxa"/>
        <w:tblLook w:val="00A0" w:firstRow="1" w:lastRow="0" w:firstColumn="1" w:lastColumn="0" w:noHBand="0" w:noVBand="0"/>
      </w:tblPr>
      <w:tblGrid>
        <w:gridCol w:w="5436"/>
        <w:gridCol w:w="1812"/>
        <w:gridCol w:w="1812"/>
      </w:tblGrid>
      <w:tr w:rsidR="003A7B6B" w:rsidRPr="00976ED6" w14:paraId="415ABEF7" w14:textId="77777777" w:rsidTr="005E6418">
        <w:tc>
          <w:tcPr>
            <w:tcW w:w="3000" w:type="pct"/>
            <w:hideMark/>
          </w:tcPr>
          <w:p w14:paraId="3293D087" w14:textId="77777777" w:rsidR="003A7B6B" w:rsidRPr="00976ED6" w:rsidRDefault="003A7B6B" w:rsidP="005E6418">
            <w:pPr>
              <w:widowControl w:val="0"/>
              <w:tabs>
                <w:tab w:val="left" w:pos="567"/>
                <w:tab w:val="left" w:pos="1296"/>
              </w:tabs>
              <w:rPr>
                <w:color w:val="000000"/>
                <w:lang w:val="sl-SI"/>
              </w:rPr>
            </w:pPr>
            <w:r w:rsidRPr="00976ED6">
              <w:rPr>
                <w:b/>
                <w:color w:val="000000"/>
                <w:lang w:val="sl-SI"/>
              </w:rPr>
              <w:t>Vertinamoji baigtis</w:t>
            </w:r>
          </w:p>
        </w:tc>
        <w:tc>
          <w:tcPr>
            <w:tcW w:w="1000" w:type="pct"/>
            <w:hideMark/>
          </w:tcPr>
          <w:p w14:paraId="6BB397EB" w14:textId="77777777" w:rsidR="003A7B6B" w:rsidRPr="00976ED6" w:rsidRDefault="003A7B6B" w:rsidP="005E6418">
            <w:pPr>
              <w:widowControl w:val="0"/>
              <w:tabs>
                <w:tab w:val="left" w:pos="567"/>
                <w:tab w:val="left" w:pos="1296"/>
              </w:tabs>
              <w:jc w:val="center"/>
              <w:rPr>
                <w:b/>
                <w:color w:val="000000"/>
                <w:lang w:val="sl-SI"/>
              </w:rPr>
            </w:pPr>
            <w:r w:rsidRPr="00976ED6">
              <w:rPr>
                <w:b/>
                <w:color w:val="000000"/>
                <w:lang w:val="sl-SI"/>
              </w:rPr>
              <w:t>Docetakelis +</w:t>
            </w:r>
          </w:p>
          <w:p w14:paraId="63D7FA25" w14:textId="77777777" w:rsidR="003A7B6B" w:rsidRPr="00976ED6" w:rsidRDefault="003A7B6B" w:rsidP="005E6418">
            <w:pPr>
              <w:widowControl w:val="0"/>
              <w:tabs>
                <w:tab w:val="left" w:pos="567"/>
                <w:tab w:val="left" w:pos="1296"/>
              </w:tabs>
              <w:jc w:val="center"/>
              <w:rPr>
                <w:color w:val="000000"/>
                <w:lang w:val="sl-SI"/>
              </w:rPr>
            </w:pPr>
            <w:r w:rsidRPr="00976ED6">
              <w:rPr>
                <w:b/>
                <w:color w:val="000000"/>
                <w:lang w:val="sl-SI"/>
              </w:rPr>
              <w:lastRenderedPageBreak/>
              <w:t>Cis + 5-FU</w:t>
            </w:r>
          </w:p>
          <w:p w14:paraId="6FA44D4F" w14:textId="77777777" w:rsidR="003A7B6B" w:rsidRPr="00976ED6" w:rsidRDefault="003A7B6B" w:rsidP="005E6418">
            <w:pPr>
              <w:widowControl w:val="0"/>
              <w:tabs>
                <w:tab w:val="left" w:pos="567"/>
                <w:tab w:val="left" w:pos="1296"/>
              </w:tabs>
              <w:jc w:val="center"/>
              <w:rPr>
                <w:color w:val="000000"/>
                <w:lang w:val="sl-SI"/>
              </w:rPr>
            </w:pPr>
            <w:r w:rsidRPr="00976ED6">
              <w:rPr>
                <w:b/>
                <w:color w:val="000000"/>
                <w:lang w:val="sl-SI"/>
              </w:rPr>
              <w:t>n = 177</w:t>
            </w:r>
          </w:p>
        </w:tc>
        <w:tc>
          <w:tcPr>
            <w:tcW w:w="1000" w:type="pct"/>
          </w:tcPr>
          <w:p w14:paraId="0D36B0CF" w14:textId="77777777" w:rsidR="003A7B6B" w:rsidRPr="00976ED6" w:rsidRDefault="003A7B6B" w:rsidP="005E6418">
            <w:pPr>
              <w:widowControl w:val="0"/>
              <w:tabs>
                <w:tab w:val="left" w:pos="567"/>
                <w:tab w:val="left" w:pos="1296"/>
              </w:tabs>
              <w:jc w:val="center"/>
              <w:rPr>
                <w:color w:val="000000"/>
                <w:lang w:val="sl-SI"/>
              </w:rPr>
            </w:pPr>
            <w:r w:rsidRPr="00976ED6">
              <w:rPr>
                <w:b/>
                <w:color w:val="000000"/>
                <w:lang w:val="sl-SI"/>
              </w:rPr>
              <w:lastRenderedPageBreak/>
              <w:t>Cis + 5-FU</w:t>
            </w:r>
          </w:p>
          <w:p w14:paraId="0629B844" w14:textId="77777777" w:rsidR="003A7B6B" w:rsidRPr="00976ED6" w:rsidRDefault="003A7B6B" w:rsidP="005E6418">
            <w:pPr>
              <w:widowControl w:val="0"/>
              <w:tabs>
                <w:tab w:val="left" w:pos="567"/>
                <w:tab w:val="left" w:pos="1296"/>
              </w:tabs>
              <w:jc w:val="center"/>
              <w:rPr>
                <w:b/>
                <w:color w:val="000000"/>
                <w:lang w:val="sl-SI"/>
              </w:rPr>
            </w:pPr>
          </w:p>
          <w:p w14:paraId="098EABA0" w14:textId="77777777" w:rsidR="003A7B6B" w:rsidRPr="00976ED6" w:rsidRDefault="003A7B6B" w:rsidP="005E6418">
            <w:pPr>
              <w:widowControl w:val="0"/>
              <w:tabs>
                <w:tab w:val="left" w:pos="567"/>
                <w:tab w:val="left" w:pos="1296"/>
              </w:tabs>
              <w:jc w:val="center"/>
              <w:rPr>
                <w:color w:val="000000"/>
                <w:lang w:val="sl-SI"/>
              </w:rPr>
            </w:pPr>
            <w:r w:rsidRPr="00976ED6">
              <w:rPr>
                <w:b/>
                <w:color w:val="000000"/>
                <w:lang w:val="sl-SI"/>
              </w:rPr>
              <w:t>n = 181</w:t>
            </w:r>
          </w:p>
        </w:tc>
      </w:tr>
      <w:tr w:rsidR="003A7B6B" w:rsidRPr="00976ED6" w14:paraId="042F9D32" w14:textId="77777777" w:rsidTr="005E6418">
        <w:tc>
          <w:tcPr>
            <w:tcW w:w="3000" w:type="pct"/>
            <w:vMerge w:val="restart"/>
            <w:hideMark/>
          </w:tcPr>
          <w:p w14:paraId="515CD927"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lastRenderedPageBreak/>
              <w:t>Pragyventas laikotarpis be ligos progresavimo (mėnesiai)</w:t>
            </w:r>
          </w:p>
          <w:p w14:paraId="72039BAF"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0F7885B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Koreguotas rizikos koeficientas</w:t>
            </w:r>
          </w:p>
          <w:p w14:paraId="1DAE316B"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3EAAA65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*p-reikšmė</w:t>
            </w:r>
          </w:p>
        </w:tc>
        <w:tc>
          <w:tcPr>
            <w:tcW w:w="1000" w:type="pct"/>
            <w:hideMark/>
          </w:tcPr>
          <w:p w14:paraId="33BC5AF5" w14:textId="278ED865"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11</w:t>
            </w:r>
            <w:r>
              <w:rPr>
                <w:color w:val="000000"/>
                <w:lang w:val="sl-SI"/>
              </w:rPr>
              <w:t>,</w:t>
            </w:r>
            <w:r w:rsidRPr="00976ED6">
              <w:rPr>
                <w:color w:val="000000"/>
                <w:lang w:val="sl-SI"/>
              </w:rPr>
              <w:t>4</w:t>
            </w:r>
          </w:p>
          <w:p w14:paraId="5BFA2C70" w14:textId="434E70E3"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(10</w:t>
            </w:r>
            <w:r>
              <w:rPr>
                <w:color w:val="000000"/>
                <w:lang w:val="sl-SI"/>
              </w:rPr>
              <w:t>,</w:t>
            </w:r>
            <w:r w:rsidRPr="00976ED6">
              <w:rPr>
                <w:color w:val="000000"/>
                <w:lang w:val="sl-SI"/>
              </w:rPr>
              <w:t>1-14</w:t>
            </w:r>
            <w:r>
              <w:rPr>
                <w:color w:val="000000"/>
                <w:lang w:val="sl-SI"/>
              </w:rPr>
              <w:t>,</w:t>
            </w:r>
            <w:r w:rsidRPr="00976ED6">
              <w:rPr>
                <w:color w:val="000000"/>
                <w:lang w:val="sl-SI"/>
              </w:rPr>
              <w:t>0)</w:t>
            </w:r>
          </w:p>
        </w:tc>
        <w:tc>
          <w:tcPr>
            <w:tcW w:w="1000" w:type="pct"/>
            <w:hideMark/>
          </w:tcPr>
          <w:p w14:paraId="2787B0D0" w14:textId="334D8E88"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8</w:t>
            </w:r>
            <w:r>
              <w:rPr>
                <w:color w:val="000000"/>
                <w:lang w:val="sl-SI"/>
              </w:rPr>
              <w:t>,</w:t>
            </w:r>
            <w:r w:rsidRPr="00976ED6">
              <w:rPr>
                <w:color w:val="000000"/>
                <w:lang w:val="sl-SI"/>
              </w:rPr>
              <w:t>3</w:t>
            </w:r>
          </w:p>
          <w:p w14:paraId="1B96D329" w14:textId="5CCE1BC9"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(7</w:t>
            </w:r>
            <w:r>
              <w:rPr>
                <w:color w:val="000000"/>
                <w:lang w:val="sl-SI"/>
              </w:rPr>
              <w:t>,</w:t>
            </w:r>
            <w:r w:rsidRPr="00976ED6">
              <w:rPr>
                <w:color w:val="000000"/>
                <w:lang w:val="sl-SI"/>
              </w:rPr>
              <w:t>4-9</w:t>
            </w:r>
            <w:r>
              <w:rPr>
                <w:color w:val="000000"/>
                <w:lang w:val="sl-SI"/>
              </w:rPr>
              <w:t>,</w:t>
            </w:r>
            <w:r w:rsidRPr="00976ED6">
              <w:rPr>
                <w:color w:val="000000"/>
                <w:lang w:val="sl-SI"/>
              </w:rPr>
              <w:t>1)</w:t>
            </w:r>
          </w:p>
        </w:tc>
      </w:tr>
      <w:tr w:rsidR="003A7B6B" w:rsidRPr="00976ED6" w14:paraId="5F6CA8B7" w14:textId="77777777" w:rsidTr="005E6418">
        <w:tc>
          <w:tcPr>
            <w:tcW w:w="0" w:type="auto"/>
            <w:vMerge/>
            <w:hideMark/>
          </w:tcPr>
          <w:p w14:paraId="31AE3DB7" w14:textId="77777777" w:rsidR="003A7B6B" w:rsidRPr="00976ED6" w:rsidRDefault="003A7B6B" w:rsidP="005E6418">
            <w:pPr>
              <w:rPr>
                <w:color w:val="000000"/>
                <w:lang w:val="sl-SI"/>
              </w:rPr>
            </w:pPr>
          </w:p>
        </w:tc>
        <w:tc>
          <w:tcPr>
            <w:tcW w:w="2000" w:type="pct"/>
            <w:gridSpan w:val="2"/>
            <w:hideMark/>
          </w:tcPr>
          <w:p w14:paraId="048251F4" w14:textId="6A0CE3BB"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70</w:t>
            </w:r>
          </w:p>
          <w:p w14:paraId="168EA129" w14:textId="30E0C3F0"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55-0</w:t>
            </w:r>
            <w:r>
              <w:rPr>
                <w:color w:val="000000"/>
                <w:lang w:val="sl-SI"/>
              </w:rPr>
              <w:t>,</w:t>
            </w:r>
            <w:r w:rsidRPr="00976ED6">
              <w:rPr>
                <w:color w:val="000000"/>
                <w:lang w:val="sl-SI"/>
              </w:rPr>
              <w:t>89)</w:t>
            </w:r>
          </w:p>
          <w:p w14:paraId="78C9591D" w14:textId="39C98E54"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00042</w:t>
            </w:r>
          </w:p>
        </w:tc>
      </w:tr>
      <w:tr w:rsidR="003A7B6B" w:rsidRPr="00976ED6" w14:paraId="24FD691A" w14:textId="77777777" w:rsidTr="005E6418">
        <w:tc>
          <w:tcPr>
            <w:tcW w:w="3000" w:type="pct"/>
            <w:vMerge w:val="restart"/>
            <w:hideMark/>
          </w:tcPr>
          <w:p w14:paraId="669165FF"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Išgyvenamumo mediana (mėnesiai)</w:t>
            </w:r>
          </w:p>
          <w:p w14:paraId="7302C897"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4CD64AB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Rizikos koeficientas</w:t>
            </w:r>
          </w:p>
          <w:p w14:paraId="53FCD35A"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2544F61E"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**p-reikšmė</w:t>
            </w:r>
          </w:p>
        </w:tc>
        <w:tc>
          <w:tcPr>
            <w:tcW w:w="1000" w:type="pct"/>
            <w:hideMark/>
          </w:tcPr>
          <w:p w14:paraId="61A2AF3E" w14:textId="0465F294"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18</w:t>
            </w:r>
            <w:r>
              <w:rPr>
                <w:color w:val="000000"/>
                <w:lang w:val="sl-SI"/>
              </w:rPr>
              <w:t>,</w:t>
            </w:r>
            <w:r w:rsidRPr="00976ED6">
              <w:rPr>
                <w:color w:val="000000"/>
                <w:lang w:val="sl-SI"/>
              </w:rPr>
              <w:t>6</w:t>
            </w:r>
          </w:p>
          <w:p w14:paraId="3929CF44" w14:textId="68E88630"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(15</w:t>
            </w:r>
            <w:r>
              <w:rPr>
                <w:color w:val="000000"/>
                <w:lang w:val="sl-SI"/>
              </w:rPr>
              <w:t>,</w:t>
            </w:r>
            <w:r w:rsidRPr="00976ED6">
              <w:rPr>
                <w:color w:val="000000"/>
                <w:lang w:val="sl-SI"/>
              </w:rPr>
              <w:t>7-24</w:t>
            </w:r>
            <w:r>
              <w:rPr>
                <w:color w:val="000000"/>
                <w:lang w:val="sl-SI"/>
              </w:rPr>
              <w:t>,</w:t>
            </w:r>
            <w:r w:rsidRPr="00976ED6">
              <w:rPr>
                <w:color w:val="000000"/>
                <w:lang w:val="sl-SI"/>
              </w:rPr>
              <w:t>0)</w:t>
            </w:r>
          </w:p>
        </w:tc>
        <w:tc>
          <w:tcPr>
            <w:tcW w:w="1000" w:type="pct"/>
            <w:hideMark/>
          </w:tcPr>
          <w:p w14:paraId="14013334" w14:textId="3B70BDD9"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14</w:t>
            </w:r>
            <w:r>
              <w:rPr>
                <w:color w:val="000000"/>
                <w:lang w:val="sl-SI"/>
              </w:rPr>
              <w:t>,</w:t>
            </w:r>
            <w:r w:rsidRPr="00976ED6">
              <w:rPr>
                <w:color w:val="000000"/>
                <w:lang w:val="sl-SI"/>
              </w:rPr>
              <w:t>5</w:t>
            </w:r>
          </w:p>
          <w:p w14:paraId="0D162105" w14:textId="1FDFABF4"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(11</w:t>
            </w:r>
            <w:r>
              <w:rPr>
                <w:color w:val="000000"/>
                <w:lang w:val="sl-SI"/>
              </w:rPr>
              <w:t>,</w:t>
            </w:r>
            <w:r w:rsidRPr="00976ED6">
              <w:rPr>
                <w:color w:val="000000"/>
                <w:lang w:val="sl-SI"/>
              </w:rPr>
              <w:t>6-18</w:t>
            </w:r>
            <w:r>
              <w:rPr>
                <w:color w:val="000000"/>
                <w:lang w:val="sl-SI"/>
              </w:rPr>
              <w:t>,</w:t>
            </w:r>
            <w:r w:rsidRPr="00976ED6">
              <w:rPr>
                <w:color w:val="000000"/>
                <w:lang w:val="sl-SI"/>
              </w:rPr>
              <w:t>7)</w:t>
            </w:r>
          </w:p>
        </w:tc>
      </w:tr>
      <w:tr w:rsidR="003A7B6B" w:rsidRPr="00976ED6" w14:paraId="7214E76B" w14:textId="77777777" w:rsidTr="005E6418">
        <w:tc>
          <w:tcPr>
            <w:tcW w:w="0" w:type="auto"/>
            <w:vMerge/>
            <w:hideMark/>
          </w:tcPr>
          <w:p w14:paraId="28B5CB56" w14:textId="77777777" w:rsidR="003A7B6B" w:rsidRPr="00976ED6" w:rsidRDefault="003A7B6B" w:rsidP="005E6418">
            <w:pPr>
              <w:rPr>
                <w:color w:val="000000"/>
                <w:lang w:val="sl-SI"/>
              </w:rPr>
            </w:pPr>
          </w:p>
        </w:tc>
        <w:tc>
          <w:tcPr>
            <w:tcW w:w="2000" w:type="pct"/>
            <w:gridSpan w:val="2"/>
            <w:hideMark/>
          </w:tcPr>
          <w:p w14:paraId="61466141" w14:textId="62D46E81"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72</w:t>
            </w:r>
          </w:p>
          <w:p w14:paraId="640DF199" w14:textId="3EF464CF"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56-0</w:t>
            </w:r>
            <w:r>
              <w:rPr>
                <w:color w:val="000000"/>
                <w:lang w:val="sl-SI"/>
              </w:rPr>
              <w:t>,</w:t>
            </w:r>
            <w:r w:rsidRPr="00976ED6">
              <w:rPr>
                <w:color w:val="000000"/>
                <w:lang w:val="sl-SI"/>
              </w:rPr>
              <w:t>93)</w:t>
            </w:r>
          </w:p>
          <w:p w14:paraId="05FA6582" w14:textId="40CC3A02"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0128</w:t>
            </w:r>
          </w:p>
        </w:tc>
      </w:tr>
      <w:tr w:rsidR="003A7B6B" w:rsidRPr="00976ED6" w14:paraId="00815DE5" w14:textId="77777777" w:rsidTr="005E6418">
        <w:tc>
          <w:tcPr>
            <w:tcW w:w="3000" w:type="pct"/>
            <w:vMerge w:val="restart"/>
            <w:hideMark/>
          </w:tcPr>
          <w:p w14:paraId="26FEE0BE"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Geriausias bendras atsako į chemoterapiją dažnis (%)</w:t>
            </w:r>
          </w:p>
          <w:p w14:paraId="1B00B00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046D5EE0"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***p-reikšmė</w:t>
            </w:r>
          </w:p>
        </w:tc>
        <w:tc>
          <w:tcPr>
            <w:tcW w:w="1000" w:type="pct"/>
            <w:hideMark/>
          </w:tcPr>
          <w:p w14:paraId="72DD6D8C" w14:textId="75DA2C46"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67</w:t>
            </w:r>
            <w:r>
              <w:rPr>
                <w:color w:val="000000"/>
                <w:lang w:val="sl-SI"/>
              </w:rPr>
              <w:t>,</w:t>
            </w:r>
            <w:r w:rsidRPr="00976ED6">
              <w:rPr>
                <w:color w:val="000000"/>
                <w:lang w:val="sl-SI"/>
              </w:rPr>
              <w:t>8</w:t>
            </w:r>
          </w:p>
          <w:p w14:paraId="33C07A36" w14:textId="5E012DCD"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(60</w:t>
            </w:r>
            <w:r>
              <w:rPr>
                <w:color w:val="000000"/>
                <w:lang w:val="sl-SI"/>
              </w:rPr>
              <w:t>,</w:t>
            </w:r>
            <w:r w:rsidRPr="00976ED6">
              <w:rPr>
                <w:color w:val="000000"/>
                <w:lang w:val="sl-SI"/>
              </w:rPr>
              <w:t>4-74</w:t>
            </w:r>
            <w:r>
              <w:rPr>
                <w:color w:val="000000"/>
                <w:lang w:val="sl-SI"/>
              </w:rPr>
              <w:t>,</w:t>
            </w:r>
            <w:r w:rsidRPr="00976ED6">
              <w:rPr>
                <w:color w:val="000000"/>
                <w:lang w:val="sl-SI"/>
              </w:rPr>
              <w:t>6)</w:t>
            </w:r>
          </w:p>
        </w:tc>
        <w:tc>
          <w:tcPr>
            <w:tcW w:w="1000" w:type="pct"/>
            <w:hideMark/>
          </w:tcPr>
          <w:p w14:paraId="7A1D4840" w14:textId="6E46FCEB"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53</w:t>
            </w:r>
            <w:r>
              <w:rPr>
                <w:color w:val="000000"/>
                <w:lang w:val="sl-SI"/>
              </w:rPr>
              <w:t>,</w:t>
            </w:r>
            <w:r w:rsidRPr="00976ED6">
              <w:rPr>
                <w:color w:val="000000"/>
                <w:lang w:val="sl-SI"/>
              </w:rPr>
              <w:t>6</w:t>
            </w:r>
          </w:p>
          <w:p w14:paraId="5069A8E6" w14:textId="22909312"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(46</w:t>
            </w:r>
            <w:r>
              <w:rPr>
                <w:color w:val="000000"/>
                <w:lang w:val="sl-SI"/>
              </w:rPr>
              <w:t>,</w:t>
            </w:r>
            <w:r w:rsidRPr="00976ED6">
              <w:rPr>
                <w:color w:val="000000"/>
                <w:lang w:val="sl-SI"/>
              </w:rPr>
              <w:t>0-61</w:t>
            </w:r>
            <w:r>
              <w:rPr>
                <w:color w:val="000000"/>
                <w:lang w:val="sl-SI"/>
              </w:rPr>
              <w:t>,</w:t>
            </w:r>
            <w:r w:rsidRPr="00976ED6">
              <w:rPr>
                <w:color w:val="000000"/>
                <w:lang w:val="sl-SI"/>
              </w:rPr>
              <w:t>0)</w:t>
            </w:r>
          </w:p>
        </w:tc>
      </w:tr>
      <w:tr w:rsidR="003A7B6B" w:rsidRPr="00976ED6" w14:paraId="16ACBA5B" w14:textId="77777777" w:rsidTr="005E6418">
        <w:tc>
          <w:tcPr>
            <w:tcW w:w="0" w:type="auto"/>
            <w:vMerge/>
            <w:hideMark/>
          </w:tcPr>
          <w:p w14:paraId="7DFBC19A" w14:textId="77777777" w:rsidR="003A7B6B" w:rsidRPr="00976ED6" w:rsidRDefault="003A7B6B" w:rsidP="005E6418">
            <w:pPr>
              <w:rPr>
                <w:color w:val="000000"/>
                <w:lang w:val="sl-SI"/>
              </w:rPr>
            </w:pPr>
          </w:p>
        </w:tc>
        <w:tc>
          <w:tcPr>
            <w:tcW w:w="2000" w:type="pct"/>
            <w:gridSpan w:val="2"/>
            <w:hideMark/>
          </w:tcPr>
          <w:p w14:paraId="3E3F1F9E" w14:textId="1F66D3B0"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006</w:t>
            </w:r>
          </w:p>
        </w:tc>
      </w:tr>
      <w:tr w:rsidR="003A7B6B" w:rsidRPr="00976ED6" w14:paraId="5D6BBA7A" w14:textId="77777777" w:rsidTr="005E6418">
        <w:tc>
          <w:tcPr>
            <w:tcW w:w="3000" w:type="pct"/>
            <w:vMerge w:val="restart"/>
            <w:hideMark/>
          </w:tcPr>
          <w:p w14:paraId="7B75F33F"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Geriausias bendras atsako į tyrimo metu taikytą</w:t>
            </w:r>
          </w:p>
          <w:p w14:paraId="7701AEF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gydymą dažnis [chemoterapija +/- radioterapija] (%)</w:t>
            </w:r>
          </w:p>
          <w:p w14:paraId="16A16BE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49B47B3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 reikšmė</w:t>
            </w:r>
          </w:p>
        </w:tc>
        <w:tc>
          <w:tcPr>
            <w:tcW w:w="1000" w:type="pct"/>
            <w:hideMark/>
          </w:tcPr>
          <w:p w14:paraId="2BE7DD13" w14:textId="46D3B89D"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72</w:t>
            </w:r>
            <w:r>
              <w:rPr>
                <w:color w:val="000000"/>
                <w:lang w:val="sl-SI"/>
              </w:rPr>
              <w:t>,</w:t>
            </w:r>
            <w:r w:rsidRPr="00976ED6">
              <w:rPr>
                <w:color w:val="000000"/>
                <w:lang w:val="sl-SI"/>
              </w:rPr>
              <w:t>3</w:t>
            </w:r>
          </w:p>
          <w:p w14:paraId="7918F18C" w14:textId="132E3EBA"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(65</w:t>
            </w:r>
            <w:r>
              <w:rPr>
                <w:color w:val="000000"/>
                <w:lang w:val="sl-SI"/>
              </w:rPr>
              <w:t>,</w:t>
            </w:r>
            <w:r w:rsidRPr="00976ED6">
              <w:rPr>
                <w:color w:val="000000"/>
                <w:lang w:val="sl-SI"/>
              </w:rPr>
              <w:t>1-78</w:t>
            </w:r>
            <w:r>
              <w:rPr>
                <w:color w:val="000000"/>
                <w:lang w:val="sl-SI"/>
              </w:rPr>
              <w:t>,</w:t>
            </w:r>
            <w:r w:rsidRPr="00976ED6">
              <w:rPr>
                <w:color w:val="000000"/>
                <w:lang w:val="sl-SI"/>
              </w:rPr>
              <w:t>8)</w:t>
            </w:r>
          </w:p>
        </w:tc>
        <w:tc>
          <w:tcPr>
            <w:tcW w:w="1000" w:type="pct"/>
            <w:hideMark/>
          </w:tcPr>
          <w:p w14:paraId="4CF78B48" w14:textId="70292ACD"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58</w:t>
            </w:r>
            <w:r>
              <w:rPr>
                <w:color w:val="000000"/>
                <w:lang w:val="sl-SI"/>
              </w:rPr>
              <w:t>,</w:t>
            </w:r>
            <w:r w:rsidRPr="00976ED6">
              <w:rPr>
                <w:color w:val="000000"/>
                <w:lang w:val="sl-SI"/>
              </w:rPr>
              <w:t>6</w:t>
            </w:r>
          </w:p>
          <w:p w14:paraId="4FA73A13" w14:textId="40BB1B75"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(51</w:t>
            </w:r>
            <w:r>
              <w:rPr>
                <w:color w:val="000000"/>
                <w:lang w:val="sl-SI"/>
              </w:rPr>
              <w:t>,</w:t>
            </w:r>
            <w:r w:rsidRPr="00976ED6">
              <w:rPr>
                <w:color w:val="000000"/>
                <w:lang w:val="sl-SI"/>
              </w:rPr>
              <w:t>0-65</w:t>
            </w:r>
            <w:r>
              <w:rPr>
                <w:color w:val="000000"/>
                <w:lang w:val="sl-SI"/>
              </w:rPr>
              <w:t>,</w:t>
            </w:r>
            <w:r w:rsidRPr="00976ED6">
              <w:rPr>
                <w:color w:val="000000"/>
                <w:lang w:val="sl-SI"/>
              </w:rPr>
              <w:t>8)</w:t>
            </w:r>
          </w:p>
        </w:tc>
      </w:tr>
      <w:tr w:rsidR="003A7B6B" w:rsidRPr="00976ED6" w14:paraId="27BF9789" w14:textId="77777777" w:rsidTr="005E6418">
        <w:tc>
          <w:tcPr>
            <w:tcW w:w="0" w:type="auto"/>
            <w:vMerge/>
            <w:hideMark/>
          </w:tcPr>
          <w:p w14:paraId="08DDB06B" w14:textId="77777777" w:rsidR="003A7B6B" w:rsidRPr="00976ED6" w:rsidRDefault="003A7B6B" w:rsidP="005E6418">
            <w:pPr>
              <w:rPr>
                <w:color w:val="000000"/>
                <w:lang w:val="sl-SI"/>
              </w:rPr>
            </w:pPr>
          </w:p>
        </w:tc>
        <w:tc>
          <w:tcPr>
            <w:tcW w:w="2000" w:type="pct"/>
            <w:gridSpan w:val="2"/>
            <w:hideMark/>
          </w:tcPr>
          <w:p w14:paraId="3BC5A109" w14:textId="651938D5"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006</w:t>
            </w:r>
          </w:p>
        </w:tc>
      </w:tr>
      <w:tr w:rsidR="003A7B6B" w:rsidRPr="00976ED6" w14:paraId="3A14E815" w14:textId="77777777" w:rsidTr="005E6418">
        <w:tc>
          <w:tcPr>
            <w:tcW w:w="3000" w:type="pct"/>
            <w:vMerge w:val="restart"/>
            <w:hideMark/>
          </w:tcPr>
          <w:p w14:paraId="7C251E4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Atsako į chemotherapiją ± radioterapiją trukmės</w:t>
            </w:r>
          </w:p>
          <w:p w14:paraId="3706D2B9"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mediana (mėnesiai)</w:t>
            </w:r>
          </w:p>
          <w:p w14:paraId="1BCEC9B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671D486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Rizikos koeficientas</w:t>
            </w:r>
          </w:p>
          <w:p w14:paraId="696F3F81"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6BE41885"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**p-reikšmė</w:t>
            </w:r>
          </w:p>
        </w:tc>
        <w:tc>
          <w:tcPr>
            <w:tcW w:w="1000" w:type="pct"/>
            <w:hideMark/>
          </w:tcPr>
          <w:p w14:paraId="288D8C4C" w14:textId="77777777"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n = 128</w:t>
            </w:r>
          </w:p>
          <w:p w14:paraId="594BFB53" w14:textId="13A641B6"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15</w:t>
            </w:r>
            <w:r>
              <w:rPr>
                <w:color w:val="000000"/>
                <w:lang w:val="sl-SI"/>
              </w:rPr>
              <w:t>,</w:t>
            </w:r>
            <w:r w:rsidRPr="00976ED6">
              <w:rPr>
                <w:color w:val="000000"/>
                <w:lang w:val="sl-SI"/>
              </w:rPr>
              <w:t>7</w:t>
            </w:r>
          </w:p>
          <w:p w14:paraId="52F59670" w14:textId="138F4699"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(13</w:t>
            </w:r>
            <w:r>
              <w:rPr>
                <w:color w:val="000000"/>
                <w:lang w:val="sl-SI"/>
              </w:rPr>
              <w:t>,</w:t>
            </w:r>
            <w:r w:rsidRPr="00976ED6">
              <w:rPr>
                <w:color w:val="000000"/>
                <w:lang w:val="sl-SI"/>
              </w:rPr>
              <w:t>4-24</w:t>
            </w:r>
            <w:r>
              <w:rPr>
                <w:color w:val="000000"/>
                <w:lang w:val="sl-SI"/>
              </w:rPr>
              <w:t>,</w:t>
            </w:r>
            <w:r w:rsidRPr="00976ED6">
              <w:rPr>
                <w:color w:val="000000"/>
                <w:lang w:val="sl-SI"/>
              </w:rPr>
              <w:t>6)</w:t>
            </w:r>
          </w:p>
        </w:tc>
        <w:tc>
          <w:tcPr>
            <w:tcW w:w="1000" w:type="pct"/>
            <w:hideMark/>
          </w:tcPr>
          <w:p w14:paraId="3299271F" w14:textId="77777777"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n = 106</w:t>
            </w:r>
          </w:p>
          <w:p w14:paraId="387EA156" w14:textId="7A942070"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11</w:t>
            </w:r>
            <w:r>
              <w:rPr>
                <w:color w:val="000000"/>
                <w:lang w:val="sl-SI"/>
              </w:rPr>
              <w:t>,</w:t>
            </w:r>
            <w:r w:rsidRPr="00976ED6">
              <w:rPr>
                <w:color w:val="000000"/>
                <w:lang w:val="sl-SI"/>
              </w:rPr>
              <w:t>7</w:t>
            </w:r>
          </w:p>
          <w:p w14:paraId="6D00283F" w14:textId="5A33696F"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(10</w:t>
            </w:r>
            <w:r>
              <w:rPr>
                <w:color w:val="000000"/>
                <w:lang w:val="sl-SI"/>
              </w:rPr>
              <w:t>,</w:t>
            </w:r>
            <w:r w:rsidRPr="00976ED6">
              <w:rPr>
                <w:color w:val="000000"/>
                <w:lang w:val="sl-SI"/>
              </w:rPr>
              <w:t>2-17</w:t>
            </w:r>
            <w:r>
              <w:rPr>
                <w:color w:val="000000"/>
                <w:lang w:val="sl-SI"/>
              </w:rPr>
              <w:t>,</w:t>
            </w:r>
            <w:r w:rsidRPr="00976ED6">
              <w:rPr>
                <w:color w:val="000000"/>
                <w:lang w:val="sl-SI"/>
              </w:rPr>
              <w:t>4)</w:t>
            </w:r>
          </w:p>
        </w:tc>
      </w:tr>
      <w:tr w:rsidR="003A7B6B" w:rsidRPr="00976ED6" w14:paraId="7BAAFF67" w14:textId="77777777" w:rsidTr="005E6418">
        <w:tc>
          <w:tcPr>
            <w:tcW w:w="0" w:type="auto"/>
            <w:vMerge/>
            <w:hideMark/>
          </w:tcPr>
          <w:p w14:paraId="4F183662" w14:textId="77777777" w:rsidR="003A7B6B" w:rsidRPr="00976ED6" w:rsidRDefault="003A7B6B" w:rsidP="005E6418">
            <w:pPr>
              <w:rPr>
                <w:color w:val="000000"/>
                <w:lang w:val="sl-SI"/>
              </w:rPr>
            </w:pPr>
          </w:p>
        </w:tc>
        <w:tc>
          <w:tcPr>
            <w:tcW w:w="2000" w:type="pct"/>
            <w:gridSpan w:val="2"/>
            <w:hideMark/>
          </w:tcPr>
          <w:p w14:paraId="6EEB35C0" w14:textId="0160ADAE"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72</w:t>
            </w:r>
          </w:p>
          <w:p w14:paraId="5079F305" w14:textId="41F42C98"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52-0</w:t>
            </w:r>
            <w:r>
              <w:rPr>
                <w:color w:val="000000"/>
                <w:lang w:val="sl-SI"/>
              </w:rPr>
              <w:t>,</w:t>
            </w:r>
            <w:r w:rsidRPr="00976ED6">
              <w:rPr>
                <w:color w:val="000000"/>
                <w:lang w:val="sl-SI"/>
              </w:rPr>
              <w:t>99)</w:t>
            </w:r>
          </w:p>
          <w:p w14:paraId="716CF2C9" w14:textId="4F5F8ED2"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0457</w:t>
            </w:r>
          </w:p>
        </w:tc>
      </w:tr>
    </w:tbl>
    <w:p w14:paraId="6A151251"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+Cisplatina + 5-FU pranašumo rizikos santykis yra mažesnis, negu 1</w:t>
      </w:r>
    </w:p>
    <w:p w14:paraId="456CB007"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*Cox modelis (atsižvelgiant į pirminio auglio vietą, T ir N klinikinės stadijos ir PSWHO)</w:t>
      </w:r>
    </w:p>
    <w:p w14:paraId="75A9C705"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w:t>
      </w:r>
      <w:r w:rsidRPr="00976ED6">
        <w:rPr>
          <w:rFonts w:ascii="Times New Roman" w:hAnsi="Times New Roman" w:cs="Times New Roman"/>
          <w:i/>
          <w:lang w:val="sl-SI"/>
        </w:rPr>
        <w:t>Logrank</w:t>
      </w:r>
      <w:r w:rsidRPr="00976ED6">
        <w:rPr>
          <w:rFonts w:ascii="Times New Roman" w:hAnsi="Times New Roman" w:cs="Times New Roman"/>
          <w:lang w:val="sl-SI"/>
        </w:rPr>
        <w:t xml:space="preserve"> testas</w:t>
      </w:r>
    </w:p>
    <w:p w14:paraId="0D44F9CA"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 </w:t>
      </w:r>
      <w:r w:rsidRPr="00976ED6">
        <w:rPr>
          <w:rFonts w:ascii="Times New Roman" w:hAnsi="Times New Roman" w:cs="Times New Roman"/>
          <w:i/>
          <w:lang w:val="sl-SI"/>
        </w:rPr>
        <w:t>Chi</w:t>
      </w:r>
      <w:r w:rsidRPr="00976ED6">
        <w:rPr>
          <w:rFonts w:ascii="Times New Roman" w:hAnsi="Times New Roman" w:cs="Times New Roman"/>
          <w:lang w:val="sl-SI"/>
        </w:rPr>
        <w:t xml:space="preserve"> kvadrato (χ2) kriterijus</w:t>
      </w:r>
    </w:p>
    <w:p w14:paraId="2A2F6E4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8A7A1D1"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Gyvenimo kokybės parametrai</w:t>
      </w:r>
    </w:p>
    <w:p w14:paraId="51F7B5F4" w14:textId="77777777" w:rsidR="003A7B6B" w:rsidRPr="00976ED6" w:rsidRDefault="003A7B6B" w:rsidP="003A7B6B">
      <w:pPr>
        <w:widowControl w:val="0"/>
        <w:tabs>
          <w:tab w:val="left" w:pos="1296"/>
        </w:tabs>
        <w:ind w:left="0" w:firstLine="0"/>
        <w:rPr>
          <w:rFonts w:ascii="Times New Roman" w:hAnsi="Times New Roman" w:cs="Times New Roman"/>
          <w:i/>
          <w:lang w:val="sl-SI"/>
        </w:rPr>
      </w:pPr>
    </w:p>
    <w:p w14:paraId="270C2231"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TPF grupės pacientams reikšmingai mažiau nei PF grupės ligoniams sumažėjo bendros sveikatos būklės įvertinimas (p = 0,01, naudota EORTC QLQ-C30 skalė).</w:t>
      </w:r>
    </w:p>
    <w:p w14:paraId="17886F6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8263501"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Klinikinio poveikio parametrai</w:t>
      </w:r>
    </w:p>
    <w:p w14:paraId="1CCC53DD"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5B9F95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TPF grupės pacientų aktyvumo vertinimo skalės galvos ir kaklo būklę (kalbos suprantamumą, gebėjimą valgyti viešoje vietoje ir dietos normalumą) analizuojančios dalies (AVS-GK) įvertinimas buvo reikšmingai geresnis nei PF grupės ligoniams.</w:t>
      </w:r>
    </w:p>
    <w:p w14:paraId="2AA0217B"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TPF grupėje laikotarpio iki pirmojo pablogėjimo (vertinant aktyvumo būklę pagal PSO kriterijus) mediana buvo reikšmingai ilgesnė nei PF grupėje. Skausmo intensyvumas sumažėjo abejose gydymo grupėse, tai rodė gerą skausmo kontrolę.</w:t>
      </w:r>
    </w:p>
    <w:p w14:paraId="5C31241A"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442F107" w14:textId="77777777" w:rsidR="003A7B6B" w:rsidRPr="00976ED6" w:rsidRDefault="003A7B6B" w:rsidP="003A7B6B">
      <w:pPr>
        <w:widowControl w:val="0"/>
        <w:numPr>
          <w:ilvl w:val="0"/>
          <w:numId w:val="19"/>
        </w:numPr>
        <w:ind w:left="567" w:hanging="567"/>
        <w:rPr>
          <w:rFonts w:ascii="Times New Roman" w:hAnsi="Times New Roman" w:cs="Times New Roman"/>
          <w:lang w:val="sl-SI"/>
        </w:rPr>
      </w:pPr>
      <w:r w:rsidRPr="00976ED6">
        <w:rPr>
          <w:rFonts w:ascii="Times New Roman" w:hAnsi="Times New Roman" w:cs="Times New Roman"/>
          <w:lang w:val="sl-SI"/>
        </w:rPr>
        <w:t>Įvadinė chemoterapija, kai vėliau taikoma chemoterapija bei gydoma spinduliais (TAX 324).</w:t>
      </w:r>
    </w:p>
    <w:p w14:paraId="772595D9"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7F28CC8"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Docetakselio veiksmingumas bei saugumas jo vartojant įvadiniam lokaliai progresavusiu plokščialąsteliniu galvos ir kaklo vėžiu (PGKV) sergančių pacientų gydymui tirtas III fazės daugiacentriu atviru atsitiktinių imčių tyrimu (TAX324). Šio tyrimo metu 501 lokaliai progresavusiu PGKV sirgę pacientai, kurių aktyvumo būklė pagal PSO vertinimą buvo 0 arba 1, atsitiktinai parinkus buvo priskirti vienai iš dviejų gydymo grupių. Tyrime dalyvavusiems pacientams naviko rezekcija buvo techniškai neįmanoma, chirurginio gydymo sėkmės tikimybė buvo labai maža, siekta išsaugoti organus. Veiksmingumas ir saugumas vertinti atsižvelgiant tik į išgyvenamumą apimančias vertinamąsias baigtis, o organų išsaugojimas formaliai nevertintas. Docetakselio grupės pacientams 1 dieną į veną buvo infuzuojama 75 mg/m² docetakselio (T), po to 100 mg/m² cisplatinos (P) (infuzijos trukmė 30 min. - 3 val.), po to 1-4 dieną nuolat infuzuota 5-fluorouracilo (F) (paros dozė 1000 mg/m²) (TPF schema). Tokie gydymo ciklai kartoti kas tris savaites 3 kartus. Po to visiems pacientams, kuriems liga neprogresavo, skirta protokole numatyta chemoterapija bei gydymas spinduliais (TPF/CRT). Palyginamosios grupės pacientams 1 dieną į veną buvo infuzuojama 100 mg/m² </w:t>
      </w:r>
      <w:r w:rsidRPr="00976ED6">
        <w:rPr>
          <w:rFonts w:ascii="Times New Roman" w:hAnsi="Times New Roman" w:cs="Times New Roman"/>
          <w:lang w:val="sl-SI"/>
        </w:rPr>
        <w:lastRenderedPageBreak/>
        <w:t>cisplatinos (P) (infuzijos trukmė 30 min. - 3 val.), po to 1-5 dieną nuolat infuzuota 5-fluorouracilo (F) (paros dozė 1000 mg/m²). Tokie gydymo ciklai kartoti kas tris savaites 3 kartus. Po to visiems pacientams, kuriems liga neprogresavo, skirta protokole numatyta chemoterapija bei gydymas spinduliais (PF/CRT).</w:t>
      </w:r>
    </w:p>
    <w:p w14:paraId="2F0FC4A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Baigus įvadinę chemoterapiją, mažiausiai po 3 savaičių, bet daugiausiai po 8 savaičių po paskutinio ciklo pradžios (t. y. laikotarpiu nuo 22 iki 56 paskutinio ciklo dienos) abiejų gydymo grupių pacientams 7 savaites taikytas gydymas pagal CRT schemą. Gydymo spinduliais metu kas savaitę per vieną valandą būdavo sulašinama karboplatinos (AUC 1,5) (buvo sulašinama daugiausiai 7 dozės). Buvo naudojama megavoltinė įranga, spinduliuota frakcijomis kartą per parą (2 Gy per parą, 5 dienas per savaitę, 7 savaites, suminė dozė 70-72 Gy). Baigus CRT, pirminė ligos vieta ir (arba) kaklas bet kuriuo metu galėjo būti operuojami. Visi docetakselio grupės pacientai profilaktikai vartojo antibiotikų. Pagrindinė vertinamoji tyrimo baigtis bendras išgyvenamumas (BI) buvo reikšmingai ilgesnis docetakselio vartojusių pacientų grupėje (</w:t>
      </w:r>
      <w:r w:rsidRPr="00976ED6">
        <w:rPr>
          <w:rFonts w:ascii="Times New Roman" w:hAnsi="Times New Roman" w:cs="Times New Roman"/>
          <w:i/>
          <w:lang w:val="sl-SI"/>
        </w:rPr>
        <w:t>log-rank</w:t>
      </w:r>
      <w:r w:rsidRPr="00976ED6">
        <w:rPr>
          <w:rFonts w:ascii="Times New Roman" w:hAnsi="Times New Roman" w:cs="Times New Roman"/>
          <w:lang w:val="sl-SI"/>
        </w:rPr>
        <w:t xml:space="preserve"> testas, p = 0,0058) nei PF grupėje (BI mediana atitinkamai 70,6 ir 30,1 mėnesio), o mirties pavojus, palyginti su PF grupės pacientais, sumažėjo 30% (rizikos koeficientas (RK) = 0,70, 95% pasikliautinieji intervalai (PI) = 0,54-0,90) (stebėjimo mediana buvo 41,9 mėnesio). Vertinant poveikį antrinei vertinamajai baigčiai (PLBLP) nustatyta, kad 29% sumažėjo ligos progresavimo ir mirties rizika, o PLBLP mediana pailgėjo 22 mėnesiais (35,5 mėnesioTPF grupėje ir 13,1 mėnesio PF grupėje). Skirtumas buvo statistiškai reikšmingas (RK 0,71; 95% PI 0,56-0,90; </w:t>
      </w:r>
      <w:r w:rsidRPr="00976ED6">
        <w:rPr>
          <w:rFonts w:ascii="Times New Roman" w:hAnsi="Times New Roman" w:cs="Times New Roman"/>
          <w:i/>
          <w:lang w:val="sl-SI"/>
        </w:rPr>
        <w:t>log-rank</w:t>
      </w:r>
      <w:r w:rsidRPr="00976ED6">
        <w:rPr>
          <w:rFonts w:ascii="Times New Roman" w:hAnsi="Times New Roman" w:cs="Times New Roman"/>
          <w:lang w:val="sl-SI"/>
        </w:rPr>
        <w:t xml:space="preserve"> testo p = 0,004). Duomenys apie veiksmingumą apibendrinti žemiau pateiktoje lentelėje:</w:t>
      </w:r>
    </w:p>
    <w:p w14:paraId="0AF8E99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A26A119"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Docetakselio veiksmingumas jo skiriant įvadiniam lokaliai progresavusiam PGKV gydymui (</w:t>
      </w:r>
      <w:r w:rsidRPr="00976ED6">
        <w:rPr>
          <w:rFonts w:ascii="Times New Roman" w:hAnsi="Times New Roman" w:cs="Times New Roman"/>
          <w:i/>
          <w:u w:val="single"/>
          <w:lang w:val="sl-SI"/>
        </w:rPr>
        <w:t>Intent-to-Treat</w:t>
      </w:r>
      <w:r w:rsidRPr="00976ED6">
        <w:rPr>
          <w:rFonts w:ascii="Times New Roman" w:hAnsi="Times New Roman" w:cs="Times New Roman"/>
          <w:u w:val="single"/>
          <w:lang w:val="sl-SI"/>
        </w:rPr>
        <w:t xml:space="preserve"> analizė)</w:t>
      </w:r>
    </w:p>
    <w:p w14:paraId="06FF01FE" w14:textId="77777777" w:rsidR="003A7B6B" w:rsidRPr="00976ED6" w:rsidRDefault="003A7B6B" w:rsidP="003A7B6B">
      <w:pPr>
        <w:widowControl w:val="0"/>
        <w:tabs>
          <w:tab w:val="left" w:pos="1296"/>
        </w:tabs>
        <w:ind w:left="0" w:firstLine="0"/>
        <w:rPr>
          <w:rFonts w:ascii="Times New Roman" w:hAnsi="Times New Roman" w:cs="Times New Roman"/>
          <w:lang w:val="sl-SI"/>
        </w:rPr>
      </w:pPr>
    </w:p>
    <w:tbl>
      <w:tblPr>
        <w:tblStyle w:val="Lentelstinklelis"/>
        <w:tblW w:w="5000" w:type="pct"/>
        <w:tblInd w:w="-5" w:type="dxa"/>
        <w:tblLook w:val="00A0" w:firstRow="1" w:lastRow="0" w:firstColumn="1" w:lastColumn="0" w:noHBand="0" w:noVBand="0"/>
      </w:tblPr>
      <w:tblGrid>
        <w:gridCol w:w="4077"/>
        <w:gridCol w:w="2446"/>
        <w:gridCol w:w="2537"/>
      </w:tblGrid>
      <w:tr w:rsidR="003A7B6B" w:rsidRPr="00976ED6" w14:paraId="407ACAF0" w14:textId="77777777" w:rsidTr="005E6418">
        <w:tc>
          <w:tcPr>
            <w:tcW w:w="2250" w:type="pct"/>
            <w:hideMark/>
          </w:tcPr>
          <w:p w14:paraId="7FFC32CE" w14:textId="77777777" w:rsidR="003A7B6B" w:rsidRPr="00976ED6" w:rsidRDefault="003A7B6B" w:rsidP="005E6418">
            <w:pPr>
              <w:widowControl w:val="0"/>
              <w:tabs>
                <w:tab w:val="left" w:pos="567"/>
                <w:tab w:val="left" w:pos="1296"/>
              </w:tabs>
              <w:rPr>
                <w:color w:val="000000"/>
                <w:lang w:val="sl-SI"/>
              </w:rPr>
            </w:pPr>
            <w:r w:rsidRPr="00976ED6">
              <w:rPr>
                <w:b/>
                <w:color w:val="000000"/>
                <w:lang w:val="sl-SI"/>
              </w:rPr>
              <w:t>Vertinamoji baigtis</w:t>
            </w:r>
          </w:p>
        </w:tc>
        <w:tc>
          <w:tcPr>
            <w:tcW w:w="1350" w:type="pct"/>
          </w:tcPr>
          <w:p w14:paraId="0935F842" w14:textId="77777777" w:rsidR="003A7B6B" w:rsidRPr="00976ED6" w:rsidRDefault="003A7B6B" w:rsidP="005E6418">
            <w:pPr>
              <w:widowControl w:val="0"/>
              <w:tabs>
                <w:tab w:val="left" w:pos="567"/>
                <w:tab w:val="left" w:pos="1296"/>
              </w:tabs>
              <w:jc w:val="center"/>
              <w:rPr>
                <w:color w:val="000000"/>
                <w:lang w:val="sl-SI"/>
              </w:rPr>
            </w:pPr>
            <w:r w:rsidRPr="00976ED6">
              <w:rPr>
                <w:b/>
                <w:color w:val="000000"/>
                <w:lang w:val="sl-SI"/>
              </w:rPr>
              <w:t>Docetakselis + Cis+5-FU</w:t>
            </w:r>
          </w:p>
          <w:p w14:paraId="7681B358" w14:textId="77777777" w:rsidR="003A7B6B" w:rsidRPr="00976ED6" w:rsidRDefault="003A7B6B" w:rsidP="005E6418">
            <w:pPr>
              <w:widowControl w:val="0"/>
              <w:tabs>
                <w:tab w:val="left" w:pos="567"/>
                <w:tab w:val="left" w:pos="1296"/>
              </w:tabs>
              <w:jc w:val="center"/>
              <w:rPr>
                <w:b/>
                <w:color w:val="000000"/>
                <w:lang w:val="sl-SI"/>
              </w:rPr>
            </w:pPr>
          </w:p>
          <w:p w14:paraId="68CA4016" w14:textId="77777777" w:rsidR="003A7B6B" w:rsidRPr="00976ED6" w:rsidRDefault="003A7B6B" w:rsidP="005E6418">
            <w:pPr>
              <w:widowControl w:val="0"/>
              <w:tabs>
                <w:tab w:val="left" w:pos="567"/>
                <w:tab w:val="left" w:pos="1296"/>
              </w:tabs>
              <w:jc w:val="center"/>
              <w:rPr>
                <w:color w:val="000000"/>
                <w:lang w:val="sl-SI"/>
              </w:rPr>
            </w:pPr>
            <w:r w:rsidRPr="00976ED6">
              <w:rPr>
                <w:b/>
                <w:color w:val="000000"/>
                <w:lang w:val="sl-SI"/>
              </w:rPr>
              <w:t>n = 255</w:t>
            </w:r>
          </w:p>
        </w:tc>
        <w:tc>
          <w:tcPr>
            <w:tcW w:w="1400" w:type="pct"/>
          </w:tcPr>
          <w:p w14:paraId="3209756B" w14:textId="77777777" w:rsidR="003A7B6B" w:rsidRPr="00976ED6" w:rsidRDefault="003A7B6B" w:rsidP="005E6418">
            <w:pPr>
              <w:widowControl w:val="0"/>
              <w:tabs>
                <w:tab w:val="left" w:pos="567"/>
                <w:tab w:val="left" w:pos="1296"/>
              </w:tabs>
              <w:jc w:val="center"/>
              <w:rPr>
                <w:b/>
                <w:color w:val="000000"/>
                <w:lang w:val="sl-SI"/>
              </w:rPr>
            </w:pPr>
            <w:r w:rsidRPr="00976ED6">
              <w:rPr>
                <w:b/>
                <w:color w:val="000000"/>
                <w:lang w:val="sl-SI"/>
              </w:rPr>
              <w:t>Cis + 5-FU</w:t>
            </w:r>
          </w:p>
          <w:p w14:paraId="2FEA5327" w14:textId="77777777" w:rsidR="003A7B6B" w:rsidRPr="00976ED6" w:rsidRDefault="003A7B6B" w:rsidP="005E6418">
            <w:pPr>
              <w:widowControl w:val="0"/>
              <w:tabs>
                <w:tab w:val="left" w:pos="567"/>
                <w:tab w:val="left" w:pos="1296"/>
              </w:tabs>
              <w:jc w:val="center"/>
              <w:rPr>
                <w:color w:val="000000"/>
                <w:lang w:val="sl-SI"/>
              </w:rPr>
            </w:pPr>
          </w:p>
          <w:p w14:paraId="4B84CB5F" w14:textId="77777777" w:rsidR="003A7B6B" w:rsidRPr="00976ED6" w:rsidRDefault="003A7B6B" w:rsidP="005E6418">
            <w:pPr>
              <w:widowControl w:val="0"/>
              <w:tabs>
                <w:tab w:val="left" w:pos="567"/>
                <w:tab w:val="left" w:pos="1296"/>
              </w:tabs>
              <w:jc w:val="center"/>
              <w:rPr>
                <w:color w:val="000000"/>
                <w:lang w:val="sl-SI"/>
              </w:rPr>
            </w:pPr>
            <w:r w:rsidRPr="00976ED6">
              <w:rPr>
                <w:b/>
                <w:color w:val="000000"/>
                <w:lang w:val="sl-SI"/>
              </w:rPr>
              <w:t>n = 246</w:t>
            </w:r>
          </w:p>
        </w:tc>
      </w:tr>
      <w:tr w:rsidR="003A7B6B" w:rsidRPr="00976ED6" w14:paraId="23CFB31D" w14:textId="77777777" w:rsidTr="005E6418">
        <w:tc>
          <w:tcPr>
            <w:tcW w:w="2250" w:type="pct"/>
            <w:vMerge w:val="restart"/>
            <w:hideMark/>
          </w:tcPr>
          <w:p w14:paraId="41C8215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Bendro išgyenamimo mediana (mėnesiai)</w:t>
            </w:r>
          </w:p>
          <w:p w14:paraId="35B403B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56002A2C"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Rizikos koeficientas</w:t>
            </w:r>
          </w:p>
          <w:p w14:paraId="5F5EC2E2"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51673D5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*p-reikšmė</w:t>
            </w:r>
          </w:p>
        </w:tc>
        <w:tc>
          <w:tcPr>
            <w:tcW w:w="1350" w:type="pct"/>
            <w:hideMark/>
          </w:tcPr>
          <w:p w14:paraId="00A8A892" w14:textId="77777777"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70,6</w:t>
            </w:r>
          </w:p>
          <w:p w14:paraId="61578F7A" w14:textId="1FF6F2B2"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(49</w:t>
            </w:r>
            <w:r>
              <w:rPr>
                <w:color w:val="000000"/>
                <w:lang w:val="sl-SI"/>
              </w:rPr>
              <w:t>,</w:t>
            </w:r>
            <w:r w:rsidRPr="00976ED6">
              <w:rPr>
                <w:color w:val="000000"/>
                <w:lang w:val="sl-SI"/>
              </w:rPr>
              <w:t>0-NA)</w:t>
            </w:r>
          </w:p>
        </w:tc>
        <w:tc>
          <w:tcPr>
            <w:tcW w:w="1400" w:type="pct"/>
            <w:hideMark/>
          </w:tcPr>
          <w:p w14:paraId="77281C20" w14:textId="5FC9596C"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30</w:t>
            </w:r>
            <w:r>
              <w:rPr>
                <w:color w:val="000000"/>
                <w:lang w:val="sl-SI"/>
              </w:rPr>
              <w:t>,</w:t>
            </w:r>
            <w:r w:rsidRPr="00976ED6">
              <w:rPr>
                <w:color w:val="000000"/>
                <w:lang w:val="sl-SI"/>
              </w:rPr>
              <w:t>1</w:t>
            </w:r>
          </w:p>
          <w:p w14:paraId="58CBF700" w14:textId="0B94B8D7"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(20</w:t>
            </w:r>
            <w:r>
              <w:rPr>
                <w:color w:val="000000"/>
                <w:lang w:val="sl-SI"/>
              </w:rPr>
              <w:t>,</w:t>
            </w:r>
            <w:r w:rsidRPr="00976ED6">
              <w:rPr>
                <w:color w:val="000000"/>
                <w:lang w:val="sl-SI"/>
              </w:rPr>
              <w:t>9-51</w:t>
            </w:r>
            <w:r>
              <w:rPr>
                <w:color w:val="000000"/>
                <w:lang w:val="sl-SI"/>
              </w:rPr>
              <w:t>,</w:t>
            </w:r>
            <w:r w:rsidRPr="00976ED6">
              <w:rPr>
                <w:color w:val="000000"/>
                <w:lang w:val="sl-SI"/>
              </w:rPr>
              <w:t>5)</w:t>
            </w:r>
          </w:p>
        </w:tc>
      </w:tr>
      <w:tr w:rsidR="003A7B6B" w:rsidRPr="00976ED6" w14:paraId="66A38402" w14:textId="77777777" w:rsidTr="005E6418">
        <w:tc>
          <w:tcPr>
            <w:tcW w:w="0" w:type="auto"/>
            <w:vMerge/>
            <w:hideMark/>
          </w:tcPr>
          <w:p w14:paraId="72171987" w14:textId="77777777" w:rsidR="003A7B6B" w:rsidRPr="00976ED6" w:rsidRDefault="003A7B6B" w:rsidP="005E6418">
            <w:pPr>
              <w:rPr>
                <w:color w:val="000000"/>
                <w:lang w:val="sl-SI"/>
              </w:rPr>
            </w:pPr>
          </w:p>
        </w:tc>
        <w:tc>
          <w:tcPr>
            <w:tcW w:w="2750" w:type="pct"/>
            <w:gridSpan w:val="2"/>
            <w:hideMark/>
          </w:tcPr>
          <w:p w14:paraId="7B3B4082" w14:textId="6383B7AA"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70</w:t>
            </w:r>
          </w:p>
          <w:p w14:paraId="2B26ADCB" w14:textId="171D5940"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54-0</w:t>
            </w:r>
            <w:r>
              <w:rPr>
                <w:color w:val="000000"/>
                <w:lang w:val="sl-SI"/>
              </w:rPr>
              <w:t>,</w:t>
            </w:r>
            <w:r w:rsidRPr="00976ED6">
              <w:rPr>
                <w:color w:val="000000"/>
                <w:lang w:val="sl-SI"/>
              </w:rPr>
              <w:t>90)</w:t>
            </w:r>
          </w:p>
          <w:p w14:paraId="05E61440" w14:textId="5BF5A545"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0058</w:t>
            </w:r>
          </w:p>
        </w:tc>
      </w:tr>
      <w:tr w:rsidR="003A7B6B" w:rsidRPr="00976ED6" w14:paraId="04F4AB40" w14:textId="77777777" w:rsidTr="005E6418">
        <w:tc>
          <w:tcPr>
            <w:tcW w:w="2250" w:type="pct"/>
            <w:vMerge w:val="restart"/>
            <w:hideMark/>
          </w:tcPr>
          <w:p w14:paraId="2A0C39B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PLBLP mediana (mėnesiai)</w:t>
            </w:r>
          </w:p>
          <w:p w14:paraId="320FC88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228D883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Rizikos koeficientas:</w:t>
            </w:r>
          </w:p>
          <w:p w14:paraId="2AB05CC9"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4AE44F94"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**p-reikšmė</w:t>
            </w:r>
          </w:p>
        </w:tc>
        <w:tc>
          <w:tcPr>
            <w:tcW w:w="1350" w:type="pct"/>
            <w:hideMark/>
          </w:tcPr>
          <w:p w14:paraId="33CDC253" w14:textId="79D22AAB"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35</w:t>
            </w:r>
            <w:r>
              <w:rPr>
                <w:color w:val="000000"/>
                <w:lang w:val="sl-SI"/>
              </w:rPr>
              <w:t>,</w:t>
            </w:r>
            <w:r w:rsidRPr="00976ED6">
              <w:rPr>
                <w:color w:val="000000"/>
                <w:lang w:val="sl-SI"/>
              </w:rPr>
              <w:t>5</w:t>
            </w:r>
          </w:p>
          <w:p w14:paraId="77A4B0A8" w14:textId="0EBBE3D3"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(19</w:t>
            </w:r>
            <w:r>
              <w:rPr>
                <w:color w:val="000000"/>
                <w:lang w:val="sl-SI"/>
              </w:rPr>
              <w:t>,</w:t>
            </w:r>
            <w:r w:rsidRPr="00976ED6">
              <w:rPr>
                <w:color w:val="000000"/>
                <w:lang w:val="sl-SI"/>
              </w:rPr>
              <w:t>3-NA)</w:t>
            </w:r>
          </w:p>
        </w:tc>
        <w:tc>
          <w:tcPr>
            <w:tcW w:w="1400" w:type="pct"/>
            <w:hideMark/>
          </w:tcPr>
          <w:p w14:paraId="041A1A51" w14:textId="591FD950"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13</w:t>
            </w:r>
            <w:r>
              <w:rPr>
                <w:color w:val="000000"/>
                <w:lang w:val="sl-SI"/>
              </w:rPr>
              <w:t>,</w:t>
            </w:r>
            <w:r w:rsidRPr="00976ED6">
              <w:rPr>
                <w:color w:val="000000"/>
                <w:lang w:val="sl-SI"/>
              </w:rPr>
              <w:t>1</w:t>
            </w:r>
          </w:p>
          <w:p w14:paraId="78703D82" w14:textId="03849D0C"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(10</w:t>
            </w:r>
            <w:r>
              <w:rPr>
                <w:color w:val="000000"/>
                <w:lang w:val="sl-SI"/>
              </w:rPr>
              <w:t>,</w:t>
            </w:r>
            <w:r w:rsidRPr="00976ED6">
              <w:rPr>
                <w:color w:val="000000"/>
                <w:lang w:val="sl-SI"/>
              </w:rPr>
              <w:t xml:space="preserve">6 </w:t>
            </w:r>
            <w:r>
              <w:rPr>
                <w:color w:val="000000"/>
                <w:lang w:val="sl-SI"/>
              </w:rPr>
              <w:t>–</w:t>
            </w:r>
            <w:r w:rsidRPr="00976ED6">
              <w:rPr>
                <w:color w:val="000000"/>
                <w:lang w:val="sl-SI"/>
              </w:rPr>
              <w:t xml:space="preserve"> 20</w:t>
            </w:r>
            <w:r>
              <w:rPr>
                <w:color w:val="000000"/>
                <w:lang w:val="sl-SI"/>
              </w:rPr>
              <w:t>,</w:t>
            </w:r>
            <w:r w:rsidRPr="00976ED6">
              <w:rPr>
                <w:color w:val="000000"/>
                <w:lang w:val="sl-SI"/>
              </w:rPr>
              <w:t>2)</w:t>
            </w:r>
          </w:p>
        </w:tc>
      </w:tr>
      <w:tr w:rsidR="003A7B6B" w:rsidRPr="00976ED6" w14:paraId="16F86E11" w14:textId="77777777" w:rsidTr="005E6418">
        <w:tc>
          <w:tcPr>
            <w:tcW w:w="0" w:type="auto"/>
            <w:vMerge/>
            <w:hideMark/>
          </w:tcPr>
          <w:p w14:paraId="395A7604" w14:textId="77777777" w:rsidR="003A7B6B" w:rsidRPr="00976ED6" w:rsidRDefault="003A7B6B" w:rsidP="005E6418">
            <w:pPr>
              <w:rPr>
                <w:color w:val="000000"/>
                <w:lang w:val="sl-SI"/>
              </w:rPr>
            </w:pPr>
          </w:p>
        </w:tc>
        <w:tc>
          <w:tcPr>
            <w:tcW w:w="2750" w:type="pct"/>
            <w:gridSpan w:val="2"/>
            <w:hideMark/>
          </w:tcPr>
          <w:p w14:paraId="5E6E4108" w14:textId="11898158"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71</w:t>
            </w:r>
          </w:p>
          <w:p w14:paraId="46C1B7FB" w14:textId="2756C381"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 xml:space="preserve">56 </w:t>
            </w:r>
            <w:r>
              <w:rPr>
                <w:color w:val="000000"/>
                <w:lang w:val="sl-SI"/>
              </w:rPr>
              <w:t>–</w:t>
            </w:r>
            <w:r w:rsidRPr="00976ED6">
              <w:rPr>
                <w:color w:val="000000"/>
                <w:lang w:val="sl-SI"/>
              </w:rPr>
              <w:t xml:space="preserve"> 0</w:t>
            </w:r>
            <w:r>
              <w:rPr>
                <w:color w:val="000000"/>
                <w:lang w:val="sl-SI"/>
              </w:rPr>
              <w:t>,</w:t>
            </w:r>
            <w:r w:rsidRPr="00976ED6">
              <w:rPr>
                <w:color w:val="000000"/>
                <w:lang w:val="sl-SI"/>
              </w:rPr>
              <w:t>90)</w:t>
            </w:r>
          </w:p>
          <w:p w14:paraId="10BBFD7D" w14:textId="4696FE82"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004</w:t>
            </w:r>
          </w:p>
        </w:tc>
      </w:tr>
      <w:tr w:rsidR="003A7B6B" w:rsidRPr="00976ED6" w14:paraId="20B64658" w14:textId="77777777" w:rsidTr="005E6418">
        <w:tc>
          <w:tcPr>
            <w:tcW w:w="2250" w:type="pct"/>
            <w:vMerge w:val="restart"/>
            <w:hideMark/>
          </w:tcPr>
          <w:p w14:paraId="53A34ADB"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Geriausias bendras atsako (CR + PR) dažnis (%)</w:t>
            </w:r>
          </w:p>
          <w:p w14:paraId="3A7B94BE"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3206070E"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***p-reikšmė</w:t>
            </w:r>
          </w:p>
        </w:tc>
        <w:tc>
          <w:tcPr>
            <w:tcW w:w="1350" w:type="pct"/>
            <w:hideMark/>
          </w:tcPr>
          <w:p w14:paraId="2C49693F" w14:textId="29AEA87B"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71</w:t>
            </w:r>
            <w:r>
              <w:rPr>
                <w:color w:val="000000"/>
                <w:lang w:val="sl-SI"/>
              </w:rPr>
              <w:t>,</w:t>
            </w:r>
            <w:r w:rsidRPr="00976ED6">
              <w:rPr>
                <w:color w:val="000000"/>
                <w:lang w:val="sl-SI"/>
              </w:rPr>
              <w:t>8</w:t>
            </w:r>
          </w:p>
          <w:p w14:paraId="17576277" w14:textId="1A52E4A7"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(65</w:t>
            </w:r>
            <w:r>
              <w:rPr>
                <w:color w:val="000000"/>
                <w:lang w:val="sl-SI"/>
              </w:rPr>
              <w:t>,</w:t>
            </w:r>
            <w:r w:rsidRPr="00976ED6">
              <w:rPr>
                <w:color w:val="000000"/>
                <w:lang w:val="sl-SI"/>
              </w:rPr>
              <w:t>8-77</w:t>
            </w:r>
            <w:r>
              <w:rPr>
                <w:color w:val="000000"/>
                <w:lang w:val="sl-SI"/>
              </w:rPr>
              <w:t>,</w:t>
            </w:r>
            <w:r w:rsidRPr="00976ED6">
              <w:rPr>
                <w:color w:val="000000"/>
                <w:lang w:val="sl-SI"/>
              </w:rPr>
              <w:t>2)</w:t>
            </w:r>
          </w:p>
        </w:tc>
        <w:tc>
          <w:tcPr>
            <w:tcW w:w="1400" w:type="pct"/>
            <w:hideMark/>
          </w:tcPr>
          <w:p w14:paraId="0E693B23" w14:textId="791A9F39"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64</w:t>
            </w:r>
            <w:r>
              <w:rPr>
                <w:color w:val="000000"/>
                <w:lang w:val="sl-SI"/>
              </w:rPr>
              <w:t>,</w:t>
            </w:r>
            <w:r w:rsidRPr="00976ED6">
              <w:rPr>
                <w:color w:val="000000"/>
                <w:lang w:val="sl-SI"/>
              </w:rPr>
              <w:t>2</w:t>
            </w:r>
          </w:p>
          <w:p w14:paraId="760E6143" w14:textId="03F0C826"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(57</w:t>
            </w:r>
            <w:r>
              <w:rPr>
                <w:color w:val="000000"/>
                <w:lang w:val="sl-SI"/>
              </w:rPr>
              <w:t>,</w:t>
            </w:r>
            <w:r w:rsidRPr="00976ED6">
              <w:rPr>
                <w:color w:val="000000"/>
                <w:lang w:val="sl-SI"/>
              </w:rPr>
              <w:t>9-70</w:t>
            </w:r>
            <w:r>
              <w:rPr>
                <w:color w:val="000000"/>
                <w:lang w:val="sl-SI"/>
              </w:rPr>
              <w:t>,</w:t>
            </w:r>
            <w:r w:rsidRPr="00976ED6">
              <w:rPr>
                <w:color w:val="000000"/>
                <w:lang w:val="sl-SI"/>
              </w:rPr>
              <w:t>2)</w:t>
            </w:r>
          </w:p>
        </w:tc>
      </w:tr>
      <w:tr w:rsidR="003A7B6B" w:rsidRPr="00976ED6" w14:paraId="16B39FF7" w14:textId="77777777" w:rsidTr="005E6418">
        <w:tc>
          <w:tcPr>
            <w:tcW w:w="0" w:type="auto"/>
            <w:vMerge/>
            <w:hideMark/>
          </w:tcPr>
          <w:p w14:paraId="0BB57351" w14:textId="77777777" w:rsidR="003A7B6B" w:rsidRPr="00976ED6" w:rsidRDefault="003A7B6B" w:rsidP="005E6418">
            <w:pPr>
              <w:rPr>
                <w:color w:val="000000"/>
                <w:lang w:val="sl-SI"/>
              </w:rPr>
            </w:pPr>
          </w:p>
        </w:tc>
        <w:tc>
          <w:tcPr>
            <w:tcW w:w="2750" w:type="pct"/>
            <w:gridSpan w:val="2"/>
            <w:hideMark/>
          </w:tcPr>
          <w:p w14:paraId="4B1599A1" w14:textId="473B184B"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070</w:t>
            </w:r>
          </w:p>
        </w:tc>
      </w:tr>
      <w:tr w:rsidR="003A7B6B" w:rsidRPr="00976ED6" w14:paraId="27151C0A" w14:textId="77777777" w:rsidTr="005E6418">
        <w:tc>
          <w:tcPr>
            <w:tcW w:w="2250" w:type="pct"/>
            <w:vMerge w:val="restart"/>
          </w:tcPr>
          <w:p w14:paraId="040C7E7B"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Geriausias bendras atsako (CR + PR) į tyrimo metu taikytą gydymą [chemoterapija+/- radioterapija] (%)</w:t>
            </w:r>
          </w:p>
          <w:p w14:paraId="6E5CED8D"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(95% PI)</w:t>
            </w:r>
          </w:p>
          <w:p w14:paraId="7E123540" w14:textId="77777777" w:rsidR="003A7B6B" w:rsidRPr="00976ED6" w:rsidRDefault="003A7B6B" w:rsidP="005E6418">
            <w:pPr>
              <w:widowControl w:val="0"/>
              <w:tabs>
                <w:tab w:val="left" w:pos="567"/>
                <w:tab w:val="left" w:pos="1296"/>
              </w:tabs>
              <w:rPr>
                <w:color w:val="000000"/>
                <w:lang w:val="sl-SI"/>
              </w:rPr>
            </w:pPr>
          </w:p>
          <w:p w14:paraId="1B91E258" w14:textId="77777777" w:rsidR="003A7B6B" w:rsidRPr="00976ED6" w:rsidRDefault="003A7B6B" w:rsidP="005E6418">
            <w:pPr>
              <w:widowControl w:val="0"/>
              <w:tabs>
                <w:tab w:val="left" w:pos="567"/>
                <w:tab w:val="left" w:pos="1296"/>
              </w:tabs>
              <w:rPr>
                <w:color w:val="000000"/>
                <w:lang w:val="sl-SI"/>
              </w:rPr>
            </w:pPr>
            <w:r w:rsidRPr="00976ED6">
              <w:rPr>
                <w:color w:val="000000"/>
                <w:lang w:val="sl-SI"/>
              </w:rPr>
              <w:t>***p-reikšmė</w:t>
            </w:r>
          </w:p>
        </w:tc>
        <w:tc>
          <w:tcPr>
            <w:tcW w:w="1350" w:type="pct"/>
          </w:tcPr>
          <w:p w14:paraId="46A51AD1" w14:textId="411FE1D1"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76</w:t>
            </w:r>
            <w:r>
              <w:rPr>
                <w:color w:val="000000"/>
                <w:lang w:val="sl-SI"/>
              </w:rPr>
              <w:t>,</w:t>
            </w:r>
            <w:r w:rsidRPr="00976ED6">
              <w:rPr>
                <w:color w:val="000000"/>
                <w:lang w:val="sl-SI"/>
              </w:rPr>
              <w:t>5</w:t>
            </w:r>
          </w:p>
          <w:p w14:paraId="47029D64" w14:textId="77777777" w:rsidR="003A7B6B" w:rsidRPr="00976ED6" w:rsidRDefault="003A7B6B" w:rsidP="005E6418">
            <w:pPr>
              <w:widowControl w:val="0"/>
              <w:tabs>
                <w:tab w:val="left" w:pos="567"/>
                <w:tab w:val="left" w:pos="1296"/>
              </w:tabs>
              <w:jc w:val="center"/>
              <w:rPr>
                <w:color w:val="000000"/>
                <w:lang w:val="sl-SI"/>
              </w:rPr>
            </w:pPr>
          </w:p>
          <w:p w14:paraId="4A5CDA85" w14:textId="77777777" w:rsidR="003A7B6B" w:rsidRPr="00976ED6" w:rsidRDefault="003A7B6B" w:rsidP="005E6418">
            <w:pPr>
              <w:widowControl w:val="0"/>
              <w:tabs>
                <w:tab w:val="left" w:pos="567"/>
                <w:tab w:val="left" w:pos="1296"/>
              </w:tabs>
              <w:jc w:val="center"/>
              <w:rPr>
                <w:color w:val="000000"/>
                <w:lang w:val="sl-SI"/>
              </w:rPr>
            </w:pPr>
          </w:p>
          <w:p w14:paraId="67380E4F" w14:textId="13DECBD1"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(70</w:t>
            </w:r>
            <w:r>
              <w:rPr>
                <w:color w:val="000000"/>
                <w:lang w:val="sl-SI"/>
              </w:rPr>
              <w:t>,</w:t>
            </w:r>
            <w:r w:rsidRPr="00976ED6">
              <w:rPr>
                <w:color w:val="000000"/>
                <w:lang w:val="sl-SI"/>
              </w:rPr>
              <w:t>8-81</w:t>
            </w:r>
            <w:r>
              <w:rPr>
                <w:color w:val="000000"/>
                <w:lang w:val="sl-SI"/>
              </w:rPr>
              <w:t>,</w:t>
            </w:r>
            <w:r w:rsidRPr="00976ED6">
              <w:rPr>
                <w:color w:val="000000"/>
                <w:lang w:val="sl-SI"/>
              </w:rPr>
              <w:t>5)</w:t>
            </w:r>
          </w:p>
        </w:tc>
        <w:tc>
          <w:tcPr>
            <w:tcW w:w="1400" w:type="pct"/>
          </w:tcPr>
          <w:p w14:paraId="6C89DF69" w14:textId="653DC9CB"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71</w:t>
            </w:r>
            <w:r>
              <w:rPr>
                <w:color w:val="000000"/>
                <w:lang w:val="sl-SI"/>
              </w:rPr>
              <w:t>,</w:t>
            </w:r>
            <w:r w:rsidRPr="00976ED6">
              <w:rPr>
                <w:color w:val="000000"/>
                <w:lang w:val="sl-SI"/>
              </w:rPr>
              <w:t>5</w:t>
            </w:r>
          </w:p>
          <w:p w14:paraId="004CC2DF" w14:textId="77777777" w:rsidR="003A7B6B" w:rsidRPr="00976ED6" w:rsidRDefault="003A7B6B" w:rsidP="005E6418">
            <w:pPr>
              <w:widowControl w:val="0"/>
              <w:tabs>
                <w:tab w:val="left" w:pos="567"/>
                <w:tab w:val="left" w:pos="1296"/>
              </w:tabs>
              <w:jc w:val="center"/>
              <w:rPr>
                <w:color w:val="000000"/>
                <w:lang w:val="sl-SI"/>
              </w:rPr>
            </w:pPr>
          </w:p>
          <w:p w14:paraId="1BDCA514" w14:textId="77777777" w:rsidR="003A7B6B" w:rsidRPr="00976ED6" w:rsidRDefault="003A7B6B" w:rsidP="005E6418">
            <w:pPr>
              <w:widowControl w:val="0"/>
              <w:tabs>
                <w:tab w:val="left" w:pos="567"/>
                <w:tab w:val="left" w:pos="1296"/>
              </w:tabs>
              <w:jc w:val="center"/>
              <w:rPr>
                <w:color w:val="000000"/>
                <w:lang w:val="sl-SI"/>
              </w:rPr>
            </w:pPr>
          </w:p>
          <w:p w14:paraId="7AB5AF5A" w14:textId="7CFA94DF"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(65</w:t>
            </w:r>
            <w:r>
              <w:rPr>
                <w:color w:val="000000"/>
                <w:lang w:val="sl-SI"/>
              </w:rPr>
              <w:t>,</w:t>
            </w:r>
            <w:r w:rsidRPr="00976ED6">
              <w:rPr>
                <w:color w:val="000000"/>
                <w:lang w:val="sl-SI"/>
              </w:rPr>
              <w:t>5-77</w:t>
            </w:r>
            <w:r>
              <w:rPr>
                <w:color w:val="000000"/>
                <w:lang w:val="sl-SI"/>
              </w:rPr>
              <w:t>,</w:t>
            </w:r>
            <w:r w:rsidRPr="00976ED6">
              <w:rPr>
                <w:color w:val="000000"/>
                <w:lang w:val="sl-SI"/>
              </w:rPr>
              <w:t>1)</w:t>
            </w:r>
          </w:p>
        </w:tc>
      </w:tr>
      <w:tr w:rsidR="003A7B6B" w:rsidRPr="00976ED6" w14:paraId="752565D4" w14:textId="77777777" w:rsidTr="005E6418">
        <w:tc>
          <w:tcPr>
            <w:tcW w:w="0" w:type="auto"/>
            <w:vMerge/>
            <w:hideMark/>
          </w:tcPr>
          <w:p w14:paraId="6FE16759" w14:textId="77777777" w:rsidR="003A7B6B" w:rsidRPr="00976ED6" w:rsidRDefault="003A7B6B" w:rsidP="005E6418">
            <w:pPr>
              <w:rPr>
                <w:color w:val="000000"/>
                <w:lang w:val="sl-SI"/>
              </w:rPr>
            </w:pPr>
          </w:p>
        </w:tc>
        <w:tc>
          <w:tcPr>
            <w:tcW w:w="2750" w:type="pct"/>
            <w:gridSpan w:val="2"/>
            <w:hideMark/>
          </w:tcPr>
          <w:p w14:paraId="3546B89E" w14:textId="342E1836" w:rsidR="003A7B6B" w:rsidRPr="00976ED6" w:rsidRDefault="003A7B6B" w:rsidP="005E6418">
            <w:pPr>
              <w:widowControl w:val="0"/>
              <w:tabs>
                <w:tab w:val="left" w:pos="567"/>
                <w:tab w:val="left" w:pos="1296"/>
              </w:tabs>
              <w:jc w:val="center"/>
              <w:rPr>
                <w:color w:val="000000"/>
                <w:lang w:val="sl-SI"/>
              </w:rPr>
            </w:pPr>
            <w:r w:rsidRPr="00976ED6">
              <w:rPr>
                <w:color w:val="000000"/>
                <w:lang w:val="sl-SI"/>
              </w:rPr>
              <w:t>0</w:t>
            </w:r>
            <w:r>
              <w:rPr>
                <w:color w:val="000000"/>
                <w:lang w:val="sl-SI"/>
              </w:rPr>
              <w:t>,</w:t>
            </w:r>
            <w:r w:rsidRPr="00976ED6">
              <w:rPr>
                <w:color w:val="000000"/>
                <w:lang w:val="sl-SI"/>
              </w:rPr>
              <w:t>209</w:t>
            </w:r>
          </w:p>
        </w:tc>
      </w:tr>
    </w:tbl>
    <w:p w14:paraId="36C06D74"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+cisplatina + fluorouracilas pranašumo rizikos santykis yra mažesnis, negu 1</w:t>
      </w:r>
    </w:p>
    <w:p w14:paraId="0F33C34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 </w:t>
      </w:r>
      <w:r w:rsidRPr="00976ED6">
        <w:rPr>
          <w:rFonts w:ascii="Times New Roman" w:hAnsi="Times New Roman" w:cs="Times New Roman"/>
          <w:i/>
          <w:lang w:val="sl-SI"/>
        </w:rPr>
        <w:t>Nekoreguotas logrank</w:t>
      </w:r>
      <w:r w:rsidRPr="00976ED6">
        <w:rPr>
          <w:rFonts w:ascii="Times New Roman" w:hAnsi="Times New Roman" w:cs="Times New Roman"/>
          <w:lang w:val="sl-SI"/>
        </w:rPr>
        <w:t xml:space="preserve"> testas</w:t>
      </w:r>
    </w:p>
    <w:p w14:paraId="4FD8116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 </w:t>
      </w:r>
      <w:r w:rsidRPr="00976ED6">
        <w:rPr>
          <w:rFonts w:ascii="Times New Roman" w:hAnsi="Times New Roman" w:cs="Times New Roman"/>
          <w:i/>
          <w:lang w:val="sl-SI"/>
        </w:rPr>
        <w:t>Nekoreguotas logrank</w:t>
      </w:r>
      <w:r w:rsidRPr="00976ED6">
        <w:rPr>
          <w:rFonts w:ascii="Times New Roman" w:hAnsi="Times New Roman" w:cs="Times New Roman"/>
          <w:lang w:val="sl-SI"/>
        </w:rPr>
        <w:t xml:space="preserve"> testas, nepritaikytas daugybiniams palyginimams</w:t>
      </w:r>
    </w:p>
    <w:p w14:paraId="2F1F76C1"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 </w:t>
      </w:r>
      <w:r w:rsidRPr="00976ED6">
        <w:rPr>
          <w:rFonts w:ascii="Times New Roman" w:hAnsi="Times New Roman" w:cs="Times New Roman"/>
          <w:i/>
          <w:lang w:val="sl-SI"/>
        </w:rPr>
        <w:t>Chi</w:t>
      </w:r>
      <w:r w:rsidRPr="00976ED6">
        <w:rPr>
          <w:rFonts w:ascii="Times New Roman" w:hAnsi="Times New Roman" w:cs="Times New Roman"/>
          <w:lang w:val="sl-SI"/>
        </w:rPr>
        <w:t xml:space="preserve"> kvadrato (χ2) kriterijus, nepritaikytas daugybiniams palyginimams</w:t>
      </w:r>
    </w:p>
    <w:p w14:paraId="651B8CA6"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DN – duomenys neaktualūs</w:t>
      </w:r>
    </w:p>
    <w:p w14:paraId="6CEFA188"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014C775"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5.2</w:t>
      </w:r>
      <w:r w:rsidRPr="00976ED6">
        <w:rPr>
          <w:rFonts w:ascii="Times New Roman" w:hAnsi="Times New Roman" w:cs="Times New Roman"/>
          <w:b/>
          <w:lang w:val="sl-SI"/>
        </w:rPr>
        <w:tab/>
        <w:t>Farmakokinetinės savybės</w:t>
      </w:r>
    </w:p>
    <w:p w14:paraId="7834A07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5FC70E3" w14:textId="77777777" w:rsidR="003A7B6B" w:rsidRPr="00976ED6" w:rsidRDefault="003A7B6B" w:rsidP="003A7B6B">
      <w:pPr>
        <w:widowControl w:val="0"/>
        <w:tabs>
          <w:tab w:val="left" w:pos="567"/>
          <w:tab w:val="left" w:pos="1296"/>
        </w:tabs>
        <w:ind w:left="0" w:right="-142" w:firstLine="0"/>
        <w:rPr>
          <w:rFonts w:ascii="Times New Roman" w:hAnsi="Times New Roman" w:cs="Times New Roman"/>
          <w:u w:val="single"/>
          <w:lang w:val="sl-SI"/>
        </w:rPr>
      </w:pPr>
      <w:r w:rsidRPr="00976ED6">
        <w:rPr>
          <w:rFonts w:ascii="Times New Roman" w:hAnsi="Times New Roman" w:cs="Times New Roman"/>
          <w:u w:val="single"/>
          <w:lang w:val="sl-SI"/>
        </w:rPr>
        <w:t>Absorbcija</w:t>
      </w:r>
    </w:p>
    <w:p w14:paraId="108379ED" w14:textId="77777777" w:rsidR="003A7B6B" w:rsidRPr="00976ED6" w:rsidRDefault="003A7B6B" w:rsidP="003A7B6B">
      <w:pPr>
        <w:widowControl w:val="0"/>
        <w:tabs>
          <w:tab w:val="left" w:pos="567"/>
          <w:tab w:val="left" w:pos="1296"/>
        </w:tabs>
        <w:ind w:left="0" w:right="-142" w:firstLine="0"/>
        <w:rPr>
          <w:rFonts w:ascii="Times New Roman" w:hAnsi="Times New Roman" w:cs="Times New Roman"/>
          <w:u w:val="single"/>
          <w:lang w:val="sl-SI"/>
        </w:rPr>
      </w:pPr>
    </w:p>
    <w:p w14:paraId="1EE93B30" w14:textId="77777777" w:rsidR="003A7B6B" w:rsidRPr="00976ED6" w:rsidRDefault="003A7B6B" w:rsidP="003A7B6B">
      <w:pPr>
        <w:widowControl w:val="0"/>
        <w:tabs>
          <w:tab w:val="left" w:pos="567"/>
          <w:tab w:val="left" w:pos="1296"/>
        </w:tabs>
        <w:ind w:left="0" w:right="-142" w:firstLine="0"/>
        <w:rPr>
          <w:rFonts w:ascii="Times New Roman" w:hAnsi="Times New Roman" w:cs="Times New Roman"/>
          <w:lang w:val="sl-SI"/>
        </w:rPr>
      </w:pPr>
      <w:r w:rsidRPr="00976ED6">
        <w:rPr>
          <w:rFonts w:ascii="Times New Roman" w:hAnsi="Times New Roman" w:cs="Times New Roman"/>
          <w:lang w:val="sl-SI"/>
        </w:rPr>
        <w:t xml:space="preserve">Docetakselio farmakokinetika vėžiu sergančių pacientų organizme tirta I fazės tyrimų metu infuzuojant šio vaisto 20-115 mg/m² dozėmis. Šio vaisto farmakokinetikos pobūdis nepriklauso nuo dozės ir atitinka </w:t>
      </w:r>
      <w:r w:rsidRPr="00976ED6">
        <w:rPr>
          <w:rFonts w:ascii="Times New Roman" w:hAnsi="Times New Roman" w:cs="Times New Roman"/>
          <w:lang w:val="sl-SI"/>
        </w:rPr>
        <w:lastRenderedPageBreak/>
        <w:t>trijų kamerų modelį. Pusinis laikas α, β ir γ fazėse yra atitinkamai 4 min., 36 min. ir 11,1 val. Paskutinė fazė iš dalies priklauso nuo palyginus lėto docetakselio patekimo iš periferinio kompartmento į kraują.</w:t>
      </w:r>
    </w:p>
    <w:p w14:paraId="74905BDA" w14:textId="77777777" w:rsidR="003A7B6B" w:rsidRPr="00976ED6" w:rsidRDefault="003A7B6B" w:rsidP="003A7B6B">
      <w:pPr>
        <w:widowControl w:val="0"/>
        <w:tabs>
          <w:tab w:val="left" w:pos="567"/>
          <w:tab w:val="left" w:pos="1296"/>
        </w:tabs>
        <w:ind w:left="0" w:right="-142" w:firstLine="0"/>
        <w:rPr>
          <w:rFonts w:ascii="Times New Roman" w:hAnsi="Times New Roman" w:cs="Times New Roman"/>
          <w:lang w:val="sl-SI"/>
        </w:rPr>
      </w:pPr>
    </w:p>
    <w:p w14:paraId="6120BBF8"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Pasiskirstymas</w:t>
      </w:r>
    </w:p>
    <w:p w14:paraId="3FD80A03"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p w14:paraId="5E04E4A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Per 1 val. infuzavus 100 mg/m² docetakselio, didžiausia jo koncentracija plazmoje būna vidutiniškai 3,7 g/ml, AUC – 4,6 val. g/ml. Vidutinis suminis organizmo klirensas – 21 l/val./m², vidutinis pusiausvyrinis pasiskirstymo tūris – 113 litrų. Suminis skirtingų asmenų organizmo klirensas įvairuoja maždaug 50%. Daugiau kaip 95% docetakselio būna prisijungusio prie plazmos baltymų.</w:t>
      </w:r>
    </w:p>
    <w:p w14:paraId="7CC523D9"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p w14:paraId="31FD30B9"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Eliminacija</w:t>
      </w:r>
    </w:p>
    <w:p w14:paraId="5942EA78"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p w14:paraId="7729DF7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Su trimis vėžiu sergančiais pacientais atliktas 14 C-docetakselio kinetikos tyrimas. Docetakselis per 7 dienas pasišalino su šlapimu ir išmatomis po citochromo P450 katalizuojamo tretinės butilo esterio grupės oksidacinio metabolizmo (šlapime ir išmatose rasta atitinkamai 6% ir 75% infuzuoto radioaktyvumo). Maždaug 80% išmatose rasto radioaktyvumo pasišalino per pirmąsias 48 val. (tai buvo vienas pagrindinis neaktyvus metabolitas, trys mažiau svarbūs neaktyvūs metabolitai ir labai nedidelis nepakitusio vaistinio preparato kiekis).</w:t>
      </w:r>
    </w:p>
    <w:p w14:paraId="1C6E2129"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p>
    <w:p w14:paraId="47FAE867"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Ypatingos populiacijos</w:t>
      </w:r>
    </w:p>
    <w:p w14:paraId="7FB28E5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00B47B2"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Amžius ir lytis</w:t>
      </w:r>
    </w:p>
    <w:p w14:paraId="4BCA3208"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Populiacinė docetakselio farmakokinetikos analizė atlikta su 577 pacientais. Modeliu nustatyti labai panašūs farmakokinetikos parametrai kaip I fazės tyrimų metu. Docetakselio farmakokinetika nepriklausė nuo paciento amžiaus ir lyties.</w:t>
      </w:r>
    </w:p>
    <w:p w14:paraId="26EE49D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E941BB8"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Sutrikusi kepenų funkcija</w:t>
      </w:r>
    </w:p>
    <w:p w14:paraId="32F82E6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23 pacientų kepenų funkcija, sprendžiant pagal klinikinius cheminius rodmenis, buvo lengvai arba vidutiniškai pakenkta (ALT, AST aktyvumas viršijo viršutinę normos ribą 1,5 karto arba daugiau, šarminės fosfatazės – 2,5 karto arba daugiau). Docetakselio suminis klirensas šių pacientų organizme buvo vidutiniškai 27% mažesnis (žr. 4.2 skyrių).</w:t>
      </w:r>
    </w:p>
    <w:p w14:paraId="7619B122"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52AD65A1"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Skysčių susilaikymas</w:t>
      </w:r>
    </w:p>
    <w:p w14:paraId="6120AA2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Lengvas ar vidutinio laipsnio skysčių susilaikymas įtakos docetakselio klirensui neturėjo, o duomenų apie sunkaus laipsnio skysčių susilaikymo įtaką nėra.</w:t>
      </w:r>
    </w:p>
    <w:p w14:paraId="3D2B8942"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A3D7793"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Kombinuotas gydymas</w:t>
      </w:r>
    </w:p>
    <w:p w14:paraId="332130F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B618460"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Doksorubicinas</w:t>
      </w:r>
    </w:p>
    <w:p w14:paraId="07201345"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Kartu vartojamas docetakselis neveikia doksorubicino klirenso ir doksorubicino metabolito – doksorubicinolio koncentracijos plazmoje. Kartu vartojami docetakselis, doksorubicinas ir ciklofosfamidas vienas kito farmakokinetikos nekeičia.</w:t>
      </w:r>
    </w:p>
    <w:p w14:paraId="749000F9"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53825887"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Kapecitabinas</w:t>
      </w:r>
    </w:p>
    <w:p w14:paraId="4A8B077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I fazės metu tirtas kapecitabino ir docetakselio poveikis vienas kito farmakokinetikai. Kapecitabino įtakos docetakselio farmakokinetikai (didžiausiai koncentracijai ir AUC) nenustatyta. Taip pat nenustatyta docetakselio įtakos pagrindinio kapecitabino metabolito (5’-DFUR) farmakokinetikai.</w:t>
      </w:r>
    </w:p>
    <w:p w14:paraId="52AB1516"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854BC32"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Cisplatina</w:t>
      </w:r>
    </w:p>
    <w:p w14:paraId="35C47D6A"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Kartu su cisplatina vartojamo docetakselio klirensas buvo panašus į nustatytą jį vartojant atskirai. Cisplatinos, pavartotos tuoj po docetakselio infuzijos, farmakokinetikos pobūdis yra panašus kaip vartojamos atskirai.</w:t>
      </w:r>
    </w:p>
    <w:p w14:paraId="4E0C2EA3"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46608F8"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Cisplatina ir 5-fluorouracilas</w:t>
      </w:r>
    </w:p>
    <w:p w14:paraId="1972DF3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12 pacientų solidinių navikų gydymui vartoti docetakselis, cisplatina ir 5-fluorouracilas poveikio vienas kito farmakokinetikai nedarė.</w:t>
      </w:r>
    </w:p>
    <w:p w14:paraId="66E9577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0CDED1E"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lastRenderedPageBreak/>
        <w:t>Prednizonas ir deksametazonas</w:t>
      </w:r>
    </w:p>
    <w:p w14:paraId="170E4CC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Tirta prednizono, vartojamo kartu su įprastinei premedikacijai skiriamu deksametazonu, įtaka docetakselio farmakokinetikai 42 pacientų organizme.</w:t>
      </w:r>
    </w:p>
    <w:p w14:paraId="1AA51118"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98D772C" w14:textId="77777777" w:rsidR="003A7B6B" w:rsidRPr="00976ED6" w:rsidRDefault="003A7B6B" w:rsidP="003A7B6B">
      <w:pPr>
        <w:widowControl w:val="0"/>
        <w:tabs>
          <w:tab w:val="left" w:pos="1296"/>
        </w:tabs>
        <w:ind w:left="0" w:firstLine="0"/>
        <w:rPr>
          <w:rFonts w:ascii="Times New Roman" w:hAnsi="Times New Roman" w:cs="Times New Roman"/>
          <w:i/>
          <w:lang w:val="sl-SI"/>
        </w:rPr>
      </w:pPr>
      <w:r w:rsidRPr="00976ED6">
        <w:rPr>
          <w:rFonts w:ascii="Times New Roman" w:hAnsi="Times New Roman" w:cs="Times New Roman"/>
          <w:i/>
          <w:lang w:val="sl-SI"/>
        </w:rPr>
        <w:t>Prednizonas</w:t>
      </w:r>
    </w:p>
    <w:p w14:paraId="5321A854"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Prednizono įtakos docetakselio farmakokinetikai nenustatyta.</w:t>
      </w:r>
    </w:p>
    <w:p w14:paraId="4D43741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FC9341A"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5.3</w:t>
      </w:r>
      <w:r w:rsidRPr="00976ED6">
        <w:rPr>
          <w:rFonts w:ascii="Times New Roman" w:hAnsi="Times New Roman" w:cs="Times New Roman"/>
          <w:b/>
          <w:lang w:val="sl-SI"/>
        </w:rPr>
        <w:tab/>
        <w:t>Ikiklinikinių saugumo tyrimų duomenys</w:t>
      </w:r>
    </w:p>
    <w:p w14:paraId="54E0A78E"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988D1D2" w14:textId="77777777" w:rsidR="003A7B6B" w:rsidRPr="00976ED6" w:rsidRDefault="003A7B6B" w:rsidP="003A7B6B">
      <w:pPr>
        <w:widowControl w:val="0"/>
        <w:tabs>
          <w:tab w:val="left" w:pos="567"/>
          <w:tab w:val="left" w:pos="1296"/>
        </w:tabs>
        <w:ind w:left="0" w:firstLine="0"/>
        <w:rPr>
          <w:rFonts w:ascii="Times New Roman" w:hAnsi="Times New Roman" w:cs="Times New Roman"/>
          <w:u w:val="single"/>
          <w:lang w:val="sl-SI"/>
        </w:rPr>
      </w:pPr>
      <w:r w:rsidRPr="00976ED6">
        <w:rPr>
          <w:rFonts w:ascii="Times New Roman" w:hAnsi="Times New Roman" w:cs="Times New Roman"/>
          <w:lang w:val="sl-SI"/>
        </w:rPr>
        <w:t>Docetakselio potencialus kancerogeninis poveikis netirtas.</w:t>
      </w:r>
    </w:p>
    <w:p w14:paraId="20E639F6"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B4A4F96"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Mikrobranduolių ir chromosomų aberacijos testai su CHO-K1 (kiniškojo žiurkėno kiaušidžių K1) ląstelėmis </w:t>
      </w:r>
      <w:r w:rsidRPr="00976ED6">
        <w:rPr>
          <w:rFonts w:ascii="Times New Roman" w:hAnsi="Times New Roman" w:cs="Times New Roman"/>
          <w:i/>
          <w:lang w:val="sl-SI"/>
        </w:rPr>
        <w:t>in vitro</w:t>
      </w:r>
      <w:r w:rsidRPr="00976ED6">
        <w:rPr>
          <w:rFonts w:ascii="Times New Roman" w:hAnsi="Times New Roman" w:cs="Times New Roman"/>
          <w:lang w:val="sl-SI"/>
        </w:rPr>
        <w:t xml:space="preserve"> bei mikrobranduolių testas su pelėmis </w:t>
      </w:r>
      <w:r w:rsidRPr="00976ED6">
        <w:rPr>
          <w:rFonts w:ascii="Times New Roman" w:hAnsi="Times New Roman" w:cs="Times New Roman"/>
          <w:i/>
          <w:lang w:val="sl-SI"/>
        </w:rPr>
        <w:t>in vivo</w:t>
      </w:r>
      <w:r w:rsidRPr="00976ED6">
        <w:rPr>
          <w:rFonts w:ascii="Times New Roman" w:hAnsi="Times New Roman" w:cs="Times New Roman"/>
          <w:lang w:val="sl-SI"/>
        </w:rPr>
        <w:t xml:space="preserve"> parodė docetakselio mutageninį poveikį. </w:t>
      </w:r>
      <w:r w:rsidRPr="00976ED6">
        <w:rPr>
          <w:rFonts w:ascii="Times New Roman" w:hAnsi="Times New Roman" w:cs="Times New Roman"/>
          <w:i/>
          <w:lang w:val="sl-SI"/>
        </w:rPr>
        <w:t>Ames</w:t>
      </w:r>
      <w:r w:rsidRPr="00976ED6">
        <w:rPr>
          <w:rFonts w:ascii="Times New Roman" w:hAnsi="Times New Roman" w:cs="Times New Roman"/>
          <w:lang w:val="sl-SI"/>
        </w:rPr>
        <w:t xml:space="preserve"> testas ir kiniškojo žiurkėno kiaušidžių ląstelių HGPRT geno mutacijos testas mutageninio poveikio neparodė. Gauti rezultatai atitinka turimą informaciją apie docetakselio farmakologinį poveikį.</w:t>
      </w:r>
    </w:p>
    <w:p w14:paraId="2CDBF05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C9FA142"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Tiriant docetakselio toksiškumą nustatytas nepageidaujamas poveikis graužikų sėklidėms rodo, kad šis vaistas gali trikdyti vyriškos lyties individų vaisingumą.</w:t>
      </w:r>
    </w:p>
    <w:p w14:paraId="62FA132D"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EBE9A03"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12737CF"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6.</w:t>
      </w:r>
      <w:r w:rsidRPr="00976ED6">
        <w:rPr>
          <w:rFonts w:ascii="Times New Roman" w:hAnsi="Times New Roman" w:cs="Times New Roman"/>
          <w:b/>
          <w:lang w:val="sl-SI"/>
        </w:rPr>
        <w:tab/>
        <w:t>FARMACINĖ INFORMACIJA</w:t>
      </w:r>
    </w:p>
    <w:p w14:paraId="3894EE6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48B6021"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6.1</w:t>
      </w:r>
      <w:r w:rsidRPr="00976ED6">
        <w:rPr>
          <w:rFonts w:ascii="Times New Roman" w:hAnsi="Times New Roman" w:cs="Times New Roman"/>
          <w:b/>
          <w:lang w:val="sl-SI"/>
        </w:rPr>
        <w:tab/>
        <w:t>Pagalbinių medžiagų sąrašas</w:t>
      </w:r>
    </w:p>
    <w:p w14:paraId="31F3A2FD"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AC084F2"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Polisorbatas 80</w:t>
      </w:r>
    </w:p>
    <w:p w14:paraId="76B92B3A"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Bevandenis etanolis</w:t>
      </w:r>
    </w:p>
    <w:p w14:paraId="38BC3ED1" w14:textId="134C96AF" w:rsidR="003A7B6B" w:rsidRPr="00976ED6" w:rsidRDefault="00FC0546" w:rsidP="003A7B6B">
      <w:pPr>
        <w:widowControl w:val="0"/>
        <w:tabs>
          <w:tab w:val="left" w:pos="1296"/>
        </w:tabs>
        <w:ind w:left="0" w:firstLine="0"/>
        <w:rPr>
          <w:rFonts w:ascii="Times New Roman" w:hAnsi="Times New Roman" w:cs="Times New Roman"/>
          <w:lang w:val="sl-SI"/>
        </w:rPr>
      </w:pPr>
      <w:r>
        <w:rPr>
          <w:rFonts w:ascii="Times New Roman" w:hAnsi="Times New Roman" w:cs="Times New Roman"/>
          <w:lang w:val="sl-SI"/>
        </w:rPr>
        <w:t>C</w:t>
      </w:r>
      <w:r w:rsidR="003A7B6B" w:rsidRPr="00976ED6">
        <w:rPr>
          <w:rFonts w:ascii="Times New Roman" w:hAnsi="Times New Roman" w:cs="Times New Roman"/>
          <w:lang w:val="sl-SI"/>
        </w:rPr>
        <w:t>itrinų rūgštis</w:t>
      </w:r>
    </w:p>
    <w:p w14:paraId="28C29D63"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D1CA10D"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6.2</w:t>
      </w:r>
      <w:r w:rsidRPr="00976ED6">
        <w:rPr>
          <w:rFonts w:ascii="Times New Roman" w:hAnsi="Times New Roman" w:cs="Times New Roman"/>
          <w:b/>
          <w:lang w:val="sl-SI"/>
        </w:rPr>
        <w:tab/>
        <w:t>Nesuderinamumas</w:t>
      </w:r>
    </w:p>
    <w:p w14:paraId="5E5B518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0529D46"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Šio vaistinio preparato negalima maišyti su kitais, išskyrus nurodytus 6.6 skyriuje.</w:t>
      </w:r>
    </w:p>
    <w:p w14:paraId="2C687759"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EB760FB"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6.3</w:t>
      </w:r>
      <w:r w:rsidRPr="00976ED6">
        <w:rPr>
          <w:rFonts w:ascii="Times New Roman" w:hAnsi="Times New Roman" w:cs="Times New Roman"/>
          <w:b/>
          <w:lang w:val="sl-SI"/>
        </w:rPr>
        <w:tab/>
        <w:t>Tinkamumo laikas</w:t>
      </w:r>
    </w:p>
    <w:p w14:paraId="1C105A3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A62ED4B"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Neatidaryto flakono</w:t>
      </w:r>
    </w:p>
    <w:p w14:paraId="003617E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2 metai</w:t>
      </w:r>
    </w:p>
    <w:p w14:paraId="363F1770"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D72F177"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Flakoną pirmą kartą atidarius</w:t>
      </w:r>
    </w:p>
    <w:p w14:paraId="2DA638E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Kiekvienas flakonas yra skirtas vienkartiniam vartojimui ir turi būti vartojamas nedelsiant po atidarymo. Jeigu jis tuoj pat nevartojamas, už laikymo trukmę ir sąlygas atsako vartotojas.</w:t>
      </w:r>
    </w:p>
    <w:p w14:paraId="5CE295A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B93A198"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Pridėjus į infuzinį maišelį</w:t>
      </w:r>
    </w:p>
    <w:p w14:paraId="69AB4F6F"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Mikrobiologiniu požiūriu, tirpalas turi būti skiedžiamas kontroliuojamomis ir aseptinėmis sąlygomis, paruoštą tirpalą reikia vartoti nedelsiant. Jeigu jis tuoj pat nevartojamas, už laikymo trukmę ir sąlygas atsako vartotojas.</w:t>
      </w:r>
    </w:p>
    <w:p w14:paraId="6C13420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9D98F5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Pagal rekomendacijas pridėjus į infuzinį maišelį, gauto docetakselio infuzinio tirpalo, laikomo žemesnėje kaip 25</w:t>
      </w:r>
      <w:r w:rsidRPr="00976ED6">
        <w:rPr>
          <w:rFonts w:ascii="Times New Roman" w:hAnsi="Times New Roman" w:cs="Times New Roman"/>
          <w:lang w:val="sl-SI"/>
        </w:rPr>
        <w:sym w:font="Symbol" w:char="F0B0"/>
      </w:r>
      <w:r w:rsidRPr="00976ED6">
        <w:rPr>
          <w:rFonts w:ascii="Times New Roman" w:hAnsi="Times New Roman" w:cs="Times New Roman"/>
          <w:lang w:val="sl-SI"/>
        </w:rPr>
        <w:t>C temperatūroje savybės nekinta 24 val. Vaistinis preparatas turi būti suvartotas per 24 valandas (įskaitant vienos valandos trukmės infuziją į veną).</w:t>
      </w:r>
    </w:p>
    <w:p w14:paraId="6A5CD37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628AA4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Be to, pagal rekomendacijas paruošto infuzinio tirpalo, laikomo ne PVC maišeliuose 2</w:t>
      </w:r>
      <w:r w:rsidRPr="00976ED6">
        <w:rPr>
          <w:rFonts w:ascii="Times New Roman" w:hAnsi="Times New Roman" w:cs="Times New Roman"/>
          <w:lang w:val="sl-SI"/>
        </w:rPr>
        <w:sym w:font="Symbol" w:char="F0B0"/>
      </w:r>
      <w:r w:rsidRPr="00976ED6">
        <w:rPr>
          <w:rFonts w:ascii="Times New Roman" w:hAnsi="Times New Roman" w:cs="Times New Roman"/>
          <w:lang w:val="sl-SI"/>
        </w:rPr>
        <w:t>C - 8</w:t>
      </w:r>
      <w:r w:rsidRPr="00976ED6">
        <w:rPr>
          <w:rFonts w:ascii="Times New Roman" w:hAnsi="Times New Roman" w:cs="Times New Roman"/>
          <w:lang w:val="sl-SI"/>
        </w:rPr>
        <w:sym w:font="Symbol" w:char="F0B0"/>
      </w:r>
      <w:r w:rsidRPr="00976ED6">
        <w:rPr>
          <w:rFonts w:ascii="Times New Roman" w:hAnsi="Times New Roman" w:cs="Times New Roman"/>
          <w:lang w:val="sl-SI"/>
        </w:rPr>
        <w:t>C temperatūroje, fizinis ir cheminis stabilumas nekinta 7 paras.</w:t>
      </w:r>
    </w:p>
    <w:p w14:paraId="61188AC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58FF3B8" w14:textId="77777777" w:rsidR="003A7B6B" w:rsidRPr="00976ED6" w:rsidRDefault="003A7B6B" w:rsidP="003A7B6B">
      <w:pPr>
        <w:widowControl w:val="0"/>
        <w:tabs>
          <w:tab w:val="left" w:pos="1296"/>
        </w:tabs>
        <w:outlineLvl w:val="3"/>
        <w:rPr>
          <w:rFonts w:ascii="Times New Roman" w:hAnsi="Times New Roman" w:cs="Times New Roman"/>
          <w:lang w:val="sl-SI"/>
        </w:rPr>
      </w:pPr>
      <w:r w:rsidRPr="00976ED6">
        <w:rPr>
          <w:rFonts w:ascii="Times New Roman" w:hAnsi="Times New Roman" w:cs="Times New Roman"/>
          <w:b/>
          <w:lang w:val="sl-SI"/>
        </w:rPr>
        <w:t>6.4</w:t>
      </w:r>
      <w:r w:rsidRPr="00976ED6">
        <w:rPr>
          <w:rFonts w:ascii="Times New Roman" w:hAnsi="Times New Roman" w:cs="Times New Roman"/>
          <w:b/>
          <w:lang w:val="sl-SI"/>
        </w:rPr>
        <w:tab/>
        <w:t>Specialios laikymo sąlygos</w:t>
      </w:r>
    </w:p>
    <w:p w14:paraId="7E85990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64BC049"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Laikyti ne aukštesnėje kaip 25</w:t>
      </w:r>
      <w:r w:rsidRPr="00976ED6">
        <w:rPr>
          <w:rFonts w:ascii="Times New Roman" w:hAnsi="Times New Roman" w:cs="Times New Roman"/>
          <w:lang w:val="sl-SI"/>
        </w:rPr>
        <w:sym w:font="Symbol" w:char="F0B0"/>
      </w:r>
      <w:r w:rsidRPr="00976ED6">
        <w:rPr>
          <w:rFonts w:ascii="Times New Roman" w:hAnsi="Times New Roman" w:cs="Times New Roman"/>
          <w:lang w:val="sl-SI"/>
        </w:rPr>
        <w:t>C temperatūroje.</w:t>
      </w:r>
    </w:p>
    <w:p w14:paraId="031C935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A4DAD92"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Laikyti gamintojo pakuotėje, kad vaistinis preparatas būtų apsaugotas nuo šviesos.</w:t>
      </w:r>
    </w:p>
    <w:p w14:paraId="1108BDFE"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76D7EBC"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Praskiesto vaistinio preparato laikymo sąlygos pateikiamos 6.3 skyriuje.</w:t>
      </w:r>
    </w:p>
    <w:p w14:paraId="5EA3B462"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94BF562" w14:textId="77777777" w:rsidR="003A7B6B" w:rsidRPr="00976ED6" w:rsidRDefault="003A7B6B" w:rsidP="003A7B6B">
      <w:pPr>
        <w:widowControl w:val="0"/>
        <w:tabs>
          <w:tab w:val="left" w:pos="1296"/>
        </w:tabs>
        <w:outlineLvl w:val="3"/>
        <w:rPr>
          <w:rFonts w:ascii="Times New Roman" w:hAnsi="Times New Roman" w:cs="Times New Roman"/>
          <w:lang w:val="sl-SI"/>
        </w:rPr>
      </w:pPr>
      <w:r w:rsidRPr="00976ED6">
        <w:rPr>
          <w:rFonts w:ascii="Times New Roman" w:hAnsi="Times New Roman" w:cs="Times New Roman"/>
          <w:b/>
          <w:lang w:val="sl-SI"/>
        </w:rPr>
        <w:t>6.5</w:t>
      </w:r>
      <w:r w:rsidRPr="00976ED6">
        <w:rPr>
          <w:rFonts w:ascii="Times New Roman" w:hAnsi="Times New Roman" w:cs="Times New Roman"/>
          <w:b/>
          <w:lang w:val="sl-SI"/>
        </w:rPr>
        <w:tab/>
        <w:t>Talpyklės pobūdis ir jos turinys</w:t>
      </w:r>
    </w:p>
    <w:p w14:paraId="02118C0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635400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20 mg/1 ml: 5 ml permatomo stiklo I tipo flakonas su </w:t>
      </w:r>
      <w:r w:rsidRPr="00976ED6">
        <w:rPr>
          <w:rFonts w:ascii="Times New Roman" w:hAnsi="Times New Roman" w:cs="Times New Roman"/>
          <w:i/>
          <w:lang w:val="sl-SI"/>
        </w:rPr>
        <w:t xml:space="preserve">fluorotec plus </w:t>
      </w:r>
      <w:r w:rsidRPr="00976ED6">
        <w:rPr>
          <w:rFonts w:ascii="Times New Roman" w:hAnsi="Times New Roman" w:cs="Times New Roman"/>
          <w:lang w:val="sl-SI"/>
        </w:rPr>
        <w:t>guminiu kamščiu, aliuminio dangteliu bei oranžiniu nuplėšiamu gaubteliu: dėžutėje yra vienas flakonas, kuriame yra 1 ml koncentrato infuziniam tirpalui.</w:t>
      </w:r>
    </w:p>
    <w:p w14:paraId="73E55C4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 xml:space="preserve">80 mg/4 ml: 5 ml permatomo stiklo I tipo flakonas su </w:t>
      </w:r>
      <w:r w:rsidRPr="00976ED6">
        <w:rPr>
          <w:rFonts w:ascii="Times New Roman" w:hAnsi="Times New Roman" w:cs="Times New Roman"/>
          <w:i/>
          <w:highlight w:val="lightGray"/>
          <w:lang w:val="sl-SI"/>
        </w:rPr>
        <w:t>fluorotec plus</w:t>
      </w:r>
      <w:r w:rsidRPr="00976ED6">
        <w:rPr>
          <w:rFonts w:ascii="Times New Roman" w:hAnsi="Times New Roman" w:cs="Times New Roman"/>
          <w:highlight w:val="lightGray"/>
          <w:lang w:val="sl-SI"/>
        </w:rPr>
        <w:t xml:space="preserve"> guminiu kamščiu, aliuminio dangteliu bei raudonu nuplėšiamu gaubteliu: dėžutėje yra vienas flakonas, kuriame yra 4 ml koncentrato infuziniam tirpalui.</w:t>
      </w:r>
    </w:p>
    <w:p w14:paraId="4112E32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darkGray"/>
          <w:lang w:val="sl-SI"/>
        </w:rPr>
        <w:t xml:space="preserve">160 mg/8 ml: 10 ml permatomo stiklo I tipo flakonas su </w:t>
      </w:r>
      <w:r w:rsidRPr="00976ED6">
        <w:rPr>
          <w:rFonts w:ascii="Times New Roman" w:hAnsi="Times New Roman" w:cs="Times New Roman"/>
          <w:i/>
          <w:highlight w:val="darkGray"/>
          <w:lang w:val="sl-SI"/>
        </w:rPr>
        <w:t>fluorotec plus</w:t>
      </w:r>
      <w:r w:rsidRPr="00976ED6">
        <w:rPr>
          <w:rFonts w:ascii="Times New Roman" w:hAnsi="Times New Roman" w:cs="Times New Roman"/>
          <w:highlight w:val="darkGray"/>
          <w:lang w:val="sl-SI"/>
        </w:rPr>
        <w:t xml:space="preserve"> guminiu kamščiu, aliuminio dangteliu bei raudonu nuplėšiamu gaubteliu: dėžutėje yra vienas flakonas, kuriame yra 8 ml koncentrato infuziniam tirpalui.</w:t>
      </w:r>
    </w:p>
    <w:p w14:paraId="0CA0CEF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02FDED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Gali būti tiekiamos ne visų dydžių pakuotės.</w:t>
      </w:r>
    </w:p>
    <w:p w14:paraId="178508D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5B204E9"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bookmarkStart w:id="2" w:name="OLE_LINK1"/>
      <w:r w:rsidRPr="00976ED6">
        <w:rPr>
          <w:rFonts w:ascii="Times New Roman" w:hAnsi="Times New Roman" w:cs="Times New Roman"/>
          <w:b/>
          <w:lang w:val="sl-SI"/>
        </w:rPr>
        <w:t>6.6</w:t>
      </w:r>
      <w:r w:rsidRPr="00976ED6">
        <w:rPr>
          <w:rFonts w:ascii="Times New Roman" w:hAnsi="Times New Roman" w:cs="Times New Roman"/>
          <w:b/>
          <w:lang w:val="sl-SI"/>
        </w:rPr>
        <w:tab/>
        <w:t>Specialūs reikalavimai atliekoms tvarkyti ir vaistiniam preparatui ruošti</w:t>
      </w:r>
    </w:p>
    <w:bookmarkEnd w:id="2"/>
    <w:p w14:paraId="79735DC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59E23E5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Docetakselis yra vaistinis preparatas nuo vėžio. Jo (kaip ir kitų potencialiai toksiškų junginių) tirpalus ruošti reikia atsargiai. Rekomenduojama mūvėti pirštinėmis.</w:t>
      </w:r>
    </w:p>
    <w:p w14:paraId="577D6FC8"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2363B01"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Jei docetakselio koncentrato arba infuzinio tirpalo pateko ant odos, reikia nedelsiant nuplauti dideliu vandens kiekiu su muilu. Jei docetakselio koncentrato arba infuzinio tirpalo pateko ant gleivinės, reikia nedelsiant nuplauti dideliu vandens kiekiu.</w:t>
      </w:r>
    </w:p>
    <w:p w14:paraId="758245B0"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1B87737" w14:textId="77777777" w:rsidR="003A7B6B" w:rsidRPr="00976ED6" w:rsidRDefault="003A7B6B" w:rsidP="003A7B6B">
      <w:pPr>
        <w:widowControl w:val="0"/>
        <w:tabs>
          <w:tab w:val="left" w:pos="1296"/>
        </w:tabs>
        <w:ind w:left="0" w:firstLine="0"/>
        <w:rPr>
          <w:rFonts w:ascii="Times New Roman" w:hAnsi="Times New Roman" w:cs="Times New Roman"/>
          <w:u w:val="single"/>
          <w:lang w:val="sl-SI"/>
        </w:rPr>
      </w:pPr>
      <w:r w:rsidRPr="00976ED6">
        <w:rPr>
          <w:rFonts w:ascii="Times New Roman" w:hAnsi="Times New Roman" w:cs="Times New Roman"/>
          <w:u w:val="single"/>
          <w:lang w:val="sl-SI"/>
        </w:rPr>
        <w:t>Ruošimas intraveniniam vartojimui</w:t>
      </w:r>
    </w:p>
    <w:p w14:paraId="3CC2305A"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0C5CF74" w14:textId="77777777" w:rsidR="003A7B6B" w:rsidRPr="00976ED6" w:rsidRDefault="003A7B6B" w:rsidP="003A7B6B">
      <w:pPr>
        <w:widowControl w:val="0"/>
        <w:tabs>
          <w:tab w:val="left" w:pos="1296"/>
        </w:tabs>
        <w:ind w:left="0" w:firstLine="0"/>
        <w:rPr>
          <w:rFonts w:ascii="Times New Roman" w:hAnsi="Times New Roman" w:cs="Times New Roman"/>
          <w:i/>
          <w:u w:val="single"/>
          <w:lang w:val="sl-SI"/>
        </w:rPr>
      </w:pPr>
      <w:r w:rsidRPr="00976ED6">
        <w:rPr>
          <w:rFonts w:ascii="Times New Roman" w:hAnsi="Times New Roman" w:cs="Times New Roman"/>
          <w:i/>
          <w:u w:val="single"/>
          <w:lang w:val="sl-SI"/>
        </w:rPr>
        <w:t>Infuzinio tirpalo ruošimas</w:t>
      </w:r>
    </w:p>
    <w:p w14:paraId="3FB4580D" w14:textId="77777777" w:rsidR="003A7B6B" w:rsidRPr="00976ED6" w:rsidRDefault="003A7B6B" w:rsidP="003A7B6B">
      <w:pPr>
        <w:widowControl w:val="0"/>
        <w:tabs>
          <w:tab w:val="left" w:pos="1296"/>
        </w:tabs>
        <w:ind w:left="0" w:firstLine="0"/>
        <w:rPr>
          <w:rFonts w:ascii="Times New Roman" w:hAnsi="Times New Roman" w:cs="Times New Roman"/>
          <w:b/>
          <w:lang w:val="sl-SI"/>
        </w:rPr>
      </w:pPr>
      <w:r w:rsidRPr="00976ED6">
        <w:rPr>
          <w:rFonts w:ascii="Times New Roman" w:hAnsi="Times New Roman" w:cs="Times New Roman"/>
          <w:b/>
          <w:lang w:val="sl-SI"/>
        </w:rPr>
        <w:t>NEVARTOKITE kitų docetakselio vaistinių preparatų, kuriuos sudaro 2 flakonai (koncentratas ir tirpiklis) kartu su šiuo vaistiniu preparatu (Tolnexa 20 mg/ml koncentratas infuziniam tirpalui, kurį sudaro 1 flakonas) (20 mg/1 ml, 80 mg/4 ml, 160 mg/8 ml).</w:t>
      </w:r>
    </w:p>
    <w:p w14:paraId="04A2CC6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48977DE" w14:textId="77777777" w:rsidR="003A7B6B" w:rsidRPr="00976ED6" w:rsidRDefault="003A7B6B" w:rsidP="003A7B6B">
      <w:pPr>
        <w:widowControl w:val="0"/>
        <w:tabs>
          <w:tab w:val="left" w:pos="1296"/>
        </w:tabs>
        <w:ind w:left="0" w:firstLine="0"/>
        <w:rPr>
          <w:rFonts w:ascii="Times New Roman" w:hAnsi="Times New Roman" w:cs="Times New Roman"/>
          <w:b/>
          <w:lang w:val="sl-SI"/>
        </w:rPr>
      </w:pPr>
      <w:r w:rsidRPr="00976ED6">
        <w:rPr>
          <w:rFonts w:ascii="Times New Roman" w:hAnsi="Times New Roman" w:cs="Times New Roman"/>
          <w:b/>
          <w:lang w:val="sl-SI"/>
        </w:rPr>
        <w:t>Docetakselio koncentrato infuziniam tirpalui NEREIKIA skiesti tirpikliu, jis yra paruoštas pridėjimui į infuzinį tirpalą.</w:t>
      </w:r>
    </w:p>
    <w:p w14:paraId="58C86CA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BFDC10D"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Kiekvienas flakonas skirtas vienkartiniam vartojimui ir turi būti suvartotas nedelsiant.</w:t>
      </w:r>
    </w:p>
    <w:p w14:paraId="70E3DCE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09E40D6"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Jei flakonai laikomi šaltai, tai reikiamą docetakselio koncentrato infuziniam tirpalui dėžučių skaičių prieš vartojant reikia palaikyti žemesnėje kaip 25 °C temperatūroje 5 min. Vienam pacientui reikiamai dozei paruošti gali prireikti daugiau nei vieno docetakselio koncentrato infuziniam tirpalui flakono.</w:t>
      </w:r>
    </w:p>
    <w:p w14:paraId="022A577E"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D6B3918"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Rekomenduojama vartoti mažiausią flakonų skaičių tam, kad sumažinti tirpalo fizikinę intervenciją.</w:t>
      </w:r>
    </w:p>
    <w:p w14:paraId="057A09A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5D1953A"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Reikiamas docetakselio koncentrato infuziniam tirpalui kiekis, ištraukiamas aseptinėmis sąlygomis kalibruotu švirkštu.</w:t>
      </w:r>
    </w:p>
    <w:p w14:paraId="44569D13"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9D4B4EC" w14:textId="77777777" w:rsidR="003A7B6B" w:rsidRPr="00976ED6" w:rsidRDefault="003A7B6B" w:rsidP="003A7B6B">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b/>
          <w:lang w:val="sl-SI"/>
        </w:rPr>
        <w:t>Tolnexa 20 mg/ml flakone docetakselio koncentracija yra 20 mg/ml</w:t>
      </w:r>
    </w:p>
    <w:p w14:paraId="002DA57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2319700"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Reikiamas docetakselio koncentrato infuziniam tirpalui tūris sušvirkščiamas per vieną kartą („vienu šūviu“) į 250 ml infuzinį maišelį, kuriame yra 5% gliukozės tirpalas arba 9 mg/ml (0,9%) natrio chlorido infuzinis tirpalas.</w:t>
      </w:r>
    </w:p>
    <w:p w14:paraId="737AD3DC"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A1E86B3"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Jei reikia didesnės kaip 190 mg docetakselio dozės, naudojamas didesnis pagalbinio infuzinio tirpalo tūris, kad docetakselio koncentracija neviršytų 0,74 mg/ml.</w:t>
      </w:r>
    </w:p>
    <w:p w14:paraId="10224A89"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E922484"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Infuzinio maišelio turinys sumaišomas sukiojant rankose, tačiau reikia vengti stipraus kratymo ir plakimo.</w:t>
      </w:r>
    </w:p>
    <w:p w14:paraId="178F9F0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BD425BB"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Infuziniame maišelyje esantį tirpalą reikia suvartoti per 24 val., žemesnėje kaip 25 °C temperatūroje, įskaitant 1 val. infuziją pacientui.</w:t>
      </w:r>
    </w:p>
    <w:p w14:paraId="14B86980"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1B42301"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infuzinį tirpalą (kaip ir kitus parenteralinius preparatus) prieš vartojimą reikia apžiūrėti. Jei yra nuosėdų, tirpalo vartoti negalima, jis turi būti sunaikintas.</w:t>
      </w:r>
    </w:p>
    <w:p w14:paraId="76AF861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6B94C4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infuzinis tirpalas yra persotintas, todėl laikui bėgant gali kristalizuotis. Jeigu atsiranda kristalų, tirpalas turi būti daugiau nevartojamas ir sunaikinamas.</w:t>
      </w:r>
    </w:p>
    <w:p w14:paraId="4DAFF152"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1C9B319"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Nesuvartotą vaistinį preparatą ar atliekas reikia tvarkyti laikantis vietinių reikalavimų.</w:t>
      </w:r>
    </w:p>
    <w:p w14:paraId="61E8BDE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8C9BEC0"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EA7AD4F"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7.</w:t>
      </w:r>
      <w:r w:rsidRPr="00976ED6">
        <w:rPr>
          <w:rFonts w:ascii="Times New Roman" w:hAnsi="Times New Roman" w:cs="Times New Roman"/>
          <w:b/>
          <w:lang w:val="sl-SI"/>
        </w:rPr>
        <w:tab/>
        <w:t>REGISTRUOTOJAS</w:t>
      </w:r>
    </w:p>
    <w:p w14:paraId="71B0763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9B3A62C" w14:textId="6763AA5A"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w:t>
      </w:r>
      <w:r>
        <w:rPr>
          <w:rFonts w:ascii="Times New Roman" w:hAnsi="Times New Roman" w:cs="Times New Roman"/>
          <w:lang w:val="sl-SI"/>
        </w:rPr>
        <w:t>RKA</w:t>
      </w:r>
      <w:r w:rsidRPr="00976ED6">
        <w:rPr>
          <w:rFonts w:ascii="Times New Roman" w:hAnsi="Times New Roman" w:cs="Times New Roman"/>
          <w:lang w:val="sl-SI"/>
        </w:rPr>
        <w:t>, d.d., Novo mesto</w:t>
      </w:r>
    </w:p>
    <w:p w14:paraId="1BFAB47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Šmarješka cesta 6</w:t>
      </w:r>
    </w:p>
    <w:p w14:paraId="7BE8E6F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8501 Novo mesto</w:t>
      </w:r>
    </w:p>
    <w:p w14:paraId="30F2112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Slovėnija</w:t>
      </w:r>
    </w:p>
    <w:p w14:paraId="518933FA" w14:textId="77777777" w:rsidR="003A7B6B" w:rsidRPr="00976ED6" w:rsidRDefault="003A7B6B" w:rsidP="003A7B6B">
      <w:pPr>
        <w:widowControl w:val="0"/>
        <w:tabs>
          <w:tab w:val="left" w:pos="1296"/>
        </w:tabs>
        <w:ind w:left="0" w:firstLine="0"/>
        <w:jc w:val="both"/>
        <w:rPr>
          <w:rFonts w:ascii="Times New Roman" w:hAnsi="Times New Roman" w:cs="Times New Roman"/>
          <w:lang w:val="sl-SI"/>
        </w:rPr>
      </w:pPr>
    </w:p>
    <w:p w14:paraId="179BCEB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F572F75"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8.</w:t>
      </w:r>
      <w:r w:rsidRPr="00976ED6">
        <w:rPr>
          <w:rFonts w:ascii="Times New Roman" w:hAnsi="Times New Roman" w:cs="Times New Roman"/>
          <w:b/>
          <w:lang w:val="sl-SI"/>
        </w:rPr>
        <w:tab/>
        <w:t>REGISTRACIJOS PAŽYMĖJIMO NUMERIS (-IAI)</w:t>
      </w:r>
    </w:p>
    <w:p w14:paraId="5EC46C93"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08631C6" w14:textId="77777777" w:rsidR="003A7B6B" w:rsidRPr="00976ED6" w:rsidRDefault="003A7B6B" w:rsidP="003A7B6B">
      <w:pPr>
        <w:tabs>
          <w:tab w:val="left" w:pos="1296"/>
        </w:tabs>
        <w:ind w:left="0" w:firstLine="0"/>
        <w:rPr>
          <w:rFonts w:ascii="Times New Roman" w:hAnsi="Times New Roman" w:cs="Times New Roman"/>
        </w:rPr>
      </w:pPr>
      <w:r w:rsidRPr="00976ED6">
        <w:rPr>
          <w:rFonts w:ascii="Times New Roman" w:hAnsi="Times New Roman" w:cs="Times New Roman"/>
        </w:rPr>
        <w:t>LT/1/13/3278/001 – 1 ml, N1</w:t>
      </w:r>
    </w:p>
    <w:p w14:paraId="273041C3" w14:textId="77777777" w:rsidR="003A7B6B" w:rsidRPr="00976ED6" w:rsidRDefault="003A7B6B" w:rsidP="003A7B6B">
      <w:pPr>
        <w:tabs>
          <w:tab w:val="left" w:pos="1296"/>
        </w:tabs>
        <w:ind w:left="0" w:firstLine="0"/>
        <w:rPr>
          <w:rFonts w:ascii="Times New Roman" w:hAnsi="Times New Roman" w:cs="Times New Roman"/>
        </w:rPr>
      </w:pPr>
      <w:r w:rsidRPr="00976ED6">
        <w:rPr>
          <w:rFonts w:ascii="Times New Roman" w:hAnsi="Times New Roman" w:cs="Times New Roman"/>
        </w:rPr>
        <w:t>LT/1/13/3278/002 – 4 ml, N1</w:t>
      </w:r>
    </w:p>
    <w:p w14:paraId="01579E99" w14:textId="77777777" w:rsidR="003A7B6B" w:rsidRPr="00976ED6" w:rsidRDefault="003A7B6B" w:rsidP="003A7B6B">
      <w:pPr>
        <w:widowControl w:val="0"/>
        <w:tabs>
          <w:tab w:val="left" w:pos="1296"/>
        </w:tabs>
        <w:ind w:left="0" w:firstLine="0"/>
        <w:rPr>
          <w:rFonts w:ascii="Times New Roman" w:hAnsi="Times New Roman" w:cs="Times New Roman"/>
        </w:rPr>
      </w:pPr>
      <w:r w:rsidRPr="00976ED6">
        <w:rPr>
          <w:rFonts w:ascii="Times New Roman" w:hAnsi="Times New Roman" w:cs="Times New Roman"/>
        </w:rPr>
        <w:t>LT/1/13/3278/003 – 8 ml, N1</w:t>
      </w:r>
    </w:p>
    <w:p w14:paraId="196C155F"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27CA36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62963744"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9.</w:t>
      </w:r>
      <w:r w:rsidRPr="00976ED6">
        <w:rPr>
          <w:rFonts w:ascii="Times New Roman" w:hAnsi="Times New Roman" w:cs="Times New Roman"/>
          <w:b/>
          <w:lang w:val="sl-SI"/>
        </w:rPr>
        <w:tab/>
        <w:t>REGISTRAVIMO / PERREGISTRAVIMO DATA</w:t>
      </w:r>
    </w:p>
    <w:p w14:paraId="37D329BC"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AF4D8B4"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Registravimo data 2013 m. balandžio 26 d.</w:t>
      </w:r>
    </w:p>
    <w:p w14:paraId="5E2A4F33" w14:textId="77777777" w:rsidR="003A7B6B" w:rsidRPr="00976ED6" w:rsidRDefault="003A7B6B" w:rsidP="003A7B6B">
      <w:pPr>
        <w:widowControl w:val="0"/>
        <w:tabs>
          <w:tab w:val="left" w:pos="1296"/>
        </w:tabs>
        <w:ind w:left="0" w:firstLine="0"/>
        <w:rPr>
          <w:rFonts w:ascii="Times New Roman" w:hAnsi="Times New Roman" w:cs="Times New Roman"/>
        </w:rPr>
      </w:pPr>
      <w:r w:rsidRPr="00976ED6">
        <w:rPr>
          <w:rFonts w:ascii="Times New Roman" w:hAnsi="Times New Roman" w:cs="Times New Roman"/>
        </w:rPr>
        <w:t>Paskutinio perregistravimo data 2018 m. balandžio 12 d.</w:t>
      </w:r>
    </w:p>
    <w:p w14:paraId="182D4141"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B2D1968"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C346680"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10.</w:t>
      </w:r>
      <w:r w:rsidRPr="00976ED6">
        <w:rPr>
          <w:rFonts w:ascii="Times New Roman" w:hAnsi="Times New Roman" w:cs="Times New Roman"/>
          <w:b/>
          <w:lang w:val="sl-SI"/>
        </w:rPr>
        <w:tab/>
        <w:t>TEKSTO PERŽIŪROS DATA</w:t>
      </w:r>
    </w:p>
    <w:p w14:paraId="714D0D6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408C8AB" w14:textId="0206953A" w:rsidR="003A7B6B" w:rsidRDefault="00F52238" w:rsidP="003A7B6B">
      <w:pPr>
        <w:rPr>
          <w:rFonts w:ascii="Times New Roman" w:hAnsi="Times New Roman" w:cs="Times New Roman"/>
        </w:rPr>
      </w:pPr>
      <w:r>
        <w:rPr>
          <w:rFonts w:ascii="Times New Roman" w:hAnsi="Times New Roman" w:cs="Times New Roman"/>
        </w:rPr>
        <w:t>2021 m. kovo 4 d.</w:t>
      </w:r>
    </w:p>
    <w:p w14:paraId="50071945"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B613B0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1C22D9B5" w14:textId="77777777" w:rsidR="003A7B6B" w:rsidRPr="00976ED6" w:rsidRDefault="003A7B6B" w:rsidP="003A7B6B">
      <w:pPr>
        <w:widowControl w:val="0"/>
        <w:tabs>
          <w:tab w:val="left" w:pos="0"/>
          <w:tab w:val="left" w:pos="1296"/>
        </w:tabs>
        <w:ind w:left="0" w:firstLine="0"/>
        <w:rPr>
          <w:rFonts w:ascii="Times New Roman" w:hAnsi="Times New Roman" w:cs="Times New Roman"/>
          <w:lang w:val="sl-SI"/>
        </w:rPr>
      </w:pPr>
      <w:r w:rsidRPr="00976ED6">
        <w:rPr>
          <w:rFonts w:ascii="Times New Roman" w:hAnsi="Times New Roman" w:cs="Times New Roman"/>
          <w:lang w:val="sl-SI"/>
        </w:rPr>
        <w:t>Išsami informacija apie šį vaistinį preparatą pateikiama Valstybinės vaistų kontrolės tarnybos prie Lietuvos Respublikos sveikatos apsaugos ministerijos tinklalapyje</w:t>
      </w:r>
      <w:r w:rsidRPr="00976ED6">
        <w:rPr>
          <w:rFonts w:ascii="Times New Roman" w:hAnsi="Times New Roman" w:cs="Times New Roman"/>
          <w:i/>
          <w:lang w:val="sl-SI"/>
        </w:rPr>
        <w:t xml:space="preserve"> </w:t>
      </w:r>
      <w:hyperlink r:id="rId11" w:history="1">
        <w:r w:rsidRPr="00976ED6">
          <w:rPr>
            <w:rFonts w:ascii="Times New Roman" w:hAnsi="Times New Roman" w:cs="Times New Roman"/>
            <w:color w:val="0000FF"/>
            <w:u w:val="single"/>
          </w:rPr>
          <w:t>http://www.vvkt.lt</w:t>
        </w:r>
      </w:hyperlink>
    </w:p>
    <w:p w14:paraId="0006BDE3" w14:textId="77777777" w:rsidR="003A7B6B" w:rsidRPr="00976ED6" w:rsidRDefault="003A7B6B" w:rsidP="003A7B6B">
      <w:pPr>
        <w:widowControl w:val="0"/>
        <w:tabs>
          <w:tab w:val="left" w:pos="0"/>
          <w:tab w:val="left" w:pos="1296"/>
        </w:tabs>
        <w:ind w:left="0" w:firstLine="0"/>
        <w:rPr>
          <w:rFonts w:ascii="Times New Roman" w:hAnsi="Times New Roman" w:cs="Times New Roman"/>
          <w:lang w:val="sl-SI"/>
        </w:rPr>
      </w:pPr>
    </w:p>
    <w:p w14:paraId="1DAF6BBC" w14:textId="77777777" w:rsidR="003A7B6B" w:rsidRPr="00976ED6" w:rsidRDefault="003A7B6B" w:rsidP="003A7B6B">
      <w:pPr>
        <w:widowControl w:val="0"/>
        <w:tabs>
          <w:tab w:val="left" w:pos="0"/>
          <w:tab w:val="left" w:pos="1296"/>
        </w:tabs>
        <w:ind w:left="0" w:firstLine="0"/>
        <w:rPr>
          <w:rFonts w:ascii="Times New Roman" w:hAnsi="Times New Roman" w:cs="Times New Roman"/>
          <w:lang w:val="sl-SI"/>
        </w:rPr>
      </w:pPr>
    </w:p>
    <w:p w14:paraId="6DC4BC99"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r w:rsidRPr="00976ED6">
        <w:rPr>
          <w:rFonts w:ascii="Times New Roman" w:hAnsi="Times New Roman" w:cs="Times New Roman"/>
          <w:b/>
          <w:lang w:val="sl-SI"/>
        </w:rPr>
        <w:br w:type="page"/>
      </w:r>
    </w:p>
    <w:p w14:paraId="2F8434FE"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7DF1AE0A"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BAEB78F"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8C4C197"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F43931F"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E70013A"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79EBD65F"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78C059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1BEDD67"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12407BB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4ED6869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16F5B29C"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AD1D227"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E7806F3"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2DAF5798"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AC0285A"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78D8DF21"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2F4FE68"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7BD0BAB6"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1197DDA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A1EAA6F"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557D0D3C"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9719761"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p>
    <w:p w14:paraId="55C9433F"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lang w:val="sl-SI"/>
        </w:rPr>
        <w:t>II PRIEDAS</w:t>
      </w:r>
    </w:p>
    <w:p w14:paraId="2525AE0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p>
    <w:p w14:paraId="31919909"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i/>
          <w:lang w:val="sl-SI"/>
        </w:rPr>
      </w:pPr>
      <w:r w:rsidRPr="00976ED6">
        <w:rPr>
          <w:rFonts w:ascii="Times New Roman" w:hAnsi="Times New Roman" w:cs="Times New Roman"/>
          <w:b/>
          <w:lang w:val="sl-SI"/>
        </w:rPr>
        <w:t>REGISTRACIJOS SĄLYGOS</w:t>
      </w:r>
    </w:p>
    <w:p w14:paraId="39A8AFFB" w14:textId="77777777" w:rsidR="003A7B6B" w:rsidRPr="00976ED6" w:rsidRDefault="003A7B6B" w:rsidP="003A7B6B">
      <w:pPr>
        <w:widowControl w:val="0"/>
        <w:tabs>
          <w:tab w:val="left" w:pos="567"/>
          <w:tab w:val="left" w:pos="1296"/>
        </w:tabs>
        <w:ind w:left="1701" w:right="1416"/>
        <w:rPr>
          <w:rFonts w:ascii="Times New Roman" w:hAnsi="Times New Roman" w:cs="Times New Roman"/>
          <w:lang w:val="sl-SI"/>
        </w:rPr>
      </w:pPr>
    </w:p>
    <w:p w14:paraId="1774157D" w14:textId="77777777" w:rsidR="003A7B6B" w:rsidRPr="00976ED6" w:rsidRDefault="003A7B6B" w:rsidP="003A7B6B">
      <w:pPr>
        <w:widowControl w:val="0"/>
        <w:tabs>
          <w:tab w:val="left" w:pos="1560"/>
        </w:tabs>
        <w:ind w:left="1560" w:right="849"/>
        <w:rPr>
          <w:rFonts w:ascii="Times New Roman" w:hAnsi="Times New Roman" w:cs="Times New Roman"/>
          <w:b/>
          <w:lang w:val="sl-SI"/>
        </w:rPr>
      </w:pPr>
      <w:r w:rsidRPr="00976ED6">
        <w:rPr>
          <w:rFonts w:ascii="Times New Roman" w:hAnsi="Times New Roman" w:cs="Times New Roman"/>
          <w:b/>
          <w:lang w:val="sl-SI"/>
        </w:rPr>
        <w:t>A.</w:t>
      </w:r>
      <w:r w:rsidRPr="00976ED6">
        <w:rPr>
          <w:rFonts w:ascii="Times New Roman" w:hAnsi="Times New Roman" w:cs="Times New Roman"/>
          <w:b/>
          <w:lang w:val="sl-SI"/>
        </w:rPr>
        <w:tab/>
        <w:t>GAMINTOJAS (-AI), ATSAKINGAS (-I) UŽ SERIJŲ IŠLEIDIMĄ</w:t>
      </w:r>
    </w:p>
    <w:p w14:paraId="5B692610" w14:textId="77777777" w:rsidR="003A7B6B" w:rsidRPr="00976ED6" w:rsidRDefault="003A7B6B" w:rsidP="003A7B6B">
      <w:pPr>
        <w:widowControl w:val="0"/>
        <w:tabs>
          <w:tab w:val="left" w:pos="1560"/>
        </w:tabs>
        <w:ind w:left="1560" w:right="849"/>
        <w:rPr>
          <w:rFonts w:ascii="Times New Roman" w:hAnsi="Times New Roman" w:cs="Times New Roman"/>
          <w:lang w:val="sl-SI"/>
        </w:rPr>
      </w:pPr>
    </w:p>
    <w:p w14:paraId="6BE622DB" w14:textId="77777777" w:rsidR="003A7B6B" w:rsidRPr="00976ED6" w:rsidRDefault="003A7B6B" w:rsidP="003A7B6B">
      <w:pPr>
        <w:widowControl w:val="0"/>
        <w:tabs>
          <w:tab w:val="left" w:pos="1560"/>
        </w:tabs>
        <w:ind w:left="1560" w:right="849"/>
        <w:rPr>
          <w:rFonts w:ascii="Times New Roman" w:hAnsi="Times New Roman" w:cs="Times New Roman"/>
          <w:b/>
          <w:lang w:val="sl-SI"/>
        </w:rPr>
      </w:pPr>
      <w:r w:rsidRPr="00976ED6">
        <w:rPr>
          <w:rFonts w:ascii="Times New Roman" w:hAnsi="Times New Roman" w:cs="Times New Roman"/>
          <w:b/>
          <w:lang w:val="sl-SI"/>
        </w:rPr>
        <w:t>B.</w:t>
      </w:r>
      <w:r w:rsidRPr="00976ED6">
        <w:rPr>
          <w:rFonts w:ascii="Times New Roman" w:hAnsi="Times New Roman" w:cs="Times New Roman"/>
          <w:b/>
          <w:lang w:val="sl-SI"/>
        </w:rPr>
        <w:tab/>
        <w:t>TIEKIMO IR VARTOJIMO SĄLYGOS AR APRIBOJIMAI</w:t>
      </w:r>
    </w:p>
    <w:p w14:paraId="76D40CBD" w14:textId="77777777" w:rsidR="003A7B6B" w:rsidRPr="00976ED6" w:rsidRDefault="003A7B6B" w:rsidP="003A7B6B">
      <w:pPr>
        <w:widowControl w:val="0"/>
        <w:tabs>
          <w:tab w:val="left" w:pos="1560"/>
        </w:tabs>
        <w:ind w:left="1560" w:right="849"/>
        <w:rPr>
          <w:rFonts w:ascii="Times New Roman" w:hAnsi="Times New Roman" w:cs="Times New Roman"/>
          <w:lang w:val="sl-SI"/>
        </w:rPr>
      </w:pPr>
    </w:p>
    <w:p w14:paraId="3FF99F21" w14:textId="77777777" w:rsidR="003A7B6B" w:rsidRPr="00976ED6" w:rsidRDefault="003A7B6B" w:rsidP="003A7B6B">
      <w:pPr>
        <w:widowControl w:val="0"/>
        <w:tabs>
          <w:tab w:val="left" w:pos="1560"/>
        </w:tabs>
        <w:ind w:left="1560" w:right="849"/>
        <w:rPr>
          <w:rFonts w:ascii="Times New Roman" w:hAnsi="Times New Roman" w:cs="Times New Roman"/>
          <w:b/>
          <w:lang w:val="sl-SI"/>
        </w:rPr>
      </w:pPr>
    </w:p>
    <w:p w14:paraId="665A8130" w14:textId="77777777" w:rsidR="003A7B6B" w:rsidRPr="00976ED6" w:rsidRDefault="003A7B6B" w:rsidP="003A7B6B">
      <w:pPr>
        <w:widowControl w:val="0"/>
        <w:tabs>
          <w:tab w:val="left" w:pos="567"/>
          <w:tab w:val="left" w:pos="1296"/>
        </w:tabs>
        <w:rPr>
          <w:rFonts w:ascii="Times New Roman" w:hAnsi="Times New Roman" w:cs="Times New Roman"/>
          <w:lang w:val="sl-SI"/>
        </w:rPr>
      </w:pPr>
      <w:r w:rsidRPr="00976ED6">
        <w:rPr>
          <w:rFonts w:ascii="Times New Roman" w:hAnsi="Times New Roman" w:cs="Times New Roman"/>
          <w:b/>
          <w:lang w:val="sl-SI"/>
        </w:rPr>
        <w:br w:type="page"/>
      </w:r>
      <w:r w:rsidRPr="00976ED6">
        <w:rPr>
          <w:rFonts w:ascii="Times New Roman" w:hAnsi="Times New Roman" w:cs="Times New Roman"/>
          <w:b/>
          <w:lang w:val="sl-SI"/>
        </w:rPr>
        <w:lastRenderedPageBreak/>
        <w:t>A.</w:t>
      </w:r>
      <w:r w:rsidRPr="00976ED6">
        <w:rPr>
          <w:rFonts w:ascii="Times New Roman" w:hAnsi="Times New Roman" w:cs="Times New Roman"/>
          <w:b/>
          <w:lang w:val="sl-SI"/>
        </w:rPr>
        <w:tab/>
        <w:t>GAMINTOJAS (-AI), ATSAKINGAS (-I) UŽ SERIJŲ IŠLEIDIMĄ</w:t>
      </w:r>
    </w:p>
    <w:p w14:paraId="391B043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C7DED3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u w:val="single"/>
          <w:lang w:val="sl-SI"/>
        </w:rPr>
        <w:t>Gamintojo (-ų), atsakingo (-ų) už serijų išleidimą, pavadinimas (-ai) ir adresas (-ai)</w:t>
      </w:r>
    </w:p>
    <w:p w14:paraId="6602A0D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DE1189F" w14:textId="79C7F16C"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w:t>
      </w:r>
      <w:r>
        <w:rPr>
          <w:rFonts w:ascii="Times New Roman" w:hAnsi="Times New Roman" w:cs="Times New Roman"/>
          <w:lang w:val="sl-SI"/>
        </w:rPr>
        <w:t>RKA</w:t>
      </w:r>
      <w:r w:rsidRPr="00976ED6">
        <w:rPr>
          <w:rFonts w:ascii="Times New Roman" w:hAnsi="Times New Roman" w:cs="Times New Roman"/>
          <w:lang w:val="sl-SI"/>
        </w:rPr>
        <w:t>, d.d., Novo mesto</w:t>
      </w:r>
    </w:p>
    <w:p w14:paraId="0F7A4E4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Šmarješka cesta 6</w:t>
      </w:r>
    </w:p>
    <w:p w14:paraId="621A9ED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8501 Novo mesto</w:t>
      </w:r>
    </w:p>
    <w:p w14:paraId="324C60C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Slovėnija</w:t>
      </w:r>
    </w:p>
    <w:p w14:paraId="372A188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4FC93A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arba</w:t>
      </w:r>
    </w:p>
    <w:p w14:paraId="48B9D4A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C20A44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TAD Pharma GmbH</w:t>
      </w:r>
    </w:p>
    <w:p w14:paraId="2B49F5F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Heinz-Lohmann-Straße 5</w:t>
      </w:r>
    </w:p>
    <w:p w14:paraId="4F6D6F2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D-27472 Cuxhaven</w:t>
      </w:r>
    </w:p>
    <w:p w14:paraId="344DF90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Vokietija</w:t>
      </w:r>
    </w:p>
    <w:p w14:paraId="2E57041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B44C6F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Su pakuote pateikiamame lapelyje nurodomas gamintojo, atsakingo už konkrečios serijos išleidimą, pavadinimas ir adresas.</w:t>
      </w:r>
    </w:p>
    <w:p w14:paraId="7890C43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4C3984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EB63EE7" w14:textId="77777777" w:rsidR="003A7B6B" w:rsidRPr="00976ED6" w:rsidRDefault="003A7B6B" w:rsidP="003A7B6B">
      <w:pPr>
        <w:widowControl w:val="0"/>
        <w:tabs>
          <w:tab w:val="left" w:pos="567"/>
          <w:tab w:val="left" w:pos="1296"/>
        </w:tabs>
        <w:rPr>
          <w:rFonts w:ascii="Times New Roman" w:hAnsi="Times New Roman" w:cs="Times New Roman"/>
          <w:lang w:val="sl-SI"/>
        </w:rPr>
      </w:pPr>
      <w:r w:rsidRPr="00976ED6">
        <w:rPr>
          <w:rFonts w:ascii="Times New Roman" w:hAnsi="Times New Roman" w:cs="Times New Roman"/>
          <w:b/>
          <w:lang w:val="sl-SI"/>
        </w:rPr>
        <w:t>B.</w:t>
      </w:r>
      <w:r w:rsidRPr="00976ED6">
        <w:rPr>
          <w:rFonts w:ascii="Times New Roman" w:hAnsi="Times New Roman" w:cs="Times New Roman"/>
          <w:b/>
          <w:lang w:val="sl-SI"/>
        </w:rPr>
        <w:tab/>
        <w:t>TIEKIMO IR VARTOJIMO SĄLYGOS AR APRIBOJIMAI</w:t>
      </w:r>
    </w:p>
    <w:p w14:paraId="7097EC9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F5C8AC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Receptinis vaistinis preparatas.</w:t>
      </w:r>
    </w:p>
    <w:p w14:paraId="6C444B4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309E1D4" w14:textId="77777777" w:rsidR="003A7B6B" w:rsidRPr="00976ED6" w:rsidRDefault="003A7B6B" w:rsidP="003A7B6B">
      <w:pPr>
        <w:widowControl w:val="0"/>
        <w:numPr>
          <w:ilvl w:val="12"/>
          <w:numId w:val="0"/>
        </w:numPr>
        <w:tabs>
          <w:tab w:val="left" w:pos="567"/>
          <w:tab w:val="left" w:pos="1296"/>
        </w:tabs>
        <w:rPr>
          <w:rFonts w:ascii="Times New Roman" w:hAnsi="Times New Roman" w:cs="Times New Roman"/>
          <w:lang w:val="sl-SI"/>
        </w:rPr>
      </w:pPr>
    </w:p>
    <w:p w14:paraId="7D294A78" w14:textId="77777777" w:rsidR="003A7B6B" w:rsidRPr="00976ED6" w:rsidRDefault="003A7B6B" w:rsidP="003A7B6B">
      <w:pPr>
        <w:widowControl w:val="0"/>
        <w:tabs>
          <w:tab w:val="left" w:pos="567"/>
          <w:tab w:val="left" w:pos="1296"/>
        </w:tabs>
        <w:ind w:left="0" w:right="-1" w:firstLine="0"/>
        <w:jc w:val="center"/>
        <w:rPr>
          <w:rFonts w:ascii="Times New Roman" w:hAnsi="Times New Roman" w:cs="Times New Roman"/>
          <w:lang w:val="sl-SI"/>
        </w:rPr>
      </w:pPr>
      <w:r w:rsidRPr="00976ED6">
        <w:rPr>
          <w:rFonts w:ascii="Times New Roman" w:hAnsi="Times New Roman" w:cs="Times New Roman"/>
          <w:b/>
          <w:lang w:val="sl-SI"/>
        </w:rPr>
        <w:br w:type="page"/>
      </w:r>
    </w:p>
    <w:p w14:paraId="341AD03C"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3B36458"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141D2F9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EB70FAA"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FE0D0DE"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EB97B89"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CC51B0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0AA905E"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A71423D"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606DAB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4000FC3D"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0D989A1"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4819452"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A23D56B"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7BBF6816"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79090009"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95356C6"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3D34CD5C"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2DB71DB0"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64FAA58D"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7EAE1066"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76B814C2"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0F01527C" w14:textId="77777777" w:rsidR="003A7B6B" w:rsidRPr="00976ED6" w:rsidRDefault="003A7B6B" w:rsidP="003A7B6B">
      <w:pPr>
        <w:widowControl w:val="0"/>
        <w:tabs>
          <w:tab w:val="left" w:pos="567"/>
          <w:tab w:val="left" w:pos="1296"/>
        </w:tabs>
        <w:ind w:left="0" w:firstLine="0"/>
        <w:jc w:val="center"/>
        <w:outlineLvl w:val="1"/>
        <w:rPr>
          <w:rFonts w:ascii="Times New Roman" w:hAnsi="Times New Roman" w:cs="Times New Roman"/>
          <w:b/>
          <w:lang w:val="sl-SI"/>
        </w:rPr>
      </w:pPr>
    </w:p>
    <w:p w14:paraId="40C62A33" w14:textId="77777777" w:rsidR="003A7B6B" w:rsidRPr="00976ED6" w:rsidRDefault="003A7B6B" w:rsidP="003A7B6B">
      <w:pPr>
        <w:widowControl w:val="0"/>
        <w:tabs>
          <w:tab w:val="left" w:pos="567"/>
          <w:tab w:val="left" w:pos="1296"/>
        </w:tabs>
        <w:ind w:left="0" w:firstLine="0"/>
        <w:jc w:val="center"/>
        <w:outlineLvl w:val="1"/>
        <w:rPr>
          <w:rFonts w:ascii="Times New Roman" w:hAnsi="Times New Roman" w:cs="Times New Roman"/>
          <w:lang w:val="sl-SI"/>
        </w:rPr>
      </w:pPr>
      <w:r w:rsidRPr="00976ED6">
        <w:rPr>
          <w:rFonts w:ascii="Times New Roman" w:hAnsi="Times New Roman" w:cs="Times New Roman"/>
          <w:b/>
          <w:lang w:val="sl-SI"/>
        </w:rPr>
        <w:t>III PRIEDAS</w:t>
      </w:r>
    </w:p>
    <w:p w14:paraId="0D4DC77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BEABB88" w14:textId="77777777" w:rsidR="003A7B6B" w:rsidRPr="00976ED6" w:rsidRDefault="003A7B6B" w:rsidP="003A7B6B">
      <w:pPr>
        <w:widowControl w:val="0"/>
        <w:tabs>
          <w:tab w:val="left" w:pos="567"/>
          <w:tab w:val="left" w:pos="1296"/>
        </w:tabs>
        <w:ind w:left="0" w:firstLine="0"/>
        <w:jc w:val="center"/>
        <w:outlineLvl w:val="1"/>
        <w:rPr>
          <w:rFonts w:ascii="Times New Roman" w:hAnsi="Times New Roman" w:cs="Times New Roman"/>
          <w:lang w:val="sl-SI"/>
        </w:rPr>
      </w:pPr>
      <w:r w:rsidRPr="00976ED6">
        <w:rPr>
          <w:rFonts w:ascii="Times New Roman" w:hAnsi="Times New Roman" w:cs="Times New Roman"/>
          <w:b/>
          <w:lang w:val="sl-SI"/>
        </w:rPr>
        <w:t>ŽENKLINIMAS IR PAKUOTĖS LAPELIS</w:t>
      </w:r>
    </w:p>
    <w:p w14:paraId="7729484A"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r w:rsidRPr="00976ED6">
        <w:rPr>
          <w:rFonts w:ascii="Times New Roman" w:hAnsi="Times New Roman" w:cs="Times New Roman"/>
          <w:lang w:val="sl-SI"/>
        </w:rPr>
        <w:br w:type="page"/>
      </w:r>
    </w:p>
    <w:p w14:paraId="05C730B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45A41992"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4375C803"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1886E9FE"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ACB730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3A082DB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6CE36A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10133322"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4B9D5500"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DD2BCEF"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48A71828"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4D568FC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CD65F39"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170FBB57"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5192C3D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66FAA4F"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4E549B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6B495049"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7699EED0"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0A6B89CB"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5A91D75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27FEC6A0"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lang w:val="sl-SI"/>
        </w:rPr>
      </w:pPr>
    </w:p>
    <w:p w14:paraId="7416AD6E"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250855D7"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lang w:val="sl-SI"/>
        </w:rPr>
      </w:pPr>
      <w:r w:rsidRPr="00976ED6">
        <w:rPr>
          <w:rFonts w:ascii="Times New Roman" w:hAnsi="Times New Roman" w:cs="Times New Roman"/>
          <w:b/>
          <w:lang w:val="sl-SI"/>
        </w:rPr>
        <w:t>A. ŽENKLINIMAS</w:t>
      </w:r>
    </w:p>
    <w:p w14:paraId="4BD1DCC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br w:type="page"/>
      </w:r>
    </w:p>
    <w:p w14:paraId="4D0F25DE"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b/>
          <w:lang w:val="sl-SI"/>
        </w:rPr>
        <w:lastRenderedPageBreak/>
        <w:t>INFORMACIJA ANT IŠORINĖS PAKUOTĖS</w:t>
      </w:r>
    </w:p>
    <w:p w14:paraId="592C873E"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rPr>
          <w:rFonts w:ascii="Times New Roman" w:hAnsi="Times New Roman" w:cs="Times New Roman"/>
          <w:b/>
          <w:lang w:val="sl-SI"/>
        </w:rPr>
      </w:pPr>
    </w:p>
    <w:p w14:paraId="1C4D4E4F"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b/>
          <w:lang w:val="sl-SI"/>
        </w:rPr>
        <w:t>DĖŽUTĖ</w:t>
      </w:r>
    </w:p>
    <w:p w14:paraId="5CC1FF0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9623AB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8743428"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lang w:val="sl-SI"/>
        </w:rPr>
      </w:pPr>
      <w:r w:rsidRPr="00976ED6">
        <w:rPr>
          <w:rFonts w:ascii="Times New Roman" w:hAnsi="Times New Roman" w:cs="Times New Roman"/>
          <w:b/>
          <w:lang w:val="sl-SI"/>
        </w:rPr>
        <w:t>1.</w:t>
      </w:r>
      <w:r w:rsidRPr="00976ED6">
        <w:rPr>
          <w:rFonts w:ascii="Times New Roman" w:hAnsi="Times New Roman" w:cs="Times New Roman"/>
          <w:b/>
          <w:lang w:val="sl-SI"/>
        </w:rPr>
        <w:tab/>
      </w:r>
      <w:r w:rsidRPr="00976ED6">
        <w:rPr>
          <w:rFonts w:ascii="Times New Roman" w:hAnsi="Times New Roman" w:cs="Times New Roman"/>
          <w:b/>
          <w:caps/>
          <w:lang w:val="sl-SI"/>
        </w:rPr>
        <w:t>VAISTINIO</w:t>
      </w:r>
      <w:r w:rsidRPr="00976ED6">
        <w:rPr>
          <w:rFonts w:ascii="Times New Roman" w:hAnsi="Times New Roman" w:cs="Times New Roman"/>
          <w:b/>
          <w:lang w:val="sl-SI"/>
        </w:rPr>
        <w:t xml:space="preserve"> PREPARATO PAVADINIMAS</w:t>
      </w:r>
    </w:p>
    <w:p w14:paraId="4D01D80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AC90A7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Tolnexa 20 mg/ml koncentratas infuziniam tirpalui</w:t>
      </w:r>
    </w:p>
    <w:p w14:paraId="6DA3381E" w14:textId="0685B566"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Pr>
          <w:rFonts w:ascii="Times New Roman" w:hAnsi="Times New Roman" w:cs="Times New Roman"/>
          <w:lang w:val="sl-SI"/>
        </w:rPr>
        <w:t>d</w:t>
      </w:r>
      <w:r w:rsidRPr="00976ED6">
        <w:rPr>
          <w:rFonts w:ascii="Times New Roman" w:hAnsi="Times New Roman" w:cs="Times New Roman"/>
          <w:lang w:val="sl-SI"/>
        </w:rPr>
        <w:t>ocetakselis</w:t>
      </w:r>
    </w:p>
    <w:p w14:paraId="29ACBC4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2BFC07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1486D4C"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b/>
          <w:lang w:val="sl-SI"/>
        </w:rPr>
      </w:pPr>
      <w:r w:rsidRPr="00976ED6">
        <w:rPr>
          <w:rFonts w:ascii="Times New Roman" w:hAnsi="Times New Roman" w:cs="Times New Roman"/>
          <w:b/>
          <w:lang w:val="sl-SI"/>
        </w:rPr>
        <w:t>2.</w:t>
      </w:r>
      <w:r w:rsidRPr="00976ED6">
        <w:rPr>
          <w:rFonts w:ascii="Times New Roman" w:hAnsi="Times New Roman" w:cs="Times New Roman"/>
          <w:b/>
          <w:lang w:val="sl-SI"/>
        </w:rPr>
        <w:tab/>
        <w:t>VEIKLIOJI (-IOS) MEDŽIAGA (-OS) IR JOS (-Ų) KIEKIS (-IAI)</w:t>
      </w:r>
    </w:p>
    <w:p w14:paraId="0296006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F9A831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Kiekviename koncentrato mililitre yra 20 mg docetakselio.</w:t>
      </w:r>
    </w:p>
    <w:p w14:paraId="75A456C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CA3364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Viename 1 ml koncentrato flakone yra 20 mg docetakselio.</w:t>
      </w:r>
    </w:p>
    <w:p w14:paraId="5C668EB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Viename 4 ml koncentrato flakone yra 80 mg docetakselio.</w:t>
      </w:r>
    </w:p>
    <w:p w14:paraId="657E20E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darkGray"/>
          <w:lang w:val="sl-SI"/>
        </w:rPr>
        <w:t>Viename 8 ml koncentrato flakone yra 160 mg docetakselio.</w:t>
      </w:r>
    </w:p>
    <w:p w14:paraId="32C0312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2298D3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F1B42BB"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lang w:val="sl-SI"/>
        </w:rPr>
      </w:pPr>
      <w:r w:rsidRPr="00976ED6">
        <w:rPr>
          <w:rFonts w:ascii="Times New Roman" w:hAnsi="Times New Roman" w:cs="Times New Roman"/>
          <w:b/>
          <w:lang w:val="sl-SI"/>
        </w:rPr>
        <w:t>3.</w:t>
      </w:r>
      <w:r w:rsidRPr="00976ED6">
        <w:rPr>
          <w:rFonts w:ascii="Times New Roman" w:hAnsi="Times New Roman" w:cs="Times New Roman"/>
          <w:b/>
          <w:lang w:val="sl-SI"/>
        </w:rPr>
        <w:tab/>
        <w:t>PAGALBINIŲ MEDŽIAGŲ SĄRAŠAS</w:t>
      </w:r>
    </w:p>
    <w:p w14:paraId="33DBF24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7EA4851" w14:textId="0D2E2E9B"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Pagalbinės medžiagos: polisorbatas 80, bevandenis etanolis ir citrinų rūgštis.</w:t>
      </w:r>
    </w:p>
    <w:p w14:paraId="18479EC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Daugiau informacijos pateikta pakuotės lapelyje.</w:t>
      </w:r>
    </w:p>
    <w:p w14:paraId="0EA2DD0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9056FB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09B9F18"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lang w:val="sl-SI"/>
        </w:rPr>
      </w:pPr>
      <w:r w:rsidRPr="00976ED6">
        <w:rPr>
          <w:rFonts w:ascii="Times New Roman" w:hAnsi="Times New Roman" w:cs="Times New Roman"/>
          <w:b/>
          <w:lang w:val="sl-SI"/>
        </w:rPr>
        <w:t>4.</w:t>
      </w:r>
      <w:r w:rsidRPr="00976ED6">
        <w:rPr>
          <w:rFonts w:ascii="Times New Roman" w:hAnsi="Times New Roman" w:cs="Times New Roman"/>
          <w:b/>
          <w:lang w:val="sl-SI"/>
        </w:rPr>
        <w:tab/>
        <w:t>FARMACINĖ FORMA IR KIEKIS PAKUOTĖJE</w:t>
      </w:r>
    </w:p>
    <w:p w14:paraId="6D33068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98D51D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Koncentratas infuziniam tirpalui</w:t>
      </w:r>
    </w:p>
    <w:p w14:paraId="1D89755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D67EC2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Vienas 1 ml koncentrato flakonas</w:t>
      </w:r>
    </w:p>
    <w:p w14:paraId="56DAF0E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Vienas 4 ml koncentrato flakonas</w:t>
      </w:r>
    </w:p>
    <w:p w14:paraId="2857AC6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darkGray"/>
          <w:lang w:val="sl-SI"/>
        </w:rPr>
        <w:t>Vienas 8 ml koncentrato flakonas</w:t>
      </w:r>
    </w:p>
    <w:p w14:paraId="467CA10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63ABF0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20 mg/1 ml</w:t>
      </w:r>
    </w:p>
    <w:p w14:paraId="06BEFA1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80 mg/4 ml</w:t>
      </w:r>
    </w:p>
    <w:p w14:paraId="678DCF1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darkGray"/>
          <w:lang w:val="sl-SI"/>
        </w:rPr>
        <w:t>160 mg/8 ml</w:t>
      </w:r>
    </w:p>
    <w:p w14:paraId="464EE47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BA0C3F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18B914F"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lang w:val="sl-SI"/>
        </w:rPr>
      </w:pPr>
      <w:r w:rsidRPr="00976ED6">
        <w:rPr>
          <w:rFonts w:ascii="Times New Roman" w:hAnsi="Times New Roman" w:cs="Times New Roman"/>
          <w:b/>
          <w:lang w:val="sl-SI"/>
        </w:rPr>
        <w:t>5.</w:t>
      </w:r>
      <w:r w:rsidRPr="00976ED6">
        <w:rPr>
          <w:rFonts w:ascii="Times New Roman" w:hAnsi="Times New Roman" w:cs="Times New Roman"/>
          <w:b/>
          <w:lang w:val="sl-SI"/>
        </w:rPr>
        <w:tab/>
        <w:t>VARTOJIMO METODAS IR BŪDAS (-AI)</w:t>
      </w:r>
    </w:p>
    <w:p w14:paraId="225259B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C48AF6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Prieš vartojimą perskaitykite pakuotės lapelį.</w:t>
      </w:r>
    </w:p>
    <w:p w14:paraId="1B7DC7C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Leisti į veną</w:t>
      </w:r>
    </w:p>
    <w:p w14:paraId="4366E4F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D6A4A8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1BA9189"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lang w:val="sl-SI"/>
        </w:rPr>
      </w:pPr>
      <w:r w:rsidRPr="00976ED6">
        <w:rPr>
          <w:rFonts w:ascii="Times New Roman" w:hAnsi="Times New Roman" w:cs="Times New Roman"/>
          <w:b/>
          <w:lang w:val="sl-SI"/>
        </w:rPr>
        <w:t>6.</w:t>
      </w:r>
      <w:r w:rsidRPr="00976ED6">
        <w:rPr>
          <w:rFonts w:ascii="Times New Roman" w:hAnsi="Times New Roman" w:cs="Times New Roman"/>
          <w:b/>
          <w:lang w:val="sl-SI"/>
        </w:rPr>
        <w:tab/>
        <w:t>SPECIALUS ĮSPĖJIMAS, KAD VAISTINĮ PREPARATĄ BŪTINA LAIKYTI VAIKAMS NEPASTEBIMOJE IR NEPASIEKIAMOJE VIETOJE</w:t>
      </w:r>
    </w:p>
    <w:p w14:paraId="7D6E02D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06FFCA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Laikyti vaikams nepastebimoje ir nepasiekiamoje vietoje.</w:t>
      </w:r>
    </w:p>
    <w:p w14:paraId="633C409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98714B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E31607A"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lang w:val="sl-SI"/>
        </w:rPr>
      </w:pPr>
      <w:r w:rsidRPr="00976ED6">
        <w:rPr>
          <w:rFonts w:ascii="Times New Roman" w:hAnsi="Times New Roman" w:cs="Times New Roman"/>
          <w:b/>
          <w:lang w:val="sl-SI"/>
        </w:rPr>
        <w:t>7.</w:t>
      </w:r>
      <w:r w:rsidRPr="00976ED6">
        <w:rPr>
          <w:rFonts w:ascii="Times New Roman" w:hAnsi="Times New Roman" w:cs="Times New Roman"/>
          <w:b/>
          <w:lang w:val="sl-SI"/>
        </w:rPr>
        <w:tab/>
        <w:t>KITAS (-I) SPECIALUS (-ŪS) ĮSPĖJIMAS (-AI) (JEI REIKIA)</w:t>
      </w:r>
    </w:p>
    <w:p w14:paraId="774F1F8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1797DF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CITOTOKSINIS: ruošti atsargiai.</w:t>
      </w:r>
    </w:p>
    <w:p w14:paraId="1CE1892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35767A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B3013EA"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lang w:val="sl-SI"/>
        </w:rPr>
      </w:pPr>
      <w:r w:rsidRPr="00976ED6">
        <w:rPr>
          <w:rFonts w:ascii="Times New Roman" w:hAnsi="Times New Roman" w:cs="Times New Roman"/>
          <w:b/>
          <w:lang w:val="sl-SI"/>
        </w:rPr>
        <w:t>8.</w:t>
      </w:r>
      <w:r w:rsidRPr="00976ED6">
        <w:rPr>
          <w:rFonts w:ascii="Times New Roman" w:hAnsi="Times New Roman" w:cs="Times New Roman"/>
          <w:b/>
          <w:lang w:val="sl-SI"/>
        </w:rPr>
        <w:tab/>
        <w:t>TINKAMUMO LAIKAS</w:t>
      </w:r>
    </w:p>
    <w:p w14:paraId="1E78ABD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665E51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EXP (mm/MMMM)</w:t>
      </w:r>
    </w:p>
    <w:p w14:paraId="5E11CEA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Tinka iki (mm/MMMM)</w:t>
      </w:r>
    </w:p>
    <w:p w14:paraId="6C33060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Tinkamumo laikas infuziniame maišelyje: žr. pakuotės lapelį.</w:t>
      </w:r>
    </w:p>
    <w:p w14:paraId="7C7B67C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549155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FC44833"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lang w:val="sl-SI"/>
        </w:rPr>
      </w:pPr>
      <w:r w:rsidRPr="00976ED6">
        <w:rPr>
          <w:rFonts w:ascii="Times New Roman" w:hAnsi="Times New Roman" w:cs="Times New Roman"/>
          <w:b/>
          <w:lang w:val="sl-SI"/>
        </w:rPr>
        <w:t>9.</w:t>
      </w:r>
      <w:r w:rsidRPr="00976ED6">
        <w:rPr>
          <w:rFonts w:ascii="Times New Roman" w:hAnsi="Times New Roman" w:cs="Times New Roman"/>
          <w:b/>
          <w:lang w:val="sl-SI"/>
        </w:rPr>
        <w:tab/>
        <w:t>SPECIALIOS LAIKYMO SĄLYGOS</w:t>
      </w:r>
    </w:p>
    <w:p w14:paraId="2812C31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2D2247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Laikyti ne aukštesnėje kaip 25ºC temperatūroje. Laikyti gamintojo pakuotėje, kad vaistas būtų apsaugotas nuo šviesos.</w:t>
      </w:r>
    </w:p>
    <w:p w14:paraId="02CCBE8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3B6BD0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47E89EB"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outlineLvl w:val="0"/>
        <w:rPr>
          <w:rFonts w:ascii="Times New Roman" w:hAnsi="Times New Roman" w:cs="Times New Roman"/>
          <w:b/>
          <w:lang w:val="sl-SI"/>
        </w:rPr>
      </w:pPr>
      <w:r w:rsidRPr="00976ED6">
        <w:rPr>
          <w:rFonts w:ascii="Times New Roman" w:hAnsi="Times New Roman" w:cs="Times New Roman"/>
          <w:b/>
          <w:lang w:val="sl-SI"/>
        </w:rPr>
        <w:t>10.</w:t>
      </w:r>
      <w:r w:rsidRPr="00976ED6">
        <w:rPr>
          <w:rFonts w:ascii="Times New Roman" w:hAnsi="Times New Roman" w:cs="Times New Roman"/>
          <w:b/>
          <w:lang w:val="sl-SI"/>
        </w:rPr>
        <w:tab/>
        <w:t>SPECIALIOS ATSARGUMO PRIEMONĖS DĖL NESUVARTOTO VAISTINIO PREPARATO AR JO ATLIEKŲ TVARKYMO (JEI REIKIA)</w:t>
      </w:r>
    </w:p>
    <w:p w14:paraId="557DB4B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28A651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25644DC"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b/>
          <w:lang w:val="sl-SI"/>
        </w:rPr>
      </w:pPr>
      <w:r w:rsidRPr="00976ED6">
        <w:rPr>
          <w:rFonts w:ascii="Times New Roman" w:hAnsi="Times New Roman" w:cs="Times New Roman"/>
          <w:b/>
          <w:lang w:val="sl-SI"/>
        </w:rPr>
        <w:t>11.</w:t>
      </w:r>
      <w:r w:rsidRPr="00976ED6">
        <w:rPr>
          <w:rFonts w:ascii="Times New Roman" w:hAnsi="Times New Roman" w:cs="Times New Roman"/>
          <w:b/>
          <w:lang w:val="sl-SI"/>
        </w:rPr>
        <w:tab/>
      </w:r>
      <w:r w:rsidRPr="00976ED6">
        <w:rPr>
          <w:rFonts w:ascii="Times New Roman" w:hAnsi="Times New Roman" w:cs="Times New Roman"/>
          <w:b/>
          <w:caps/>
          <w:lang w:val="sl-SI"/>
        </w:rPr>
        <w:t>REGISTRUOTOJO PAVADINIMAS IR ADRESAS</w:t>
      </w:r>
    </w:p>
    <w:p w14:paraId="629C634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49A1701" w14:textId="528CB29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w:t>
      </w:r>
      <w:r>
        <w:rPr>
          <w:rFonts w:ascii="Times New Roman" w:hAnsi="Times New Roman" w:cs="Times New Roman"/>
          <w:lang w:val="sl-SI"/>
        </w:rPr>
        <w:t>RKA</w:t>
      </w:r>
      <w:r w:rsidRPr="00976ED6">
        <w:rPr>
          <w:rFonts w:ascii="Times New Roman" w:hAnsi="Times New Roman" w:cs="Times New Roman"/>
          <w:lang w:val="sl-SI"/>
        </w:rPr>
        <w:t>, d.d., Novo mesto</w:t>
      </w:r>
    </w:p>
    <w:p w14:paraId="4671444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Šmarješka cesta 6</w:t>
      </w:r>
    </w:p>
    <w:p w14:paraId="0255132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8501 Novo mesto</w:t>
      </w:r>
    </w:p>
    <w:p w14:paraId="14CBFA2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Slovėnija</w:t>
      </w:r>
    </w:p>
    <w:p w14:paraId="7048C59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2D0583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DD61311"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b/>
          <w:lang w:val="sl-SI"/>
        </w:rPr>
      </w:pPr>
      <w:r w:rsidRPr="00976ED6">
        <w:rPr>
          <w:rFonts w:ascii="Times New Roman" w:hAnsi="Times New Roman" w:cs="Times New Roman"/>
          <w:b/>
          <w:lang w:val="sl-SI"/>
        </w:rPr>
        <w:t>12.</w:t>
      </w:r>
      <w:r w:rsidRPr="00976ED6">
        <w:rPr>
          <w:rFonts w:ascii="Times New Roman" w:hAnsi="Times New Roman" w:cs="Times New Roman"/>
          <w:b/>
          <w:lang w:val="sl-SI"/>
        </w:rPr>
        <w:tab/>
        <w:t>REGISTRACIJOS PAŽYMĖJIMO NUMERIS (-IAI)</w:t>
      </w:r>
    </w:p>
    <w:p w14:paraId="18A67D7F"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629309A" w14:textId="77777777" w:rsidR="003A7B6B" w:rsidRPr="00976ED6" w:rsidRDefault="003A7B6B" w:rsidP="003A7B6B">
      <w:pPr>
        <w:tabs>
          <w:tab w:val="left" w:pos="1296"/>
        </w:tabs>
        <w:ind w:left="0" w:firstLine="0"/>
        <w:rPr>
          <w:rFonts w:ascii="Times New Roman" w:hAnsi="Times New Roman" w:cs="Times New Roman"/>
        </w:rPr>
      </w:pPr>
      <w:r w:rsidRPr="00976ED6">
        <w:rPr>
          <w:rFonts w:ascii="Times New Roman" w:hAnsi="Times New Roman" w:cs="Times New Roman"/>
        </w:rPr>
        <w:t xml:space="preserve">LT/1/13/3278/001 </w:t>
      </w:r>
      <w:r w:rsidRPr="00976ED6">
        <w:rPr>
          <w:rFonts w:ascii="Times New Roman" w:hAnsi="Times New Roman" w:cs="Times New Roman"/>
          <w:shd w:val="clear" w:color="auto" w:fill="E8E8E8"/>
          <w:lang w:val="sl-SI"/>
        </w:rPr>
        <w:t>–  1 ml, N1</w:t>
      </w:r>
    </w:p>
    <w:p w14:paraId="353A5804" w14:textId="77777777" w:rsidR="003A7B6B" w:rsidRPr="00976ED6" w:rsidRDefault="003A7B6B" w:rsidP="003A7B6B">
      <w:pPr>
        <w:widowControl w:val="0"/>
        <w:tabs>
          <w:tab w:val="left" w:pos="567"/>
          <w:tab w:val="left" w:pos="1296"/>
        </w:tabs>
        <w:ind w:left="0" w:firstLine="0"/>
        <w:rPr>
          <w:rFonts w:ascii="Times New Roman" w:hAnsi="Times New Roman" w:cs="Times New Roman"/>
          <w:highlight w:val="lightGray"/>
          <w:lang w:val="sl-SI"/>
        </w:rPr>
      </w:pPr>
      <w:r w:rsidRPr="00976ED6">
        <w:rPr>
          <w:rFonts w:ascii="Times New Roman" w:hAnsi="Times New Roman" w:cs="Times New Roman"/>
          <w:highlight w:val="lightGray"/>
          <w:lang w:val="sl-SI"/>
        </w:rPr>
        <w:t>LT/1/13/3278/002 –  4 ml, N1</w:t>
      </w:r>
    </w:p>
    <w:p w14:paraId="1A4F63A7" w14:textId="77777777" w:rsidR="003A7B6B" w:rsidRPr="00976ED6" w:rsidRDefault="003A7B6B" w:rsidP="003A7B6B">
      <w:pPr>
        <w:widowControl w:val="0"/>
        <w:tabs>
          <w:tab w:val="left" w:pos="567"/>
          <w:tab w:val="left" w:pos="1296"/>
        </w:tabs>
        <w:ind w:left="0" w:firstLine="0"/>
        <w:rPr>
          <w:rFonts w:ascii="Times New Roman" w:hAnsi="Times New Roman" w:cs="Times New Roman"/>
          <w:highlight w:val="darkGray"/>
          <w:lang w:val="sl-SI"/>
        </w:rPr>
      </w:pPr>
      <w:r w:rsidRPr="00976ED6">
        <w:rPr>
          <w:rFonts w:ascii="Times New Roman" w:hAnsi="Times New Roman" w:cs="Times New Roman"/>
          <w:highlight w:val="darkGray"/>
          <w:lang w:val="sl-SI"/>
        </w:rPr>
        <w:t>LT/1/13/3278/003 –  8 ml, N1</w:t>
      </w:r>
    </w:p>
    <w:p w14:paraId="72AEBB1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44CF8E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7F5F776"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b/>
          <w:lang w:val="sl-SI"/>
        </w:rPr>
        <w:t>13.</w:t>
      </w:r>
      <w:r w:rsidRPr="00976ED6">
        <w:rPr>
          <w:rFonts w:ascii="Times New Roman" w:hAnsi="Times New Roman" w:cs="Times New Roman"/>
          <w:b/>
          <w:lang w:val="sl-SI"/>
        </w:rPr>
        <w:tab/>
        <w:t>SERIJOS NUMERIS</w:t>
      </w:r>
    </w:p>
    <w:p w14:paraId="0223242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92F1EE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Lot</w:t>
      </w:r>
    </w:p>
    <w:p w14:paraId="3FC0330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Serija</w:t>
      </w:r>
    </w:p>
    <w:p w14:paraId="4B7227C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56CB26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6058464"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b/>
          <w:lang w:val="sl-SI"/>
        </w:rPr>
        <w:t>14.</w:t>
      </w:r>
      <w:r w:rsidRPr="00976ED6">
        <w:rPr>
          <w:rFonts w:ascii="Times New Roman" w:hAnsi="Times New Roman" w:cs="Times New Roman"/>
          <w:b/>
          <w:lang w:val="sl-SI"/>
        </w:rPr>
        <w:tab/>
        <w:t>PARDAVIMO (IŠDAVIMO) TVARKA</w:t>
      </w:r>
    </w:p>
    <w:p w14:paraId="7CB4E22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2547BE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Receptinis vaistas</w:t>
      </w:r>
    </w:p>
    <w:p w14:paraId="3E2264CC"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881C71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5BEB2AA" w14:textId="77777777" w:rsidR="003A7B6B" w:rsidRPr="00976ED6" w:rsidRDefault="003A7B6B" w:rsidP="003A7B6B">
      <w:pPr>
        <w:widowControl w:val="0"/>
        <w:pBdr>
          <w:top w:val="single" w:sz="4" w:space="2"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b/>
          <w:lang w:val="sl-SI"/>
        </w:rPr>
        <w:t>15.</w:t>
      </w:r>
      <w:r w:rsidRPr="00976ED6">
        <w:rPr>
          <w:rFonts w:ascii="Times New Roman" w:hAnsi="Times New Roman" w:cs="Times New Roman"/>
          <w:b/>
          <w:lang w:val="sl-SI"/>
        </w:rPr>
        <w:tab/>
        <w:t>VARTOJIMO INSTRUKCIJA</w:t>
      </w:r>
    </w:p>
    <w:p w14:paraId="6FD8F54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146969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C0CB537" w14:textId="77777777" w:rsidR="003A7B6B" w:rsidRPr="00976ED6" w:rsidRDefault="003A7B6B" w:rsidP="003A7B6B">
      <w:pPr>
        <w:widowControl w:val="0"/>
        <w:pBdr>
          <w:top w:val="single" w:sz="4" w:space="1" w:color="auto"/>
          <w:left w:val="single" w:sz="4" w:space="4" w:color="auto"/>
          <w:bottom w:val="single" w:sz="4" w:space="0" w:color="auto"/>
          <w:right w:val="single" w:sz="4" w:space="4" w:color="auto"/>
        </w:pBdr>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b/>
          <w:lang w:val="sl-SI"/>
        </w:rPr>
        <w:t>16.</w:t>
      </w:r>
      <w:r w:rsidRPr="00976ED6">
        <w:rPr>
          <w:rFonts w:ascii="Times New Roman" w:hAnsi="Times New Roman" w:cs="Times New Roman"/>
          <w:b/>
          <w:lang w:val="sl-SI"/>
        </w:rPr>
        <w:tab/>
        <w:t>INFORMACIJA BRAILIO RAŠTU</w:t>
      </w:r>
    </w:p>
    <w:p w14:paraId="4E90D10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4AFCF6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Priimtas pagrindimas informacijos Brailio raštu nepateikti</w:t>
      </w:r>
    </w:p>
    <w:p w14:paraId="07B4CF2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E7AF29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DBA51C5"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b/>
          <w:lang w:val="sl-SI"/>
        </w:rPr>
        <w:t>17.</w:t>
      </w:r>
      <w:r w:rsidRPr="00976ED6">
        <w:rPr>
          <w:rFonts w:ascii="Times New Roman" w:hAnsi="Times New Roman" w:cs="Times New Roman"/>
          <w:b/>
          <w:lang w:val="sl-SI"/>
        </w:rPr>
        <w:tab/>
        <w:t>UNIKALUS IDENTIFIKATORIUS – 2D BRŪKŠNINIS KODAS</w:t>
      </w:r>
    </w:p>
    <w:p w14:paraId="3FDFB926"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4CEC4B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2D brūkšninis kodas su nurodytu unikaliu identifikatoriumi.</w:t>
      </w:r>
    </w:p>
    <w:p w14:paraId="2ACFD1C6" w14:textId="77777777" w:rsidR="003A7B6B" w:rsidRPr="00976ED6" w:rsidRDefault="003A7B6B" w:rsidP="003A7B6B">
      <w:pPr>
        <w:widowControl w:val="0"/>
        <w:tabs>
          <w:tab w:val="left" w:pos="567"/>
          <w:tab w:val="left" w:pos="1296"/>
        </w:tabs>
        <w:ind w:left="0" w:firstLine="0"/>
        <w:rPr>
          <w:rFonts w:ascii="Times New Roman" w:hAnsi="Times New Roman" w:cs="Times New Roman"/>
          <w:highlight w:val="lightGray"/>
          <w:lang w:val="sl-SI"/>
        </w:rPr>
      </w:pPr>
    </w:p>
    <w:p w14:paraId="01AF667C"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40FB5673"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b/>
          <w:lang w:val="sl-SI"/>
        </w:rPr>
        <w:t>18.</w:t>
      </w:r>
      <w:r w:rsidRPr="00976ED6">
        <w:rPr>
          <w:rFonts w:ascii="Times New Roman" w:hAnsi="Times New Roman" w:cs="Times New Roman"/>
          <w:b/>
          <w:lang w:val="sl-SI"/>
        </w:rPr>
        <w:tab/>
        <w:t>UNIKALUS IDENTIFIKATORIUS – ŽMONĖMS SUPRANTAMI DUOMENYS</w:t>
      </w:r>
    </w:p>
    <w:p w14:paraId="0530447D"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27C01733" w14:textId="3A92609E"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PC</w:t>
      </w:r>
    </w:p>
    <w:p w14:paraId="0F46C451" w14:textId="1C9171BB"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SN</w:t>
      </w:r>
    </w:p>
    <w:p w14:paraId="28E6012A" w14:textId="12C4CEBB" w:rsidR="003A7B6B" w:rsidRPr="00976ED6" w:rsidRDefault="003A7B6B" w:rsidP="003A7B6B">
      <w:pPr>
        <w:widowControl w:val="0"/>
        <w:tabs>
          <w:tab w:val="left" w:pos="567"/>
          <w:tab w:val="left" w:pos="1296"/>
        </w:tabs>
        <w:ind w:left="0" w:firstLine="0"/>
        <w:rPr>
          <w:rFonts w:ascii="Times New Roman" w:hAnsi="Times New Roman" w:cs="Times New Roman"/>
          <w:highlight w:val="lightGray"/>
          <w:lang w:val="sl-SI"/>
        </w:rPr>
      </w:pPr>
      <w:r w:rsidRPr="00976ED6">
        <w:rPr>
          <w:rFonts w:ascii="Times New Roman" w:hAnsi="Times New Roman" w:cs="Times New Roman"/>
          <w:highlight w:val="lightGray"/>
          <w:lang w:val="sl-SI"/>
        </w:rPr>
        <w:t>NN</w:t>
      </w:r>
    </w:p>
    <w:p w14:paraId="7ED42FC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D38C878" w14:textId="77777777" w:rsidR="003A7B6B" w:rsidRPr="00976ED6" w:rsidRDefault="003A7B6B" w:rsidP="003A7B6B">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lang w:val="sl-SI"/>
        </w:rPr>
        <w:br w:type="page"/>
      </w:r>
    </w:p>
    <w:p w14:paraId="766F76D6"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b/>
          <w:lang w:val="sl-SI"/>
        </w:rPr>
        <w:lastRenderedPageBreak/>
        <w:t>MINIMALI INFORMACIJA ANT MAŽŲ VIDINIŲ PAKUOČIŲ</w:t>
      </w:r>
    </w:p>
    <w:p w14:paraId="2D2EE861"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rPr>
          <w:rFonts w:ascii="Times New Roman" w:hAnsi="Times New Roman" w:cs="Times New Roman"/>
          <w:b/>
          <w:lang w:val="sl-SI"/>
        </w:rPr>
      </w:pPr>
    </w:p>
    <w:p w14:paraId="7B9595CB"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b/>
          <w:lang w:val="sl-SI"/>
        </w:rPr>
        <w:t>ETIKETĖ</w:t>
      </w:r>
    </w:p>
    <w:p w14:paraId="34A094A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F742AC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699F925"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b/>
          <w:lang w:val="sl-SI"/>
        </w:rPr>
      </w:pPr>
      <w:r w:rsidRPr="00976ED6">
        <w:rPr>
          <w:rFonts w:ascii="Times New Roman" w:hAnsi="Times New Roman" w:cs="Times New Roman"/>
          <w:b/>
          <w:lang w:val="sl-SI"/>
        </w:rPr>
        <w:t>1.</w:t>
      </w:r>
      <w:r w:rsidRPr="00976ED6">
        <w:rPr>
          <w:rFonts w:ascii="Times New Roman" w:hAnsi="Times New Roman" w:cs="Times New Roman"/>
          <w:b/>
          <w:lang w:val="sl-SI"/>
        </w:rPr>
        <w:tab/>
      </w:r>
      <w:r w:rsidRPr="00976ED6">
        <w:rPr>
          <w:rFonts w:ascii="Times New Roman" w:hAnsi="Times New Roman" w:cs="Times New Roman"/>
          <w:b/>
          <w:caps/>
          <w:lang w:val="sl-SI"/>
        </w:rPr>
        <w:t>Vaistinio preparato pavadinimas ir vartojimo būdas (-ai)</w:t>
      </w:r>
    </w:p>
    <w:p w14:paraId="0BF7ED0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14C6D92" w14:textId="7E776798" w:rsidR="003A7B6B"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Tolnexa 20 mg/ml koncentratas infuziniam tirpalui</w:t>
      </w:r>
    </w:p>
    <w:p w14:paraId="45CE2AC7" w14:textId="77777777" w:rsidR="009E71D6" w:rsidRPr="00976ED6" w:rsidRDefault="009E71D6" w:rsidP="003A7B6B">
      <w:pPr>
        <w:widowControl w:val="0"/>
        <w:tabs>
          <w:tab w:val="left" w:pos="567"/>
          <w:tab w:val="left" w:pos="1296"/>
        </w:tabs>
        <w:ind w:left="0" w:firstLine="0"/>
        <w:rPr>
          <w:rFonts w:ascii="Times New Roman" w:hAnsi="Times New Roman" w:cs="Times New Roman"/>
          <w:lang w:val="sl-SI"/>
        </w:rPr>
      </w:pPr>
    </w:p>
    <w:p w14:paraId="2C145FF1" w14:textId="3FBEA582" w:rsidR="003A7B6B" w:rsidRDefault="00ED0F98" w:rsidP="003A7B6B">
      <w:pPr>
        <w:widowControl w:val="0"/>
        <w:tabs>
          <w:tab w:val="left" w:pos="567"/>
          <w:tab w:val="left" w:pos="1296"/>
        </w:tabs>
        <w:ind w:left="0" w:firstLine="0"/>
        <w:rPr>
          <w:rFonts w:ascii="Times New Roman" w:hAnsi="Times New Roman" w:cs="Times New Roman"/>
          <w:lang w:val="sl-SI"/>
        </w:rPr>
      </w:pPr>
      <w:r>
        <w:rPr>
          <w:rFonts w:ascii="Times New Roman" w:hAnsi="Times New Roman" w:cs="Times New Roman"/>
          <w:lang w:val="sl-SI"/>
        </w:rPr>
        <w:t>d</w:t>
      </w:r>
      <w:r w:rsidR="003A7B6B" w:rsidRPr="00976ED6">
        <w:rPr>
          <w:rFonts w:ascii="Times New Roman" w:hAnsi="Times New Roman" w:cs="Times New Roman"/>
          <w:lang w:val="sl-SI"/>
        </w:rPr>
        <w:t>ocetakselis</w:t>
      </w:r>
    </w:p>
    <w:p w14:paraId="2A7C8EB2" w14:textId="77777777" w:rsidR="009E71D6" w:rsidRPr="00976ED6" w:rsidRDefault="009E71D6" w:rsidP="003A7B6B">
      <w:pPr>
        <w:widowControl w:val="0"/>
        <w:tabs>
          <w:tab w:val="left" w:pos="567"/>
          <w:tab w:val="left" w:pos="1296"/>
        </w:tabs>
        <w:ind w:left="0" w:firstLine="0"/>
        <w:rPr>
          <w:rFonts w:ascii="Times New Roman" w:hAnsi="Times New Roman" w:cs="Times New Roman"/>
          <w:lang w:val="sl-SI"/>
        </w:rPr>
      </w:pPr>
    </w:p>
    <w:p w14:paraId="24B17B9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i.v.</w:t>
      </w:r>
    </w:p>
    <w:p w14:paraId="47DF1DE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58C17A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A73C2CB"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b/>
          <w:lang w:val="sl-SI"/>
        </w:rPr>
      </w:pPr>
      <w:r w:rsidRPr="00976ED6">
        <w:rPr>
          <w:rFonts w:ascii="Times New Roman" w:hAnsi="Times New Roman" w:cs="Times New Roman"/>
          <w:b/>
          <w:lang w:val="sl-SI"/>
        </w:rPr>
        <w:t>2.</w:t>
      </w:r>
      <w:r w:rsidRPr="00976ED6">
        <w:rPr>
          <w:rFonts w:ascii="Times New Roman" w:hAnsi="Times New Roman" w:cs="Times New Roman"/>
          <w:b/>
          <w:lang w:val="sl-SI"/>
        </w:rPr>
        <w:tab/>
        <w:t>VARTOJIMO METODAS</w:t>
      </w:r>
    </w:p>
    <w:p w14:paraId="4604EC3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45E7E22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Prieš vartojimą perskaitykite pakuotės lapelį.</w:t>
      </w:r>
    </w:p>
    <w:p w14:paraId="6BDC1E5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6854C4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2CBCA5B"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b/>
          <w:lang w:val="sl-SI"/>
        </w:rPr>
      </w:pPr>
      <w:r w:rsidRPr="00976ED6">
        <w:rPr>
          <w:rFonts w:ascii="Times New Roman" w:hAnsi="Times New Roman" w:cs="Times New Roman"/>
          <w:b/>
          <w:lang w:val="sl-SI"/>
        </w:rPr>
        <w:t>3.</w:t>
      </w:r>
      <w:r w:rsidRPr="00976ED6">
        <w:rPr>
          <w:rFonts w:ascii="Times New Roman" w:hAnsi="Times New Roman" w:cs="Times New Roman"/>
          <w:b/>
          <w:lang w:val="sl-SI"/>
        </w:rPr>
        <w:tab/>
        <w:t>TINKAMUMO LAIKAS</w:t>
      </w:r>
    </w:p>
    <w:p w14:paraId="0F1EF66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1E086B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EXP (mm/MMMM)</w:t>
      </w:r>
    </w:p>
    <w:p w14:paraId="0D9C1F0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95E0FA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88B4C89"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b/>
          <w:lang w:val="sl-SI"/>
        </w:rPr>
      </w:pPr>
      <w:r w:rsidRPr="00976ED6">
        <w:rPr>
          <w:rFonts w:ascii="Times New Roman" w:hAnsi="Times New Roman" w:cs="Times New Roman"/>
          <w:b/>
          <w:lang w:val="sl-SI"/>
        </w:rPr>
        <w:t>4.</w:t>
      </w:r>
      <w:r w:rsidRPr="00976ED6">
        <w:rPr>
          <w:rFonts w:ascii="Times New Roman" w:hAnsi="Times New Roman" w:cs="Times New Roman"/>
          <w:b/>
          <w:lang w:val="sl-SI"/>
        </w:rPr>
        <w:tab/>
        <w:t>SERIJOS NUMERIS</w:t>
      </w:r>
    </w:p>
    <w:p w14:paraId="43041FE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049A01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Lot</w:t>
      </w:r>
    </w:p>
    <w:p w14:paraId="73904A47"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17E8C8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EE16E34"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b/>
          <w:lang w:val="sl-SI"/>
        </w:rPr>
      </w:pPr>
      <w:r w:rsidRPr="00976ED6">
        <w:rPr>
          <w:rFonts w:ascii="Times New Roman" w:hAnsi="Times New Roman" w:cs="Times New Roman"/>
          <w:b/>
          <w:lang w:val="sl-SI"/>
        </w:rPr>
        <w:t>5.</w:t>
      </w:r>
      <w:r w:rsidRPr="00976ED6">
        <w:rPr>
          <w:rFonts w:ascii="Times New Roman" w:hAnsi="Times New Roman" w:cs="Times New Roman"/>
          <w:b/>
          <w:lang w:val="sl-SI"/>
        </w:rPr>
        <w:tab/>
        <w:t>KIEKIS (MASĖ, TŪRIS ARBA VIENETAI)</w:t>
      </w:r>
    </w:p>
    <w:p w14:paraId="594DC15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6FE328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1 ml</w:t>
      </w:r>
    </w:p>
    <w:p w14:paraId="30E5CA7A"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4 ml</w:t>
      </w:r>
    </w:p>
    <w:p w14:paraId="7A9564D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darkGray"/>
          <w:lang w:val="sl-SI"/>
        </w:rPr>
        <w:t>8 ml</w:t>
      </w:r>
    </w:p>
    <w:p w14:paraId="504A60A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069AFC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20 mg/1 ml</w:t>
      </w:r>
    </w:p>
    <w:p w14:paraId="0188E3A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80 mg/4 ml</w:t>
      </w:r>
    </w:p>
    <w:p w14:paraId="7B920AED" w14:textId="77777777" w:rsidR="003A7B6B" w:rsidRPr="00976ED6" w:rsidRDefault="003A7B6B" w:rsidP="003A7B6B">
      <w:pPr>
        <w:widowControl w:val="0"/>
        <w:tabs>
          <w:tab w:val="left" w:pos="567"/>
          <w:tab w:val="left" w:pos="1296"/>
        </w:tabs>
        <w:ind w:left="0" w:firstLine="0"/>
        <w:rPr>
          <w:rFonts w:ascii="Times New Roman" w:hAnsi="Times New Roman" w:cs="Times New Roman"/>
          <w:highlight w:val="darkGray"/>
          <w:lang w:val="sl-SI"/>
        </w:rPr>
      </w:pPr>
      <w:r w:rsidRPr="00976ED6">
        <w:rPr>
          <w:rFonts w:ascii="Times New Roman" w:hAnsi="Times New Roman" w:cs="Times New Roman"/>
          <w:highlight w:val="darkGray"/>
          <w:lang w:val="sl-SI"/>
        </w:rPr>
        <w:t>160 mg/ 8 ml</w:t>
      </w:r>
    </w:p>
    <w:p w14:paraId="2CBA2C1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D398B39"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39EFDFF" w14:textId="77777777" w:rsidR="003A7B6B" w:rsidRPr="00976ED6" w:rsidRDefault="003A7B6B" w:rsidP="003A7B6B">
      <w:pPr>
        <w:widowControl w:val="0"/>
        <w:pBdr>
          <w:top w:val="single" w:sz="4" w:space="1" w:color="auto"/>
          <w:left w:val="single" w:sz="4" w:space="4" w:color="auto"/>
          <w:bottom w:val="single" w:sz="4" w:space="1" w:color="auto"/>
          <w:right w:val="single" w:sz="4" w:space="4" w:color="auto"/>
        </w:pBdr>
        <w:tabs>
          <w:tab w:val="left" w:pos="567"/>
          <w:tab w:val="left" w:pos="1296"/>
        </w:tabs>
        <w:ind w:left="0" w:firstLine="0"/>
        <w:outlineLvl w:val="0"/>
        <w:rPr>
          <w:rFonts w:ascii="Times New Roman" w:hAnsi="Times New Roman" w:cs="Times New Roman"/>
          <w:b/>
          <w:lang w:val="sl-SI"/>
        </w:rPr>
      </w:pPr>
      <w:r w:rsidRPr="00976ED6">
        <w:rPr>
          <w:rFonts w:ascii="Times New Roman" w:hAnsi="Times New Roman" w:cs="Times New Roman"/>
          <w:b/>
          <w:lang w:val="sl-SI"/>
        </w:rPr>
        <w:t>6.</w:t>
      </w:r>
      <w:r w:rsidRPr="00976ED6">
        <w:rPr>
          <w:rFonts w:ascii="Times New Roman" w:hAnsi="Times New Roman" w:cs="Times New Roman"/>
          <w:b/>
          <w:lang w:val="sl-SI"/>
        </w:rPr>
        <w:tab/>
        <w:t>KITA</w:t>
      </w:r>
    </w:p>
    <w:p w14:paraId="2582F5E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2C1F953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CITOTOKSINIS</w:t>
      </w:r>
    </w:p>
    <w:p w14:paraId="52ABA4E9"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r w:rsidRPr="00976ED6">
        <w:rPr>
          <w:rFonts w:ascii="Times New Roman" w:hAnsi="Times New Roman" w:cs="Times New Roman"/>
          <w:b/>
          <w:lang w:val="sl-SI"/>
        </w:rPr>
        <w:br w:type="page"/>
      </w:r>
    </w:p>
    <w:p w14:paraId="1DE26141"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10B9AF97"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3E91F771"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00CE7DC0"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0CBADE1C"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77E783DA"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07BA49EF"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10B2F7C5"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3CD7FEE8"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455AE8EA"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4BA642A8"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44580537"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7FCCF52E"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74E6DC9F"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57AAA3CA"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485A691B"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4F7EF9CA"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55419113"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4F6765CF"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4CB9A338"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08B78033"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02BDEABD" w14:textId="77777777" w:rsidR="003A7B6B" w:rsidRPr="00976ED6" w:rsidRDefault="003A7B6B" w:rsidP="003A7B6B">
      <w:pPr>
        <w:widowControl w:val="0"/>
        <w:tabs>
          <w:tab w:val="left" w:pos="567"/>
          <w:tab w:val="left" w:pos="1296"/>
        </w:tabs>
        <w:ind w:left="0" w:firstLine="0"/>
        <w:jc w:val="center"/>
        <w:outlineLvl w:val="0"/>
        <w:rPr>
          <w:rFonts w:ascii="Times New Roman" w:hAnsi="Times New Roman" w:cs="Times New Roman"/>
          <w:b/>
          <w:lang w:val="sl-SI"/>
        </w:rPr>
      </w:pPr>
    </w:p>
    <w:p w14:paraId="4AE30FB4"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b/>
          <w:lang w:val="sl-SI"/>
        </w:rPr>
      </w:pPr>
    </w:p>
    <w:p w14:paraId="03DE4B55" w14:textId="77777777" w:rsidR="003A7B6B" w:rsidRPr="00976ED6" w:rsidRDefault="003A7B6B" w:rsidP="003A7B6B">
      <w:pPr>
        <w:widowControl w:val="0"/>
        <w:tabs>
          <w:tab w:val="left" w:pos="-1440"/>
          <w:tab w:val="left" w:pos="-720"/>
          <w:tab w:val="left" w:pos="567"/>
          <w:tab w:val="left" w:pos="1296"/>
        </w:tabs>
        <w:ind w:left="0" w:firstLine="0"/>
        <w:jc w:val="center"/>
        <w:rPr>
          <w:rFonts w:ascii="Times New Roman" w:hAnsi="Times New Roman" w:cs="Times New Roman"/>
          <w:lang w:val="sl-SI"/>
        </w:rPr>
      </w:pPr>
      <w:r w:rsidRPr="00976ED6">
        <w:rPr>
          <w:rFonts w:ascii="Times New Roman" w:hAnsi="Times New Roman" w:cs="Times New Roman"/>
          <w:b/>
          <w:lang w:val="sl-SI"/>
        </w:rPr>
        <w:t>B. PAKUOTĖS LAPELIS</w:t>
      </w:r>
    </w:p>
    <w:p w14:paraId="01FCA552" w14:textId="77777777" w:rsidR="003A7B6B" w:rsidRPr="00976ED6" w:rsidRDefault="003A7B6B" w:rsidP="003A7B6B">
      <w:pPr>
        <w:widowControl w:val="0"/>
        <w:tabs>
          <w:tab w:val="left" w:pos="1296"/>
        </w:tabs>
        <w:ind w:left="0" w:firstLine="0"/>
        <w:jc w:val="center"/>
        <w:outlineLvl w:val="0"/>
        <w:rPr>
          <w:rFonts w:ascii="Times New Roman" w:hAnsi="Times New Roman" w:cs="Times New Roman"/>
          <w:b/>
          <w:lang w:val="sl-SI"/>
        </w:rPr>
      </w:pPr>
      <w:r w:rsidRPr="00976ED6">
        <w:rPr>
          <w:rFonts w:ascii="Times New Roman" w:hAnsi="Times New Roman" w:cs="Times New Roman"/>
          <w:lang w:val="sl-SI"/>
        </w:rPr>
        <w:br w:type="page"/>
      </w:r>
      <w:r w:rsidRPr="00976ED6">
        <w:rPr>
          <w:rFonts w:ascii="Times New Roman" w:hAnsi="Times New Roman" w:cs="Times New Roman"/>
          <w:b/>
          <w:lang w:val="sl-SI"/>
        </w:rPr>
        <w:lastRenderedPageBreak/>
        <w:t>Pakuotės lapelis: informacija pacientui</w:t>
      </w:r>
    </w:p>
    <w:p w14:paraId="545ED90F" w14:textId="77777777" w:rsidR="003A7B6B" w:rsidRPr="00976ED6" w:rsidRDefault="003A7B6B" w:rsidP="003A7B6B">
      <w:pPr>
        <w:widowControl w:val="0"/>
        <w:numPr>
          <w:ilvl w:val="12"/>
          <w:numId w:val="0"/>
        </w:numPr>
        <w:shd w:val="clear" w:color="auto" w:fill="FFFFFF"/>
        <w:tabs>
          <w:tab w:val="left" w:pos="1296"/>
        </w:tabs>
        <w:jc w:val="center"/>
        <w:rPr>
          <w:rFonts w:ascii="Times New Roman" w:hAnsi="Times New Roman" w:cs="Times New Roman"/>
          <w:lang w:val="sl-SI"/>
        </w:rPr>
      </w:pPr>
    </w:p>
    <w:p w14:paraId="55B9FCFA"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lang w:val="sl-SI"/>
        </w:rPr>
        <w:t>Tolnexa 20 mg/ml koncentratas infuziniam tirpalui</w:t>
      </w:r>
    </w:p>
    <w:p w14:paraId="5B2ADC35"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p>
    <w:p w14:paraId="164ED1D8"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lang w:val="sl-SI"/>
        </w:rPr>
        <w:t>20 mg/1</w:t>
      </w:r>
      <w:r>
        <w:rPr>
          <w:rFonts w:ascii="Times New Roman" w:hAnsi="Times New Roman" w:cs="Times New Roman"/>
          <w:b/>
          <w:lang w:val="sl-SI"/>
        </w:rPr>
        <w:t xml:space="preserve"> </w:t>
      </w:r>
      <w:r w:rsidRPr="00976ED6">
        <w:rPr>
          <w:rFonts w:ascii="Times New Roman" w:hAnsi="Times New Roman" w:cs="Times New Roman"/>
          <w:b/>
          <w:lang w:val="sl-SI"/>
        </w:rPr>
        <w:t>ml koncentratas infuziniam tirpalui</w:t>
      </w:r>
    </w:p>
    <w:p w14:paraId="68D51738"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highlight w:val="lightGray"/>
          <w:lang w:val="sl-SI"/>
        </w:rPr>
        <w:t>80 mg/4 ml koncentratas infuziniam tirpalui</w:t>
      </w:r>
    </w:p>
    <w:p w14:paraId="51E8B1AF"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highlight w:val="darkGray"/>
          <w:lang w:val="sl-SI"/>
        </w:rPr>
        <w:t>160 mg/8 ml koncentratas infuziniam tirpalui</w:t>
      </w:r>
    </w:p>
    <w:p w14:paraId="66F56774" w14:textId="77777777" w:rsidR="003A7B6B" w:rsidRPr="00976ED6" w:rsidRDefault="003A7B6B" w:rsidP="003A7B6B">
      <w:pPr>
        <w:widowControl w:val="0"/>
        <w:tabs>
          <w:tab w:val="left" w:pos="567"/>
          <w:tab w:val="left" w:pos="1296"/>
        </w:tabs>
        <w:ind w:left="0" w:firstLine="0"/>
        <w:jc w:val="center"/>
        <w:rPr>
          <w:rFonts w:ascii="Times New Roman" w:hAnsi="Times New Roman" w:cs="Times New Roman"/>
          <w:b/>
          <w:lang w:val="sl-SI"/>
        </w:rPr>
      </w:pPr>
    </w:p>
    <w:p w14:paraId="6F8EC805" w14:textId="582BEB61" w:rsidR="003A7B6B" w:rsidRPr="00976ED6" w:rsidRDefault="003A7B6B" w:rsidP="003A7B6B">
      <w:pPr>
        <w:widowControl w:val="0"/>
        <w:numPr>
          <w:ilvl w:val="12"/>
          <w:numId w:val="0"/>
        </w:numPr>
        <w:tabs>
          <w:tab w:val="left" w:pos="1296"/>
        </w:tabs>
        <w:jc w:val="center"/>
        <w:rPr>
          <w:rFonts w:ascii="Times New Roman" w:hAnsi="Times New Roman" w:cs="Times New Roman"/>
          <w:lang w:val="sl-SI"/>
        </w:rPr>
      </w:pPr>
      <w:r>
        <w:rPr>
          <w:rFonts w:ascii="Times New Roman" w:hAnsi="Times New Roman" w:cs="Times New Roman"/>
          <w:lang w:val="sl-SI"/>
        </w:rPr>
        <w:t>d</w:t>
      </w:r>
      <w:r w:rsidRPr="00976ED6">
        <w:rPr>
          <w:rFonts w:ascii="Times New Roman" w:hAnsi="Times New Roman" w:cs="Times New Roman"/>
          <w:lang w:val="sl-SI"/>
        </w:rPr>
        <w:t>ocetakselis</w:t>
      </w:r>
    </w:p>
    <w:p w14:paraId="539C63D2"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31AE60CE"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b/>
          <w:lang w:val="sl-SI"/>
        </w:rPr>
        <w:t>Atidžiai perskaitykite visą šį lapelį, prieš pradėdami vartoti vaistą, nes jame pateikiama Jums svarbi informacija.</w:t>
      </w:r>
    </w:p>
    <w:p w14:paraId="09C49FCC" w14:textId="77777777" w:rsidR="003A7B6B" w:rsidRPr="00976ED6" w:rsidRDefault="003A7B6B" w:rsidP="003A7B6B">
      <w:pPr>
        <w:widowControl w:val="0"/>
        <w:numPr>
          <w:ilvl w:val="0"/>
          <w:numId w:val="20"/>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Neišmeskite šio lapelio, nes vėl gali prireikti jį perskaityti.</w:t>
      </w:r>
    </w:p>
    <w:p w14:paraId="57330A3C" w14:textId="77777777" w:rsidR="003A7B6B" w:rsidRPr="00976ED6" w:rsidRDefault="003A7B6B" w:rsidP="003A7B6B">
      <w:pPr>
        <w:widowControl w:val="0"/>
        <w:numPr>
          <w:ilvl w:val="0"/>
          <w:numId w:val="20"/>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Jeigu kiltų daugiau klausimų, kreipkitės į gydytoją arba slaugytoją.</w:t>
      </w:r>
    </w:p>
    <w:p w14:paraId="5C1C7151" w14:textId="77777777" w:rsidR="003A7B6B" w:rsidRPr="00976ED6" w:rsidRDefault="003A7B6B" w:rsidP="003A7B6B">
      <w:pPr>
        <w:widowControl w:val="0"/>
        <w:numPr>
          <w:ilvl w:val="0"/>
          <w:numId w:val="20"/>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Jeigu pasireiškė šalutinis poveikis (net jeigu jis šiame lapelyje nenurodytas), kreipkitės į gydytoją arba slaugytoją. Žr. 4 skyrių.</w:t>
      </w:r>
    </w:p>
    <w:p w14:paraId="4A34223E" w14:textId="77777777" w:rsidR="003A7B6B" w:rsidRPr="00976ED6" w:rsidRDefault="003A7B6B" w:rsidP="003A7B6B">
      <w:pPr>
        <w:widowControl w:val="0"/>
        <w:tabs>
          <w:tab w:val="left" w:pos="1296"/>
        </w:tabs>
        <w:ind w:left="0" w:right="-2" w:firstLine="0"/>
        <w:rPr>
          <w:rFonts w:ascii="Times New Roman" w:hAnsi="Times New Roman" w:cs="Times New Roman"/>
          <w:lang w:val="sl-SI"/>
        </w:rPr>
      </w:pPr>
    </w:p>
    <w:p w14:paraId="4D127AFD"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Apie ką rašoma šiame lapelyje?</w:t>
      </w:r>
    </w:p>
    <w:p w14:paraId="59052D47"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1.</w:t>
      </w:r>
      <w:r w:rsidRPr="00976ED6">
        <w:rPr>
          <w:rFonts w:ascii="Times New Roman" w:hAnsi="Times New Roman" w:cs="Times New Roman"/>
          <w:lang w:val="sl-SI"/>
        </w:rPr>
        <w:tab/>
        <w:t>Kas yra Tolnexa ir kam jis vartojamas</w:t>
      </w:r>
    </w:p>
    <w:p w14:paraId="36A6CFD0"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2.</w:t>
      </w:r>
      <w:r w:rsidRPr="00976ED6">
        <w:rPr>
          <w:rFonts w:ascii="Times New Roman" w:hAnsi="Times New Roman" w:cs="Times New Roman"/>
          <w:lang w:val="sl-SI"/>
        </w:rPr>
        <w:tab/>
        <w:t>Kas žinotina prieš vartojant Tolnexa</w:t>
      </w:r>
    </w:p>
    <w:p w14:paraId="387F424B"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3.</w:t>
      </w:r>
      <w:r w:rsidRPr="00976ED6">
        <w:rPr>
          <w:rFonts w:ascii="Times New Roman" w:hAnsi="Times New Roman" w:cs="Times New Roman"/>
          <w:lang w:val="sl-SI"/>
        </w:rPr>
        <w:tab/>
        <w:t>Kaip vartoti Tolnexa</w:t>
      </w:r>
    </w:p>
    <w:p w14:paraId="051F0806"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4.</w:t>
      </w:r>
      <w:r w:rsidRPr="00976ED6">
        <w:rPr>
          <w:rFonts w:ascii="Times New Roman" w:hAnsi="Times New Roman" w:cs="Times New Roman"/>
          <w:lang w:val="sl-SI"/>
        </w:rPr>
        <w:tab/>
        <w:t>Galimas šalutinis poveikis</w:t>
      </w:r>
    </w:p>
    <w:p w14:paraId="12837A51" w14:textId="77777777" w:rsidR="003A7B6B" w:rsidRPr="00976ED6" w:rsidRDefault="003A7B6B" w:rsidP="003A7B6B">
      <w:pPr>
        <w:widowControl w:val="0"/>
        <w:numPr>
          <w:ilvl w:val="12"/>
          <w:numId w:val="0"/>
        </w:numPr>
        <w:tabs>
          <w:tab w:val="left" w:pos="567"/>
          <w:tab w:val="left" w:pos="709"/>
          <w:tab w:val="left" w:pos="1296"/>
        </w:tabs>
        <w:ind w:right="-2"/>
        <w:rPr>
          <w:rFonts w:ascii="Times New Roman" w:hAnsi="Times New Roman" w:cs="Times New Roman"/>
          <w:lang w:val="sl-SI"/>
        </w:rPr>
      </w:pPr>
      <w:r w:rsidRPr="00976ED6">
        <w:rPr>
          <w:rFonts w:ascii="Times New Roman" w:hAnsi="Times New Roman" w:cs="Times New Roman"/>
          <w:lang w:val="sl-SI"/>
        </w:rPr>
        <w:t>5.</w:t>
      </w:r>
      <w:r w:rsidRPr="00976ED6">
        <w:rPr>
          <w:rFonts w:ascii="Times New Roman" w:hAnsi="Times New Roman" w:cs="Times New Roman"/>
          <w:lang w:val="sl-SI"/>
        </w:rPr>
        <w:tab/>
        <w:t>Kaip laikyti Tolnexa</w:t>
      </w:r>
    </w:p>
    <w:p w14:paraId="58F82860"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6.</w:t>
      </w:r>
      <w:r w:rsidRPr="00976ED6">
        <w:rPr>
          <w:rFonts w:ascii="Times New Roman" w:hAnsi="Times New Roman" w:cs="Times New Roman"/>
          <w:lang w:val="sl-SI"/>
        </w:rPr>
        <w:tab/>
        <w:t>Pakuotės turinys ir kita informacija</w:t>
      </w:r>
    </w:p>
    <w:p w14:paraId="4331D87F"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6A4B5002"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66494EB1"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1.</w:t>
      </w:r>
      <w:r w:rsidRPr="00976ED6">
        <w:rPr>
          <w:rFonts w:ascii="Times New Roman" w:hAnsi="Times New Roman" w:cs="Times New Roman"/>
          <w:b/>
          <w:lang w:val="sl-SI"/>
        </w:rPr>
        <w:tab/>
        <w:t>Kas yra Tolnexa ir kam jis vartojamas</w:t>
      </w:r>
    </w:p>
    <w:p w14:paraId="255CC0B5"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7259A283"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Šio vaisto prekinis pavadinimas – Tolnexa, bendrinis – docetakselis. Docetakselis – tai medžiaga, gaunama iš kukmedžio spyglių.</w:t>
      </w:r>
    </w:p>
    <w:p w14:paraId="73BC75B8"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Docetakselis priklauso vaistų nuo vėžio, vadinamų taksoidais, grupei.</w:t>
      </w:r>
    </w:p>
    <w:p w14:paraId="1FFD170C"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4B69DCEF"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Tolnexa gydytojas skyrė krūties vėžiui, tam tikros rūšies (nesmulkialąsteliniam) plaučių vėžiui, prostatos vėžiui, skrandžio vėžiui ir galvos bei kaklo vėžiui gydyti:</w:t>
      </w:r>
    </w:p>
    <w:p w14:paraId="374D91CB" w14:textId="77777777" w:rsidR="003A7B6B" w:rsidRPr="00976ED6" w:rsidRDefault="003A7B6B" w:rsidP="003A7B6B">
      <w:pPr>
        <w:widowControl w:val="0"/>
        <w:numPr>
          <w:ilvl w:val="0"/>
          <w:numId w:val="21"/>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progresavusiam krūties vėžiui gydyti Tolnexa vartojamas vienas arba kartu su doksorubicinu, trastuzumabu ar kapecitabinu;</w:t>
      </w:r>
    </w:p>
    <w:p w14:paraId="35DEF1D6" w14:textId="77777777" w:rsidR="003A7B6B" w:rsidRPr="00976ED6" w:rsidRDefault="003A7B6B" w:rsidP="003A7B6B">
      <w:pPr>
        <w:widowControl w:val="0"/>
        <w:numPr>
          <w:ilvl w:val="0"/>
          <w:numId w:val="21"/>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pradinių stadijų krūties vėžiui, pažeidusiam ar nepažeidusiam limfmazgius, gydyti Tolnexa gali būti vartojamas kartu su doksorubicinu ir ciklofosfamidu;</w:t>
      </w:r>
    </w:p>
    <w:p w14:paraId="44F07775" w14:textId="77777777" w:rsidR="003A7B6B" w:rsidRPr="00976ED6" w:rsidRDefault="003A7B6B" w:rsidP="003A7B6B">
      <w:pPr>
        <w:widowControl w:val="0"/>
        <w:numPr>
          <w:ilvl w:val="0"/>
          <w:numId w:val="21"/>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plaučių vėžiui gydyti Tolnexa vartojamas vienas arba kartu su cisplatina;</w:t>
      </w:r>
    </w:p>
    <w:p w14:paraId="58239FBD" w14:textId="77777777" w:rsidR="003A7B6B" w:rsidRPr="00976ED6" w:rsidRDefault="003A7B6B" w:rsidP="003A7B6B">
      <w:pPr>
        <w:widowControl w:val="0"/>
        <w:numPr>
          <w:ilvl w:val="0"/>
          <w:numId w:val="21"/>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prostatos vėžiui gydyti Tolnexa vartojamas kartu su prednizonu ar prednizolonu;</w:t>
      </w:r>
    </w:p>
    <w:p w14:paraId="69B40680" w14:textId="77777777" w:rsidR="003A7B6B" w:rsidRPr="00976ED6" w:rsidRDefault="003A7B6B" w:rsidP="003A7B6B">
      <w:pPr>
        <w:widowControl w:val="0"/>
        <w:numPr>
          <w:ilvl w:val="0"/>
          <w:numId w:val="21"/>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metastazavusiam skrandžio vėžiui gydyti Tolnexa vartojamas kartu su cisplatina ir 5-fluorouracilu;</w:t>
      </w:r>
    </w:p>
    <w:p w14:paraId="3A6A4B78" w14:textId="77777777" w:rsidR="003A7B6B" w:rsidRPr="00976ED6" w:rsidRDefault="003A7B6B" w:rsidP="003A7B6B">
      <w:pPr>
        <w:widowControl w:val="0"/>
        <w:numPr>
          <w:ilvl w:val="0"/>
          <w:numId w:val="21"/>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galvos ir kaklo vėžiui gydyti Tolnexa vartojamas kartu su cisplatina ir 5-fluorouracilu.</w:t>
      </w:r>
    </w:p>
    <w:p w14:paraId="1ADE14CF" w14:textId="77777777" w:rsidR="003A7B6B" w:rsidRPr="00976ED6" w:rsidRDefault="003A7B6B" w:rsidP="003A7B6B">
      <w:pPr>
        <w:widowControl w:val="0"/>
        <w:tabs>
          <w:tab w:val="left" w:pos="1296"/>
        </w:tabs>
        <w:ind w:left="0" w:right="-2" w:firstLine="0"/>
        <w:rPr>
          <w:rFonts w:ascii="Times New Roman" w:hAnsi="Times New Roman" w:cs="Times New Roman"/>
          <w:lang w:val="sl-SI"/>
        </w:rPr>
      </w:pPr>
    </w:p>
    <w:p w14:paraId="54D11759"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74799C7A"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2.</w:t>
      </w:r>
      <w:r w:rsidRPr="00976ED6">
        <w:rPr>
          <w:rFonts w:ascii="Times New Roman" w:hAnsi="Times New Roman" w:cs="Times New Roman"/>
          <w:b/>
          <w:lang w:val="sl-SI"/>
        </w:rPr>
        <w:tab/>
        <w:t>Kas žinotina prieš vartojant Tolnexa</w:t>
      </w:r>
    </w:p>
    <w:p w14:paraId="7874EAC7"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385FDB3D"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Tolnexa vartoti negalima:</w:t>
      </w:r>
    </w:p>
    <w:p w14:paraId="506A923E" w14:textId="77777777" w:rsidR="003A7B6B" w:rsidRPr="00976ED6" w:rsidRDefault="003A7B6B" w:rsidP="003A7B6B">
      <w:pPr>
        <w:widowControl w:val="0"/>
        <w:numPr>
          <w:ilvl w:val="0"/>
          <w:numId w:val="2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jeigu yra alergija (padidėjęs jautrumas) docetakseliui arba bet kuriai pagalbinei šio vaisto medžiagai (jos išvardytos 6 skyriuje);</w:t>
      </w:r>
    </w:p>
    <w:p w14:paraId="2379419F" w14:textId="77777777" w:rsidR="003A7B6B" w:rsidRPr="00976ED6" w:rsidRDefault="003A7B6B" w:rsidP="003A7B6B">
      <w:pPr>
        <w:widowControl w:val="0"/>
        <w:numPr>
          <w:ilvl w:val="0"/>
          <w:numId w:val="2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jeigu per daug sumažėjęs baltųjų kraujo kūnelių skaičius;</w:t>
      </w:r>
    </w:p>
    <w:p w14:paraId="7DD73638" w14:textId="77777777" w:rsidR="003A7B6B" w:rsidRPr="00976ED6" w:rsidRDefault="003A7B6B" w:rsidP="003A7B6B">
      <w:pPr>
        <w:widowControl w:val="0"/>
        <w:numPr>
          <w:ilvl w:val="0"/>
          <w:numId w:val="2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pacientams, sergantiems sunkiomis kepenų ligomis.</w:t>
      </w:r>
    </w:p>
    <w:p w14:paraId="4447EACB" w14:textId="77777777" w:rsidR="003A7B6B" w:rsidRPr="00976ED6" w:rsidRDefault="003A7B6B" w:rsidP="003A7B6B">
      <w:pPr>
        <w:widowControl w:val="0"/>
        <w:tabs>
          <w:tab w:val="left" w:pos="1296"/>
        </w:tabs>
        <w:ind w:left="0" w:right="-2" w:firstLine="0"/>
        <w:rPr>
          <w:rFonts w:ascii="Times New Roman" w:hAnsi="Times New Roman" w:cs="Times New Roman"/>
          <w:lang w:val="sl-SI"/>
        </w:rPr>
      </w:pPr>
    </w:p>
    <w:p w14:paraId="16074FAE"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Įspėjimai ir atsargumo priemonės</w:t>
      </w:r>
    </w:p>
    <w:p w14:paraId="31888933"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Prieš kiekvieną Tolnexa gydymo ciklą Jums bus atliekamas kraujo tyrimas. Jo metu bus nustatyta, ar ne per mažai kraujo kūnelių ir ar pakankama kepenų funkcija, kad būtų galima gydyti Tolnexa. Jei sumažės baltųjų kraujo kūnelių kiekis, gali pasireikšti su tuo susijęs karščiavimas ar infekcija.</w:t>
      </w:r>
    </w:p>
    <w:p w14:paraId="5E042BD6"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6112A76D"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eastAsia="Times New Roman" w:hAnsi="Times New Roman" w:cs="Times New Roman"/>
          <w:noProof/>
          <w:lang w:val="sl-SI" w:eastAsia="zh-CN"/>
        </w:rPr>
        <w:t>Pasakykite</w:t>
      </w:r>
      <w:r w:rsidRPr="00976ED6">
        <w:rPr>
          <w:rFonts w:ascii="Times New Roman" w:hAnsi="Times New Roman" w:cs="Times New Roman"/>
          <w:lang w:val="sl-SI"/>
        </w:rPr>
        <w:t xml:space="preserve"> gydytojui, ligoninės vaistininkui arba slaugytojui</w:t>
      </w:r>
      <w:r w:rsidRPr="00976ED6">
        <w:rPr>
          <w:rFonts w:ascii="Times New Roman" w:eastAsia="Times New Roman" w:hAnsi="Times New Roman" w:cs="Times New Roman"/>
          <w:noProof/>
          <w:lang w:val="sl-SI" w:eastAsia="zh-CN"/>
        </w:rPr>
        <w:t>, jeigu jums pasireiškia pilvo skausmas ar jautrumas, viduriavimas, tiesiosios žarnos kraujavimas, kraujas išmatose ar karščiavimas. Šie simptomai gali būti pirmieji sunkaus virškinimo trakto toksiškumo požymiai, kurie gali būti mirtini. Jūsų gydytojas turi nedelsdamas juos spręsti</w:t>
      </w:r>
      <w:r w:rsidRPr="00976ED6">
        <w:rPr>
          <w:rFonts w:ascii="Times New Roman" w:hAnsi="Times New Roman" w:cs="Times New Roman"/>
          <w:lang w:val="sl-SI"/>
        </w:rPr>
        <w:t>.</w:t>
      </w:r>
    </w:p>
    <w:p w14:paraId="23ADF603"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63C39CC4"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Pasakykite gydytojui, ligoninės vaistininkui arba slaugytojui, jeigu jums pasireiškia regos sutrikimų. Jeigu pasireikštų regos sutrikimų, ypač jeigu matymas taptų neryškus, reikėtų nedelsiant atlikti akių apžiūrą ir regėjimo įvertinimą.</w:t>
      </w:r>
    </w:p>
    <w:p w14:paraId="6261F693"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633D4A67" w14:textId="77777777" w:rsidR="003A7B6B" w:rsidRPr="00976ED6" w:rsidRDefault="003A7B6B" w:rsidP="003A7B6B">
      <w:pPr>
        <w:widowControl w:val="0"/>
        <w:numPr>
          <w:ilvl w:val="12"/>
          <w:numId w:val="0"/>
        </w:numPr>
        <w:tabs>
          <w:tab w:val="left" w:pos="1296"/>
        </w:tabs>
        <w:ind w:right="-2"/>
        <w:rPr>
          <w:rFonts w:ascii="Times New Roman" w:eastAsia="Times New Roman" w:hAnsi="Times New Roman" w:cs="Times New Roman"/>
          <w:lang w:val="sl-SI" w:eastAsia="sl-SI"/>
        </w:rPr>
      </w:pPr>
      <w:r w:rsidRPr="00976ED6">
        <w:rPr>
          <w:rFonts w:ascii="Times New Roman" w:eastAsia="Times New Roman" w:hAnsi="Times New Roman" w:cs="Times New Roman"/>
          <w:lang w:val="sl-SI" w:eastAsia="sl-SI"/>
        </w:rPr>
        <w:t>Jeigu Jums buvo pasireiškusi alerginė reakcija į ankstesnį gydymą paklitakseliu, apie tai pasakykite gydytojui, ligoninės vaistininkui arba slaugytojui.</w:t>
      </w:r>
    </w:p>
    <w:p w14:paraId="415C4BED" w14:textId="77777777" w:rsidR="003A7B6B" w:rsidRPr="00976ED6" w:rsidRDefault="003A7B6B" w:rsidP="003A7B6B">
      <w:pPr>
        <w:widowControl w:val="0"/>
        <w:numPr>
          <w:ilvl w:val="12"/>
          <w:numId w:val="0"/>
        </w:numPr>
        <w:tabs>
          <w:tab w:val="left" w:pos="1296"/>
        </w:tabs>
        <w:ind w:right="-2"/>
        <w:rPr>
          <w:rFonts w:ascii="Times New Roman" w:eastAsia="Times New Roman" w:hAnsi="Times New Roman" w:cs="Times New Roman"/>
          <w:noProof/>
          <w:lang w:val="sl-SI" w:eastAsia="zh-CN"/>
        </w:rPr>
      </w:pPr>
    </w:p>
    <w:p w14:paraId="0CD99C44" w14:textId="77777777" w:rsidR="003A7B6B" w:rsidRPr="00976ED6" w:rsidRDefault="003A7B6B" w:rsidP="003A7B6B">
      <w:pPr>
        <w:widowControl w:val="0"/>
        <w:numPr>
          <w:ilvl w:val="12"/>
          <w:numId w:val="0"/>
        </w:numPr>
        <w:tabs>
          <w:tab w:val="left" w:pos="1296"/>
        </w:tabs>
        <w:ind w:right="-2"/>
        <w:rPr>
          <w:rFonts w:ascii="Times New Roman" w:eastAsia="Times New Roman" w:hAnsi="Times New Roman" w:cs="Times New Roman"/>
          <w:sz w:val="24"/>
          <w:szCs w:val="20"/>
          <w:lang w:val="sl-SI" w:eastAsia="sl-SI"/>
        </w:rPr>
      </w:pPr>
      <w:r w:rsidRPr="00976ED6">
        <w:rPr>
          <w:rFonts w:ascii="Times New Roman" w:hAnsi="Times New Roman" w:cs="Times New Roman"/>
          <w:lang w:val="sl-SI"/>
        </w:rPr>
        <w:t>Jeigu Jums yra širdies sutrikimų, apie tai pasakykite gydytojui arba slaugytojui.</w:t>
      </w:r>
    </w:p>
    <w:p w14:paraId="134C9607"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7C243C4B"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Jeigu pasireikštų ūminių plaučių sutrikimų arba pasunkėtų plaučių būklė (karščiavimas, dusulys arba kosulys), nedelsiant apie tai pasakykite gydytojui, ligoninės vaistininkui arba slaugytojui.</w:t>
      </w:r>
    </w:p>
    <w:p w14:paraId="1529FA77"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Gydytojas gali nedelsdamas nutraukti Jūsų gydymą.</w:t>
      </w:r>
    </w:p>
    <w:p w14:paraId="067A6C65"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219D04E8"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Gydytojas nurodys gerti kortikosteroido (pvz., deksametazono) premedikacijai vieną dieną iki Tolnexa infuzijos ir vieną ar dvi dienas po jos, kad būtų silpnesni kai kurie po infuzijos galimi nepageidaujami poveikiai: alerginės reakcijos ir skysčių susilaikymas (plaštakų, pėdų ir kojų tinimas, svorio didėjimas).</w:t>
      </w:r>
    </w:p>
    <w:p w14:paraId="1FD20430"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56F758FD"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Gydymo metu gydytojas gali skirti kitų vaistų reikiamam kraujo kūnelių skaičiui išlaikyti.</w:t>
      </w:r>
    </w:p>
    <w:p w14:paraId="6A1DBA8C" w14:textId="77777777" w:rsidR="003A7B6B" w:rsidRDefault="003A7B6B" w:rsidP="003A7B6B">
      <w:pPr>
        <w:widowControl w:val="0"/>
        <w:numPr>
          <w:ilvl w:val="12"/>
          <w:numId w:val="0"/>
        </w:numPr>
        <w:tabs>
          <w:tab w:val="left" w:pos="1296"/>
        </w:tabs>
        <w:ind w:right="-2"/>
      </w:pPr>
    </w:p>
    <w:p w14:paraId="118A887F" w14:textId="0FE044B8" w:rsidR="003A7B6B" w:rsidRPr="00C91F0E" w:rsidRDefault="003A7B6B" w:rsidP="003A7B6B">
      <w:pPr>
        <w:widowControl w:val="0"/>
        <w:numPr>
          <w:ilvl w:val="12"/>
          <w:numId w:val="0"/>
        </w:numPr>
        <w:tabs>
          <w:tab w:val="left" w:pos="1296"/>
        </w:tabs>
        <w:ind w:right="-2"/>
        <w:rPr>
          <w:rFonts w:ascii="Times New Roman" w:hAnsi="Times New Roman" w:cs="Times New Roman"/>
        </w:rPr>
      </w:pPr>
      <w:r w:rsidRPr="002D2EC4">
        <w:rPr>
          <w:rFonts w:ascii="Times New Roman" w:hAnsi="Times New Roman" w:cs="Times New Roman"/>
        </w:rPr>
        <w:t xml:space="preserve">Vartojant Tolnexa pranešta </w:t>
      </w:r>
      <w:r w:rsidRPr="00C91F0E">
        <w:rPr>
          <w:rFonts w:ascii="Times New Roman" w:hAnsi="Times New Roman" w:cs="Times New Roman"/>
        </w:rPr>
        <w:t>apie sunkius odos sutrikimus, tokius kaip Stivenso-Džonsono (</w:t>
      </w:r>
      <w:r w:rsidRPr="00C91F0E">
        <w:rPr>
          <w:rFonts w:ascii="Times New Roman" w:hAnsi="Times New Roman" w:cs="Times New Roman"/>
          <w:i/>
        </w:rPr>
        <w:t>Stevens-Johnson</w:t>
      </w:r>
      <w:r w:rsidRPr="00C91F0E">
        <w:rPr>
          <w:rFonts w:ascii="Times New Roman" w:hAnsi="Times New Roman" w:cs="Times New Roman"/>
        </w:rPr>
        <w:t xml:space="preserve">) sindromas (SJS), toksinė epidermio nekrolizė (TEN) ir ūminė </w:t>
      </w:r>
      <w:r w:rsidR="00C10C31" w:rsidRPr="00C91F0E">
        <w:rPr>
          <w:rFonts w:ascii="Times New Roman" w:hAnsi="Times New Roman" w:cs="Times New Roman"/>
        </w:rPr>
        <w:t xml:space="preserve">generalizuota </w:t>
      </w:r>
      <w:r w:rsidRPr="00C91F0E">
        <w:rPr>
          <w:rFonts w:ascii="Times New Roman" w:hAnsi="Times New Roman" w:cs="Times New Roman"/>
        </w:rPr>
        <w:t>egzanteminė pustuliozė (</w:t>
      </w:r>
      <w:r w:rsidRPr="00C91F0E">
        <w:rPr>
          <w:rFonts w:ascii="Times New Roman" w:hAnsi="Times New Roman" w:cs="Times New Roman"/>
          <w:i/>
        </w:rPr>
        <w:t>angl. Acute Generalized Exanthematous Pustulosis</w:t>
      </w:r>
      <w:r w:rsidRPr="00C91F0E">
        <w:rPr>
          <w:rFonts w:ascii="Times New Roman" w:hAnsi="Times New Roman" w:cs="Times New Roman"/>
        </w:rPr>
        <w:t>, AGEP)</w:t>
      </w:r>
      <w:r w:rsidR="002075BA">
        <w:rPr>
          <w:rFonts w:ascii="Times New Roman" w:hAnsi="Times New Roman" w:cs="Times New Roman"/>
        </w:rPr>
        <w:t>:</w:t>
      </w:r>
    </w:p>
    <w:p w14:paraId="0AA31860" w14:textId="77777777" w:rsidR="003A7B6B" w:rsidRPr="00C91F0E" w:rsidRDefault="003A7B6B" w:rsidP="00F52238">
      <w:pPr>
        <w:pStyle w:val="Sraopastraipa"/>
        <w:widowControl w:val="0"/>
        <w:spacing w:line="240" w:lineRule="auto"/>
        <w:ind w:left="567" w:right="-2"/>
        <w:rPr>
          <w:rFonts w:ascii="Times New Roman" w:hAnsi="Times New Roman"/>
        </w:rPr>
      </w:pPr>
      <w:r w:rsidRPr="00C91F0E">
        <w:rPr>
          <w:rFonts w:ascii="Times New Roman" w:hAnsi="Times New Roman"/>
        </w:rPr>
        <w:t>Galimi SJS ar TEN simptomai yra pūslių atsiradimas, lupimasis ar kraujavimas bet kurioje odos vietoje (įskaitant lūpas, akis, burną, nosį, lytinius organus, plaštakas ar pėdas) su išbėrimu arba be jo. Be to, tuo pat metu gali atsirasti į gripą panašių simptomų, tokių kaip karščiavimas, šaltkrėtis ar raumenų maudimas.</w:t>
      </w:r>
    </w:p>
    <w:p w14:paraId="2DEAE31B" w14:textId="77777777" w:rsidR="003A7B6B" w:rsidRPr="00C91F0E" w:rsidRDefault="003A7B6B" w:rsidP="00F52238">
      <w:pPr>
        <w:pStyle w:val="Sraopastraipa"/>
        <w:widowControl w:val="0"/>
        <w:spacing w:after="0" w:line="240" w:lineRule="auto"/>
        <w:ind w:left="567" w:right="-2"/>
        <w:rPr>
          <w:rFonts w:ascii="Times New Roman" w:hAnsi="Times New Roman"/>
        </w:rPr>
      </w:pPr>
      <w:r w:rsidRPr="00C91F0E">
        <w:rPr>
          <w:rFonts w:ascii="Times New Roman" w:hAnsi="Times New Roman"/>
        </w:rPr>
        <w:t>Galimi AGEP simptomai yra išplitęs išbėrimas raudonomis pleiskanotomis dėmėmis su gumbais po ištinusia oda (įskaitant odos raukšles, liemenį ir rankas) ir pūslės kartu su karščiavimu.</w:t>
      </w:r>
    </w:p>
    <w:p w14:paraId="2717608C" w14:textId="44ADE10D" w:rsidR="003A7B6B" w:rsidRDefault="003A7B6B" w:rsidP="003A7B6B">
      <w:pPr>
        <w:widowControl w:val="0"/>
        <w:numPr>
          <w:ilvl w:val="12"/>
          <w:numId w:val="0"/>
        </w:numPr>
        <w:tabs>
          <w:tab w:val="left" w:pos="1296"/>
        </w:tabs>
        <w:ind w:right="-2"/>
        <w:rPr>
          <w:rFonts w:ascii="Times New Roman" w:hAnsi="Times New Roman" w:cs="Times New Roman"/>
        </w:rPr>
      </w:pPr>
      <w:r w:rsidRPr="00C91F0E">
        <w:rPr>
          <w:rFonts w:ascii="Times New Roman" w:hAnsi="Times New Roman" w:cs="Times New Roman"/>
        </w:rPr>
        <w:t xml:space="preserve">Jei Jums atsiranda sunkių odos reakcijų arba bet kokių </w:t>
      </w:r>
      <w:r w:rsidR="00C10C31" w:rsidRPr="00C91F0E">
        <w:rPr>
          <w:rFonts w:ascii="Times New Roman" w:hAnsi="Times New Roman" w:cs="Times New Roman"/>
        </w:rPr>
        <w:t xml:space="preserve">anksčiau </w:t>
      </w:r>
      <w:r w:rsidRPr="00C91F0E">
        <w:rPr>
          <w:rFonts w:ascii="Times New Roman" w:hAnsi="Times New Roman" w:cs="Times New Roman"/>
        </w:rPr>
        <w:t>paminėtų reakcijų, nedelsdami kreipkitės į gydytoją ar sveikatos priežiūros specialistą.</w:t>
      </w:r>
    </w:p>
    <w:p w14:paraId="5D9F94F3" w14:textId="4E221754" w:rsidR="00FC0546" w:rsidRDefault="00FC0546" w:rsidP="003A7B6B">
      <w:pPr>
        <w:widowControl w:val="0"/>
        <w:numPr>
          <w:ilvl w:val="12"/>
          <w:numId w:val="0"/>
        </w:numPr>
        <w:tabs>
          <w:tab w:val="left" w:pos="1296"/>
        </w:tabs>
        <w:ind w:right="-2"/>
        <w:rPr>
          <w:rFonts w:ascii="Times New Roman" w:hAnsi="Times New Roman" w:cs="Times New Roman"/>
        </w:rPr>
      </w:pPr>
    </w:p>
    <w:p w14:paraId="0CE5BE52" w14:textId="750E80D0" w:rsidR="00FC0546" w:rsidRPr="00FC0546" w:rsidRDefault="00FC0546" w:rsidP="003A7B6B">
      <w:pPr>
        <w:widowControl w:val="0"/>
        <w:numPr>
          <w:ilvl w:val="12"/>
          <w:numId w:val="0"/>
        </w:numPr>
        <w:tabs>
          <w:tab w:val="left" w:pos="1296"/>
        </w:tabs>
        <w:ind w:right="-2"/>
        <w:rPr>
          <w:rFonts w:ascii="Times New Roman" w:hAnsi="Times New Roman" w:cs="Times New Roman"/>
        </w:rPr>
      </w:pPr>
      <w:r w:rsidRPr="00F52238">
        <w:rPr>
          <w:rFonts w:ascii="Times New Roman" w:hAnsi="Times New Roman" w:cs="Times New Roman"/>
        </w:rPr>
        <w:t>Jei Jums yra inkstų sutrikimų ar šlapimo rūgšties kiekis kraujyje yra didelis, apie tai pasakykite gydytojui, ligoninės vaistininkui ar slaugytojui prieš gydymo Tolnexa pradžią.</w:t>
      </w:r>
    </w:p>
    <w:p w14:paraId="46DF9740"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0ABA5B87"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Tolnexa sudėtyje yra alkoholio. Jei turite alkoholio priklausomybės problemų arba sergate epilepsija arba kepenų nepakankamumu, pasitarkite su gydytoju. Taip pat žiūrėkite skyrių žemiau „Tolnexa sudėtyje yra etanolio (alkoholio)“.</w:t>
      </w:r>
    </w:p>
    <w:p w14:paraId="2A560563" w14:textId="77777777" w:rsidR="003A7B6B" w:rsidRPr="00976ED6" w:rsidRDefault="003A7B6B" w:rsidP="003A7B6B">
      <w:pPr>
        <w:widowControl w:val="0"/>
        <w:numPr>
          <w:ilvl w:val="12"/>
          <w:numId w:val="0"/>
        </w:numPr>
        <w:tabs>
          <w:tab w:val="left" w:pos="1296"/>
        </w:tabs>
        <w:rPr>
          <w:rFonts w:ascii="Times New Roman" w:hAnsi="Times New Roman" w:cs="Times New Roman"/>
          <w:b/>
          <w:lang w:val="sl-SI"/>
        </w:rPr>
      </w:pPr>
    </w:p>
    <w:p w14:paraId="41197B69"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Kiti vaistai ir Tolnexa</w:t>
      </w:r>
    </w:p>
    <w:p w14:paraId="09A039D3"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Jeigu vartojate ar neseniai vartojote kitų vaistų įskaitant įsigytus be recepto, pasakykite gydytojui arba vaistininkui. Tai būtina, kadangi Tolnexa ir kitų vaistų poveikis gali būti ne toks, kokio tikėtasi, be to, gali padidėti šalutinio poveikio pavojus.</w:t>
      </w:r>
    </w:p>
    <w:p w14:paraId="62D6FC7D"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6CA12106"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Alkoholio kiekis, esantis šio vaisto sudėtyje, gali keisti kitų vaistų poveikį.</w:t>
      </w:r>
    </w:p>
    <w:p w14:paraId="7C7CC64E"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59D0AA87"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b/>
          <w:lang w:val="sl-SI"/>
        </w:rPr>
        <w:t>Nėštumas, žindymo laikotarpis ir vaisingumas</w:t>
      </w:r>
    </w:p>
    <w:p w14:paraId="352AD130"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46A7F79A"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Prieš vartojant bet kokį vaistą, būtina pasitarti su gydytoju.</w:t>
      </w:r>
    </w:p>
    <w:p w14:paraId="34D2AEA1"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11822E9B"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lastRenderedPageBreak/>
        <w:t xml:space="preserve">Nėščioms moterims Tolnexa </w:t>
      </w:r>
      <w:r w:rsidRPr="0045184E">
        <w:rPr>
          <w:rFonts w:ascii="Times New Roman" w:hAnsi="Times New Roman" w:cs="Times New Roman"/>
          <w:u w:val="single"/>
          <w:lang w:val="sl-SI"/>
        </w:rPr>
        <w:t>NESKIRIAMA</w:t>
      </w:r>
      <w:r w:rsidRPr="00976ED6">
        <w:rPr>
          <w:rFonts w:ascii="Times New Roman" w:hAnsi="Times New Roman" w:cs="Times New Roman"/>
          <w:lang w:val="sl-SI"/>
        </w:rPr>
        <w:t>, išskyrus neabejotinai būtinus atvejus.</w:t>
      </w:r>
    </w:p>
    <w:p w14:paraId="4A42BB29"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7D12FF57"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Vartojant šio vaistinio preparato negalima pastoti ir būtina naudoti veiksmingą kontracepcijos metodą, nes Tolnexa gali pakenkti vaisiui. Jei šiuo vaistu gydoma moteris pastojo, ji turi nedelsdama apie tai pasakyti gydytojui.</w:t>
      </w:r>
    </w:p>
    <w:p w14:paraId="5CDA9893"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491C35DD"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Vartojant Tolnexa, žindyti negalima.</w:t>
      </w:r>
    </w:p>
    <w:p w14:paraId="5A4B3FCB"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13DB26CA"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Vyrams, gydymo Tolnexa metu ir bent 6 mėnesius po gydymo, patariama neapvaisinti moters bei kreiptis dėl spermos užšaldymo galimybės iki gydymo pradžios, nes docetakselis gali trikdyti vyrų vaisingumą.</w:t>
      </w:r>
    </w:p>
    <w:p w14:paraId="596BD744"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192E3B46"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Vairavimas ir mechanizmų valdymas</w:t>
      </w:r>
    </w:p>
    <w:p w14:paraId="1DA4B1AA"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Alkoholio kiekis šiame preparate gali pakenkti Jūsų gebėjimui vairuoti ir valdyti mechanizmus.</w:t>
      </w:r>
      <w:r w:rsidRPr="00976ED6">
        <w:rPr>
          <w:rFonts w:ascii="Times New Roman" w:hAnsi="Times New Roman" w:cs="Times New Roman"/>
        </w:rPr>
        <w:t xml:space="preserve"> </w:t>
      </w:r>
      <w:r w:rsidRPr="00976ED6">
        <w:rPr>
          <w:rFonts w:ascii="Times New Roman" w:eastAsia="Times New Roman" w:hAnsi="Times New Roman" w:cs="Times New Roman"/>
          <w:lang w:val="sl-SI" w:eastAsia="sl-SI"/>
        </w:rPr>
        <w:t>Jums gali pasireikšti šio vaisto šalutinis poveikis, kuris gali pakenkti jūsų gebėjimui vairuoti, naudoti įrankius ar valdyti mechanizmus (žr. 4 skyrių Galimas šalutinis poveikis). Jei taip atsitiks, nevairuokite ir nevaldykite jokių įrankių ar mašinų prieš tai nepasitarę su savo gydytoju, slaugytoju ar ligoninės vaistininku.</w:t>
      </w:r>
    </w:p>
    <w:p w14:paraId="52409A4D"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136C6A1F"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b/>
          <w:lang w:val="sl-SI"/>
        </w:rPr>
        <w:t>Tolnexa sudėtyje yra etanolio (alkoholio)</w:t>
      </w:r>
    </w:p>
    <w:p w14:paraId="38892362" w14:textId="77777777" w:rsidR="00F42B09" w:rsidRPr="00744B8B" w:rsidRDefault="00F42B09" w:rsidP="00F42B09">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lang w:val="sl-SI" w:eastAsia="sl-SI"/>
        </w:rPr>
        <w:t>20 mg/1 ml:</w:t>
      </w:r>
    </w:p>
    <w:p w14:paraId="412FDB30" w14:textId="3D072D20"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 xml:space="preserve">Šio vaisto </w:t>
      </w:r>
      <w:r w:rsidR="002075BA" w:rsidRPr="00976ED6">
        <w:rPr>
          <w:rFonts w:ascii="Times New Roman" w:hAnsi="Times New Roman" w:cs="Times New Roman"/>
          <w:lang w:val="sl-SI"/>
        </w:rPr>
        <w:t>flakone</w:t>
      </w:r>
      <w:r w:rsidRPr="00976ED6">
        <w:rPr>
          <w:rFonts w:ascii="Times New Roman" w:hAnsi="Times New Roman" w:cs="Times New Roman"/>
          <w:lang w:val="sl-SI"/>
        </w:rPr>
        <w:t xml:space="preserve"> yra 395 </w:t>
      </w:r>
      <w:r w:rsidR="0016305E">
        <w:rPr>
          <w:rFonts w:ascii="Times New Roman" w:hAnsi="Times New Roman" w:cs="Times New Roman"/>
          <w:lang w:val="sl-SI"/>
        </w:rPr>
        <w:t>m</w:t>
      </w:r>
      <w:r w:rsidRPr="00976ED6">
        <w:rPr>
          <w:rFonts w:ascii="Times New Roman" w:hAnsi="Times New Roman" w:cs="Times New Roman"/>
          <w:lang w:val="sl-SI"/>
        </w:rPr>
        <w:t xml:space="preserve">g </w:t>
      </w:r>
      <w:r w:rsidR="0016305E">
        <w:rPr>
          <w:rFonts w:ascii="Times New Roman" w:hAnsi="Times New Roman" w:cs="Times New Roman"/>
          <w:lang w:val="sl-SI"/>
        </w:rPr>
        <w:t xml:space="preserve">alkoholio (etanolio). Toks </w:t>
      </w:r>
      <w:r w:rsidR="00ED0F98">
        <w:rPr>
          <w:rFonts w:ascii="Times New Roman" w:hAnsi="Times New Roman" w:cs="Times New Roman"/>
          <w:lang w:val="sl-SI"/>
        </w:rPr>
        <w:t>1</w:t>
      </w:r>
      <w:r w:rsidR="00A27D5C">
        <w:rPr>
          <w:rFonts w:ascii="Times New Roman" w:hAnsi="Times New Roman" w:cs="Times New Roman"/>
          <w:lang w:val="sl-SI"/>
        </w:rPr>
        <w:t> </w:t>
      </w:r>
      <w:r w:rsidR="00166C22">
        <w:rPr>
          <w:rFonts w:ascii="Times New Roman" w:hAnsi="Times New Roman" w:cs="Times New Roman"/>
          <w:lang w:val="sl-SI"/>
        </w:rPr>
        <w:t>ml</w:t>
      </w:r>
      <w:r w:rsidR="00110C91" w:rsidRPr="00976ED6">
        <w:rPr>
          <w:rFonts w:ascii="Times New Roman" w:hAnsi="Times New Roman" w:cs="Times New Roman"/>
          <w:lang w:val="sl-SI"/>
        </w:rPr>
        <w:t xml:space="preserve"> </w:t>
      </w:r>
      <w:r w:rsidR="0016305E">
        <w:rPr>
          <w:rFonts w:ascii="Times New Roman" w:hAnsi="Times New Roman" w:cs="Times New Roman"/>
          <w:lang w:val="sl-SI"/>
        </w:rPr>
        <w:t xml:space="preserve">šio vaisto kiekis </w:t>
      </w:r>
      <w:r w:rsidRPr="00976ED6">
        <w:rPr>
          <w:rFonts w:ascii="Times New Roman" w:hAnsi="Times New Roman" w:cs="Times New Roman"/>
          <w:lang w:val="sl-SI"/>
        </w:rPr>
        <w:t>atitinka 10 ml alaus arba 4 ml vyno).</w:t>
      </w:r>
    </w:p>
    <w:p w14:paraId="6E46F8A2" w14:textId="77777777" w:rsidR="00F42B09" w:rsidRPr="00744B8B" w:rsidRDefault="00F42B09" w:rsidP="00F42B09">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highlight w:val="lightGray"/>
          <w:lang w:val="sl-SI" w:eastAsia="sl-SI"/>
        </w:rPr>
        <w:t>80 mg/4 ml:</w:t>
      </w:r>
    </w:p>
    <w:p w14:paraId="63F8958E" w14:textId="5F95A486"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highlight w:val="lightGray"/>
          <w:lang w:val="sl-SI"/>
        </w:rPr>
        <w:t xml:space="preserve">Šio vaisto </w:t>
      </w:r>
      <w:r w:rsidR="0016305E">
        <w:rPr>
          <w:rFonts w:ascii="Times New Roman" w:hAnsi="Times New Roman" w:cs="Times New Roman"/>
          <w:highlight w:val="lightGray"/>
          <w:lang w:val="sl-SI"/>
        </w:rPr>
        <w:t>flakone</w:t>
      </w:r>
      <w:r w:rsidRPr="00976ED6">
        <w:rPr>
          <w:rFonts w:ascii="Times New Roman" w:hAnsi="Times New Roman" w:cs="Times New Roman"/>
          <w:highlight w:val="lightGray"/>
          <w:lang w:val="sl-SI"/>
        </w:rPr>
        <w:t xml:space="preserve"> yra </w:t>
      </w:r>
      <w:r w:rsidR="00A27D5C">
        <w:rPr>
          <w:rFonts w:ascii="Times New Roman" w:hAnsi="Times New Roman" w:cs="Times New Roman"/>
          <w:highlight w:val="lightGray"/>
          <w:lang w:val="sl-SI"/>
        </w:rPr>
        <w:t>1580 </w:t>
      </w:r>
      <w:r w:rsidR="0016305E">
        <w:rPr>
          <w:rFonts w:ascii="Times New Roman" w:hAnsi="Times New Roman" w:cs="Times New Roman"/>
          <w:highlight w:val="lightGray"/>
          <w:lang w:val="sl-SI"/>
        </w:rPr>
        <w:t>mg</w:t>
      </w:r>
      <w:r w:rsidRPr="00976ED6">
        <w:rPr>
          <w:rFonts w:ascii="Times New Roman" w:hAnsi="Times New Roman" w:cs="Times New Roman"/>
          <w:highlight w:val="lightGray"/>
          <w:lang w:val="sl-SI"/>
        </w:rPr>
        <w:t xml:space="preserve"> alkoholio</w:t>
      </w:r>
      <w:r w:rsidR="0016305E">
        <w:rPr>
          <w:rFonts w:ascii="Times New Roman" w:hAnsi="Times New Roman" w:cs="Times New Roman"/>
          <w:highlight w:val="lightGray"/>
          <w:lang w:val="sl-SI"/>
        </w:rPr>
        <w:t xml:space="preserve"> (etanolio</w:t>
      </w:r>
      <w:r w:rsidRPr="00976ED6">
        <w:rPr>
          <w:rFonts w:ascii="Times New Roman" w:hAnsi="Times New Roman" w:cs="Times New Roman"/>
          <w:highlight w:val="lightGray"/>
          <w:lang w:val="sl-SI"/>
        </w:rPr>
        <w:t>)</w:t>
      </w:r>
      <w:r w:rsidR="0016305E">
        <w:rPr>
          <w:rFonts w:ascii="Times New Roman" w:hAnsi="Times New Roman" w:cs="Times New Roman"/>
          <w:highlight w:val="lightGray"/>
          <w:lang w:val="sl-SI"/>
        </w:rPr>
        <w:t xml:space="preserve">. Toks </w:t>
      </w:r>
      <w:r w:rsidR="0067186E">
        <w:rPr>
          <w:rFonts w:ascii="Times New Roman" w:hAnsi="Times New Roman" w:cs="Times New Roman"/>
          <w:highlight w:val="lightGray"/>
          <w:lang w:val="sl-SI"/>
        </w:rPr>
        <w:t>4</w:t>
      </w:r>
      <w:r w:rsidR="00110C91" w:rsidRPr="00976ED6">
        <w:rPr>
          <w:rFonts w:ascii="Times New Roman" w:hAnsi="Times New Roman" w:cs="Times New Roman"/>
          <w:highlight w:val="lightGray"/>
          <w:lang w:val="sl-SI"/>
        </w:rPr>
        <w:t> m</w:t>
      </w:r>
      <w:r w:rsidR="00166C22">
        <w:rPr>
          <w:rFonts w:ascii="Times New Roman" w:hAnsi="Times New Roman" w:cs="Times New Roman"/>
          <w:highlight w:val="lightGray"/>
          <w:lang w:val="sl-SI"/>
        </w:rPr>
        <w:t>l</w:t>
      </w:r>
      <w:r w:rsidR="00110C91">
        <w:rPr>
          <w:rFonts w:ascii="Times New Roman" w:hAnsi="Times New Roman" w:cs="Times New Roman"/>
          <w:highlight w:val="lightGray"/>
          <w:lang w:val="sl-SI"/>
        </w:rPr>
        <w:t xml:space="preserve"> </w:t>
      </w:r>
      <w:r w:rsidR="0016305E">
        <w:rPr>
          <w:rFonts w:ascii="Times New Roman" w:hAnsi="Times New Roman" w:cs="Times New Roman"/>
          <w:highlight w:val="lightGray"/>
          <w:lang w:val="sl-SI"/>
        </w:rPr>
        <w:t xml:space="preserve">šio vaisto kiekis </w:t>
      </w:r>
      <w:r w:rsidRPr="00976ED6">
        <w:rPr>
          <w:rFonts w:ascii="Times New Roman" w:hAnsi="Times New Roman" w:cs="Times New Roman"/>
          <w:highlight w:val="lightGray"/>
          <w:lang w:val="sl-SI"/>
        </w:rPr>
        <w:t>atitinka 40 ml alaus arba 17 ml vyno).</w:t>
      </w:r>
    </w:p>
    <w:p w14:paraId="01761F1D" w14:textId="77777777" w:rsidR="00F42B09" w:rsidRPr="00744B8B" w:rsidRDefault="00F42B09" w:rsidP="00F42B09">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highlight w:val="darkGray"/>
          <w:lang w:val="sl-SI" w:eastAsia="sl-SI"/>
        </w:rPr>
        <w:t>160 mg/8 ml:</w:t>
      </w:r>
    </w:p>
    <w:p w14:paraId="528E4F9D" w14:textId="68E700F1" w:rsidR="003A7B6B"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highlight w:val="darkGray"/>
          <w:lang w:val="sl-SI"/>
        </w:rPr>
        <w:t xml:space="preserve">Šio vaisto </w:t>
      </w:r>
      <w:r w:rsidR="0016305E" w:rsidRPr="00976ED6">
        <w:rPr>
          <w:rFonts w:ascii="Times New Roman" w:hAnsi="Times New Roman" w:cs="Times New Roman"/>
          <w:highlight w:val="darkGray"/>
          <w:lang w:val="sl-SI"/>
        </w:rPr>
        <w:t xml:space="preserve">flakone </w:t>
      </w:r>
      <w:r w:rsidRPr="00976ED6">
        <w:rPr>
          <w:rFonts w:ascii="Times New Roman" w:hAnsi="Times New Roman" w:cs="Times New Roman"/>
          <w:highlight w:val="darkGray"/>
          <w:lang w:val="sl-SI"/>
        </w:rPr>
        <w:t xml:space="preserve">yra </w:t>
      </w:r>
      <w:r w:rsidR="00A27D5C">
        <w:rPr>
          <w:rFonts w:ascii="Times New Roman" w:hAnsi="Times New Roman" w:cs="Times New Roman"/>
          <w:highlight w:val="darkGray"/>
          <w:lang w:val="sl-SI"/>
        </w:rPr>
        <w:t>3160 </w:t>
      </w:r>
      <w:r w:rsidR="0016305E">
        <w:rPr>
          <w:rFonts w:ascii="Times New Roman" w:hAnsi="Times New Roman" w:cs="Times New Roman"/>
          <w:highlight w:val="darkGray"/>
          <w:lang w:val="sl-SI"/>
        </w:rPr>
        <w:t>mg alkohilio (etanolio).</w:t>
      </w:r>
      <w:r w:rsidR="001C0D37">
        <w:rPr>
          <w:rFonts w:ascii="Times New Roman" w:hAnsi="Times New Roman" w:cs="Times New Roman"/>
          <w:highlight w:val="darkGray"/>
          <w:lang w:val="sl-SI"/>
        </w:rPr>
        <w:t xml:space="preserve"> Toks </w:t>
      </w:r>
      <w:r w:rsidR="0067186E">
        <w:rPr>
          <w:rFonts w:ascii="Times New Roman" w:hAnsi="Times New Roman" w:cs="Times New Roman"/>
          <w:highlight w:val="darkGray"/>
          <w:lang w:val="sl-SI"/>
        </w:rPr>
        <w:t>8</w:t>
      </w:r>
      <w:r w:rsidR="00110C91" w:rsidRPr="00976ED6">
        <w:rPr>
          <w:rFonts w:ascii="Times New Roman" w:hAnsi="Times New Roman" w:cs="Times New Roman"/>
          <w:highlight w:val="darkGray"/>
          <w:lang w:val="sl-SI"/>
        </w:rPr>
        <w:t> m</w:t>
      </w:r>
      <w:r w:rsidR="00166C22">
        <w:rPr>
          <w:rFonts w:ascii="Times New Roman" w:hAnsi="Times New Roman" w:cs="Times New Roman"/>
          <w:highlight w:val="darkGray"/>
          <w:lang w:val="sl-SI"/>
        </w:rPr>
        <w:t>l</w:t>
      </w:r>
      <w:r w:rsidR="00110C91" w:rsidRPr="00976ED6">
        <w:rPr>
          <w:rFonts w:ascii="Times New Roman" w:hAnsi="Times New Roman" w:cs="Times New Roman"/>
          <w:highlight w:val="darkGray"/>
          <w:lang w:val="sl-SI"/>
        </w:rPr>
        <w:t xml:space="preserve"> </w:t>
      </w:r>
      <w:r w:rsidR="001C0D37">
        <w:rPr>
          <w:rFonts w:ascii="Times New Roman" w:hAnsi="Times New Roman" w:cs="Times New Roman"/>
          <w:highlight w:val="darkGray"/>
          <w:lang w:val="sl-SI"/>
        </w:rPr>
        <w:t>šio vaisto kiekis</w:t>
      </w:r>
      <w:r w:rsidR="00110C91">
        <w:rPr>
          <w:rFonts w:ascii="Times New Roman" w:hAnsi="Times New Roman" w:cs="Times New Roman"/>
          <w:highlight w:val="darkGray"/>
          <w:lang w:val="sl-SI"/>
        </w:rPr>
        <w:t xml:space="preserve"> </w:t>
      </w:r>
      <w:r w:rsidRPr="00976ED6">
        <w:rPr>
          <w:rFonts w:ascii="Times New Roman" w:hAnsi="Times New Roman" w:cs="Times New Roman"/>
          <w:highlight w:val="darkGray"/>
          <w:lang w:val="sl-SI"/>
        </w:rPr>
        <w:t xml:space="preserve"> atitinka 80 ml alaus arba 33 ml vyno</w:t>
      </w:r>
      <w:r w:rsidRPr="00976ED6">
        <w:rPr>
          <w:rFonts w:ascii="Times New Roman" w:hAnsi="Times New Roman" w:cs="Times New Roman"/>
          <w:lang w:val="sl-SI"/>
        </w:rPr>
        <w:t>).</w:t>
      </w:r>
    </w:p>
    <w:p w14:paraId="260FE218" w14:textId="77777777" w:rsidR="003577AB" w:rsidRDefault="003577AB" w:rsidP="003A7B6B">
      <w:pPr>
        <w:widowControl w:val="0"/>
        <w:numPr>
          <w:ilvl w:val="12"/>
          <w:numId w:val="0"/>
        </w:numPr>
        <w:tabs>
          <w:tab w:val="left" w:pos="1296"/>
        </w:tabs>
        <w:ind w:right="-2"/>
        <w:rPr>
          <w:rFonts w:ascii="Times New Roman" w:hAnsi="Times New Roman" w:cs="Times New Roman"/>
          <w:lang w:val="sl-SI"/>
        </w:rPr>
      </w:pPr>
    </w:p>
    <w:p w14:paraId="38910A82" w14:textId="011C0794" w:rsidR="003A7B6B" w:rsidRPr="00976ED6" w:rsidRDefault="001C0D37" w:rsidP="003A7B6B">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Alkoholio kiekis, esantis šio vaisto sudėtyje, nesukelia poveikio suaugusiems ir paaugliams, o poveikis vaikams, tikėtina</w:t>
      </w:r>
      <w:r w:rsidR="00CA090A">
        <w:rPr>
          <w:rFonts w:ascii="Times New Roman" w:hAnsi="Times New Roman" w:cs="Times New Roman"/>
          <w:lang w:val="sl-SI"/>
        </w:rPr>
        <w:t>, kad bus nepastebimas. Vis dėl to, mažiems vaikams toks alkoholio kiekis gali daryti nedidelį poveikį, pavyzdžiui, sukelti mieguistumą.</w:t>
      </w:r>
    </w:p>
    <w:p w14:paraId="4C6225D0" w14:textId="6E91A559" w:rsidR="003A7B6B" w:rsidRDefault="002971B7" w:rsidP="003A7B6B">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Alkoholio kiekis, esantis šio vaisto sudėtyje, gali keisti kitų vaistų poveikį. Jeigu vartojate kitų vaistų, pasitarkite su gydytoju arba vaistininku.</w:t>
      </w:r>
    </w:p>
    <w:p w14:paraId="648131A7" w14:textId="1609610C" w:rsidR="002971B7" w:rsidRDefault="002971B7" w:rsidP="003A7B6B">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Jeigu esate nesčia arbažindote kūdikį, prieš vartodama šį vaistą pasitarkite su gydytoju arba vaistininku.</w:t>
      </w:r>
    </w:p>
    <w:p w14:paraId="00B34FCA" w14:textId="78B83C3F" w:rsidR="00897887" w:rsidRPr="00976ED6" w:rsidRDefault="00897887" w:rsidP="003A7B6B">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Jeigu esate priklausomi nuo alkoholio, prieš vartodami šį vaistą pasitarkite su gydytoju arba vaistininku.</w:t>
      </w:r>
    </w:p>
    <w:p w14:paraId="6C517F64"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0D910F93"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3.</w:t>
      </w:r>
      <w:r w:rsidRPr="00976ED6">
        <w:rPr>
          <w:rFonts w:ascii="Times New Roman" w:hAnsi="Times New Roman" w:cs="Times New Roman"/>
          <w:b/>
          <w:lang w:val="sl-SI"/>
        </w:rPr>
        <w:tab/>
        <w:t>Kaip vartoti Tolnexa</w:t>
      </w:r>
    </w:p>
    <w:p w14:paraId="110F31C7"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0EF55BB0"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Tolnexa Jums sulašins sveikatos priežiūros specialistas.</w:t>
      </w:r>
    </w:p>
    <w:p w14:paraId="75CB31D8"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0F44338B" w14:textId="77777777" w:rsidR="003A7B6B" w:rsidRPr="00976ED6" w:rsidRDefault="003A7B6B" w:rsidP="003A7B6B">
      <w:pPr>
        <w:widowControl w:val="0"/>
        <w:numPr>
          <w:ilvl w:val="12"/>
          <w:numId w:val="0"/>
        </w:numPr>
        <w:tabs>
          <w:tab w:val="left" w:pos="1296"/>
        </w:tabs>
        <w:ind w:right="-2"/>
        <w:rPr>
          <w:rFonts w:ascii="Times New Roman" w:hAnsi="Times New Roman" w:cs="Times New Roman"/>
          <w:b/>
          <w:lang w:val="sl-SI"/>
        </w:rPr>
      </w:pPr>
      <w:r w:rsidRPr="00976ED6">
        <w:rPr>
          <w:rFonts w:ascii="Times New Roman" w:hAnsi="Times New Roman" w:cs="Times New Roman"/>
          <w:b/>
          <w:lang w:val="sl-SI"/>
        </w:rPr>
        <w:t>Įprastinė dozė</w:t>
      </w:r>
    </w:p>
    <w:p w14:paraId="467A0994" w14:textId="77777777" w:rsidR="003A7B6B" w:rsidRDefault="003A7B6B" w:rsidP="003A7B6B">
      <w:pPr>
        <w:widowControl w:val="0"/>
        <w:numPr>
          <w:ilvl w:val="12"/>
          <w:numId w:val="0"/>
        </w:numPr>
        <w:tabs>
          <w:tab w:val="left" w:pos="1296"/>
        </w:tabs>
        <w:ind w:right="-2"/>
        <w:rPr>
          <w:rFonts w:ascii="Times New Roman" w:hAnsi="Times New Roman" w:cs="Times New Roman"/>
          <w:lang w:val="sl-SI"/>
        </w:rPr>
      </w:pPr>
    </w:p>
    <w:p w14:paraId="52CE4171"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Dozė priklauso nuo paciento kūno svorio ir bendrosios sveikatos būklės. Gydytojas apskaičiuos kūno paviršiaus plotą kvadratiniais metrais (m²) ir pagal jį – reikiamą dozę.</w:t>
      </w:r>
    </w:p>
    <w:p w14:paraId="4DB15B40"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28067FDE" w14:textId="77777777" w:rsidR="003A7B6B" w:rsidRPr="00976ED6" w:rsidRDefault="003A7B6B" w:rsidP="003A7B6B">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Vartojimo metodas ir būdas</w:t>
      </w:r>
    </w:p>
    <w:p w14:paraId="1C64246B" w14:textId="77777777" w:rsidR="003A7B6B" w:rsidRDefault="003A7B6B" w:rsidP="003A7B6B">
      <w:pPr>
        <w:widowControl w:val="0"/>
        <w:numPr>
          <w:ilvl w:val="12"/>
          <w:numId w:val="0"/>
        </w:numPr>
        <w:tabs>
          <w:tab w:val="left" w:pos="1296"/>
        </w:tabs>
        <w:rPr>
          <w:rFonts w:ascii="Times New Roman" w:hAnsi="Times New Roman" w:cs="Times New Roman"/>
          <w:lang w:val="sl-SI"/>
        </w:rPr>
      </w:pPr>
    </w:p>
    <w:p w14:paraId="48D5DC43"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Tolnexa bus leidžiamas į veną (vartojamas į veną). Infuzijos trukmė – maždaug 1 val., kurios metu Jūs būsite ligoninėje.</w:t>
      </w:r>
    </w:p>
    <w:p w14:paraId="4F6FC371"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0DA99C5F" w14:textId="77777777" w:rsidR="003A7B6B" w:rsidRPr="00976ED6" w:rsidRDefault="003A7B6B" w:rsidP="003A7B6B">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Vartojimo periodiškumas</w:t>
      </w:r>
    </w:p>
    <w:p w14:paraId="3EE0A594" w14:textId="77777777" w:rsidR="003A7B6B" w:rsidRDefault="003A7B6B" w:rsidP="003A7B6B">
      <w:pPr>
        <w:widowControl w:val="0"/>
        <w:numPr>
          <w:ilvl w:val="12"/>
          <w:numId w:val="0"/>
        </w:numPr>
        <w:tabs>
          <w:tab w:val="left" w:pos="1296"/>
        </w:tabs>
        <w:rPr>
          <w:rFonts w:ascii="Times New Roman" w:hAnsi="Times New Roman" w:cs="Times New Roman"/>
          <w:lang w:val="sl-SI"/>
        </w:rPr>
      </w:pPr>
    </w:p>
    <w:p w14:paraId="4B3CFA07"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Dažniausiai šio vaisto infuzuojama kas 3 savaites.</w:t>
      </w:r>
    </w:p>
    <w:p w14:paraId="7D50C185"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1E1D097F"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Tolnexa dozę ir vartojimo periodiškumą gydytojas gali keisti, atsižvelgdamas į kraujo tyrimų duomenis, bendrąją sveikatos būklę bei vaisto poveikį. Ypač svarbu pasakyti gydytojui, jei atsiranda viduriavimas, burnos skausmas, tirpulys, badymas, dilgčiojimas bei karščiavimas, be to, parodykite.</w:t>
      </w:r>
    </w:p>
    <w:p w14:paraId="5B02227B"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7BF19E40"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Jam savo kraujo tyrimo rezultatus. Tai gydytojui padės nuspręsti, ar reikia mažinti dozę. Jeigu kiltų bet kokių klausimų dėl šio vaisto vartojimo, kreipkitės į gydytoją arba slaugytoją.</w:t>
      </w:r>
    </w:p>
    <w:p w14:paraId="7F50E7B8"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5DD68264"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09551C9C"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4.</w:t>
      </w:r>
      <w:r w:rsidRPr="00976ED6">
        <w:rPr>
          <w:rFonts w:ascii="Times New Roman" w:hAnsi="Times New Roman" w:cs="Times New Roman"/>
          <w:b/>
          <w:lang w:val="sl-SI"/>
        </w:rPr>
        <w:tab/>
        <w:t>Galimas šalutinis poveikis</w:t>
      </w:r>
    </w:p>
    <w:p w14:paraId="21373DD4"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5F4BA77C"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Šis vaistas, kaip ir visi kiti, gali sukelti šalutinį poveikį, nors jis pasireiškia ne visiems žmonėms.</w:t>
      </w:r>
    </w:p>
    <w:p w14:paraId="74652619"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p>
    <w:p w14:paraId="6773760E"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Apie juos Jums papasakos gydytojas, kuris taip pat paaiškins palankius gydymo poveikius ir galimus pavojus.</w:t>
      </w:r>
    </w:p>
    <w:p w14:paraId="5384E35B"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p>
    <w:p w14:paraId="2C1305F5"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Dažniausios nepageidaujamos reakcijos, pasireiškiančios vartojant vien tik docetakselį, yra raudonųjų ar baltųjų kraujo kūnelių kiekio sumažėjimas, nuplikimas, pykinimas, vėmimas, burnos skausmas, viduriavimas bei nuovargis.</w:t>
      </w:r>
    </w:p>
    <w:p w14:paraId="70D8510E"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p>
    <w:p w14:paraId="35AA8A1C"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Nepageidaujamų docetakselio sukeltų reakcijų sunkumas gali padidėti, jei kartu vartojama kitokių chemoterapinių vaistų.</w:t>
      </w:r>
    </w:p>
    <w:p w14:paraId="6A81301B"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p>
    <w:p w14:paraId="791F7723"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Infuzijos metu ligoninėje gali pasireikšti toliau išvardytų alerginių reakcijų (gali pasireikšti daugiau kaip 1 iš 10 žmonių):</w:t>
      </w:r>
    </w:p>
    <w:p w14:paraId="472A792B" w14:textId="77777777" w:rsidR="003A7B6B" w:rsidRPr="00976ED6" w:rsidRDefault="003A7B6B" w:rsidP="003A7B6B">
      <w:pPr>
        <w:widowControl w:val="0"/>
        <w:numPr>
          <w:ilvl w:val="0"/>
          <w:numId w:val="23"/>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kraujo priplūdimas į veidą ir kaklą, odos pokyčiai, niežulys;</w:t>
      </w:r>
    </w:p>
    <w:p w14:paraId="43773F69" w14:textId="77777777" w:rsidR="003A7B6B" w:rsidRPr="00976ED6" w:rsidRDefault="003A7B6B" w:rsidP="003A7B6B">
      <w:pPr>
        <w:widowControl w:val="0"/>
        <w:numPr>
          <w:ilvl w:val="0"/>
          <w:numId w:val="23"/>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gniaužimas krūtinėje, kvėpavimo pasunkėjimas;</w:t>
      </w:r>
    </w:p>
    <w:p w14:paraId="50C88259" w14:textId="77777777" w:rsidR="003A7B6B" w:rsidRPr="00976ED6" w:rsidRDefault="003A7B6B" w:rsidP="003A7B6B">
      <w:pPr>
        <w:widowControl w:val="0"/>
        <w:numPr>
          <w:ilvl w:val="0"/>
          <w:numId w:val="23"/>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karščiavimas arba šaltkrėtis;</w:t>
      </w:r>
    </w:p>
    <w:p w14:paraId="373D7D0E" w14:textId="77777777" w:rsidR="003A7B6B" w:rsidRPr="00976ED6" w:rsidRDefault="003A7B6B" w:rsidP="003A7B6B">
      <w:pPr>
        <w:widowControl w:val="0"/>
        <w:numPr>
          <w:ilvl w:val="0"/>
          <w:numId w:val="23"/>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nugaros skausmas;</w:t>
      </w:r>
    </w:p>
    <w:p w14:paraId="4CF34B11" w14:textId="77777777" w:rsidR="003A7B6B" w:rsidRPr="00976ED6" w:rsidRDefault="003A7B6B" w:rsidP="003A7B6B">
      <w:pPr>
        <w:widowControl w:val="0"/>
        <w:numPr>
          <w:ilvl w:val="0"/>
          <w:numId w:val="23"/>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kraujo spaudimo sumažėjimas.</w:t>
      </w:r>
    </w:p>
    <w:p w14:paraId="2C93A1DF" w14:textId="77777777" w:rsidR="003A7B6B" w:rsidRPr="00976ED6" w:rsidRDefault="003A7B6B" w:rsidP="003A7B6B">
      <w:pPr>
        <w:widowControl w:val="0"/>
        <w:tabs>
          <w:tab w:val="left" w:pos="1296"/>
        </w:tabs>
        <w:ind w:left="0" w:right="-29" w:firstLine="0"/>
        <w:rPr>
          <w:rFonts w:ascii="Times New Roman" w:hAnsi="Times New Roman" w:cs="Times New Roman"/>
          <w:lang w:val="sl-SI"/>
        </w:rPr>
      </w:pPr>
      <w:r w:rsidRPr="00976ED6">
        <w:rPr>
          <w:rFonts w:ascii="Times New Roman" w:hAnsi="Times New Roman" w:cs="Times New Roman"/>
          <w:lang w:val="sl-SI"/>
        </w:rPr>
        <w:t>Gali atsirasti ir sunkesnių reakcijų.</w:t>
      </w:r>
    </w:p>
    <w:p w14:paraId="7103B19B"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Jei Jums buvo pasireiškusi alerginė reakcija į paklitakselį, gali pasireikšti alerginė reakcija į docetakselį, kuri gali būti sunkesnė.</w:t>
      </w:r>
    </w:p>
    <w:p w14:paraId="35C16C2A"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p>
    <w:p w14:paraId="585F4D9D"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Infuzijos metu Jūsų būklė bus atidžiai stebima. Jei pasireiškė kuris nors iš išvardytų sutrikimų, apie tai reikia nedelsiant pranešti gydytojui.</w:t>
      </w:r>
    </w:p>
    <w:p w14:paraId="5B316F61"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p>
    <w:p w14:paraId="128AB2EF" w14:textId="77777777" w:rsidR="003A7B6B" w:rsidRPr="00976ED6" w:rsidRDefault="003A7B6B" w:rsidP="003A7B6B">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Laikotarpiu nuo vienos Tolnexa infuzijos iki kitos gali atsirasti toliau išvardytas šalutinis poveikis (jo dažnumas priklauso nuo kitų kartu vartojamų vaistų):</w:t>
      </w:r>
    </w:p>
    <w:p w14:paraId="6DFF345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288E72B"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b/>
          <w:lang w:val="sl-SI"/>
        </w:rPr>
        <w:t>Labai dažni</w:t>
      </w:r>
      <w:r w:rsidRPr="00976ED6">
        <w:rPr>
          <w:rFonts w:ascii="Times New Roman" w:hAnsi="Times New Roman" w:cs="Times New Roman"/>
          <w:lang w:val="sl-SI"/>
        </w:rPr>
        <w:t xml:space="preserve"> (gali pasireikšti daugiau kaip 1 iš 10 žmonių)</w:t>
      </w:r>
    </w:p>
    <w:p w14:paraId="0919418E"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Infekcija, raudonųjų kraujo kūnelių kiekio sumažėjimas (mažakraujystė), baltųjų kraujo kūnelių, (pastarieji svarbūs organizmo apsaugai nuo infekcijos) kiekio sumažėjimas, trombocitų kiekio sumažėjimas.</w:t>
      </w:r>
    </w:p>
    <w:p w14:paraId="28F48B7A"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Karščiavimas. Atsiradus karščiavimui, būtina nedelsiant kreiptis į gydytoją.</w:t>
      </w:r>
    </w:p>
    <w:p w14:paraId="48978536"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Alerginės reakcijos (aprašytos aukščiau).</w:t>
      </w:r>
    </w:p>
    <w:p w14:paraId="77DE43CD"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Apetito netekimas (anoreksija).</w:t>
      </w:r>
    </w:p>
    <w:p w14:paraId="24DC11DA"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Nemiga.</w:t>
      </w:r>
    </w:p>
    <w:p w14:paraId="29A58DC5"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Tirpimo, badymo ar smaigymo pojūtis arba skausmas sąnariuose ar raumenyse.</w:t>
      </w:r>
    </w:p>
    <w:p w14:paraId="4F3C9389"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Galvos skausmas.</w:t>
      </w:r>
    </w:p>
    <w:p w14:paraId="61F4C7DC"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Skonio pojūčio pokytis.</w:t>
      </w:r>
    </w:p>
    <w:p w14:paraId="06A41BA4"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Akies uždegimas, ašarojimo sustiprėjimas.</w:t>
      </w:r>
    </w:p>
    <w:p w14:paraId="60C51873"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Patinimas dėl limfos nutekėjimo sutrikimo.</w:t>
      </w:r>
    </w:p>
    <w:p w14:paraId="0447E4A0"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Dusulys.</w:t>
      </w:r>
    </w:p>
    <w:p w14:paraId="551A705E"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Sloga, gerklės ir nosies uždegimas, kosulys.</w:t>
      </w:r>
    </w:p>
    <w:p w14:paraId="7255A05C"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Kraujavimas iš nosies.</w:t>
      </w:r>
    </w:p>
    <w:p w14:paraId="59F5DDEF"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Burnos skausmas.</w:t>
      </w:r>
    </w:p>
    <w:p w14:paraId="4850050C"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lastRenderedPageBreak/>
        <w:t>Virškinimo trakto sutrikimai, įskaitant pykinimą, vėmimą, viduriavimą ir vidurių užkietėjimą.</w:t>
      </w:r>
    </w:p>
    <w:p w14:paraId="40DE746D"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Pilvo skausmas.</w:t>
      </w:r>
    </w:p>
    <w:p w14:paraId="312555FC"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Nevirškinimas.</w:t>
      </w:r>
    </w:p>
    <w:p w14:paraId="00607CF7"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Plaukų netekimas, dažniausiai vėliau plaukų augimas vėl tampa normalus. Kai kuriais atvejais (dažnis nežinomas) pasireiškė negrįžtamas plaukų netekimas.</w:t>
      </w:r>
    </w:p>
    <w:p w14:paraId="10A6D019"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Delnų ar pėdų paraudimas ir patinimas (gali pradėti luptis oda). Toks poveikis gali atsirasti ir rankose, veide ar ant viso kūno odos.</w:t>
      </w:r>
    </w:p>
    <w:p w14:paraId="6A8A03AE"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Nagų spalvos pokytis (nagas gali nukristi).</w:t>
      </w:r>
    </w:p>
    <w:p w14:paraId="4BBC260C"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Raumenų maudimas ir skausmas, nugaros ar kaulų skausmas.</w:t>
      </w:r>
    </w:p>
    <w:p w14:paraId="0C0C85BC"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Menstruacijų pokytis arba išnykimas.</w:t>
      </w:r>
    </w:p>
    <w:p w14:paraId="57733BF0"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Rankų, pėdų ir kojų patinimas.</w:t>
      </w:r>
    </w:p>
    <w:p w14:paraId="7ACF3A54"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Nuovargis arba į gripą panašūs simptomai.</w:t>
      </w:r>
    </w:p>
    <w:p w14:paraId="7AFDA80A" w14:textId="77777777" w:rsidR="003A7B6B"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Svorio padidėjimas arba sumažėjimas.</w:t>
      </w:r>
    </w:p>
    <w:p w14:paraId="70248DD4" w14:textId="77777777" w:rsidR="003A7B6B" w:rsidRPr="00794BBD" w:rsidRDefault="003A7B6B" w:rsidP="003A7B6B">
      <w:pPr>
        <w:widowControl w:val="0"/>
        <w:numPr>
          <w:ilvl w:val="0"/>
          <w:numId w:val="24"/>
        </w:numPr>
        <w:tabs>
          <w:tab w:val="left" w:pos="1296"/>
        </w:tabs>
        <w:ind w:left="567" w:hanging="567"/>
        <w:rPr>
          <w:rFonts w:ascii="Times New Roman" w:hAnsi="Times New Roman" w:cs="Times New Roman"/>
          <w:lang w:val="sl-SI"/>
        </w:rPr>
      </w:pPr>
      <w:r w:rsidRPr="002D2EC4">
        <w:rPr>
          <w:rFonts w:ascii="Times New Roman" w:hAnsi="Times New Roman" w:cs="Times New Roman"/>
        </w:rPr>
        <w:t>Viršutinių kvėpavimo takų infekcija.</w:t>
      </w:r>
    </w:p>
    <w:p w14:paraId="4561E42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77A2918"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b/>
          <w:lang w:val="sl-SI"/>
        </w:rPr>
        <w:t>Dažni</w:t>
      </w:r>
      <w:r w:rsidRPr="00976ED6">
        <w:rPr>
          <w:rFonts w:ascii="Times New Roman" w:hAnsi="Times New Roman" w:cs="Times New Roman"/>
          <w:lang w:val="sl-SI"/>
        </w:rPr>
        <w:t xml:space="preserve"> (gali pasireikšti mažiau kaip 1 iš 10 žmonių)</w:t>
      </w:r>
    </w:p>
    <w:p w14:paraId="04876CC4"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Burnos kandidamikozė.</w:t>
      </w:r>
    </w:p>
    <w:p w14:paraId="5A645605"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Skysčių kiekio sumažėjimas organizme.</w:t>
      </w:r>
    </w:p>
    <w:p w14:paraId="5644EE35"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Galvos svaigimas.</w:t>
      </w:r>
    </w:p>
    <w:p w14:paraId="2D7352C7"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Klausos pablogėjimas.</w:t>
      </w:r>
    </w:p>
    <w:p w14:paraId="3C3B68DF"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Kraujo spaudimo sumažėjimas, nereguliarus ar greitas širdies plakimas.</w:t>
      </w:r>
    </w:p>
    <w:p w14:paraId="4E32FEEA"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Širdies nepakankamumas.</w:t>
      </w:r>
    </w:p>
    <w:p w14:paraId="156A30ED"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Stemplės uždegimas.</w:t>
      </w:r>
    </w:p>
    <w:p w14:paraId="25E3A660"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Burnos džiūvimas.</w:t>
      </w:r>
    </w:p>
    <w:p w14:paraId="29728625"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Pasunkėjęs ar skausmingas rijimas.</w:t>
      </w:r>
    </w:p>
    <w:p w14:paraId="2991080B"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Kraujavimas.</w:t>
      </w:r>
    </w:p>
    <w:p w14:paraId="3BEE563A" w14:textId="77777777" w:rsidR="003A7B6B"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Kepenų fermentų kiekio padidėjimas (dėl to reikia reguliariai tirti kraują).</w:t>
      </w:r>
    </w:p>
    <w:p w14:paraId="416ECCCE" w14:textId="77777777" w:rsidR="003A7B6B" w:rsidRPr="002D2EC4" w:rsidRDefault="003A7B6B" w:rsidP="003A7B6B">
      <w:pPr>
        <w:widowControl w:val="0"/>
        <w:numPr>
          <w:ilvl w:val="0"/>
          <w:numId w:val="24"/>
        </w:numPr>
        <w:tabs>
          <w:tab w:val="left" w:pos="1296"/>
        </w:tabs>
        <w:ind w:left="567" w:hanging="567"/>
        <w:rPr>
          <w:rFonts w:ascii="Times New Roman" w:hAnsi="Times New Roman" w:cs="Times New Roman"/>
          <w:lang w:val="sl-SI"/>
        </w:rPr>
      </w:pPr>
      <w:r w:rsidRPr="002D2EC4">
        <w:rPr>
          <w:rFonts w:ascii="Times New Roman" w:hAnsi="Times New Roman" w:cs="Times New Roman"/>
        </w:rPr>
        <w:t>Padidėjęs cukraus kiekis kraujyje (cukrinis diabetas).</w:t>
      </w:r>
    </w:p>
    <w:p w14:paraId="52B3DD97" w14:textId="77777777" w:rsidR="003A7B6B" w:rsidRPr="00794BBD" w:rsidRDefault="003A7B6B" w:rsidP="003A7B6B">
      <w:pPr>
        <w:widowControl w:val="0"/>
        <w:numPr>
          <w:ilvl w:val="0"/>
          <w:numId w:val="24"/>
        </w:numPr>
        <w:tabs>
          <w:tab w:val="left" w:pos="1296"/>
        </w:tabs>
        <w:ind w:left="567" w:hanging="567"/>
        <w:rPr>
          <w:rFonts w:ascii="Times New Roman" w:hAnsi="Times New Roman" w:cs="Times New Roman"/>
          <w:lang w:val="sl-SI"/>
        </w:rPr>
      </w:pPr>
      <w:r w:rsidRPr="002D2EC4">
        <w:rPr>
          <w:rFonts w:ascii="Times New Roman" w:hAnsi="Times New Roman" w:cs="Times New Roman"/>
        </w:rPr>
        <w:t>Kalio, kalcio ir (arba) fosfatų kiekio sumažėjimas kraujyje.</w:t>
      </w:r>
    </w:p>
    <w:p w14:paraId="5948D32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59D87AB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b/>
          <w:lang w:val="sl-SI"/>
        </w:rPr>
        <w:t>Nedažni</w:t>
      </w:r>
      <w:r w:rsidRPr="00976ED6">
        <w:rPr>
          <w:rFonts w:ascii="Times New Roman" w:hAnsi="Times New Roman" w:cs="Times New Roman"/>
          <w:lang w:val="sl-SI"/>
        </w:rPr>
        <w:t xml:space="preserve"> (gali pasireikšti mažiau kaip 1 iš 100 žmonių)</w:t>
      </w:r>
    </w:p>
    <w:p w14:paraId="60E7D31B"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Alpulys.</w:t>
      </w:r>
    </w:p>
    <w:p w14:paraId="389AA7D9"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Odos reakcija, flebitas (venos uždegimas) ar patinimas infuzijos vietoje.</w:t>
      </w:r>
    </w:p>
    <w:p w14:paraId="2025FF09" w14:textId="77777777" w:rsidR="003A7B6B"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Kraujo krešulių atsiradimas.</w:t>
      </w:r>
    </w:p>
    <w:p w14:paraId="6CB5AF85" w14:textId="77777777" w:rsidR="003A7B6B" w:rsidRPr="00CB2425" w:rsidRDefault="003A7B6B" w:rsidP="003A7B6B">
      <w:pPr>
        <w:widowControl w:val="0"/>
        <w:numPr>
          <w:ilvl w:val="0"/>
          <w:numId w:val="24"/>
        </w:numPr>
        <w:tabs>
          <w:tab w:val="left" w:pos="1296"/>
        </w:tabs>
        <w:ind w:left="567" w:hanging="567"/>
        <w:rPr>
          <w:rFonts w:ascii="Times New Roman" w:hAnsi="Times New Roman" w:cs="Times New Roman"/>
          <w:lang w:val="sl-SI"/>
        </w:rPr>
      </w:pPr>
      <w:r w:rsidRPr="0045184E">
        <w:rPr>
          <w:rFonts w:ascii="Times New Roman" w:hAnsi="Times New Roman" w:cs="Times New Roman"/>
        </w:rPr>
        <w:t>Pacientams, kurie vartoja docetakselio ir kuriems kartu skiriamas tam tikras kitoks vėžio gydymas, gali atsirasti ūminė mieloidinė leukemija ir mielodisplazinis sindromas (kraujo vėžio rūšys).</w:t>
      </w:r>
    </w:p>
    <w:p w14:paraId="111B6473" w14:textId="77777777" w:rsidR="003A7B6B" w:rsidRPr="00976ED6" w:rsidRDefault="003A7B6B" w:rsidP="003A7B6B">
      <w:pPr>
        <w:widowControl w:val="0"/>
        <w:tabs>
          <w:tab w:val="left" w:pos="1296"/>
        </w:tabs>
        <w:rPr>
          <w:rFonts w:ascii="Times New Roman" w:hAnsi="Times New Roman" w:cs="Times New Roman"/>
          <w:lang w:val="sl-SI"/>
        </w:rPr>
      </w:pPr>
    </w:p>
    <w:p w14:paraId="62E94F3D"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r w:rsidRPr="00976ED6">
        <w:rPr>
          <w:rFonts w:ascii="Times New Roman" w:eastAsia="Times New Roman" w:hAnsi="Times New Roman" w:cs="Times New Roman"/>
          <w:b/>
          <w:lang w:val="sl-SI" w:eastAsia="sl-SI"/>
        </w:rPr>
        <w:t>Reti</w:t>
      </w:r>
      <w:r w:rsidRPr="00976ED6">
        <w:rPr>
          <w:rFonts w:ascii="Times New Roman" w:eastAsia="Times New Roman" w:hAnsi="Times New Roman" w:cs="Times New Roman"/>
          <w:lang w:val="sl-SI" w:eastAsia="sl-SI"/>
        </w:rPr>
        <w:t xml:space="preserve"> (gali pasireikšti mažiau kaip 1 iš 1000 žmonių)</w:t>
      </w:r>
    </w:p>
    <w:p w14:paraId="2B91D198" w14:textId="77777777" w:rsidR="003A7B6B" w:rsidRPr="00976ED6" w:rsidRDefault="003A7B6B" w:rsidP="003A7B6B">
      <w:pPr>
        <w:widowControl w:val="0"/>
        <w:numPr>
          <w:ilvl w:val="0"/>
          <w:numId w:val="24"/>
        </w:numPr>
        <w:tabs>
          <w:tab w:val="left" w:pos="1296"/>
        </w:tabs>
        <w:ind w:left="567" w:hanging="567"/>
        <w:rPr>
          <w:rFonts w:ascii="Times New Roman" w:eastAsia="Times New Roman" w:hAnsi="Times New Roman" w:cs="Times New Roman"/>
          <w:lang w:val="sl-SI" w:eastAsia="sl-SI"/>
        </w:rPr>
      </w:pPr>
      <w:r w:rsidRPr="00976ED6">
        <w:rPr>
          <w:rFonts w:ascii="Times New Roman" w:eastAsia="Times New Roman" w:hAnsi="Times New Roman" w:cs="Times New Roman"/>
          <w:lang w:val="sl-SI" w:eastAsia="sl-SI"/>
        </w:rPr>
        <w:t>Storosios žarnos, plonosios žarnos uždegimas, kuris gali būti mirtinas (dažnis nežinomas); žarnyno perforacija.</w:t>
      </w:r>
    </w:p>
    <w:p w14:paraId="1422866B" w14:textId="77777777" w:rsidR="003A7B6B" w:rsidRPr="00976ED6" w:rsidRDefault="003A7B6B" w:rsidP="003A7B6B">
      <w:pPr>
        <w:widowControl w:val="0"/>
        <w:tabs>
          <w:tab w:val="left" w:pos="567"/>
          <w:tab w:val="left" w:pos="1296"/>
        </w:tabs>
        <w:ind w:left="0" w:firstLine="0"/>
        <w:rPr>
          <w:rFonts w:ascii="Times New Roman" w:eastAsia="Times New Roman" w:hAnsi="Times New Roman" w:cs="Times New Roman"/>
          <w:lang w:val="sl-SI" w:eastAsia="sl-SI"/>
        </w:rPr>
      </w:pPr>
    </w:p>
    <w:p w14:paraId="0B8B7451" w14:textId="77777777" w:rsidR="003A7B6B" w:rsidRPr="00976ED6" w:rsidRDefault="003A7B6B" w:rsidP="003A7B6B">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b/>
          <w:u w:val="single"/>
          <w:lang w:val="sl-SI"/>
        </w:rPr>
        <w:t>Dažnis nežinomas</w:t>
      </w:r>
      <w:r w:rsidRPr="00976ED6">
        <w:rPr>
          <w:rFonts w:ascii="Times New Roman" w:eastAsia="Times New Roman" w:hAnsi="Times New Roman" w:cs="Times New Roman"/>
          <w:b/>
          <w:u w:val="single"/>
          <w:lang w:val="sl-SI" w:eastAsia="zh-CN"/>
        </w:rPr>
        <w:t xml:space="preserve"> </w:t>
      </w:r>
      <w:r w:rsidRPr="00976ED6">
        <w:rPr>
          <w:rFonts w:ascii="Times New Roman" w:eastAsia="Times New Roman" w:hAnsi="Times New Roman" w:cs="Times New Roman"/>
          <w:lang w:val="sl-SI" w:eastAsia="zh-CN"/>
        </w:rPr>
        <w:t>(negali būti apskaičiuotas pagal turimus duomenis)</w:t>
      </w:r>
    </w:p>
    <w:p w14:paraId="7FF9F8CD"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Intersticinė plaučių liga (plaučių uždegimas, sukeliantis kosulį ir apsunkinantis kvėpavimą). Plaučių uždegimas gali pasireikšti, kai gydymas docetakseliu skiriamas kartu su spinduline terapija).</w:t>
      </w:r>
    </w:p>
    <w:p w14:paraId="33CAC536"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Pneumonija (plaučių infekcija).</w:t>
      </w:r>
    </w:p>
    <w:p w14:paraId="04FC8276"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Plaučių fibrozė (plaučių randėjimas ir plėtimasis, sukeliantys dusulį).</w:t>
      </w:r>
    </w:p>
    <w:p w14:paraId="6625942C"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Neryškus matymas, kurį sukelia akies viduje esančios tinklainės patinimas (cistinė geltonosios dėmės edema).</w:t>
      </w:r>
    </w:p>
    <w:p w14:paraId="4AB25BBD" w14:textId="04FCC806" w:rsidR="003A7B6B" w:rsidRPr="00976ED6" w:rsidRDefault="003A7B6B" w:rsidP="003A7B6B">
      <w:pPr>
        <w:widowControl w:val="0"/>
        <w:numPr>
          <w:ilvl w:val="0"/>
          <w:numId w:val="2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Natrio</w:t>
      </w:r>
      <w:r>
        <w:rPr>
          <w:rFonts w:ascii="Times New Roman" w:hAnsi="Times New Roman" w:cs="Times New Roman"/>
          <w:lang w:val="sl-SI"/>
        </w:rPr>
        <w:t xml:space="preserve"> </w:t>
      </w:r>
      <w:r w:rsidRPr="00976ED6">
        <w:rPr>
          <w:rFonts w:ascii="Times New Roman" w:hAnsi="Times New Roman" w:cs="Times New Roman"/>
          <w:lang w:val="sl-SI"/>
        </w:rPr>
        <w:t>ir (arba) magnio kiekio sumažėjimas kraujyje (elektrolitų pusiausvyros sutrikimas).</w:t>
      </w:r>
    </w:p>
    <w:p w14:paraId="37762FE3" w14:textId="77777777" w:rsidR="003A7B6B" w:rsidRPr="00976ED6"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Skilvelių aritmija ar skilvelių tachikardija (pasireiškianti neritmišku ir (ar) dažnu širdies plakimu, sunkiu dusuliu, svaiguliu ir (arba) apalpimu). Kai kurie iš šių simptomų gali būti sunkūs. Jei toks poveikis pasireiškia, būtina nedelsiant kreiptis į gydytoją.</w:t>
      </w:r>
    </w:p>
    <w:p w14:paraId="4C17E338" w14:textId="77777777" w:rsidR="003A7B6B" w:rsidRDefault="003A7B6B" w:rsidP="003A7B6B">
      <w:pPr>
        <w:widowControl w:val="0"/>
        <w:numPr>
          <w:ilvl w:val="0"/>
          <w:numId w:val="24"/>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Injekcijos vietos reakcija ankstesnės reakcijos vietoje.</w:t>
      </w:r>
    </w:p>
    <w:p w14:paraId="4B74A752" w14:textId="77777777" w:rsidR="003A7B6B" w:rsidRPr="002D2EC4" w:rsidRDefault="003A7B6B" w:rsidP="003A7B6B">
      <w:pPr>
        <w:widowControl w:val="0"/>
        <w:numPr>
          <w:ilvl w:val="0"/>
          <w:numId w:val="24"/>
        </w:numPr>
        <w:tabs>
          <w:tab w:val="left" w:pos="1296"/>
        </w:tabs>
        <w:ind w:left="567" w:hanging="567"/>
        <w:rPr>
          <w:rFonts w:ascii="Times New Roman" w:hAnsi="Times New Roman" w:cs="Times New Roman"/>
          <w:lang w:val="sl-SI"/>
        </w:rPr>
      </w:pPr>
      <w:r w:rsidRPr="0045184E">
        <w:rPr>
          <w:rFonts w:ascii="Times New Roman" w:hAnsi="Times New Roman" w:cs="Times New Roman"/>
        </w:rPr>
        <w:t xml:space="preserve">Pacientams, kurie vartoja docetakselio ir kuriems kartu skiriamas tam tikras kitoks vėžio gydymas, gali atsirasti ne Hodžkino limfoma (imuninę sistemą pažeidžiantis vėžys) ir kitoks </w:t>
      </w:r>
      <w:r w:rsidRPr="0045184E">
        <w:rPr>
          <w:rFonts w:ascii="Times New Roman" w:hAnsi="Times New Roman" w:cs="Times New Roman"/>
        </w:rPr>
        <w:lastRenderedPageBreak/>
        <w:t>vėžys.</w:t>
      </w:r>
    </w:p>
    <w:p w14:paraId="5543D5AC" w14:textId="77777777" w:rsidR="003A7B6B" w:rsidRPr="00C91F0E" w:rsidRDefault="003A7B6B" w:rsidP="003A7B6B">
      <w:pPr>
        <w:widowControl w:val="0"/>
        <w:numPr>
          <w:ilvl w:val="0"/>
          <w:numId w:val="24"/>
        </w:numPr>
        <w:tabs>
          <w:tab w:val="left" w:pos="1296"/>
        </w:tabs>
        <w:ind w:left="567" w:hanging="567"/>
        <w:rPr>
          <w:rFonts w:ascii="Times New Roman" w:hAnsi="Times New Roman" w:cs="Times New Roman"/>
          <w:lang w:val="sl-SI"/>
        </w:rPr>
      </w:pPr>
      <w:r w:rsidRPr="002D2EC4">
        <w:rPr>
          <w:rFonts w:ascii="Times New Roman" w:hAnsi="Times New Roman" w:cs="Times New Roman"/>
        </w:rPr>
        <w:t>Stivenso-Džonsono (</w:t>
      </w:r>
      <w:r w:rsidRPr="002D2EC4">
        <w:rPr>
          <w:rFonts w:ascii="Times New Roman" w:hAnsi="Times New Roman" w:cs="Times New Roman"/>
          <w:i/>
        </w:rPr>
        <w:t>Stevens-Johnson</w:t>
      </w:r>
      <w:r w:rsidRPr="002D2EC4">
        <w:rPr>
          <w:rFonts w:ascii="Times New Roman" w:hAnsi="Times New Roman" w:cs="Times New Roman"/>
        </w:rPr>
        <w:t xml:space="preserve">) sindromas (SJS) ir toksinė epidermio nekrolizė (TEN) (pūslių atsiradimas, lupimasis ar kraujavimas bet kurioje odos vietoje (įskaitant lūpas, akis, burną, </w:t>
      </w:r>
      <w:r w:rsidRPr="00C91F0E">
        <w:rPr>
          <w:rFonts w:ascii="Times New Roman" w:hAnsi="Times New Roman" w:cs="Times New Roman"/>
        </w:rPr>
        <w:t>nosį, lytinius organus, plaštakas ar pėdas) su išbėrimu arba be jo. Be to, tuo pat metu gali atsirasti į gripą panašių simptomų, tokių kaip karščiavimas, šaltkrėtis ar raumenų maudimas.</w:t>
      </w:r>
    </w:p>
    <w:p w14:paraId="2668FC01" w14:textId="3F4E2167" w:rsidR="003A7B6B" w:rsidRPr="00F52238" w:rsidRDefault="003A7B6B" w:rsidP="003A7B6B">
      <w:pPr>
        <w:widowControl w:val="0"/>
        <w:numPr>
          <w:ilvl w:val="0"/>
          <w:numId w:val="24"/>
        </w:numPr>
        <w:tabs>
          <w:tab w:val="left" w:pos="1296"/>
        </w:tabs>
        <w:ind w:left="567" w:hanging="567"/>
        <w:rPr>
          <w:rFonts w:ascii="Times New Roman" w:hAnsi="Times New Roman" w:cs="Times New Roman"/>
          <w:lang w:val="sl-SI"/>
        </w:rPr>
      </w:pPr>
      <w:r w:rsidRPr="00C91F0E">
        <w:rPr>
          <w:rFonts w:ascii="Times New Roman" w:hAnsi="Times New Roman" w:cs="Times New Roman"/>
        </w:rPr>
        <w:t xml:space="preserve">Ūminė </w:t>
      </w:r>
      <w:r w:rsidR="000E20FF" w:rsidRPr="00C91F0E">
        <w:rPr>
          <w:rFonts w:ascii="Times New Roman" w:hAnsi="Times New Roman" w:cs="Times New Roman"/>
        </w:rPr>
        <w:t xml:space="preserve">generalizuota </w:t>
      </w:r>
      <w:r w:rsidRPr="00C91F0E">
        <w:rPr>
          <w:rFonts w:ascii="Times New Roman" w:hAnsi="Times New Roman" w:cs="Times New Roman"/>
        </w:rPr>
        <w:t xml:space="preserve">egzanteminė pustuliozė (angl. </w:t>
      </w:r>
      <w:r w:rsidR="000E20FF" w:rsidRPr="00C91F0E">
        <w:rPr>
          <w:rFonts w:ascii="Times New Roman" w:hAnsi="Times New Roman" w:cs="Times New Roman"/>
          <w:i/>
        </w:rPr>
        <w:t>Acute Generalized Exanthematous Pustulosis</w:t>
      </w:r>
      <w:r w:rsidR="000E20FF" w:rsidRPr="00C91F0E">
        <w:rPr>
          <w:rFonts w:ascii="Times New Roman" w:hAnsi="Times New Roman" w:cs="Times New Roman"/>
        </w:rPr>
        <w:t xml:space="preserve">, </w:t>
      </w:r>
      <w:r w:rsidRPr="00C91F0E">
        <w:rPr>
          <w:rFonts w:ascii="Times New Roman" w:hAnsi="Times New Roman" w:cs="Times New Roman"/>
        </w:rPr>
        <w:t>AGEP) (išplitęs išbėrimas raudonomis pleiskanotomis dėmėmis su gumbais po ištinusia oda (įskaitant odos raukšles, liemenį ir rankas) ir pūslės kartu su karščiavimu).</w:t>
      </w:r>
    </w:p>
    <w:p w14:paraId="3364431C" w14:textId="4716F06C" w:rsidR="000A56CA" w:rsidRPr="00F52238" w:rsidRDefault="000A56CA" w:rsidP="003A7B6B">
      <w:pPr>
        <w:widowControl w:val="0"/>
        <w:numPr>
          <w:ilvl w:val="0"/>
          <w:numId w:val="24"/>
        </w:numPr>
        <w:tabs>
          <w:tab w:val="left" w:pos="1296"/>
        </w:tabs>
        <w:ind w:left="567" w:hanging="567"/>
        <w:rPr>
          <w:rFonts w:ascii="Times New Roman" w:hAnsi="Times New Roman" w:cs="Times New Roman"/>
          <w:lang w:val="sl-SI"/>
        </w:rPr>
      </w:pPr>
      <w:r w:rsidRPr="00F52238">
        <w:rPr>
          <w:rFonts w:ascii="Times New Roman" w:hAnsi="Times New Roman" w:cs="Times New Roman"/>
        </w:rPr>
        <w:t>Naviko lizės sindromas yra sunki būklė, nustatoma kraujo tyrimų rezultatų pokyčiais (pvz., padidėjusiu šlapimo rūgšties, kalio ir fosforo kiekiu bei sumažėjusiu kalcio kiekiu) ir kliniškai pasireiškianti, pvz., traukuliais, inkstų nepakankamumu (šlapimo kiekio sumažėjimu ar patamsėjimu) ir širdies ritmo sutrikimais. Jei pasireiškia toks poveikis, apie tai nedelsdami turite pasakyti gydytojui.</w:t>
      </w:r>
    </w:p>
    <w:p w14:paraId="561246EF" w14:textId="5BE28F9C" w:rsidR="000A56CA" w:rsidRPr="000A56CA" w:rsidRDefault="000A56CA" w:rsidP="003A7B6B">
      <w:pPr>
        <w:widowControl w:val="0"/>
        <w:numPr>
          <w:ilvl w:val="0"/>
          <w:numId w:val="24"/>
        </w:numPr>
        <w:tabs>
          <w:tab w:val="left" w:pos="1296"/>
        </w:tabs>
        <w:ind w:left="567" w:hanging="567"/>
        <w:rPr>
          <w:rFonts w:ascii="Times New Roman" w:hAnsi="Times New Roman" w:cs="Times New Roman"/>
          <w:lang w:val="sl-SI"/>
        </w:rPr>
      </w:pPr>
      <w:r w:rsidRPr="00F52238">
        <w:rPr>
          <w:rFonts w:ascii="Times New Roman" w:hAnsi="Times New Roman" w:cs="Times New Roman"/>
        </w:rPr>
        <w:t>Miozitas (raumenų skausmą ir silpnumą sukeliantis raumenų uždegimas, t. y. jų karštumas, paraudimas ir patinimas).</w:t>
      </w:r>
    </w:p>
    <w:p w14:paraId="2498880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0AA67FCF" w14:textId="77777777" w:rsidR="003A7B6B" w:rsidRPr="00976ED6" w:rsidRDefault="003A7B6B" w:rsidP="003A7B6B">
      <w:pPr>
        <w:widowControl w:val="0"/>
        <w:numPr>
          <w:ilvl w:val="12"/>
          <w:numId w:val="0"/>
        </w:numPr>
        <w:tabs>
          <w:tab w:val="left" w:pos="1296"/>
        </w:tabs>
        <w:ind w:right="-2"/>
        <w:rPr>
          <w:rFonts w:ascii="Times New Roman" w:hAnsi="Times New Roman" w:cs="Times New Roman"/>
          <w:b/>
          <w:lang w:val="sl-SI"/>
        </w:rPr>
      </w:pPr>
      <w:r w:rsidRPr="00976ED6">
        <w:rPr>
          <w:rFonts w:ascii="Times New Roman" w:hAnsi="Times New Roman" w:cs="Times New Roman"/>
          <w:b/>
          <w:lang w:val="sl-SI"/>
        </w:rPr>
        <w:t>Pranešimas apie šalutinį poveikį</w:t>
      </w:r>
    </w:p>
    <w:p w14:paraId="3081DBD3"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hyperlink r:id="rId12" w:history="1">
        <w:r w:rsidRPr="00CA4B66">
          <w:rPr>
            <w:rFonts w:ascii="Times New Roman" w:eastAsia="Times New Roman" w:hAnsi="Times New Roman" w:cs="Times New Roman"/>
            <w:noProof/>
            <w:color w:val="0000FF"/>
            <w:u w:val="single"/>
          </w:rPr>
          <w:t>www.vvkt.lt</w:t>
        </w:r>
      </w:hyperlink>
      <w:r w:rsidRPr="00976ED6">
        <w:rPr>
          <w:rFonts w:ascii="Times New Roman" w:hAnsi="Times New Roman" w:cs="Times New Roman"/>
          <w:lang w:val="sl-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CA4B66">
          <w:rPr>
            <w:rFonts w:ascii="Times New Roman" w:eastAsia="Times New Roman" w:hAnsi="Times New Roman" w:cs="Times New Roman"/>
            <w:noProof/>
            <w:color w:val="0000FF"/>
            <w:u w:val="single"/>
          </w:rPr>
          <w:t>NepageidaujamaR@vvkt.lt</w:t>
        </w:r>
      </w:hyperlink>
      <w:r w:rsidRPr="00976ED6">
        <w:rPr>
          <w:rFonts w:ascii="Times New Roman" w:hAnsi="Times New Roman" w:cs="Times New Roman"/>
          <w:lang w:val="sl-SI"/>
        </w:rPr>
        <w:t xml:space="preserve">, taip pat per Valstybinės vaistų kontrolės tarnybos prie Lietuvos Respublikos sveikatos apsaugos ministerijos interneto svetainę (adresu </w:t>
      </w:r>
      <w:hyperlink r:id="rId14" w:history="1">
        <w:r w:rsidRPr="00CA4B66">
          <w:rPr>
            <w:rFonts w:ascii="Times New Roman" w:eastAsia="Times New Roman" w:hAnsi="Times New Roman" w:cs="Times New Roman"/>
            <w:noProof/>
            <w:color w:val="0000FF"/>
            <w:u w:val="single"/>
          </w:rPr>
          <w:t>http://www.vvkt.lt</w:t>
        </w:r>
      </w:hyperlink>
      <w:r w:rsidRPr="00976ED6">
        <w:rPr>
          <w:rFonts w:ascii="Times New Roman" w:hAnsi="Times New Roman" w:cs="Times New Roman"/>
          <w:lang w:val="sl-SI"/>
        </w:rPr>
        <w:t>). Pranešdami apie šalutinį poveikį galite mums padėti gauti daugiau informacijos apie šio vaisto saugumą.</w:t>
      </w:r>
    </w:p>
    <w:p w14:paraId="00DB0D44"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6E98947C"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6E854E62"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5.</w:t>
      </w:r>
      <w:r w:rsidRPr="00976ED6">
        <w:rPr>
          <w:rFonts w:ascii="Times New Roman" w:hAnsi="Times New Roman" w:cs="Times New Roman"/>
          <w:b/>
          <w:lang w:val="sl-SI"/>
        </w:rPr>
        <w:tab/>
        <w:t>Kaip laikyti Tolnexa</w:t>
      </w:r>
    </w:p>
    <w:p w14:paraId="0B1CFC37"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72049222"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Šį vaistą laikykite vaikams nepastebimoje ir nepasiekiamoje vietoje.</w:t>
      </w:r>
    </w:p>
    <w:p w14:paraId="34671F7C"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732F98B5"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Ant pakuotės po „</w:t>
      </w:r>
      <w:r w:rsidRPr="00976ED6">
        <w:rPr>
          <w:rFonts w:ascii="Times New Roman" w:hAnsi="Times New Roman" w:cs="Times New Roman"/>
          <w:highlight w:val="lightGray"/>
          <w:lang w:val="sl-SI"/>
        </w:rPr>
        <w:t>Tinka iki/</w:t>
      </w:r>
      <w:r w:rsidRPr="00976ED6">
        <w:rPr>
          <w:rFonts w:ascii="Times New Roman" w:hAnsi="Times New Roman" w:cs="Times New Roman"/>
          <w:lang w:val="sl-SI"/>
        </w:rPr>
        <w:t xml:space="preserve"> EXP“ nurodytam tinkamumo laikui pasibaigus, šio vaisto vartoti negalima. Vaistas tinkamas vartoti iki paskutinės nurodyto mėnesio dienos.</w:t>
      </w:r>
    </w:p>
    <w:p w14:paraId="04024E98"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4A3F7E43" w14:textId="77777777" w:rsidR="009E71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Laikyti ne aukštesnėje kaip 25°C temperatūroje.</w:t>
      </w:r>
    </w:p>
    <w:p w14:paraId="678DD3FD" w14:textId="026ADE73"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Laikyti gamintojo pakuotėje, kad vaistas būtų apsaugotas nuo šviesos.</w:t>
      </w:r>
    </w:p>
    <w:p w14:paraId="470A88A5"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7A2905D1" w14:textId="77777777" w:rsidR="003A7B6B" w:rsidRPr="00976ED6" w:rsidRDefault="003A7B6B" w:rsidP="003A7B6B">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Po pridėjimo į infuzinį maišelį, vartoti nedelsiant. Jeigu tirpalas tuoj pat nevartojamas, už laikymo trukmę ir sąlygas atsako vartotojas, paruošto vartojimui infuzinio tirpalo, nelaikyti ilgiau nei 24 val. žemesnėje kaip 25</w:t>
      </w:r>
      <w:r w:rsidRPr="00976ED6">
        <w:rPr>
          <w:rFonts w:ascii="Times New Roman" w:hAnsi="Times New Roman" w:cs="Times New Roman"/>
          <w:lang w:val="sl-SI"/>
        </w:rPr>
        <w:sym w:font="Symbol" w:char="F0B0"/>
      </w:r>
      <w:r w:rsidRPr="00976ED6">
        <w:rPr>
          <w:rFonts w:ascii="Times New Roman" w:hAnsi="Times New Roman" w:cs="Times New Roman"/>
          <w:lang w:val="sl-SI"/>
        </w:rPr>
        <w:t>C temperatūroje, įskaitant vienos valandos trukmės infuziją į veną.</w:t>
      </w:r>
    </w:p>
    <w:p w14:paraId="12D1280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CF85240"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Pagal rekomendacijas paruošto infuzinio tirpalo, laikomo ne PVC maišeliuose 2</w:t>
      </w:r>
      <w:r w:rsidRPr="00976ED6">
        <w:rPr>
          <w:rFonts w:ascii="Times New Roman" w:hAnsi="Times New Roman" w:cs="Times New Roman"/>
          <w:lang w:val="sl-SI"/>
        </w:rPr>
        <w:sym w:font="Symbol" w:char="F0B0"/>
      </w:r>
      <w:r w:rsidRPr="00976ED6">
        <w:rPr>
          <w:rFonts w:ascii="Times New Roman" w:hAnsi="Times New Roman" w:cs="Times New Roman"/>
          <w:lang w:val="sl-SI"/>
        </w:rPr>
        <w:t>C - 8</w:t>
      </w:r>
      <w:r w:rsidRPr="00976ED6">
        <w:rPr>
          <w:rFonts w:ascii="Times New Roman" w:hAnsi="Times New Roman" w:cs="Times New Roman"/>
          <w:lang w:val="sl-SI"/>
        </w:rPr>
        <w:sym w:font="Symbol" w:char="F0B0"/>
      </w:r>
      <w:r w:rsidRPr="00976ED6">
        <w:rPr>
          <w:rFonts w:ascii="Times New Roman" w:hAnsi="Times New Roman" w:cs="Times New Roman"/>
          <w:lang w:val="sl-SI"/>
        </w:rPr>
        <w:t>C temperatūroje, fizinis ir cheminis stabilumas nekinta 7 paras.</w:t>
      </w:r>
    </w:p>
    <w:p w14:paraId="5D7861A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6E481092"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infuzinis tirpalas yra persotintas, todėl laikui bėgant gali kristalizuotis. Jeigu atsiranda kristalų, tirpalas turi būti daugiau nevartojamas ir sunaikinamas.</w:t>
      </w:r>
    </w:p>
    <w:p w14:paraId="5DB0B25D"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5EB78767" w14:textId="77777777" w:rsidR="003A7B6B" w:rsidRPr="00976ED6" w:rsidRDefault="003A7B6B" w:rsidP="003A7B6B">
      <w:pPr>
        <w:widowControl w:val="0"/>
        <w:numPr>
          <w:ilvl w:val="12"/>
          <w:numId w:val="0"/>
        </w:numPr>
        <w:tabs>
          <w:tab w:val="left" w:pos="1296"/>
        </w:tabs>
        <w:ind w:right="-2"/>
        <w:rPr>
          <w:rFonts w:ascii="Times New Roman" w:hAnsi="Times New Roman" w:cs="Times New Roman"/>
          <w:i/>
          <w:lang w:val="sl-SI"/>
        </w:rPr>
      </w:pPr>
      <w:r w:rsidRPr="00976ED6">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14:paraId="41D270A8"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4138A8A2"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35AA3342" w14:textId="77777777" w:rsidR="003A7B6B" w:rsidRPr="00976ED6" w:rsidRDefault="003A7B6B" w:rsidP="003A7B6B">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6.</w:t>
      </w:r>
      <w:r w:rsidRPr="00976ED6">
        <w:rPr>
          <w:rFonts w:ascii="Times New Roman" w:hAnsi="Times New Roman" w:cs="Times New Roman"/>
          <w:lang w:val="sl-SI"/>
        </w:rPr>
        <w:tab/>
      </w:r>
      <w:r w:rsidRPr="00976ED6">
        <w:rPr>
          <w:rFonts w:ascii="Times New Roman" w:hAnsi="Times New Roman" w:cs="Times New Roman"/>
          <w:b/>
          <w:lang w:val="sl-SI"/>
        </w:rPr>
        <w:t>Pakuotės turinys ir kita informacija</w:t>
      </w:r>
    </w:p>
    <w:p w14:paraId="5D7D2DBC"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26507F6F"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Tolnexa sudėtis</w:t>
      </w:r>
    </w:p>
    <w:p w14:paraId="79357BA5" w14:textId="77777777" w:rsidR="003A7B6B" w:rsidRPr="00976ED6" w:rsidRDefault="003A7B6B" w:rsidP="003A7B6B">
      <w:pPr>
        <w:widowControl w:val="0"/>
        <w:numPr>
          <w:ilvl w:val="0"/>
          <w:numId w:val="26"/>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 xml:space="preserve">Veiklioji medžiaga yra docetakselis. Kiekviename koncentrato infuziniam tirpalui mililitre yra </w:t>
      </w:r>
      <w:r w:rsidRPr="00976ED6">
        <w:rPr>
          <w:rFonts w:ascii="Times New Roman" w:hAnsi="Times New Roman" w:cs="Times New Roman"/>
          <w:lang w:val="sl-SI"/>
        </w:rPr>
        <w:lastRenderedPageBreak/>
        <w:t>20 mg docetakselio.</w:t>
      </w:r>
    </w:p>
    <w:p w14:paraId="13D55D3C" w14:textId="77777777" w:rsidR="003A7B6B" w:rsidRPr="00976ED6" w:rsidRDefault="003A7B6B" w:rsidP="003A7B6B">
      <w:pPr>
        <w:widowControl w:val="0"/>
        <w:tabs>
          <w:tab w:val="left" w:pos="1296"/>
        </w:tabs>
        <w:ind w:right="-2" w:firstLine="0"/>
        <w:rPr>
          <w:rFonts w:ascii="Times New Roman" w:hAnsi="Times New Roman" w:cs="Times New Roman"/>
          <w:lang w:val="sl-SI"/>
        </w:rPr>
      </w:pPr>
      <w:r w:rsidRPr="00976ED6">
        <w:rPr>
          <w:rFonts w:ascii="Times New Roman" w:hAnsi="Times New Roman" w:cs="Times New Roman"/>
          <w:lang w:val="sl-SI"/>
        </w:rPr>
        <w:t>Viename 1 ml koncentrato infuziniam tirpalui flakone yra 20 mg docetakselio.</w:t>
      </w:r>
    </w:p>
    <w:p w14:paraId="7B6676AC" w14:textId="77777777" w:rsidR="003A7B6B" w:rsidRPr="00976ED6" w:rsidRDefault="003A7B6B" w:rsidP="003A7B6B">
      <w:pPr>
        <w:widowControl w:val="0"/>
        <w:tabs>
          <w:tab w:val="left" w:pos="1296"/>
        </w:tabs>
        <w:ind w:right="-2" w:firstLine="0"/>
        <w:rPr>
          <w:rFonts w:ascii="Times New Roman" w:hAnsi="Times New Roman" w:cs="Times New Roman"/>
          <w:lang w:val="sl-SI"/>
        </w:rPr>
      </w:pPr>
      <w:r w:rsidRPr="00976ED6">
        <w:rPr>
          <w:rFonts w:ascii="Times New Roman" w:hAnsi="Times New Roman" w:cs="Times New Roman"/>
          <w:highlight w:val="lightGray"/>
          <w:lang w:val="sl-SI"/>
        </w:rPr>
        <w:t>Viename 4 ml koncentrato infuziniam tirpalui flakone yra 80 mg docetakselio.</w:t>
      </w:r>
    </w:p>
    <w:p w14:paraId="24E3A750" w14:textId="77777777" w:rsidR="003A7B6B" w:rsidRPr="00976ED6" w:rsidRDefault="003A7B6B" w:rsidP="003A7B6B">
      <w:pPr>
        <w:widowControl w:val="0"/>
        <w:tabs>
          <w:tab w:val="left" w:pos="1296"/>
        </w:tabs>
        <w:ind w:right="-2" w:firstLine="0"/>
        <w:rPr>
          <w:rFonts w:ascii="Times New Roman" w:hAnsi="Times New Roman" w:cs="Times New Roman"/>
          <w:lang w:val="sl-SI"/>
        </w:rPr>
      </w:pPr>
      <w:r w:rsidRPr="00976ED6">
        <w:rPr>
          <w:rFonts w:ascii="Times New Roman" w:hAnsi="Times New Roman" w:cs="Times New Roman"/>
          <w:highlight w:val="darkGray"/>
          <w:lang w:val="sl-SI"/>
        </w:rPr>
        <w:t>Viename 8 ml koncentrato infuziniam tirpalui flakone yra 160 mg docetakselio.</w:t>
      </w:r>
    </w:p>
    <w:p w14:paraId="4C96613B" w14:textId="58E4873E" w:rsidR="003A7B6B" w:rsidRPr="00976ED6" w:rsidRDefault="003A7B6B" w:rsidP="003A7B6B">
      <w:pPr>
        <w:widowControl w:val="0"/>
        <w:numPr>
          <w:ilvl w:val="0"/>
          <w:numId w:val="26"/>
        </w:numPr>
        <w:tabs>
          <w:tab w:val="left" w:pos="567"/>
          <w:tab w:val="left" w:pos="1296"/>
        </w:tabs>
        <w:ind w:left="567" w:right="-2" w:hanging="567"/>
        <w:rPr>
          <w:rFonts w:ascii="Times New Roman" w:hAnsi="Times New Roman" w:cs="Times New Roman"/>
          <w:i/>
          <w:lang w:val="sl-SI"/>
        </w:rPr>
      </w:pPr>
      <w:r w:rsidRPr="00976ED6">
        <w:rPr>
          <w:rFonts w:ascii="Times New Roman" w:hAnsi="Times New Roman" w:cs="Times New Roman"/>
          <w:lang w:val="sl-SI"/>
        </w:rPr>
        <w:t>Pagalbinės medžiagos yra polisorbatas 80, bevandenis etanolis ir citrinų rūgštis.</w:t>
      </w:r>
      <w:r>
        <w:rPr>
          <w:rFonts w:ascii="Times New Roman" w:hAnsi="Times New Roman" w:cs="Times New Roman"/>
          <w:lang w:val="sl-SI"/>
        </w:rPr>
        <w:t xml:space="preserve"> Žr. </w:t>
      </w:r>
      <w:r>
        <w:rPr>
          <w:rFonts w:ascii="Times New Roman" w:hAnsi="Times New Roman" w:cs="Times New Roman"/>
          <w:lang w:val="en-US"/>
        </w:rPr>
        <w:t>2 skyri</w:t>
      </w:r>
      <w:r>
        <w:rPr>
          <w:rFonts w:ascii="Times New Roman" w:hAnsi="Times New Roman" w:cs="Times New Roman"/>
        </w:rPr>
        <w:t>ų „Tolnexa sudėtyje yra etanolio (alkoholio)“.</w:t>
      </w:r>
    </w:p>
    <w:p w14:paraId="401D04FA" w14:textId="77777777" w:rsidR="003A7B6B" w:rsidRPr="00976ED6" w:rsidRDefault="003A7B6B" w:rsidP="003A7B6B">
      <w:pPr>
        <w:widowControl w:val="0"/>
        <w:tabs>
          <w:tab w:val="left" w:pos="1296"/>
        </w:tabs>
        <w:ind w:left="0" w:right="-2" w:firstLine="0"/>
        <w:rPr>
          <w:rFonts w:ascii="Times New Roman" w:hAnsi="Times New Roman" w:cs="Times New Roman"/>
          <w:lang w:val="sl-SI"/>
        </w:rPr>
      </w:pPr>
    </w:p>
    <w:p w14:paraId="3454BDEB"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Tolnexa išvaizda ir kiekis pakuotėje</w:t>
      </w:r>
    </w:p>
    <w:p w14:paraId="3206A4B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Tolnexa koncentratas infuziniam tirpalui yra skaidrus, nuo šviesiai geltonos iki rusvai geltonos spalvos tirpalas.</w:t>
      </w:r>
    </w:p>
    <w:p w14:paraId="43E98068" w14:textId="77777777" w:rsidR="003A7B6B" w:rsidRDefault="003A7B6B" w:rsidP="003A7B6B">
      <w:pPr>
        <w:widowControl w:val="0"/>
        <w:tabs>
          <w:tab w:val="left" w:pos="567"/>
          <w:tab w:val="left" w:pos="1296"/>
        </w:tabs>
        <w:ind w:left="0" w:firstLine="0"/>
        <w:rPr>
          <w:rFonts w:ascii="Times New Roman" w:hAnsi="Times New Roman" w:cs="Times New Roman"/>
          <w:lang w:val="sl-SI"/>
        </w:rPr>
      </w:pPr>
    </w:p>
    <w:p w14:paraId="6FEFE8A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Dėžutėje yra vienas 5 ml permatomo stiklo I tipo flakonas su </w:t>
      </w:r>
      <w:r w:rsidRPr="00976ED6">
        <w:rPr>
          <w:rFonts w:ascii="Times New Roman" w:hAnsi="Times New Roman" w:cs="Times New Roman"/>
          <w:i/>
          <w:lang w:val="sl-SI"/>
        </w:rPr>
        <w:t>fluorotec plus</w:t>
      </w:r>
      <w:r w:rsidRPr="00976ED6">
        <w:rPr>
          <w:rFonts w:ascii="Times New Roman" w:hAnsi="Times New Roman" w:cs="Times New Roman"/>
          <w:lang w:val="sl-SI"/>
        </w:rPr>
        <w:t xml:space="preserve"> guminiu kamščiu, aliuminio dangteliu ir oranžiniu nuplėšiamu gaubteliu, kuriame yra1 ml koncentrato infuziniam tirpalui.</w:t>
      </w:r>
    </w:p>
    <w:p w14:paraId="61BD2476"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 xml:space="preserve">Dėžutėje yra vienas 5 ml permatomo stiklo I tipo flakonas su </w:t>
      </w:r>
      <w:r w:rsidRPr="00976ED6">
        <w:rPr>
          <w:rFonts w:ascii="Times New Roman" w:hAnsi="Times New Roman" w:cs="Times New Roman"/>
          <w:i/>
          <w:highlight w:val="lightGray"/>
          <w:lang w:val="sl-SI"/>
        </w:rPr>
        <w:t>fluorotec plus</w:t>
      </w:r>
      <w:r w:rsidRPr="00976ED6">
        <w:rPr>
          <w:rFonts w:ascii="Times New Roman" w:hAnsi="Times New Roman" w:cs="Times New Roman"/>
          <w:highlight w:val="lightGray"/>
          <w:lang w:val="sl-SI"/>
        </w:rPr>
        <w:t xml:space="preserve"> guminiu kamščiu, aliuminio dangteliu ir raudonu nuplėšiamu gaubteliu, kuriame yra 4 ml koncentrato infuziniam tirpalui.</w:t>
      </w:r>
    </w:p>
    <w:p w14:paraId="302C9BF5"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darkGray"/>
          <w:lang w:val="sl-SI"/>
        </w:rPr>
        <w:t xml:space="preserve">Dėžutėje yra vienas 10 ml permatomo stiklo I tipo flakonas su </w:t>
      </w:r>
      <w:r w:rsidRPr="00976ED6">
        <w:rPr>
          <w:rFonts w:ascii="Times New Roman" w:hAnsi="Times New Roman" w:cs="Times New Roman"/>
          <w:i/>
          <w:highlight w:val="darkGray"/>
          <w:lang w:val="sl-SI"/>
        </w:rPr>
        <w:t>fluorotec plus</w:t>
      </w:r>
      <w:r w:rsidRPr="00976ED6">
        <w:rPr>
          <w:rFonts w:ascii="Times New Roman" w:hAnsi="Times New Roman" w:cs="Times New Roman"/>
          <w:highlight w:val="darkGray"/>
          <w:lang w:val="sl-SI"/>
        </w:rPr>
        <w:t xml:space="preserve"> guminiu kamščiu, aliuminio dangteliu ir raudonu nuplėšiamu gaubteliu, kuriame yra 8 ml koncentrato infuziniam tirpalui.</w:t>
      </w:r>
    </w:p>
    <w:p w14:paraId="3A67DEB8"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3DD81515"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Gali būti tiekiamos ne visų dydžių pakuotės.</w:t>
      </w:r>
    </w:p>
    <w:p w14:paraId="25AD911C"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0EA4A7C8" w14:textId="77777777" w:rsidR="003A7B6B" w:rsidRPr="00976ED6" w:rsidRDefault="003A7B6B" w:rsidP="003A7B6B">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Registruotojas ir gamintojas</w:t>
      </w:r>
    </w:p>
    <w:p w14:paraId="5DC5578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76BAE460" w14:textId="77777777" w:rsidR="003A7B6B" w:rsidRPr="00976ED6" w:rsidRDefault="003A7B6B" w:rsidP="003A7B6B">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Registruotojas</w:t>
      </w:r>
    </w:p>
    <w:p w14:paraId="7AD82205" w14:textId="36032ABC"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w:t>
      </w:r>
      <w:r>
        <w:rPr>
          <w:rFonts w:ascii="Times New Roman" w:hAnsi="Times New Roman" w:cs="Times New Roman"/>
          <w:lang w:val="sl-SI"/>
        </w:rPr>
        <w:t>RKA</w:t>
      </w:r>
      <w:r w:rsidRPr="00976ED6">
        <w:rPr>
          <w:rFonts w:ascii="Times New Roman" w:hAnsi="Times New Roman" w:cs="Times New Roman"/>
          <w:lang w:val="sl-SI"/>
        </w:rPr>
        <w:t>, d.d., Novo mesto</w:t>
      </w:r>
    </w:p>
    <w:p w14:paraId="509E106D"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Šmarješka cesta 6</w:t>
      </w:r>
    </w:p>
    <w:p w14:paraId="5AE9141E"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8501 Novo mesto</w:t>
      </w:r>
    </w:p>
    <w:p w14:paraId="3AB599AB"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Slovėnija</w:t>
      </w:r>
    </w:p>
    <w:p w14:paraId="63D4F5A2"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7BE030BF" w14:textId="77777777" w:rsidR="003A7B6B" w:rsidRPr="00976ED6" w:rsidRDefault="003A7B6B" w:rsidP="003A7B6B">
      <w:pPr>
        <w:widowControl w:val="0"/>
        <w:numPr>
          <w:ilvl w:val="12"/>
          <w:numId w:val="0"/>
        </w:numPr>
        <w:tabs>
          <w:tab w:val="left" w:pos="1296"/>
        </w:tabs>
        <w:ind w:right="-2"/>
        <w:rPr>
          <w:rFonts w:ascii="Times New Roman" w:hAnsi="Times New Roman" w:cs="Times New Roman"/>
          <w:i/>
          <w:lang w:val="sl-SI"/>
        </w:rPr>
      </w:pPr>
      <w:r w:rsidRPr="00976ED6">
        <w:rPr>
          <w:rFonts w:ascii="Times New Roman" w:hAnsi="Times New Roman" w:cs="Times New Roman"/>
          <w:i/>
          <w:lang w:val="sl-SI"/>
        </w:rPr>
        <w:t>Gamintojas</w:t>
      </w:r>
    </w:p>
    <w:p w14:paraId="62BB1AFA" w14:textId="328B3C00" w:rsidR="003A7B6B" w:rsidRPr="00976ED6" w:rsidRDefault="003A7B6B" w:rsidP="003A7B6B">
      <w:pPr>
        <w:widowControl w:val="0"/>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lang w:val="sl-SI"/>
        </w:rPr>
        <w:t>K</w:t>
      </w:r>
      <w:r>
        <w:rPr>
          <w:rFonts w:ascii="Times New Roman" w:hAnsi="Times New Roman" w:cs="Times New Roman"/>
          <w:lang w:val="sl-SI"/>
        </w:rPr>
        <w:t>RKA</w:t>
      </w:r>
      <w:r w:rsidRPr="00976ED6">
        <w:rPr>
          <w:rFonts w:ascii="Times New Roman" w:hAnsi="Times New Roman" w:cs="Times New Roman"/>
          <w:lang w:val="sl-SI"/>
        </w:rPr>
        <w:t>, d.d., Novo mesto</w:t>
      </w:r>
    </w:p>
    <w:p w14:paraId="3F06D1F2" w14:textId="77777777" w:rsidR="003A7B6B" w:rsidRPr="00976ED6" w:rsidRDefault="003A7B6B" w:rsidP="003A7B6B">
      <w:pPr>
        <w:widowControl w:val="0"/>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lang w:val="sl-SI"/>
        </w:rPr>
        <w:t>Šmarješka cesta 6</w:t>
      </w:r>
    </w:p>
    <w:p w14:paraId="03B104B0" w14:textId="77777777" w:rsidR="003A7B6B" w:rsidRPr="00976ED6" w:rsidRDefault="003A7B6B" w:rsidP="003A7B6B">
      <w:pPr>
        <w:widowControl w:val="0"/>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lang w:val="sl-SI"/>
        </w:rPr>
        <w:t>8501 Novo mesto</w:t>
      </w:r>
    </w:p>
    <w:p w14:paraId="390D8A43" w14:textId="77777777" w:rsidR="003A7B6B" w:rsidRPr="00976ED6" w:rsidRDefault="003A7B6B" w:rsidP="003A7B6B">
      <w:pPr>
        <w:widowControl w:val="0"/>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lang w:val="sl-SI"/>
        </w:rPr>
        <w:t>Slovėnija</w:t>
      </w:r>
    </w:p>
    <w:p w14:paraId="577DFA44"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16F6D8F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arba</w:t>
      </w:r>
    </w:p>
    <w:p w14:paraId="16ED9861"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p>
    <w:p w14:paraId="33FB7A43" w14:textId="77777777" w:rsidR="003A7B6B" w:rsidRPr="00976ED6" w:rsidRDefault="003A7B6B" w:rsidP="003A7B6B">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TAD Pharma GmbH</w:t>
      </w:r>
    </w:p>
    <w:p w14:paraId="518E1895" w14:textId="77777777" w:rsidR="003A7B6B" w:rsidRPr="00976ED6" w:rsidRDefault="003A7B6B" w:rsidP="003A7B6B">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lang w:val="sl-SI"/>
        </w:rPr>
        <w:t>Heinz-Lohmann-Straße 5</w:t>
      </w:r>
    </w:p>
    <w:p w14:paraId="5351E777" w14:textId="77777777" w:rsidR="003A7B6B" w:rsidRPr="00976ED6" w:rsidRDefault="003A7B6B" w:rsidP="003A7B6B">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lang w:val="sl-SI"/>
        </w:rPr>
        <w:t>D-27472 Cuxhaven</w:t>
      </w:r>
    </w:p>
    <w:p w14:paraId="0829AA2F" w14:textId="77777777" w:rsidR="003A7B6B" w:rsidRPr="00976ED6" w:rsidRDefault="003A7B6B" w:rsidP="003A7B6B">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lang w:val="sl-SI"/>
        </w:rPr>
        <w:t>Vokietija</w:t>
      </w:r>
    </w:p>
    <w:p w14:paraId="41727A68"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p>
    <w:p w14:paraId="5FCEBD7F"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Jeigu apie šį vaistą norite sužinoti daugiau, kreipkitės į vietinį registruotojo atstovą:</w:t>
      </w:r>
    </w:p>
    <w:p w14:paraId="1948A98D"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p>
    <w:tbl>
      <w:tblPr>
        <w:tblW w:w="0" w:type="auto"/>
        <w:tblInd w:w="-34" w:type="dxa"/>
        <w:tblLayout w:type="fixed"/>
        <w:tblLook w:val="04A0" w:firstRow="1" w:lastRow="0" w:firstColumn="1" w:lastColumn="0" w:noHBand="0" w:noVBand="1"/>
      </w:tblPr>
      <w:tblGrid>
        <w:gridCol w:w="4678"/>
      </w:tblGrid>
      <w:tr w:rsidR="003A7B6B" w:rsidRPr="00976ED6" w14:paraId="29C7F9AE" w14:textId="77777777" w:rsidTr="005E6418">
        <w:tc>
          <w:tcPr>
            <w:tcW w:w="4678" w:type="dxa"/>
            <w:hideMark/>
          </w:tcPr>
          <w:p w14:paraId="139D35BB"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UAB KRKA Lietuva</w:t>
            </w:r>
          </w:p>
          <w:p w14:paraId="1123008E"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Senasis Ukmergės kelias 4,</w:t>
            </w:r>
          </w:p>
          <w:p w14:paraId="06D91537"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Užubalių km.,Vilniaus r.</w:t>
            </w:r>
          </w:p>
          <w:p w14:paraId="510F9959"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LT - 14013</w:t>
            </w:r>
          </w:p>
          <w:p w14:paraId="5E7AD847" w14:textId="77777777" w:rsidR="003A7B6B" w:rsidRPr="00976ED6" w:rsidRDefault="003A7B6B" w:rsidP="005E6418">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Tel. + 370 5 236 27 40</w:t>
            </w:r>
          </w:p>
        </w:tc>
      </w:tr>
    </w:tbl>
    <w:p w14:paraId="77C25289"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p>
    <w:p w14:paraId="74E55929"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b/>
          <w:lang w:val="sl-SI"/>
        </w:rPr>
        <w:t>Šis vaistas EEE valstybėse narėse registruotas tokiais pavadinimais</w:t>
      </w:r>
      <w:r w:rsidRPr="00976ED6">
        <w:rPr>
          <w:rFonts w:ascii="Times New Roman" w:hAnsi="Times New Roman" w:cs="Times New Roman"/>
          <w:lang w:val="sl-SI"/>
        </w:rPr>
        <w:t>:</w:t>
      </w:r>
    </w:p>
    <w:p w14:paraId="1D9A82CA"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488"/>
      </w:tblGrid>
      <w:tr w:rsidR="003A7B6B" w:rsidRPr="00976ED6" w14:paraId="550AE780" w14:textId="77777777" w:rsidTr="005E6418">
        <w:tc>
          <w:tcPr>
            <w:tcW w:w="3652" w:type="dxa"/>
            <w:tcBorders>
              <w:top w:val="single" w:sz="4" w:space="0" w:color="auto"/>
              <w:left w:val="single" w:sz="4" w:space="0" w:color="auto"/>
              <w:bottom w:val="single" w:sz="4" w:space="0" w:color="auto"/>
              <w:right w:val="single" w:sz="4" w:space="0" w:color="auto"/>
            </w:tcBorders>
            <w:hideMark/>
          </w:tcPr>
          <w:p w14:paraId="4B9853D4" w14:textId="77777777" w:rsidR="003A7B6B" w:rsidRPr="00976ED6" w:rsidRDefault="003A7B6B" w:rsidP="005E6418">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Valstybės narės pavadinimas</w:t>
            </w:r>
          </w:p>
        </w:tc>
        <w:tc>
          <w:tcPr>
            <w:tcW w:w="5635" w:type="dxa"/>
            <w:tcBorders>
              <w:top w:val="single" w:sz="4" w:space="0" w:color="auto"/>
              <w:left w:val="single" w:sz="4" w:space="0" w:color="auto"/>
              <w:bottom w:val="single" w:sz="4" w:space="0" w:color="auto"/>
              <w:right w:val="single" w:sz="4" w:space="0" w:color="auto"/>
            </w:tcBorders>
            <w:hideMark/>
          </w:tcPr>
          <w:p w14:paraId="2DD4BAB1" w14:textId="77777777" w:rsidR="003A7B6B" w:rsidRPr="00976ED6" w:rsidRDefault="003A7B6B" w:rsidP="005E6418">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Vaisto pavadinimas</w:t>
            </w:r>
          </w:p>
        </w:tc>
      </w:tr>
      <w:tr w:rsidR="003A7B6B" w:rsidRPr="00976ED6" w14:paraId="7BE79982" w14:textId="77777777" w:rsidTr="005E6418">
        <w:tc>
          <w:tcPr>
            <w:tcW w:w="3652" w:type="dxa"/>
            <w:tcBorders>
              <w:top w:val="single" w:sz="4" w:space="0" w:color="auto"/>
              <w:left w:val="single" w:sz="4" w:space="0" w:color="auto"/>
              <w:bottom w:val="single" w:sz="4" w:space="0" w:color="auto"/>
              <w:right w:val="single" w:sz="4" w:space="0" w:color="auto"/>
            </w:tcBorders>
            <w:hideMark/>
          </w:tcPr>
          <w:p w14:paraId="1E5FF31E" w14:textId="77777777" w:rsidR="003A7B6B" w:rsidRPr="00976ED6" w:rsidRDefault="003A7B6B" w:rsidP="005E6418">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 xml:space="preserve">Olandija, Bulgarija, Čekija, Vokietija, Estija, Vengrija, Lietuva, Latvija, </w:t>
            </w:r>
            <w:r w:rsidRPr="00976ED6">
              <w:rPr>
                <w:rFonts w:ascii="Times New Roman" w:hAnsi="Times New Roman" w:cs="Times New Roman"/>
                <w:lang w:val="sl-SI"/>
              </w:rPr>
              <w:lastRenderedPageBreak/>
              <w:t>Lenkija, Rumunija, Slovėnija, Slovakija</w:t>
            </w:r>
          </w:p>
        </w:tc>
        <w:tc>
          <w:tcPr>
            <w:tcW w:w="5635" w:type="dxa"/>
            <w:tcBorders>
              <w:top w:val="single" w:sz="4" w:space="0" w:color="auto"/>
              <w:left w:val="single" w:sz="4" w:space="0" w:color="auto"/>
              <w:bottom w:val="single" w:sz="4" w:space="0" w:color="auto"/>
              <w:right w:val="single" w:sz="4" w:space="0" w:color="auto"/>
            </w:tcBorders>
            <w:hideMark/>
          </w:tcPr>
          <w:p w14:paraId="61FE82AA" w14:textId="77777777" w:rsidR="003A7B6B" w:rsidRPr="00976ED6" w:rsidRDefault="003A7B6B" w:rsidP="005E6418">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lastRenderedPageBreak/>
              <w:t xml:space="preserve">Tolnexa </w:t>
            </w:r>
          </w:p>
        </w:tc>
      </w:tr>
    </w:tbl>
    <w:p w14:paraId="7EF903B0" w14:textId="77777777" w:rsidR="003A7B6B" w:rsidRPr="00976ED6" w:rsidRDefault="003A7B6B" w:rsidP="003A7B6B">
      <w:pPr>
        <w:widowControl w:val="0"/>
        <w:numPr>
          <w:ilvl w:val="12"/>
          <w:numId w:val="0"/>
        </w:numPr>
        <w:tabs>
          <w:tab w:val="left" w:pos="1296"/>
        </w:tabs>
        <w:ind w:right="-2"/>
        <w:rPr>
          <w:rFonts w:ascii="Times New Roman" w:hAnsi="Times New Roman" w:cs="Times New Roman"/>
          <w:b/>
          <w:lang w:val="sl-SI"/>
        </w:rPr>
      </w:pPr>
    </w:p>
    <w:p w14:paraId="320F73B2" w14:textId="77777777" w:rsidR="003A7B6B" w:rsidRPr="00976ED6" w:rsidRDefault="003A7B6B" w:rsidP="003A7B6B">
      <w:pPr>
        <w:widowControl w:val="0"/>
        <w:numPr>
          <w:ilvl w:val="12"/>
          <w:numId w:val="0"/>
        </w:numPr>
        <w:tabs>
          <w:tab w:val="left" w:pos="1296"/>
        </w:tabs>
        <w:ind w:right="-2"/>
        <w:rPr>
          <w:rFonts w:ascii="Times New Roman" w:hAnsi="Times New Roman" w:cs="Times New Roman"/>
          <w:b/>
          <w:lang w:val="sl-SI"/>
        </w:rPr>
      </w:pPr>
    </w:p>
    <w:p w14:paraId="15D637C7" w14:textId="67641AEE" w:rsidR="003A7B6B" w:rsidRPr="00976ED6" w:rsidRDefault="003A7B6B" w:rsidP="003A7B6B">
      <w:pPr>
        <w:widowControl w:val="0"/>
        <w:numPr>
          <w:ilvl w:val="12"/>
          <w:numId w:val="0"/>
        </w:numPr>
        <w:tabs>
          <w:tab w:val="left" w:pos="1296"/>
        </w:tabs>
        <w:ind w:right="-2"/>
        <w:rPr>
          <w:rFonts w:ascii="Times New Roman" w:hAnsi="Times New Roman" w:cs="Times New Roman"/>
          <w:b/>
          <w:lang w:val="sl-SI"/>
        </w:rPr>
      </w:pPr>
      <w:r w:rsidRPr="00976ED6">
        <w:rPr>
          <w:rFonts w:ascii="Times New Roman" w:hAnsi="Times New Roman" w:cs="Times New Roman"/>
          <w:b/>
          <w:lang w:val="sl-SI"/>
        </w:rPr>
        <w:t xml:space="preserve">Šis pakuotės lapelis paskutinį kartą peržiūrėtas </w:t>
      </w:r>
      <w:r w:rsidR="000152DD">
        <w:rPr>
          <w:rFonts w:ascii="Times New Roman" w:hAnsi="Times New Roman" w:cs="Times New Roman"/>
          <w:b/>
          <w:lang w:val="sl-SI"/>
        </w:rPr>
        <w:t>2021-03-04.</w:t>
      </w:r>
    </w:p>
    <w:p w14:paraId="5626850A"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p>
    <w:p w14:paraId="1ECAAFDE" w14:textId="77777777" w:rsidR="003A7B6B" w:rsidRPr="00976ED6" w:rsidRDefault="003A7B6B" w:rsidP="003A7B6B">
      <w:pPr>
        <w:widowControl w:val="0"/>
        <w:numPr>
          <w:ilvl w:val="12"/>
          <w:numId w:val="0"/>
        </w:numPr>
        <w:tabs>
          <w:tab w:val="left" w:pos="567"/>
          <w:tab w:val="left" w:pos="1296"/>
        </w:tabs>
        <w:ind w:right="-2"/>
        <w:rPr>
          <w:rFonts w:ascii="Times New Roman" w:hAnsi="Times New Roman" w:cs="Times New Roman"/>
          <w:lang w:val="sl-SI"/>
        </w:rPr>
      </w:pPr>
    </w:p>
    <w:p w14:paraId="60C9AC51" w14:textId="77777777" w:rsidR="003A7B6B" w:rsidRPr="00976ED6" w:rsidRDefault="003A7B6B" w:rsidP="003A7B6B">
      <w:pPr>
        <w:widowControl w:val="0"/>
        <w:tabs>
          <w:tab w:val="left" w:pos="1296"/>
        </w:tabs>
        <w:ind w:left="0" w:firstLine="0"/>
        <w:rPr>
          <w:rFonts w:ascii="Times New Roman" w:hAnsi="Times New Roman" w:cs="Times New Roman"/>
          <w:color w:val="0000FF"/>
          <w:lang w:val="sl-SI"/>
        </w:rPr>
      </w:pPr>
      <w:r w:rsidRPr="00976ED6">
        <w:rPr>
          <w:rFonts w:ascii="Times New Roman" w:hAnsi="Times New Roman" w:cs="Times New Roman"/>
          <w:lang w:val="sl-SI"/>
        </w:rPr>
        <w:t xml:space="preserve">Išsami informacija apie šį vaistą pateikiama Valstybinės vaistų kontrolės tarnybos prie Lietuvos Respublikos sveikatos apsaugos ministerijos tinklalapyje </w:t>
      </w:r>
      <w:hyperlink r:id="rId15" w:history="1">
        <w:r w:rsidRPr="00976ED6">
          <w:rPr>
            <w:rFonts w:ascii="Times New Roman" w:hAnsi="Times New Roman" w:cs="Times New Roman"/>
            <w:color w:val="0000FF"/>
            <w:u w:val="single"/>
            <w:lang w:val="sl-SI"/>
          </w:rPr>
          <w:t>http://www.vvkt.lt/</w:t>
        </w:r>
      </w:hyperlink>
    </w:p>
    <w:p w14:paraId="33E48302" w14:textId="77777777" w:rsidR="003A7B6B" w:rsidRPr="00976ED6" w:rsidRDefault="003A7B6B" w:rsidP="003A7B6B">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w:t>
      </w:r>
    </w:p>
    <w:p w14:paraId="6082A690" w14:textId="77777777" w:rsidR="003A7B6B" w:rsidRPr="00976ED6" w:rsidRDefault="003A7B6B" w:rsidP="003A7B6B">
      <w:pPr>
        <w:widowControl w:val="0"/>
        <w:numPr>
          <w:ilvl w:val="12"/>
          <w:numId w:val="0"/>
        </w:numPr>
        <w:tabs>
          <w:tab w:val="left" w:pos="567"/>
          <w:tab w:val="left" w:pos="2657"/>
        </w:tabs>
        <w:ind w:right="-28"/>
        <w:rPr>
          <w:rFonts w:ascii="Times New Roman" w:hAnsi="Times New Roman" w:cs="Times New Roman"/>
          <w:lang w:val="sl-SI"/>
        </w:rPr>
      </w:pPr>
    </w:p>
    <w:p w14:paraId="0F3CBD0E" w14:textId="7A57200D" w:rsidR="003A7B6B" w:rsidRDefault="003A7B6B" w:rsidP="003A7B6B">
      <w:pPr>
        <w:widowControl w:val="0"/>
        <w:numPr>
          <w:ilvl w:val="12"/>
          <w:numId w:val="0"/>
        </w:numPr>
        <w:tabs>
          <w:tab w:val="left" w:pos="567"/>
          <w:tab w:val="left" w:pos="2657"/>
        </w:tabs>
        <w:ind w:left="-37" w:right="-28"/>
        <w:rPr>
          <w:rFonts w:ascii="Times New Roman" w:hAnsi="Times New Roman" w:cs="Times New Roman"/>
          <w:lang w:val="sl-SI"/>
        </w:rPr>
      </w:pPr>
      <w:r w:rsidRPr="00976ED6">
        <w:rPr>
          <w:rFonts w:ascii="Times New Roman" w:hAnsi="Times New Roman" w:cs="Times New Roman"/>
          <w:lang w:val="sl-SI"/>
        </w:rPr>
        <w:t>Toliau pateikta informacija skirta tik sveikatos priežiūros specialistams:</w:t>
      </w:r>
    </w:p>
    <w:p w14:paraId="7B758F1A" w14:textId="67FFC65D" w:rsidR="00BB391C" w:rsidRDefault="00BB391C" w:rsidP="003A7B6B">
      <w:pPr>
        <w:widowControl w:val="0"/>
        <w:numPr>
          <w:ilvl w:val="12"/>
          <w:numId w:val="0"/>
        </w:numPr>
        <w:tabs>
          <w:tab w:val="left" w:pos="567"/>
          <w:tab w:val="left" w:pos="2657"/>
        </w:tabs>
        <w:ind w:left="-37" w:right="-28"/>
        <w:rPr>
          <w:rFonts w:ascii="Times New Roman" w:hAnsi="Times New Roman" w:cs="Times New Roman"/>
          <w:lang w:val="sl-SI"/>
        </w:rPr>
      </w:pPr>
    </w:p>
    <w:p w14:paraId="276827C3" w14:textId="0E872BA5" w:rsidR="00BB391C" w:rsidRPr="00F52238" w:rsidRDefault="00BB391C" w:rsidP="00BB391C">
      <w:pPr>
        <w:widowControl w:val="0"/>
        <w:tabs>
          <w:tab w:val="left" w:pos="567"/>
          <w:tab w:val="left" w:pos="1296"/>
        </w:tabs>
        <w:ind w:left="0" w:firstLine="0"/>
        <w:rPr>
          <w:rFonts w:ascii="Times New Roman" w:hAnsi="Times New Roman" w:cs="Times New Roman"/>
          <w:b/>
          <w:lang w:val="sl-SI"/>
        </w:rPr>
      </w:pPr>
      <w:r w:rsidRPr="00F52238">
        <w:rPr>
          <w:rFonts w:ascii="Times New Roman" w:hAnsi="Times New Roman" w:cs="Times New Roman"/>
          <w:b/>
          <w:lang w:val="sl-SI"/>
        </w:rPr>
        <w:t>Tolnexa 20 mg/ml koncentratas infuziniam tirpalui</w:t>
      </w:r>
    </w:p>
    <w:p w14:paraId="72A204EC" w14:textId="4CA3C37A" w:rsidR="00BB391C" w:rsidRPr="00F52238" w:rsidRDefault="00BB391C" w:rsidP="00BB391C">
      <w:pPr>
        <w:widowControl w:val="0"/>
        <w:tabs>
          <w:tab w:val="left" w:pos="567"/>
          <w:tab w:val="left" w:pos="1296"/>
        </w:tabs>
        <w:ind w:left="0" w:firstLine="0"/>
        <w:rPr>
          <w:rFonts w:ascii="Times New Roman" w:hAnsi="Times New Roman" w:cs="Times New Roman"/>
          <w:b/>
          <w:lang w:val="sl-SI"/>
        </w:rPr>
      </w:pPr>
    </w:p>
    <w:p w14:paraId="23727D28" w14:textId="1B95DA30" w:rsidR="00BB391C" w:rsidRPr="00F52238" w:rsidRDefault="00BB391C" w:rsidP="00BB391C">
      <w:pPr>
        <w:widowControl w:val="0"/>
        <w:rPr>
          <w:rFonts w:ascii="Times New Roman" w:hAnsi="Times New Roman" w:cs="Times New Roman"/>
          <w:b/>
          <w:bCs/>
        </w:rPr>
      </w:pPr>
      <w:r w:rsidRPr="00F52238">
        <w:rPr>
          <w:rFonts w:ascii="Times New Roman" w:hAnsi="Times New Roman" w:cs="Times New Roman"/>
          <w:b/>
          <w:bCs/>
        </w:rPr>
        <w:t xml:space="preserve">20 mg/1 ml </w:t>
      </w:r>
      <w:r w:rsidRPr="00AE3160">
        <w:rPr>
          <w:rFonts w:ascii="Times New Roman" w:hAnsi="Times New Roman" w:cs="Times New Roman"/>
          <w:b/>
          <w:lang w:val="sl-SI"/>
        </w:rPr>
        <w:t>koncentratas infuziniam tirpalui</w:t>
      </w:r>
    </w:p>
    <w:p w14:paraId="7A3831EF" w14:textId="63A06392" w:rsidR="00BB391C" w:rsidRPr="00F52238" w:rsidRDefault="00BB391C" w:rsidP="00BB391C">
      <w:pPr>
        <w:widowControl w:val="0"/>
        <w:rPr>
          <w:rFonts w:ascii="Times New Roman" w:hAnsi="Times New Roman" w:cs="Times New Roman"/>
          <w:b/>
          <w:bCs/>
        </w:rPr>
      </w:pPr>
      <w:r w:rsidRPr="00F52238">
        <w:rPr>
          <w:rFonts w:ascii="Times New Roman" w:hAnsi="Times New Roman" w:cs="Times New Roman"/>
          <w:b/>
          <w:bCs/>
          <w:highlight w:val="lightGray"/>
        </w:rPr>
        <w:t xml:space="preserve">80 mg/4 ml </w:t>
      </w:r>
      <w:r w:rsidRPr="00F52238">
        <w:rPr>
          <w:rFonts w:ascii="Times New Roman" w:hAnsi="Times New Roman" w:cs="Times New Roman"/>
          <w:b/>
          <w:highlight w:val="lightGray"/>
          <w:lang w:val="sl-SI"/>
        </w:rPr>
        <w:t>koncentratas infuziniam tirpalui</w:t>
      </w:r>
    </w:p>
    <w:p w14:paraId="58E085D3" w14:textId="1202DCDE" w:rsidR="00BB391C" w:rsidRPr="00F52238" w:rsidRDefault="00BB391C" w:rsidP="00BB391C">
      <w:pPr>
        <w:widowControl w:val="0"/>
        <w:rPr>
          <w:rFonts w:ascii="Times New Roman" w:hAnsi="Times New Roman" w:cs="Times New Roman"/>
          <w:b/>
          <w:bCs/>
          <w:lang w:val="en-GB"/>
        </w:rPr>
      </w:pPr>
      <w:r w:rsidRPr="00F52238">
        <w:rPr>
          <w:rFonts w:ascii="Times New Roman" w:hAnsi="Times New Roman" w:cs="Times New Roman"/>
          <w:b/>
          <w:bCs/>
          <w:highlight w:val="darkGray"/>
          <w:lang w:val="en-GB"/>
        </w:rPr>
        <w:t xml:space="preserve">160 mg/8 ml </w:t>
      </w:r>
      <w:r w:rsidRPr="00F52238">
        <w:rPr>
          <w:rFonts w:ascii="Times New Roman" w:hAnsi="Times New Roman" w:cs="Times New Roman"/>
          <w:b/>
          <w:highlight w:val="darkGray"/>
          <w:lang w:val="sl-SI"/>
        </w:rPr>
        <w:t>koncentratas infuziniam tirpalui</w:t>
      </w:r>
    </w:p>
    <w:p w14:paraId="418EEEF8" w14:textId="77777777" w:rsidR="00BB391C" w:rsidRPr="00976ED6" w:rsidRDefault="00BB391C" w:rsidP="00BB391C">
      <w:pPr>
        <w:widowControl w:val="0"/>
        <w:tabs>
          <w:tab w:val="left" w:pos="567"/>
          <w:tab w:val="left" w:pos="1296"/>
        </w:tabs>
        <w:ind w:left="0" w:firstLine="0"/>
        <w:rPr>
          <w:rFonts w:ascii="Times New Roman" w:hAnsi="Times New Roman" w:cs="Times New Roman"/>
          <w:lang w:val="sl-SI"/>
        </w:rPr>
      </w:pPr>
    </w:p>
    <w:p w14:paraId="61CA1F42" w14:textId="77777777" w:rsidR="00BB391C" w:rsidRPr="00976ED6" w:rsidRDefault="00BB391C" w:rsidP="00BB391C">
      <w:pPr>
        <w:widowControl w:val="0"/>
        <w:tabs>
          <w:tab w:val="left" w:pos="567"/>
          <w:tab w:val="left" w:pos="1296"/>
        </w:tabs>
        <w:ind w:left="0" w:firstLine="0"/>
        <w:rPr>
          <w:rFonts w:ascii="Times New Roman" w:hAnsi="Times New Roman" w:cs="Times New Roman"/>
          <w:lang w:val="sl-SI"/>
        </w:rPr>
      </w:pPr>
      <w:r>
        <w:rPr>
          <w:rFonts w:ascii="Times New Roman" w:hAnsi="Times New Roman" w:cs="Times New Roman"/>
          <w:lang w:val="sl-SI"/>
        </w:rPr>
        <w:t>d</w:t>
      </w:r>
      <w:r w:rsidRPr="00976ED6">
        <w:rPr>
          <w:rFonts w:ascii="Times New Roman" w:hAnsi="Times New Roman" w:cs="Times New Roman"/>
          <w:lang w:val="sl-SI"/>
        </w:rPr>
        <w:t>ocetakselis</w:t>
      </w:r>
    </w:p>
    <w:p w14:paraId="282D744A"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72D3092E" w14:textId="77777777" w:rsidR="003A7B6B" w:rsidRPr="00976ED6" w:rsidRDefault="003A7B6B" w:rsidP="003A7B6B">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TOLNEXA KONCENTRATO INFUZINIAM TIRPALUI RUOŠIMO INSTRUKCIJA</w:t>
      </w:r>
    </w:p>
    <w:p w14:paraId="251422CC" w14:textId="77777777" w:rsidR="003A7B6B" w:rsidRPr="00976ED6" w:rsidRDefault="003A7B6B" w:rsidP="003A7B6B">
      <w:pPr>
        <w:widowControl w:val="0"/>
        <w:numPr>
          <w:ilvl w:val="12"/>
          <w:numId w:val="0"/>
        </w:numPr>
        <w:tabs>
          <w:tab w:val="left" w:pos="1296"/>
        </w:tabs>
        <w:rPr>
          <w:rFonts w:ascii="Times New Roman" w:hAnsi="Times New Roman" w:cs="Times New Roman"/>
          <w:b/>
          <w:lang w:val="sl-SI"/>
        </w:rPr>
      </w:pPr>
    </w:p>
    <w:tbl>
      <w:tblPr>
        <w:tblW w:w="0" w:type="auto"/>
        <w:tblInd w:w="155" w:type="dxa"/>
        <w:tblBorders>
          <w:top w:val="single" w:sz="4" w:space="0" w:color="auto"/>
        </w:tblBorders>
        <w:tblLook w:val="04A0" w:firstRow="1" w:lastRow="0" w:firstColumn="1" w:lastColumn="0" w:noHBand="0" w:noVBand="1"/>
      </w:tblPr>
      <w:tblGrid>
        <w:gridCol w:w="8915"/>
      </w:tblGrid>
      <w:tr w:rsidR="003A7B6B" w:rsidRPr="00976ED6" w14:paraId="410FEBFD" w14:textId="77777777" w:rsidTr="005E6418">
        <w:trPr>
          <w:trHeight w:val="100"/>
        </w:trPr>
        <w:tc>
          <w:tcPr>
            <w:tcW w:w="8956" w:type="dxa"/>
            <w:tcBorders>
              <w:top w:val="single" w:sz="4" w:space="0" w:color="auto"/>
              <w:left w:val="nil"/>
              <w:bottom w:val="nil"/>
              <w:right w:val="nil"/>
            </w:tcBorders>
          </w:tcPr>
          <w:p w14:paraId="1087B3F8" w14:textId="77777777" w:rsidR="003A7B6B" w:rsidRPr="00976ED6" w:rsidRDefault="003A7B6B" w:rsidP="005E6418">
            <w:pPr>
              <w:widowControl w:val="0"/>
              <w:numPr>
                <w:ilvl w:val="12"/>
                <w:numId w:val="0"/>
              </w:numPr>
              <w:tabs>
                <w:tab w:val="left" w:pos="1296"/>
              </w:tabs>
              <w:rPr>
                <w:rFonts w:ascii="Times New Roman" w:hAnsi="Times New Roman" w:cs="Times New Roman"/>
                <w:lang w:val="sl-SI"/>
              </w:rPr>
            </w:pPr>
          </w:p>
        </w:tc>
      </w:tr>
    </w:tbl>
    <w:p w14:paraId="1ADD19E9" w14:textId="77777777" w:rsidR="003A7B6B" w:rsidRPr="00976ED6" w:rsidRDefault="003A7B6B" w:rsidP="003A7B6B">
      <w:pPr>
        <w:widowControl w:val="0"/>
        <w:numPr>
          <w:ilvl w:val="12"/>
          <w:numId w:val="0"/>
        </w:numPr>
        <w:tabs>
          <w:tab w:val="left" w:pos="1296"/>
        </w:tabs>
        <w:rPr>
          <w:rFonts w:ascii="Times New Roman" w:hAnsi="Times New Roman" w:cs="Times New Roman"/>
          <w:i/>
          <w:lang w:val="sl-SI"/>
        </w:rPr>
      </w:pPr>
      <w:r w:rsidRPr="00976ED6">
        <w:rPr>
          <w:rFonts w:ascii="Times New Roman" w:hAnsi="Times New Roman" w:cs="Times New Roman"/>
          <w:i/>
          <w:lang w:val="sl-SI"/>
        </w:rPr>
        <w:t>Būtina perskaityti visą pateiktą Tolnexa infuzinio tirpalo ruošimo atmintinės instrukciją.</w:t>
      </w:r>
    </w:p>
    <w:p w14:paraId="2F37C0AF"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08E7C687" w14:textId="77777777" w:rsidR="003A7B6B" w:rsidRPr="00976ED6" w:rsidRDefault="003A7B6B" w:rsidP="003A7B6B">
      <w:pPr>
        <w:widowControl w:val="0"/>
        <w:numPr>
          <w:ilvl w:val="12"/>
          <w:numId w:val="0"/>
        </w:numPr>
        <w:tabs>
          <w:tab w:val="left" w:pos="1296"/>
        </w:tabs>
        <w:rPr>
          <w:rFonts w:ascii="Times New Roman" w:hAnsi="Times New Roman" w:cs="Times New Roman"/>
          <w:u w:val="single"/>
          <w:lang w:val="sl-SI"/>
        </w:rPr>
      </w:pPr>
      <w:r w:rsidRPr="00976ED6">
        <w:rPr>
          <w:rFonts w:ascii="Times New Roman" w:hAnsi="Times New Roman" w:cs="Times New Roman"/>
          <w:u w:val="single"/>
          <w:lang w:val="sl-SI"/>
        </w:rPr>
        <w:t>Nurodymai, kaip saugiai ruošti</w:t>
      </w:r>
    </w:p>
    <w:p w14:paraId="3EB7F16D"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Docetakselis yra vaistas nuo vėžio. Jo, kaip ir kitų potencialiai toksiškų junginių, tirpalus ruošti ir vartoti reikia atsargiai. Rekomenduojama mūvėti pirštines.</w:t>
      </w:r>
    </w:p>
    <w:p w14:paraId="31B5A7E8"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20F749CC"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Jei Tolnexa koncentrato arba infuzinio tirpalo pateko ant odos, reikia nedelsiant nuplauti dideliu vandens kiekiu su muilu. Jei jų pateko ant gleivinės, reikia nedelsiant nuplauti dideliu vandens kiekiu.</w:t>
      </w:r>
    </w:p>
    <w:p w14:paraId="49D6DAC5"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5293923B" w14:textId="77777777" w:rsidR="003A7B6B" w:rsidRPr="00976ED6" w:rsidRDefault="003A7B6B" w:rsidP="003A7B6B">
      <w:pPr>
        <w:widowControl w:val="0"/>
        <w:numPr>
          <w:ilvl w:val="12"/>
          <w:numId w:val="0"/>
        </w:numPr>
        <w:tabs>
          <w:tab w:val="left" w:pos="1296"/>
        </w:tabs>
        <w:rPr>
          <w:rFonts w:ascii="Times New Roman" w:hAnsi="Times New Roman" w:cs="Times New Roman"/>
          <w:u w:val="single"/>
          <w:lang w:val="sl-SI"/>
        </w:rPr>
      </w:pPr>
      <w:r w:rsidRPr="00976ED6">
        <w:rPr>
          <w:rFonts w:ascii="Times New Roman" w:hAnsi="Times New Roman" w:cs="Times New Roman"/>
          <w:u w:val="single"/>
          <w:lang w:val="sl-SI"/>
        </w:rPr>
        <w:t>Ruošimas vartojimui į veną</w:t>
      </w:r>
    </w:p>
    <w:p w14:paraId="025DB309"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p>
    <w:p w14:paraId="5FAA0C53" w14:textId="77777777" w:rsidR="003A7B6B" w:rsidRPr="00976ED6" w:rsidRDefault="003A7B6B" w:rsidP="003A7B6B">
      <w:pPr>
        <w:widowControl w:val="0"/>
        <w:numPr>
          <w:ilvl w:val="12"/>
          <w:numId w:val="0"/>
        </w:numPr>
        <w:tabs>
          <w:tab w:val="left" w:pos="1296"/>
        </w:tabs>
        <w:rPr>
          <w:rFonts w:ascii="Times New Roman" w:hAnsi="Times New Roman" w:cs="Times New Roman"/>
          <w:i/>
          <w:u w:val="single"/>
          <w:lang w:val="sl-SI"/>
        </w:rPr>
      </w:pPr>
      <w:r w:rsidRPr="00976ED6">
        <w:rPr>
          <w:rFonts w:ascii="Times New Roman" w:hAnsi="Times New Roman" w:cs="Times New Roman"/>
          <w:i/>
          <w:u w:val="single"/>
          <w:lang w:val="sl-SI"/>
        </w:rPr>
        <w:t>Infuzinio tirpalo ruošimas</w:t>
      </w:r>
    </w:p>
    <w:p w14:paraId="19A7C4DE" w14:textId="77777777" w:rsidR="003A7B6B" w:rsidRPr="00976ED6" w:rsidRDefault="003A7B6B" w:rsidP="003A7B6B">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NEVARTOKITE kitų docetakselio turinčių vaistinių preparatų, kuriuos sudaro 2 flakonai (koncentratas ir tirpiklis) su šiuo vaistiniu preparatu (Tolnexa 20 mg/ ml koncentratas infuziniam tirpalui, kurį sudaro 1 flakonas) (20 mg/1 ml, 80 mg /4 ml, 160 mg/8 ml).</w:t>
      </w:r>
    </w:p>
    <w:p w14:paraId="543834AA" w14:textId="77777777" w:rsidR="003A7B6B" w:rsidRPr="00976ED6" w:rsidRDefault="003A7B6B" w:rsidP="003A7B6B">
      <w:pPr>
        <w:widowControl w:val="0"/>
        <w:numPr>
          <w:ilvl w:val="12"/>
          <w:numId w:val="0"/>
        </w:numPr>
        <w:tabs>
          <w:tab w:val="left" w:pos="1296"/>
        </w:tabs>
        <w:rPr>
          <w:rFonts w:ascii="Times New Roman" w:hAnsi="Times New Roman" w:cs="Times New Roman"/>
          <w:b/>
          <w:lang w:val="sl-SI"/>
        </w:rPr>
      </w:pPr>
    </w:p>
    <w:p w14:paraId="0B494A8F" w14:textId="77777777" w:rsidR="003A7B6B" w:rsidRPr="00976ED6" w:rsidRDefault="003A7B6B" w:rsidP="003A7B6B">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b/>
          <w:lang w:val="sl-SI"/>
        </w:rPr>
        <w:t>Tolnexa koncentrato infuziniam tirpalui NEREIKIA praskiesti tirpikliu, jis paruoštas švirkšti į infuzinį tirpalą</w:t>
      </w:r>
      <w:r w:rsidRPr="00976ED6">
        <w:rPr>
          <w:rFonts w:ascii="Times New Roman" w:hAnsi="Times New Roman" w:cs="Times New Roman"/>
          <w:lang w:val="sl-SI"/>
        </w:rPr>
        <w:t>.</w:t>
      </w:r>
    </w:p>
    <w:p w14:paraId="15BDF98A" w14:textId="77777777" w:rsidR="003A7B6B" w:rsidRPr="00976ED6" w:rsidRDefault="003A7B6B" w:rsidP="003A7B6B">
      <w:pPr>
        <w:widowControl w:val="0"/>
        <w:numPr>
          <w:ilvl w:val="0"/>
          <w:numId w:val="27"/>
        </w:numPr>
        <w:ind w:left="567" w:hanging="567"/>
        <w:rPr>
          <w:rFonts w:ascii="Times New Roman" w:hAnsi="Times New Roman" w:cs="Times New Roman"/>
          <w:lang w:val="sl-SI"/>
        </w:rPr>
      </w:pPr>
      <w:r w:rsidRPr="00976ED6">
        <w:rPr>
          <w:rFonts w:ascii="Times New Roman" w:hAnsi="Times New Roman" w:cs="Times New Roman"/>
          <w:lang w:val="sl-SI"/>
        </w:rPr>
        <w:t>Kiekvienas flakonas yra vienkartinis ir turi būti suvartojamas nedelsiant. Jei jis iškart nesuvartojamas, už jo laikymo trukmę ir sąlygas atsako vartotojas. Gali būti, kad paciento reikiamai dozei pasiekti prireiks daugiau nei vieno flakono koncentrato infuziniam tirpalui. Pavyzdžiui, 140 mg docetakselio dozę sudarys 7 ml docetakselio koncentrato infuziniam tirpalui.</w:t>
      </w:r>
    </w:p>
    <w:p w14:paraId="341ACF57" w14:textId="77777777" w:rsidR="003A7B6B" w:rsidRPr="00976ED6" w:rsidRDefault="003A7B6B" w:rsidP="003A7B6B">
      <w:pPr>
        <w:widowControl w:val="0"/>
        <w:numPr>
          <w:ilvl w:val="0"/>
          <w:numId w:val="27"/>
        </w:numPr>
        <w:ind w:left="567" w:hanging="567"/>
        <w:rPr>
          <w:rFonts w:ascii="Times New Roman" w:hAnsi="Times New Roman" w:cs="Times New Roman"/>
          <w:lang w:val="sl-SI"/>
        </w:rPr>
      </w:pPr>
      <w:r w:rsidRPr="00976ED6">
        <w:rPr>
          <w:rFonts w:ascii="Times New Roman" w:hAnsi="Times New Roman" w:cs="Times New Roman"/>
          <w:lang w:val="sl-SI"/>
        </w:rPr>
        <w:t>Laikantis aseptikos reikalavimų graduotu švirkštu ištraukite reikiamą kiekį koncentrato infuziniam tirpalui.</w:t>
      </w:r>
    </w:p>
    <w:p w14:paraId="03911CE4"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710E19F6" w14:textId="77777777" w:rsidR="003A7B6B" w:rsidRPr="00976ED6" w:rsidRDefault="003A7B6B" w:rsidP="003A7B6B">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Tolnexa flakone docetakselio koncentracija yra 20 mg/ml.</w:t>
      </w:r>
    </w:p>
    <w:p w14:paraId="4506E8FB" w14:textId="77777777" w:rsidR="003A7B6B" w:rsidRPr="00976ED6" w:rsidRDefault="003A7B6B" w:rsidP="003A7B6B">
      <w:pPr>
        <w:widowControl w:val="0"/>
        <w:numPr>
          <w:ilvl w:val="0"/>
          <w:numId w:val="28"/>
        </w:numPr>
        <w:ind w:left="567" w:hanging="567"/>
        <w:rPr>
          <w:rFonts w:ascii="Times New Roman" w:hAnsi="Times New Roman" w:cs="Times New Roman"/>
          <w:lang w:val="sl-SI"/>
        </w:rPr>
      </w:pPr>
      <w:r w:rsidRPr="00976ED6">
        <w:rPr>
          <w:rFonts w:ascii="Times New Roman" w:hAnsi="Times New Roman" w:cs="Times New Roman"/>
          <w:lang w:val="sl-SI"/>
        </w:rPr>
        <w:t>Sušvirkškite tirpalą vienu kartu („vienu šūviu“) į 250 ml infuzinį maišelį, kuriame yra 5% gliukozės tirpalas arba natrio chlorido 9 mg/ml (0,9%) infuzinis tirpalas. Jei reikia didesnės kaip 190 mg docetakselio dozės, naudojamas didesnis pagalbinio infuzinio tirpalo tūris, kad docetakselio koncentracija neviršytų 0,74 mg/ml.</w:t>
      </w:r>
    </w:p>
    <w:p w14:paraId="3524AD57" w14:textId="77777777" w:rsidR="003A7B6B" w:rsidRPr="00976ED6" w:rsidRDefault="003A7B6B" w:rsidP="003A7B6B">
      <w:pPr>
        <w:widowControl w:val="0"/>
        <w:numPr>
          <w:ilvl w:val="0"/>
          <w:numId w:val="28"/>
        </w:numPr>
        <w:ind w:left="567" w:hanging="567"/>
        <w:rPr>
          <w:rFonts w:ascii="Times New Roman" w:hAnsi="Times New Roman" w:cs="Times New Roman"/>
          <w:lang w:val="sl-SI"/>
        </w:rPr>
      </w:pPr>
      <w:r w:rsidRPr="00976ED6">
        <w:rPr>
          <w:rFonts w:ascii="Times New Roman" w:hAnsi="Times New Roman" w:cs="Times New Roman"/>
          <w:lang w:val="sl-SI"/>
        </w:rPr>
        <w:t>Infuzinio maišelio turinys sumaišomas sukiojant rankose. Venkite stipraus kratymo ir plakimo.</w:t>
      </w:r>
    </w:p>
    <w:p w14:paraId="5B1AB95F" w14:textId="77777777" w:rsidR="003A7B6B" w:rsidRPr="00976ED6" w:rsidRDefault="003A7B6B" w:rsidP="003A7B6B">
      <w:pPr>
        <w:widowControl w:val="0"/>
        <w:numPr>
          <w:ilvl w:val="0"/>
          <w:numId w:val="28"/>
        </w:numPr>
        <w:ind w:left="567" w:hanging="567"/>
        <w:rPr>
          <w:rFonts w:ascii="Times New Roman" w:hAnsi="Times New Roman" w:cs="Times New Roman"/>
          <w:lang w:val="sl-SI"/>
        </w:rPr>
      </w:pPr>
      <w:r w:rsidRPr="00976ED6">
        <w:rPr>
          <w:rFonts w:ascii="Times New Roman" w:hAnsi="Times New Roman" w:cs="Times New Roman"/>
          <w:lang w:val="sl-SI"/>
        </w:rPr>
        <w:t xml:space="preserve">Mikrobiologiniu požiūriu, skiedimas turi vykti kontroliuojamomis ir aseptinėmis sąlygomis ir </w:t>
      </w:r>
      <w:r w:rsidRPr="00976ED6">
        <w:rPr>
          <w:rFonts w:ascii="Times New Roman" w:hAnsi="Times New Roman" w:cs="Times New Roman"/>
          <w:lang w:val="sl-SI"/>
        </w:rPr>
        <w:lastRenderedPageBreak/>
        <w:t>infuzinis tirpalas turi būti suvartojamas nedelsiant. Jei jis iškart nesuvartojamas, už laikymo trukmę ir sąlygas atsako vartotojas.</w:t>
      </w:r>
    </w:p>
    <w:p w14:paraId="2B465864" w14:textId="77777777" w:rsidR="003A7B6B" w:rsidRPr="00976ED6" w:rsidRDefault="003A7B6B" w:rsidP="003A7B6B">
      <w:pPr>
        <w:widowControl w:val="0"/>
        <w:ind w:firstLine="0"/>
        <w:rPr>
          <w:rFonts w:ascii="Times New Roman" w:hAnsi="Times New Roman" w:cs="Times New Roman"/>
          <w:lang w:val="sl-SI"/>
        </w:rPr>
      </w:pPr>
      <w:r w:rsidRPr="00976ED6">
        <w:rPr>
          <w:rFonts w:ascii="Times New Roman" w:hAnsi="Times New Roman" w:cs="Times New Roman"/>
          <w:lang w:val="sl-SI"/>
        </w:rPr>
        <w:t>Sušvirkštus docetakselį, kaip rekomenduojama, į infuzinį maišelį, docetakselio infuzinis tirpalas, laikant jį žemesnėje kaip 25 °C temperatūroje išlieka stabilus 24 valandas. Jį reikia suvartoti per 24 valandas (įskaitant ir vienos valandos intraveninės infuzijos trukmę).</w:t>
      </w:r>
    </w:p>
    <w:p w14:paraId="44B9B6DD" w14:textId="77777777" w:rsidR="003A7B6B" w:rsidRPr="00976ED6" w:rsidRDefault="003A7B6B" w:rsidP="003A7B6B">
      <w:pPr>
        <w:widowControl w:val="0"/>
        <w:ind w:firstLine="0"/>
        <w:rPr>
          <w:rFonts w:ascii="Times New Roman" w:hAnsi="Times New Roman" w:cs="Times New Roman"/>
          <w:lang w:val="sl-SI"/>
        </w:rPr>
      </w:pPr>
      <w:r w:rsidRPr="00976ED6">
        <w:rPr>
          <w:rFonts w:ascii="Times New Roman" w:hAnsi="Times New Roman" w:cs="Times New Roman"/>
          <w:lang w:val="sl-SI"/>
        </w:rPr>
        <w:t>Be to, nustatyta, kad paruošto kaip rekomenduojama, infuzinio tirpalo fizinės ir cheminės savybės ne PVC maišeliuose, laikant 2 °C – 8 °C temperatūroje išlieka nepakitusios 7 paras.</w:t>
      </w:r>
    </w:p>
    <w:p w14:paraId="23A92184" w14:textId="77777777" w:rsidR="003A7B6B" w:rsidRPr="00976ED6" w:rsidRDefault="003A7B6B" w:rsidP="003A7B6B">
      <w:pPr>
        <w:widowControl w:val="0"/>
        <w:ind w:firstLine="0"/>
        <w:rPr>
          <w:rFonts w:ascii="Times New Roman" w:hAnsi="Times New Roman" w:cs="Times New Roman"/>
          <w:lang w:val="sl-SI"/>
        </w:rPr>
      </w:pPr>
      <w:r w:rsidRPr="00976ED6">
        <w:rPr>
          <w:rFonts w:ascii="Times New Roman" w:hAnsi="Times New Roman" w:cs="Times New Roman"/>
          <w:lang w:val="sl-SI"/>
        </w:rPr>
        <w:t>Rekomenduojama vengti stipraus maišelių kratymo.</w:t>
      </w:r>
    </w:p>
    <w:p w14:paraId="2A7787A4" w14:textId="77777777" w:rsidR="003A7B6B" w:rsidRPr="00976ED6" w:rsidRDefault="003A7B6B" w:rsidP="003A7B6B">
      <w:pPr>
        <w:widowControl w:val="0"/>
        <w:ind w:firstLine="0"/>
        <w:rPr>
          <w:rFonts w:ascii="Times New Roman" w:hAnsi="Times New Roman" w:cs="Times New Roman"/>
          <w:lang w:val="sl-SI"/>
        </w:rPr>
      </w:pPr>
      <w:r w:rsidRPr="00976ED6">
        <w:rPr>
          <w:rFonts w:ascii="Times New Roman" w:hAnsi="Times New Roman" w:cs="Times New Roman"/>
          <w:lang w:val="sl-SI"/>
        </w:rPr>
        <w:t>Docetakselio infuzinis tirpalas yra labai prisotintas, todėl laikui bėgant gali kristalizuotis. Jei atsiranda kristalų, tirpalo vartoti nebegalima ir jį reikia išmesti.</w:t>
      </w:r>
    </w:p>
    <w:p w14:paraId="469B6B61" w14:textId="77777777" w:rsidR="003A7B6B" w:rsidRPr="00976ED6" w:rsidRDefault="003A7B6B" w:rsidP="003A7B6B">
      <w:pPr>
        <w:widowControl w:val="0"/>
        <w:numPr>
          <w:ilvl w:val="0"/>
          <w:numId w:val="28"/>
        </w:numPr>
        <w:ind w:left="567" w:hanging="567"/>
        <w:rPr>
          <w:rFonts w:ascii="Times New Roman" w:hAnsi="Times New Roman" w:cs="Times New Roman"/>
          <w:lang w:val="sl-SI"/>
        </w:rPr>
      </w:pPr>
      <w:r w:rsidRPr="00976ED6">
        <w:rPr>
          <w:rFonts w:ascii="Times New Roman" w:hAnsi="Times New Roman" w:cs="Times New Roman"/>
          <w:lang w:val="sl-SI"/>
        </w:rPr>
        <w:t>Kaip ir kitus parenteraliai vartojamus vaistinius preparatus, infuzinį tirpalą prieš vartojimą reikia apžiūrėti. Jei yra nuosėdų, tirpalą reikia išmesti.</w:t>
      </w:r>
    </w:p>
    <w:p w14:paraId="5373490B" w14:textId="77777777" w:rsidR="003A7B6B" w:rsidRPr="00976ED6" w:rsidRDefault="003A7B6B" w:rsidP="003A7B6B">
      <w:pPr>
        <w:widowControl w:val="0"/>
        <w:tabs>
          <w:tab w:val="left" w:pos="1296"/>
        </w:tabs>
        <w:ind w:left="0" w:firstLine="0"/>
        <w:rPr>
          <w:rFonts w:ascii="Times New Roman" w:hAnsi="Times New Roman" w:cs="Times New Roman"/>
          <w:lang w:val="sl-SI"/>
        </w:rPr>
      </w:pPr>
    </w:p>
    <w:p w14:paraId="08C61EEA" w14:textId="77777777" w:rsidR="003A7B6B" w:rsidRPr="00976ED6" w:rsidRDefault="003A7B6B" w:rsidP="003A7B6B">
      <w:pPr>
        <w:widowControl w:val="0"/>
        <w:numPr>
          <w:ilvl w:val="12"/>
          <w:numId w:val="0"/>
        </w:numPr>
        <w:tabs>
          <w:tab w:val="left" w:pos="1296"/>
        </w:tabs>
        <w:rPr>
          <w:rFonts w:ascii="Times New Roman" w:hAnsi="Times New Roman" w:cs="Times New Roman"/>
          <w:u w:val="single"/>
          <w:lang w:val="sl-SI"/>
        </w:rPr>
      </w:pPr>
      <w:r w:rsidRPr="00976ED6">
        <w:rPr>
          <w:rFonts w:ascii="Times New Roman" w:hAnsi="Times New Roman" w:cs="Times New Roman"/>
          <w:u w:val="single"/>
          <w:lang w:val="sl-SI"/>
        </w:rPr>
        <w:t>Atliekų tvarkymas</w:t>
      </w:r>
    </w:p>
    <w:p w14:paraId="339CAA69" w14:textId="72EE10AF" w:rsidR="003A7B6B" w:rsidRDefault="003A7B6B" w:rsidP="003A7B6B">
      <w:pPr>
        <w:widowControl w:val="0"/>
        <w:numPr>
          <w:ilvl w:val="12"/>
          <w:numId w:val="0"/>
        </w:numPr>
        <w:tabs>
          <w:tab w:val="left" w:pos="1296"/>
        </w:tabs>
        <w:rPr>
          <w:rFonts w:ascii="Times New Roman" w:hAnsi="Times New Roman" w:cs="Times New Roman"/>
        </w:rPr>
      </w:pPr>
      <w:r w:rsidRPr="00976ED6">
        <w:rPr>
          <w:rFonts w:ascii="Times New Roman" w:hAnsi="Times New Roman" w:cs="Times New Roman"/>
          <w:lang w:val="sl-SI"/>
        </w:rPr>
        <w:t>Visos medžiagos, naudotos vaistui skiesti ir infuzuoti turi būti tvarkomos pagal standartines procedūras. Vaistų negalima išmesti į kanalizaciją. Kaip iš</w:t>
      </w:r>
      <w:r w:rsidRPr="00976ED6">
        <w:rPr>
          <w:rFonts w:ascii="Times New Roman" w:hAnsi="Times New Roman" w:cs="Times New Roman"/>
        </w:rPr>
        <w:t>mesti nereikalingus vaistus klauskite vaistininko. Šios priemonės padės apsaugoti aplinką.</w:t>
      </w:r>
    </w:p>
    <w:p w14:paraId="320309C7" w14:textId="77777777" w:rsidR="00F6252F" w:rsidRPr="00976ED6" w:rsidRDefault="00F6252F" w:rsidP="003A7B6B">
      <w:pPr>
        <w:widowControl w:val="0"/>
        <w:numPr>
          <w:ilvl w:val="12"/>
          <w:numId w:val="0"/>
        </w:numPr>
        <w:tabs>
          <w:tab w:val="left" w:pos="1296"/>
        </w:tabs>
        <w:rPr>
          <w:rFonts w:ascii="Times New Roman" w:eastAsia="Times New Roman" w:hAnsi="Times New Roman" w:cs="Times New Roman"/>
          <w:sz w:val="24"/>
          <w:szCs w:val="20"/>
          <w:lang w:val="sl-SI" w:eastAsia="sl-SI"/>
        </w:rPr>
      </w:pPr>
    </w:p>
    <w:sectPr w:rsidR="00F6252F" w:rsidRPr="00976ED6" w:rsidSect="00301001">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C4565" w14:textId="77777777" w:rsidR="00A27D5C" w:rsidRDefault="00A27D5C" w:rsidP="00792B7D">
      <w:r>
        <w:separator/>
      </w:r>
    </w:p>
  </w:endnote>
  <w:endnote w:type="continuationSeparator" w:id="0">
    <w:p w14:paraId="55B65F25" w14:textId="77777777" w:rsidR="00A27D5C" w:rsidRDefault="00A27D5C" w:rsidP="00792B7D">
      <w:r>
        <w:continuationSeparator/>
      </w:r>
    </w:p>
  </w:endnote>
  <w:endnote w:type="continuationNotice" w:id="1">
    <w:p w14:paraId="7E821388" w14:textId="77777777" w:rsidR="00A27D5C" w:rsidRDefault="00A27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2CBE" w14:textId="77777777" w:rsidR="00A27D5C" w:rsidRDefault="00A27D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8C35E" w14:textId="77777777" w:rsidR="00A27D5C" w:rsidRDefault="00A27D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7DBA" w14:textId="77777777" w:rsidR="00A27D5C" w:rsidRDefault="00A27D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FF59F" w14:textId="77777777" w:rsidR="00A27D5C" w:rsidRDefault="00A27D5C" w:rsidP="00792B7D">
      <w:r>
        <w:separator/>
      </w:r>
    </w:p>
  </w:footnote>
  <w:footnote w:type="continuationSeparator" w:id="0">
    <w:p w14:paraId="35BA611B" w14:textId="77777777" w:rsidR="00A27D5C" w:rsidRDefault="00A27D5C" w:rsidP="00792B7D">
      <w:r>
        <w:continuationSeparator/>
      </w:r>
    </w:p>
  </w:footnote>
  <w:footnote w:type="continuationNotice" w:id="1">
    <w:p w14:paraId="1A092E2D" w14:textId="77777777" w:rsidR="00A27D5C" w:rsidRDefault="00A27D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CEBC2" w14:textId="77777777" w:rsidR="00A27D5C" w:rsidRDefault="00A27D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3FBE" w14:textId="77777777" w:rsidR="00A27D5C" w:rsidRDefault="00A27D5C">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1B1FA" w14:textId="77777777" w:rsidR="00A27D5C" w:rsidRDefault="00A27D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2E4F8A"/>
    <w:lvl w:ilvl="0">
      <w:start w:val="1"/>
      <w:numFmt w:val="decimal"/>
      <w:pStyle w:val="Sraassunumeriai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842E476"/>
    <w:lvl w:ilvl="0">
      <w:start w:val="1"/>
      <w:numFmt w:val="decimal"/>
      <w:pStyle w:val="Sraassunumeriai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7FEFB10"/>
    <w:lvl w:ilvl="0">
      <w:start w:val="1"/>
      <w:numFmt w:val="decimal"/>
      <w:pStyle w:val="Sraassunumeriais3"/>
      <w:lvlText w:val="%1."/>
      <w:lvlJc w:val="left"/>
      <w:pPr>
        <w:tabs>
          <w:tab w:val="num" w:pos="926"/>
        </w:tabs>
        <w:ind w:left="926" w:hanging="360"/>
      </w:pPr>
      <w:rPr>
        <w:rFonts w:cs="Times New Roman"/>
      </w:rPr>
    </w:lvl>
  </w:abstractNum>
  <w:abstractNum w:abstractNumId="3" w15:restartNumberingAfterBreak="0">
    <w:nsid w:val="FFFFFF7F"/>
    <w:multiLevelType w:val="singleLevel"/>
    <w:tmpl w:val="0C9E63DE"/>
    <w:lvl w:ilvl="0">
      <w:start w:val="1"/>
      <w:numFmt w:val="decimal"/>
      <w:pStyle w:val="Sraassunumeriais2"/>
      <w:lvlText w:val="%1."/>
      <w:lvlJc w:val="left"/>
      <w:pPr>
        <w:tabs>
          <w:tab w:val="num" w:pos="643"/>
        </w:tabs>
        <w:ind w:left="643" w:hanging="360"/>
      </w:pPr>
      <w:rPr>
        <w:rFonts w:cs="Times New Roman"/>
      </w:rPr>
    </w:lvl>
  </w:abstractNum>
  <w:abstractNum w:abstractNumId="4" w15:restartNumberingAfterBreak="0">
    <w:nsid w:val="FFFFFF80"/>
    <w:multiLevelType w:val="singleLevel"/>
    <w:tmpl w:val="C374BE9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5A0C0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40374"/>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060334"/>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44B6AA"/>
    <w:lvl w:ilvl="0">
      <w:start w:val="1"/>
      <w:numFmt w:val="decimal"/>
      <w:pStyle w:val="Sraassunumeriais"/>
      <w:lvlText w:val="%1."/>
      <w:lvlJc w:val="left"/>
      <w:pPr>
        <w:tabs>
          <w:tab w:val="num" w:pos="360"/>
        </w:tabs>
        <w:ind w:left="360" w:hanging="360"/>
      </w:pPr>
      <w:rPr>
        <w:rFonts w:cs="Times New Roman"/>
      </w:rPr>
    </w:lvl>
  </w:abstractNum>
  <w:abstractNum w:abstractNumId="9" w15:restartNumberingAfterBreak="0">
    <w:nsid w:val="FFFFFF89"/>
    <w:multiLevelType w:val="singleLevel"/>
    <w:tmpl w:val="2A20878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3BF56AB"/>
    <w:multiLevelType w:val="hybridMultilevel"/>
    <w:tmpl w:val="6864286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8FB2D75"/>
    <w:multiLevelType w:val="hybridMultilevel"/>
    <w:tmpl w:val="2FBA8020"/>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0CC502AD"/>
    <w:multiLevelType w:val="hybridMultilevel"/>
    <w:tmpl w:val="D0A015D4"/>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0FB413D7"/>
    <w:multiLevelType w:val="hybridMultilevel"/>
    <w:tmpl w:val="8BFA83D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0606D61"/>
    <w:multiLevelType w:val="hybridMultilevel"/>
    <w:tmpl w:val="EB4667F2"/>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3526736"/>
    <w:multiLevelType w:val="hybridMultilevel"/>
    <w:tmpl w:val="ACAAA99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7B823EE"/>
    <w:multiLevelType w:val="hybridMultilevel"/>
    <w:tmpl w:val="52EECF2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187906FB"/>
    <w:multiLevelType w:val="hybridMultilevel"/>
    <w:tmpl w:val="F2F07C66"/>
    <w:lvl w:ilvl="0" w:tplc="04F80370">
      <w:start w:val="1"/>
      <w:numFmt w:val="bullet"/>
      <w:lvlText w:val="-"/>
      <w:lvlJc w:val="left"/>
      <w:pPr>
        <w:ind w:left="1080" w:hanging="360"/>
      </w:pPr>
      <w:rPr>
        <w:rFonts w:ascii="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CE6F6D"/>
    <w:multiLevelType w:val="hybridMultilevel"/>
    <w:tmpl w:val="063C6C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063583"/>
    <w:multiLevelType w:val="hybridMultilevel"/>
    <w:tmpl w:val="435A3074"/>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2052FA"/>
    <w:multiLevelType w:val="hybridMultilevel"/>
    <w:tmpl w:val="2524586A"/>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6330719"/>
    <w:multiLevelType w:val="hybridMultilevel"/>
    <w:tmpl w:val="ED706B96"/>
    <w:lvl w:ilvl="0" w:tplc="182C953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9E54116"/>
    <w:multiLevelType w:val="hybridMultilevel"/>
    <w:tmpl w:val="4D10B17A"/>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B0F4BC7"/>
    <w:multiLevelType w:val="hybridMultilevel"/>
    <w:tmpl w:val="935480F0"/>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380732"/>
    <w:multiLevelType w:val="hybridMultilevel"/>
    <w:tmpl w:val="DAF211E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5D7668E"/>
    <w:multiLevelType w:val="hybridMultilevel"/>
    <w:tmpl w:val="24B0B7D2"/>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85A492E"/>
    <w:multiLevelType w:val="hybridMultilevel"/>
    <w:tmpl w:val="5A4A411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B6747E4"/>
    <w:multiLevelType w:val="hybridMultilevel"/>
    <w:tmpl w:val="91527000"/>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EB936C9"/>
    <w:multiLevelType w:val="hybridMultilevel"/>
    <w:tmpl w:val="E97E1EB4"/>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E144786"/>
    <w:multiLevelType w:val="hybridMultilevel"/>
    <w:tmpl w:val="4C24578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86055F4"/>
    <w:multiLevelType w:val="hybridMultilevel"/>
    <w:tmpl w:val="76C2846C"/>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start w:val="1"/>
      <w:numFmt w:val="bullet"/>
      <w:lvlText w:val=""/>
      <w:lvlJc w:val="left"/>
      <w:pPr>
        <w:ind w:left="3447" w:hanging="360"/>
      </w:pPr>
      <w:rPr>
        <w:rFonts w:ascii="Symbol" w:hAnsi="Symbol" w:hint="default"/>
      </w:rPr>
    </w:lvl>
    <w:lvl w:ilvl="4" w:tplc="04240003">
      <w:start w:val="1"/>
      <w:numFmt w:val="bullet"/>
      <w:lvlText w:val="o"/>
      <w:lvlJc w:val="left"/>
      <w:pPr>
        <w:ind w:left="4167" w:hanging="360"/>
      </w:pPr>
      <w:rPr>
        <w:rFonts w:ascii="Courier New" w:hAnsi="Courier New" w:cs="Courier New" w:hint="default"/>
      </w:rPr>
    </w:lvl>
    <w:lvl w:ilvl="5" w:tplc="04240005">
      <w:start w:val="1"/>
      <w:numFmt w:val="bullet"/>
      <w:lvlText w:val=""/>
      <w:lvlJc w:val="left"/>
      <w:pPr>
        <w:ind w:left="4887" w:hanging="360"/>
      </w:pPr>
      <w:rPr>
        <w:rFonts w:ascii="Wingdings" w:hAnsi="Wingdings" w:hint="default"/>
      </w:rPr>
    </w:lvl>
    <w:lvl w:ilvl="6" w:tplc="04240001">
      <w:start w:val="1"/>
      <w:numFmt w:val="bullet"/>
      <w:lvlText w:val=""/>
      <w:lvlJc w:val="left"/>
      <w:pPr>
        <w:ind w:left="5607" w:hanging="360"/>
      </w:pPr>
      <w:rPr>
        <w:rFonts w:ascii="Symbol" w:hAnsi="Symbol" w:hint="default"/>
      </w:rPr>
    </w:lvl>
    <w:lvl w:ilvl="7" w:tplc="04240003">
      <w:start w:val="1"/>
      <w:numFmt w:val="bullet"/>
      <w:lvlText w:val="o"/>
      <w:lvlJc w:val="left"/>
      <w:pPr>
        <w:ind w:left="6327" w:hanging="360"/>
      </w:pPr>
      <w:rPr>
        <w:rFonts w:ascii="Courier New" w:hAnsi="Courier New" w:cs="Courier New" w:hint="default"/>
      </w:rPr>
    </w:lvl>
    <w:lvl w:ilvl="8" w:tplc="04240005">
      <w:start w:val="1"/>
      <w:numFmt w:val="bullet"/>
      <w:lvlText w:val=""/>
      <w:lvlJc w:val="left"/>
      <w:pPr>
        <w:ind w:left="7047" w:hanging="360"/>
      </w:pPr>
      <w:rPr>
        <w:rFonts w:ascii="Wingdings" w:hAnsi="Wingding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0"/>
  </w:num>
  <w:num w:numId="12">
    <w:abstractNumId w:val="29"/>
  </w:num>
  <w:num w:numId="13">
    <w:abstractNumId w:val="19"/>
  </w:num>
  <w:num w:numId="14">
    <w:abstractNumId w:val="11"/>
  </w:num>
  <w:num w:numId="15">
    <w:abstractNumId w:val="24"/>
  </w:num>
  <w:num w:numId="16">
    <w:abstractNumId w:val="14"/>
  </w:num>
  <w:num w:numId="17">
    <w:abstractNumId w:val="16"/>
  </w:num>
  <w:num w:numId="18">
    <w:abstractNumId w:val="12"/>
  </w:num>
  <w:num w:numId="19">
    <w:abstractNumId w:val="22"/>
  </w:num>
  <w:num w:numId="20">
    <w:abstractNumId w:val="26"/>
  </w:num>
  <w:num w:numId="21">
    <w:abstractNumId w:val="27"/>
  </w:num>
  <w:num w:numId="22">
    <w:abstractNumId w:val="21"/>
  </w:num>
  <w:num w:numId="23">
    <w:abstractNumId w:val="28"/>
  </w:num>
  <w:num w:numId="24">
    <w:abstractNumId w:val="17"/>
  </w:num>
  <w:num w:numId="25">
    <w:abstractNumId w:val="30"/>
  </w:num>
  <w:num w:numId="26">
    <w:abstractNumId w:val="25"/>
  </w:num>
  <w:num w:numId="27">
    <w:abstractNumId w:val="20"/>
  </w:num>
  <w:num w:numId="28">
    <w:abstractNumId w:val="18"/>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A0"/>
    <w:rsid w:val="00000706"/>
    <w:rsid w:val="00003050"/>
    <w:rsid w:val="00005627"/>
    <w:rsid w:val="000065B2"/>
    <w:rsid w:val="00012CC4"/>
    <w:rsid w:val="000152DD"/>
    <w:rsid w:val="00017933"/>
    <w:rsid w:val="00034B3B"/>
    <w:rsid w:val="000369C5"/>
    <w:rsid w:val="00037DF6"/>
    <w:rsid w:val="000433F2"/>
    <w:rsid w:val="00047624"/>
    <w:rsid w:val="0005120B"/>
    <w:rsid w:val="00064D45"/>
    <w:rsid w:val="00073CBA"/>
    <w:rsid w:val="0008060F"/>
    <w:rsid w:val="00081745"/>
    <w:rsid w:val="00082F94"/>
    <w:rsid w:val="000A56CA"/>
    <w:rsid w:val="000A79AC"/>
    <w:rsid w:val="000B09CA"/>
    <w:rsid w:val="000B3484"/>
    <w:rsid w:val="000C77F9"/>
    <w:rsid w:val="000D08E0"/>
    <w:rsid w:val="000D4068"/>
    <w:rsid w:val="000E20FF"/>
    <w:rsid w:val="000E48AF"/>
    <w:rsid w:val="000E7134"/>
    <w:rsid w:val="001003D9"/>
    <w:rsid w:val="00100682"/>
    <w:rsid w:val="00100814"/>
    <w:rsid w:val="00102559"/>
    <w:rsid w:val="00105480"/>
    <w:rsid w:val="00110C91"/>
    <w:rsid w:val="00120595"/>
    <w:rsid w:val="00123891"/>
    <w:rsid w:val="00126F17"/>
    <w:rsid w:val="00130FC0"/>
    <w:rsid w:val="001319E7"/>
    <w:rsid w:val="001320E5"/>
    <w:rsid w:val="00132724"/>
    <w:rsid w:val="001330EA"/>
    <w:rsid w:val="001344BC"/>
    <w:rsid w:val="00135AFA"/>
    <w:rsid w:val="001575C1"/>
    <w:rsid w:val="001600DD"/>
    <w:rsid w:val="0016305E"/>
    <w:rsid w:val="00163ED6"/>
    <w:rsid w:val="00166C22"/>
    <w:rsid w:val="00167766"/>
    <w:rsid w:val="001733AD"/>
    <w:rsid w:val="00173713"/>
    <w:rsid w:val="00173E2B"/>
    <w:rsid w:val="00175626"/>
    <w:rsid w:val="001840B2"/>
    <w:rsid w:val="001A27C9"/>
    <w:rsid w:val="001A5CD7"/>
    <w:rsid w:val="001A69D1"/>
    <w:rsid w:val="001B38B4"/>
    <w:rsid w:val="001B5073"/>
    <w:rsid w:val="001B609F"/>
    <w:rsid w:val="001B7A48"/>
    <w:rsid w:val="001C0D37"/>
    <w:rsid w:val="001C7614"/>
    <w:rsid w:val="001C79DF"/>
    <w:rsid w:val="001D3C6F"/>
    <w:rsid w:val="001D7818"/>
    <w:rsid w:val="001E4873"/>
    <w:rsid w:val="001F0B2A"/>
    <w:rsid w:val="001F2D60"/>
    <w:rsid w:val="001F5F55"/>
    <w:rsid w:val="002031D1"/>
    <w:rsid w:val="002075BA"/>
    <w:rsid w:val="00211E4A"/>
    <w:rsid w:val="00211FC7"/>
    <w:rsid w:val="00231A9F"/>
    <w:rsid w:val="00240D9D"/>
    <w:rsid w:val="00240FE0"/>
    <w:rsid w:val="00242791"/>
    <w:rsid w:val="002503B8"/>
    <w:rsid w:val="002504A7"/>
    <w:rsid w:val="0025321F"/>
    <w:rsid w:val="002568DC"/>
    <w:rsid w:val="00257ABE"/>
    <w:rsid w:val="0026149B"/>
    <w:rsid w:val="00263B03"/>
    <w:rsid w:val="00264D72"/>
    <w:rsid w:val="00267DD8"/>
    <w:rsid w:val="00270DCA"/>
    <w:rsid w:val="00272057"/>
    <w:rsid w:val="00272B17"/>
    <w:rsid w:val="002733A9"/>
    <w:rsid w:val="00273BCC"/>
    <w:rsid w:val="00273E33"/>
    <w:rsid w:val="00274963"/>
    <w:rsid w:val="002754CB"/>
    <w:rsid w:val="002830B7"/>
    <w:rsid w:val="002849EB"/>
    <w:rsid w:val="002874A8"/>
    <w:rsid w:val="00291EF3"/>
    <w:rsid w:val="002943DD"/>
    <w:rsid w:val="002971B7"/>
    <w:rsid w:val="002A4A64"/>
    <w:rsid w:val="002C0810"/>
    <w:rsid w:val="002C1127"/>
    <w:rsid w:val="002C2548"/>
    <w:rsid w:val="002C5586"/>
    <w:rsid w:val="002D05DD"/>
    <w:rsid w:val="002D2EC4"/>
    <w:rsid w:val="002E402E"/>
    <w:rsid w:val="002E6597"/>
    <w:rsid w:val="002F56A9"/>
    <w:rsid w:val="002F60DC"/>
    <w:rsid w:val="00301001"/>
    <w:rsid w:val="00304273"/>
    <w:rsid w:val="00311619"/>
    <w:rsid w:val="00317E49"/>
    <w:rsid w:val="00325207"/>
    <w:rsid w:val="00330D36"/>
    <w:rsid w:val="00332096"/>
    <w:rsid w:val="00344099"/>
    <w:rsid w:val="003577AB"/>
    <w:rsid w:val="0036023C"/>
    <w:rsid w:val="00365FAE"/>
    <w:rsid w:val="00366DEB"/>
    <w:rsid w:val="003753C3"/>
    <w:rsid w:val="00380518"/>
    <w:rsid w:val="003843AA"/>
    <w:rsid w:val="00393740"/>
    <w:rsid w:val="003940DB"/>
    <w:rsid w:val="003A4A45"/>
    <w:rsid w:val="003A5413"/>
    <w:rsid w:val="003A7B6B"/>
    <w:rsid w:val="003B5C31"/>
    <w:rsid w:val="003C2F15"/>
    <w:rsid w:val="003C3181"/>
    <w:rsid w:val="003D0748"/>
    <w:rsid w:val="003D3DDA"/>
    <w:rsid w:val="003D48F5"/>
    <w:rsid w:val="003E1BD2"/>
    <w:rsid w:val="003E3DCF"/>
    <w:rsid w:val="003F3AEC"/>
    <w:rsid w:val="004014F7"/>
    <w:rsid w:val="0040482F"/>
    <w:rsid w:val="00407000"/>
    <w:rsid w:val="0041262D"/>
    <w:rsid w:val="00413B0D"/>
    <w:rsid w:val="00413C23"/>
    <w:rsid w:val="0041487B"/>
    <w:rsid w:val="00416F48"/>
    <w:rsid w:val="00421AD2"/>
    <w:rsid w:val="004246F0"/>
    <w:rsid w:val="00424DC7"/>
    <w:rsid w:val="0043120E"/>
    <w:rsid w:val="00431E79"/>
    <w:rsid w:val="00435513"/>
    <w:rsid w:val="00437D50"/>
    <w:rsid w:val="004415AD"/>
    <w:rsid w:val="00447078"/>
    <w:rsid w:val="004479A6"/>
    <w:rsid w:val="00450814"/>
    <w:rsid w:val="00450929"/>
    <w:rsid w:val="0045184E"/>
    <w:rsid w:val="00464DE9"/>
    <w:rsid w:val="00470285"/>
    <w:rsid w:val="0047048A"/>
    <w:rsid w:val="00471AFF"/>
    <w:rsid w:val="004800A0"/>
    <w:rsid w:val="004837CC"/>
    <w:rsid w:val="00487EB1"/>
    <w:rsid w:val="00493236"/>
    <w:rsid w:val="004A1FBC"/>
    <w:rsid w:val="004B5407"/>
    <w:rsid w:val="004B7E56"/>
    <w:rsid w:val="004D2479"/>
    <w:rsid w:val="004D2CB7"/>
    <w:rsid w:val="004D2FF4"/>
    <w:rsid w:val="004E2538"/>
    <w:rsid w:val="004E5B9C"/>
    <w:rsid w:val="004E6B11"/>
    <w:rsid w:val="004F4855"/>
    <w:rsid w:val="004F6FF8"/>
    <w:rsid w:val="00504CBB"/>
    <w:rsid w:val="00505E1F"/>
    <w:rsid w:val="00512070"/>
    <w:rsid w:val="00517E57"/>
    <w:rsid w:val="00520307"/>
    <w:rsid w:val="0052486F"/>
    <w:rsid w:val="00526D57"/>
    <w:rsid w:val="00530F31"/>
    <w:rsid w:val="005331CC"/>
    <w:rsid w:val="005344D5"/>
    <w:rsid w:val="00537A4B"/>
    <w:rsid w:val="00547C4E"/>
    <w:rsid w:val="005562DE"/>
    <w:rsid w:val="00576EC6"/>
    <w:rsid w:val="00580C69"/>
    <w:rsid w:val="00596D43"/>
    <w:rsid w:val="005A53E3"/>
    <w:rsid w:val="005B609D"/>
    <w:rsid w:val="005D2B53"/>
    <w:rsid w:val="005D49CB"/>
    <w:rsid w:val="005E0B79"/>
    <w:rsid w:val="005E5B40"/>
    <w:rsid w:val="005E5F03"/>
    <w:rsid w:val="005E6418"/>
    <w:rsid w:val="005F0A24"/>
    <w:rsid w:val="005F2656"/>
    <w:rsid w:val="005F7450"/>
    <w:rsid w:val="00607523"/>
    <w:rsid w:val="006171E7"/>
    <w:rsid w:val="00624E1A"/>
    <w:rsid w:val="00643730"/>
    <w:rsid w:val="0064789B"/>
    <w:rsid w:val="006544BA"/>
    <w:rsid w:val="00660B27"/>
    <w:rsid w:val="00664E79"/>
    <w:rsid w:val="00670A0E"/>
    <w:rsid w:val="0067186E"/>
    <w:rsid w:val="00676F4A"/>
    <w:rsid w:val="00677E28"/>
    <w:rsid w:val="0068648D"/>
    <w:rsid w:val="00687111"/>
    <w:rsid w:val="00694BA5"/>
    <w:rsid w:val="006B124B"/>
    <w:rsid w:val="006B22C9"/>
    <w:rsid w:val="006B5CA9"/>
    <w:rsid w:val="006C452F"/>
    <w:rsid w:val="006D1BCB"/>
    <w:rsid w:val="006D2FBF"/>
    <w:rsid w:val="006E49B8"/>
    <w:rsid w:val="006E5687"/>
    <w:rsid w:val="006E7784"/>
    <w:rsid w:val="006F0B35"/>
    <w:rsid w:val="006F7169"/>
    <w:rsid w:val="00700CE3"/>
    <w:rsid w:val="007011CE"/>
    <w:rsid w:val="00705222"/>
    <w:rsid w:val="007131CB"/>
    <w:rsid w:val="00741C68"/>
    <w:rsid w:val="00744E05"/>
    <w:rsid w:val="00750804"/>
    <w:rsid w:val="00757F60"/>
    <w:rsid w:val="00771E64"/>
    <w:rsid w:val="00774447"/>
    <w:rsid w:val="00782212"/>
    <w:rsid w:val="00792B7D"/>
    <w:rsid w:val="00793BC5"/>
    <w:rsid w:val="00794927"/>
    <w:rsid w:val="007A5809"/>
    <w:rsid w:val="007A75FE"/>
    <w:rsid w:val="007B17C1"/>
    <w:rsid w:val="007D57EF"/>
    <w:rsid w:val="007E1FF6"/>
    <w:rsid w:val="007F43FC"/>
    <w:rsid w:val="0081093E"/>
    <w:rsid w:val="0081705B"/>
    <w:rsid w:val="008209BB"/>
    <w:rsid w:val="00822203"/>
    <w:rsid w:val="00826D4B"/>
    <w:rsid w:val="008273A4"/>
    <w:rsid w:val="008310F9"/>
    <w:rsid w:val="008321E6"/>
    <w:rsid w:val="00834B87"/>
    <w:rsid w:val="00835467"/>
    <w:rsid w:val="0084123A"/>
    <w:rsid w:val="00854A6F"/>
    <w:rsid w:val="00857EA2"/>
    <w:rsid w:val="00861D75"/>
    <w:rsid w:val="0086643F"/>
    <w:rsid w:val="00866D2B"/>
    <w:rsid w:val="00873C86"/>
    <w:rsid w:val="00881C3E"/>
    <w:rsid w:val="00883E0E"/>
    <w:rsid w:val="00886BC6"/>
    <w:rsid w:val="00897887"/>
    <w:rsid w:val="008A202E"/>
    <w:rsid w:val="008A4143"/>
    <w:rsid w:val="008B2E9B"/>
    <w:rsid w:val="008B7CD0"/>
    <w:rsid w:val="008C5312"/>
    <w:rsid w:val="008C595A"/>
    <w:rsid w:val="008D3759"/>
    <w:rsid w:val="0092411F"/>
    <w:rsid w:val="00925B86"/>
    <w:rsid w:val="009305F0"/>
    <w:rsid w:val="00932A58"/>
    <w:rsid w:val="0093776A"/>
    <w:rsid w:val="0094245E"/>
    <w:rsid w:val="00943815"/>
    <w:rsid w:val="009462B4"/>
    <w:rsid w:val="009524D7"/>
    <w:rsid w:val="00953624"/>
    <w:rsid w:val="00953BFC"/>
    <w:rsid w:val="009561F6"/>
    <w:rsid w:val="00960280"/>
    <w:rsid w:val="009732AC"/>
    <w:rsid w:val="0097582E"/>
    <w:rsid w:val="009767A1"/>
    <w:rsid w:val="00976ED6"/>
    <w:rsid w:val="00981C36"/>
    <w:rsid w:val="009905A1"/>
    <w:rsid w:val="009A4221"/>
    <w:rsid w:val="009A5259"/>
    <w:rsid w:val="009A6823"/>
    <w:rsid w:val="009D2377"/>
    <w:rsid w:val="009D391C"/>
    <w:rsid w:val="009E0C15"/>
    <w:rsid w:val="009E1B8D"/>
    <w:rsid w:val="009E1F47"/>
    <w:rsid w:val="009E4D57"/>
    <w:rsid w:val="009E68D2"/>
    <w:rsid w:val="009E71D6"/>
    <w:rsid w:val="009F2E45"/>
    <w:rsid w:val="009F4679"/>
    <w:rsid w:val="009F4D3D"/>
    <w:rsid w:val="009F4E0E"/>
    <w:rsid w:val="009F692D"/>
    <w:rsid w:val="009F6CD0"/>
    <w:rsid w:val="00A14682"/>
    <w:rsid w:val="00A2172F"/>
    <w:rsid w:val="00A259AF"/>
    <w:rsid w:val="00A27D5C"/>
    <w:rsid w:val="00A34F24"/>
    <w:rsid w:val="00A440A5"/>
    <w:rsid w:val="00A47343"/>
    <w:rsid w:val="00A51571"/>
    <w:rsid w:val="00A5221C"/>
    <w:rsid w:val="00A63901"/>
    <w:rsid w:val="00A71A12"/>
    <w:rsid w:val="00A81AAA"/>
    <w:rsid w:val="00A941B0"/>
    <w:rsid w:val="00AA1538"/>
    <w:rsid w:val="00AA29B4"/>
    <w:rsid w:val="00AA333F"/>
    <w:rsid w:val="00AA542B"/>
    <w:rsid w:val="00AA592A"/>
    <w:rsid w:val="00AA7407"/>
    <w:rsid w:val="00AA76BD"/>
    <w:rsid w:val="00AB5017"/>
    <w:rsid w:val="00AB6AB8"/>
    <w:rsid w:val="00AC0C1D"/>
    <w:rsid w:val="00AC0D3C"/>
    <w:rsid w:val="00AC4D83"/>
    <w:rsid w:val="00AD4CFC"/>
    <w:rsid w:val="00AD4F00"/>
    <w:rsid w:val="00AD5EFC"/>
    <w:rsid w:val="00AE0E4F"/>
    <w:rsid w:val="00AE3CA3"/>
    <w:rsid w:val="00AE4202"/>
    <w:rsid w:val="00AE551E"/>
    <w:rsid w:val="00AF1E35"/>
    <w:rsid w:val="00AF3918"/>
    <w:rsid w:val="00B04EC0"/>
    <w:rsid w:val="00B05522"/>
    <w:rsid w:val="00B1269B"/>
    <w:rsid w:val="00B15AFA"/>
    <w:rsid w:val="00B20E93"/>
    <w:rsid w:val="00B2330B"/>
    <w:rsid w:val="00B24031"/>
    <w:rsid w:val="00B243EC"/>
    <w:rsid w:val="00B25469"/>
    <w:rsid w:val="00B3495C"/>
    <w:rsid w:val="00B34FA7"/>
    <w:rsid w:val="00B36596"/>
    <w:rsid w:val="00B3767F"/>
    <w:rsid w:val="00B459C9"/>
    <w:rsid w:val="00B57DDB"/>
    <w:rsid w:val="00B61AB0"/>
    <w:rsid w:val="00B64AA7"/>
    <w:rsid w:val="00B65F00"/>
    <w:rsid w:val="00B66BA0"/>
    <w:rsid w:val="00B80CA4"/>
    <w:rsid w:val="00B837CA"/>
    <w:rsid w:val="00B930DD"/>
    <w:rsid w:val="00B964A6"/>
    <w:rsid w:val="00BB2A65"/>
    <w:rsid w:val="00BB391C"/>
    <w:rsid w:val="00BB6A0A"/>
    <w:rsid w:val="00BB7B3A"/>
    <w:rsid w:val="00BC537E"/>
    <w:rsid w:val="00BC5435"/>
    <w:rsid w:val="00BC744B"/>
    <w:rsid w:val="00BD7E85"/>
    <w:rsid w:val="00BE1D83"/>
    <w:rsid w:val="00BF5A08"/>
    <w:rsid w:val="00BF6C2F"/>
    <w:rsid w:val="00C019CB"/>
    <w:rsid w:val="00C04B4B"/>
    <w:rsid w:val="00C05838"/>
    <w:rsid w:val="00C079F6"/>
    <w:rsid w:val="00C108B8"/>
    <w:rsid w:val="00C10C31"/>
    <w:rsid w:val="00C36837"/>
    <w:rsid w:val="00C420FE"/>
    <w:rsid w:val="00C47DAF"/>
    <w:rsid w:val="00C50423"/>
    <w:rsid w:val="00C64E83"/>
    <w:rsid w:val="00C745BF"/>
    <w:rsid w:val="00C746F5"/>
    <w:rsid w:val="00C7794F"/>
    <w:rsid w:val="00C81C87"/>
    <w:rsid w:val="00C8352F"/>
    <w:rsid w:val="00C86F10"/>
    <w:rsid w:val="00C91F0E"/>
    <w:rsid w:val="00C925E4"/>
    <w:rsid w:val="00CA090A"/>
    <w:rsid w:val="00CA1874"/>
    <w:rsid w:val="00CA48B0"/>
    <w:rsid w:val="00CA4B66"/>
    <w:rsid w:val="00CB2425"/>
    <w:rsid w:val="00CB580B"/>
    <w:rsid w:val="00CC1636"/>
    <w:rsid w:val="00CC6D90"/>
    <w:rsid w:val="00CC6EEF"/>
    <w:rsid w:val="00CE2B4E"/>
    <w:rsid w:val="00CE7393"/>
    <w:rsid w:val="00CF089C"/>
    <w:rsid w:val="00CF4136"/>
    <w:rsid w:val="00CF57AD"/>
    <w:rsid w:val="00CF71C6"/>
    <w:rsid w:val="00D0052E"/>
    <w:rsid w:val="00D03769"/>
    <w:rsid w:val="00D10493"/>
    <w:rsid w:val="00D13C67"/>
    <w:rsid w:val="00D254E9"/>
    <w:rsid w:val="00D31162"/>
    <w:rsid w:val="00D422E3"/>
    <w:rsid w:val="00D431F1"/>
    <w:rsid w:val="00D56538"/>
    <w:rsid w:val="00D57AF6"/>
    <w:rsid w:val="00D633F7"/>
    <w:rsid w:val="00D66CF4"/>
    <w:rsid w:val="00D76B47"/>
    <w:rsid w:val="00D77BDC"/>
    <w:rsid w:val="00D84342"/>
    <w:rsid w:val="00D97F49"/>
    <w:rsid w:val="00DA11F4"/>
    <w:rsid w:val="00DA4EA1"/>
    <w:rsid w:val="00DA4EF9"/>
    <w:rsid w:val="00DA56EB"/>
    <w:rsid w:val="00DA5DB9"/>
    <w:rsid w:val="00DB1277"/>
    <w:rsid w:val="00DB5E3A"/>
    <w:rsid w:val="00DD0800"/>
    <w:rsid w:val="00DD4807"/>
    <w:rsid w:val="00DD58C9"/>
    <w:rsid w:val="00DD6FAD"/>
    <w:rsid w:val="00DD70A2"/>
    <w:rsid w:val="00DE25C3"/>
    <w:rsid w:val="00DE3280"/>
    <w:rsid w:val="00E02A53"/>
    <w:rsid w:val="00E0414A"/>
    <w:rsid w:val="00E13A32"/>
    <w:rsid w:val="00E162E1"/>
    <w:rsid w:val="00E262A6"/>
    <w:rsid w:val="00E301FA"/>
    <w:rsid w:val="00E30BE8"/>
    <w:rsid w:val="00E3141C"/>
    <w:rsid w:val="00E31B27"/>
    <w:rsid w:val="00E32A86"/>
    <w:rsid w:val="00E42D16"/>
    <w:rsid w:val="00E53839"/>
    <w:rsid w:val="00E73DCA"/>
    <w:rsid w:val="00E76214"/>
    <w:rsid w:val="00E86AA4"/>
    <w:rsid w:val="00E9148E"/>
    <w:rsid w:val="00EA648C"/>
    <w:rsid w:val="00EA7249"/>
    <w:rsid w:val="00EB000D"/>
    <w:rsid w:val="00EB0C7B"/>
    <w:rsid w:val="00EC2BA1"/>
    <w:rsid w:val="00EC5FAE"/>
    <w:rsid w:val="00ED0F98"/>
    <w:rsid w:val="00ED7B56"/>
    <w:rsid w:val="00EE2612"/>
    <w:rsid w:val="00EF6E36"/>
    <w:rsid w:val="00EF7B76"/>
    <w:rsid w:val="00F01689"/>
    <w:rsid w:val="00F14A2B"/>
    <w:rsid w:val="00F1505D"/>
    <w:rsid w:val="00F15BE1"/>
    <w:rsid w:val="00F238C4"/>
    <w:rsid w:val="00F37E38"/>
    <w:rsid w:val="00F42B09"/>
    <w:rsid w:val="00F51FDF"/>
    <w:rsid w:val="00F52238"/>
    <w:rsid w:val="00F5227D"/>
    <w:rsid w:val="00F6252F"/>
    <w:rsid w:val="00F62D6E"/>
    <w:rsid w:val="00F6389E"/>
    <w:rsid w:val="00F82F64"/>
    <w:rsid w:val="00F83695"/>
    <w:rsid w:val="00F83C4B"/>
    <w:rsid w:val="00F914B8"/>
    <w:rsid w:val="00FA3D59"/>
    <w:rsid w:val="00FA6C8D"/>
    <w:rsid w:val="00FB3408"/>
    <w:rsid w:val="00FC0546"/>
    <w:rsid w:val="00FD5777"/>
    <w:rsid w:val="00FE4B35"/>
    <w:rsid w:val="00FE553F"/>
    <w:rsid w:val="00FE5EE6"/>
    <w:rsid w:val="00FF3223"/>
    <w:rsid w:val="00FF453D"/>
    <w:rsid w:val="00FF478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88BE"/>
  <w15:docId w15:val="{350FD6E6-6274-4301-8B41-29010D7B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2B7D"/>
  </w:style>
  <w:style w:type="paragraph" w:styleId="Antrat1">
    <w:name w:val="heading 1"/>
    <w:basedOn w:val="prastasis"/>
    <w:next w:val="prastasis"/>
    <w:link w:val="Antrat1Diagrama"/>
    <w:uiPriority w:val="99"/>
    <w:qFormat/>
    <w:rsid w:val="00792B7D"/>
    <w:pPr>
      <w:keepNext/>
      <w:tabs>
        <w:tab w:val="left" w:pos="1296"/>
      </w:tabs>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unhideWhenUsed/>
    <w:qFormat/>
    <w:rsid w:val="00792B7D"/>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unhideWhenUsed/>
    <w:qFormat/>
    <w:rsid w:val="00792B7D"/>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rsid w:val="00792B7D"/>
    <w:pPr>
      <w:keepNext/>
      <w:tabs>
        <w:tab w:val="left" w:pos="1296"/>
      </w:tabs>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rsid w:val="00792B7D"/>
    <w:pPr>
      <w:tabs>
        <w:tab w:val="left" w:pos="567"/>
      </w:tabs>
      <w:spacing w:before="240" w:after="60" w:line="260" w:lineRule="exact"/>
      <w:ind w:left="0" w:firstLine="0"/>
      <w:outlineLvl w:val="4"/>
    </w:pPr>
    <w:rPr>
      <w:rFonts w:ascii="Calibri" w:eastAsia="Times New Roman" w:hAnsi="Calibri" w:cs="Times New Roman"/>
      <w:b/>
      <w:bCs/>
      <w:i/>
      <w:iCs/>
      <w:sz w:val="26"/>
      <w:szCs w:val="26"/>
      <w:lang w:val="en-GB" w:eastAsia="zh-CN"/>
    </w:rPr>
  </w:style>
  <w:style w:type="paragraph" w:styleId="Antrat6">
    <w:name w:val="heading 6"/>
    <w:basedOn w:val="prastasis"/>
    <w:next w:val="prastasis"/>
    <w:link w:val="Antrat6Diagrama"/>
    <w:uiPriority w:val="99"/>
    <w:unhideWhenUsed/>
    <w:qFormat/>
    <w:rsid w:val="00792B7D"/>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rsid w:val="00792B7D"/>
    <w:pPr>
      <w:tabs>
        <w:tab w:val="left" w:pos="567"/>
      </w:tabs>
      <w:spacing w:before="240" w:after="60" w:line="260" w:lineRule="exact"/>
      <w:ind w:left="0" w:firstLine="0"/>
      <w:outlineLvl w:val="6"/>
    </w:pPr>
    <w:rPr>
      <w:rFonts w:ascii="Calibri" w:eastAsia="Times New Roman" w:hAnsi="Calibri" w:cs="Times New Roman"/>
      <w:sz w:val="24"/>
      <w:szCs w:val="24"/>
      <w:lang w:val="en-GB" w:eastAsia="zh-CN"/>
    </w:rPr>
  </w:style>
  <w:style w:type="paragraph" w:styleId="Antrat8">
    <w:name w:val="heading 8"/>
    <w:basedOn w:val="prastasis"/>
    <w:next w:val="prastasis"/>
    <w:link w:val="Antrat8Diagrama"/>
    <w:uiPriority w:val="99"/>
    <w:unhideWhenUsed/>
    <w:qFormat/>
    <w:rsid w:val="00792B7D"/>
    <w:pPr>
      <w:tabs>
        <w:tab w:val="left" w:pos="567"/>
      </w:tabs>
      <w:spacing w:before="240" w:after="60" w:line="260" w:lineRule="exact"/>
      <w:ind w:left="0" w:firstLine="0"/>
      <w:outlineLvl w:val="7"/>
    </w:pPr>
    <w:rPr>
      <w:rFonts w:ascii="Calibri" w:eastAsia="Times New Roman" w:hAnsi="Calibri" w:cs="Times New Roman"/>
      <w:i/>
      <w:iCs/>
      <w:sz w:val="24"/>
      <w:szCs w:val="24"/>
      <w:lang w:val="en-GB" w:eastAsia="zh-CN"/>
    </w:rPr>
  </w:style>
  <w:style w:type="paragraph" w:styleId="Antrat9">
    <w:name w:val="heading 9"/>
    <w:basedOn w:val="prastasis"/>
    <w:next w:val="prastasis"/>
    <w:link w:val="Antrat9Diagrama"/>
    <w:uiPriority w:val="99"/>
    <w:unhideWhenUsed/>
    <w:qFormat/>
    <w:rsid w:val="00792B7D"/>
    <w:pPr>
      <w:tabs>
        <w:tab w:val="left" w:pos="567"/>
      </w:tabs>
      <w:spacing w:before="240" w:after="60" w:line="260" w:lineRule="exact"/>
      <w:ind w:left="0" w:firstLine="0"/>
      <w:outlineLvl w:val="8"/>
    </w:pPr>
    <w:rPr>
      <w:rFonts w:ascii="Cambria" w:eastAsia="Times New Roman" w:hAnsi="Cambria" w:cs="Times New Roman"/>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F716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6F716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6F716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6F716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6F7169"/>
    <w:rPr>
      <w:rFonts w:ascii="Calibri" w:eastAsia="Times New Roman" w:hAnsi="Calibri" w:cs="Times New Roman"/>
      <w:b/>
      <w:bCs/>
      <w:i/>
      <w:iCs/>
      <w:sz w:val="26"/>
      <w:szCs w:val="26"/>
      <w:lang w:val="en-GB" w:eastAsia="zh-CN"/>
    </w:rPr>
  </w:style>
  <w:style w:type="character" w:customStyle="1" w:styleId="Antrat6Diagrama">
    <w:name w:val="Antraštė 6 Diagrama"/>
    <w:basedOn w:val="Numatytasispastraiposriftas"/>
    <w:link w:val="Antrat6"/>
    <w:uiPriority w:val="99"/>
    <w:rsid w:val="006F716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6F7169"/>
    <w:rPr>
      <w:rFonts w:ascii="Calibri" w:eastAsia="Times New Roman" w:hAnsi="Calibri" w:cs="Times New Roman"/>
      <w:sz w:val="24"/>
      <w:szCs w:val="24"/>
      <w:lang w:val="en-GB" w:eastAsia="zh-CN"/>
    </w:rPr>
  </w:style>
  <w:style w:type="character" w:customStyle="1" w:styleId="Antrat8Diagrama">
    <w:name w:val="Antraštė 8 Diagrama"/>
    <w:basedOn w:val="Numatytasispastraiposriftas"/>
    <w:link w:val="Antrat8"/>
    <w:uiPriority w:val="99"/>
    <w:rsid w:val="006F7169"/>
    <w:rPr>
      <w:rFonts w:ascii="Calibri" w:eastAsia="Times New Roman" w:hAnsi="Calibri" w:cs="Times New Roman"/>
      <w:i/>
      <w:iCs/>
      <w:sz w:val="24"/>
      <w:szCs w:val="24"/>
      <w:lang w:val="en-GB" w:eastAsia="zh-CN"/>
    </w:rPr>
  </w:style>
  <w:style w:type="character" w:customStyle="1" w:styleId="Antrat9Diagrama">
    <w:name w:val="Antraštė 9 Diagrama"/>
    <w:basedOn w:val="Numatytasispastraiposriftas"/>
    <w:link w:val="Antrat9"/>
    <w:uiPriority w:val="99"/>
    <w:rsid w:val="006F7169"/>
    <w:rPr>
      <w:rFonts w:ascii="Cambria" w:eastAsia="Times New Roman" w:hAnsi="Cambria" w:cs="Times New Roman"/>
      <w:lang w:val="en-GB" w:eastAsia="zh-CN"/>
    </w:rPr>
  </w:style>
  <w:style w:type="numbering" w:customStyle="1" w:styleId="Sraonra1">
    <w:name w:val="Sąrašo nėra1"/>
    <w:next w:val="Sraonra"/>
    <w:uiPriority w:val="99"/>
    <w:semiHidden/>
    <w:unhideWhenUsed/>
    <w:rsid w:val="006F7169"/>
  </w:style>
  <w:style w:type="character" w:styleId="Hipersaitas">
    <w:name w:val="Hyperlink"/>
    <w:uiPriority w:val="99"/>
    <w:unhideWhenUsed/>
    <w:rsid w:val="00792B7D"/>
    <w:rPr>
      <w:rFonts w:ascii="Times New Roman" w:hAnsi="Times New Roman" w:cs="Times New Roman" w:hint="default"/>
      <w:color w:val="auto"/>
      <w:sz w:val="24"/>
      <w:szCs w:val="24"/>
      <w:u w:val="single"/>
      <w:lang w:val="en-US"/>
    </w:rPr>
  </w:style>
  <w:style w:type="character" w:styleId="Perirtashipersaitas">
    <w:name w:val="FollowedHyperlink"/>
    <w:unhideWhenUsed/>
    <w:rsid w:val="00792B7D"/>
    <w:rPr>
      <w:color w:val="800080"/>
      <w:u w:val="single"/>
    </w:rPr>
  </w:style>
  <w:style w:type="paragraph" w:styleId="HTMLadresas">
    <w:name w:val="HTML Address"/>
    <w:basedOn w:val="prastasis"/>
    <w:link w:val="HTMLadresasDiagrama"/>
    <w:uiPriority w:val="99"/>
    <w:unhideWhenUsed/>
    <w:rsid w:val="00792B7D"/>
    <w:pPr>
      <w:tabs>
        <w:tab w:val="left" w:pos="567"/>
      </w:tabs>
      <w:spacing w:line="260" w:lineRule="exact"/>
      <w:ind w:left="0" w:firstLine="0"/>
    </w:pPr>
    <w:rPr>
      <w:rFonts w:ascii="Times New Roman" w:eastAsia="Times New Roman" w:hAnsi="Times New Roman" w:cs="Times New Roman"/>
      <w:i/>
      <w:iCs/>
      <w:szCs w:val="20"/>
      <w:lang w:val="en-GB" w:eastAsia="zh-CN"/>
    </w:rPr>
  </w:style>
  <w:style w:type="character" w:customStyle="1" w:styleId="HTMLadresasDiagrama">
    <w:name w:val="HTML adresas Diagrama"/>
    <w:basedOn w:val="Numatytasispastraiposriftas"/>
    <w:link w:val="HTMLadresas"/>
    <w:uiPriority w:val="99"/>
    <w:rsid w:val="006F7169"/>
    <w:rPr>
      <w:rFonts w:ascii="Times New Roman" w:eastAsia="Times New Roman" w:hAnsi="Times New Roman" w:cs="Times New Roman"/>
      <w:i/>
      <w:iCs/>
      <w:szCs w:val="20"/>
      <w:lang w:val="en-GB" w:eastAsia="zh-CN"/>
    </w:rPr>
  </w:style>
  <w:style w:type="paragraph" w:styleId="HTMLiankstoformatuotas">
    <w:name w:val="HTML Preformatted"/>
    <w:basedOn w:val="prastasis"/>
    <w:link w:val="HTMLiankstoformatuotasDiagrama"/>
    <w:uiPriority w:val="99"/>
    <w:unhideWhenUsed/>
    <w:rsid w:val="0079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0" w:firstLine="0"/>
    </w:pPr>
    <w:rPr>
      <w:rFonts w:ascii="Courier New" w:eastAsia="Times New Roman" w:hAnsi="Courier New" w:cs="Times New Roman"/>
      <w:sz w:val="20"/>
      <w:szCs w:val="20"/>
      <w:lang w:val="en-GB" w:eastAsia="zh-CN"/>
    </w:rPr>
  </w:style>
  <w:style w:type="character" w:customStyle="1" w:styleId="HTMLiankstoformatuotasDiagrama">
    <w:name w:val="HTML iš anksto formatuotas Diagrama"/>
    <w:basedOn w:val="Numatytasispastraiposriftas"/>
    <w:link w:val="HTMLiankstoformatuotas"/>
    <w:uiPriority w:val="99"/>
    <w:rsid w:val="006F7169"/>
    <w:rPr>
      <w:rFonts w:ascii="Courier New" w:eastAsia="Times New Roman" w:hAnsi="Courier New" w:cs="Times New Roman"/>
      <w:sz w:val="20"/>
      <w:szCs w:val="20"/>
      <w:lang w:val="en-GB" w:eastAsia="zh-CN"/>
    </w:rPr>
  </w:style>
  <w:style w:type="paragraph" w:styleId="prastasiniatinklio">
    <w:name w:val="Normal (Web)"/>
    <w:basedOn w:val="prastasis"/>
    <w:uiPriority w:val="99"/>
    <w:unhideWhenUsed/>
    <w:rsid w:val="00792B7D"/>
    <w:pPr>
      <w:tabs>
        <w:tab w:val="left" w:pos="567"/>
      </w:tabs>
      <w:spacing w:line="260" w:lineRule="exact"/>
      <w:ind w:left="0" w:firstLine="0"/>
    </w:pPr>
    <w:rPr>
      <w:rFonts w:ascii="Times New Roman" w:eastAsia="Times New Roman" w:hAnsi="Times New Roman" w:cs="Times New Roman"/>
      <w:sz w:val="24"/>
      <w:szCs w:val="24"/>
      <w:lang w:val="en-GB" w:eastAsia="zh-CN"/>
    </w:rPr>
  </w:style>
  <w:style w:type="paragraph" w:styleId="Indeksas1">
    <w:name w:val="index 1"/>
    <w:basedOn w:val="prastasis"/>
    <w:next w:val="prastasis"/>
    <w:autoRedefine/>
    <w:uiPriority w:val="99"/>
    <w:unhideWhenUsed/>
    <w:rsid w:val="00792B7D"/>
    <w:pPr>
      <w:tabs>
        <w:tab w:val="left" w:pos="1296"/>
      </w:tabs>
      <w:spacing w:line="260" w:lineRule="exact"/>
      <w:ind w:left="220" w:hanging="220"/>
    </w:pPr>
    <w:rPr>
      <w:rFonts w:ascii="Times New Roman" w:eastAsia="Times New Roman" w:hAnsi="Times New Roman" w:cs="Times New Roman"/>
      <w:szCs w:val="20"/>
      <w:lang w:val="en-GB" w:eastAsia="zh-CN"/>
    </w:rPr>
  </w:style>
  <w:style w:type="paragraph" w:styleId="Indeksas2">
    <w:name w:val="index 2"/>
    <w:basedOn w:val="prastasis"/>
    <w:next w:val="prastasis"/>
    <w:autoRedefine/>
    <w:uiPriority w:val="99"/>
    <w:unhideWhenUsed/>
    <w:rsid w:val="00792B7D"/>
    <w:pPr>
      <w:tabs>
        <w:tab w:val="left" w:pos="1296"/>
      </w:tabs>
      <w:spacing w:line="260" w:lineRule="exact"/>
      <w:ind w:left="440" w:hanging="220"/>
    </w:pPr>
    <w:rPr>
      <w:rFonts w:ascii="Times New Roman" w:eastAsia="Times New Roman" w:hAnsi="Times New Roman" w:cs="Times New Roman"/>
      <w:szCs w:val="20"/>
      <w:lang w:val="en-GB" w:eastAsia="zh-CN"/>
    </w:rPr>
  </w:style>
  <w:style w:type="paragraph" w:styleId="Indeksas3">
    <w:name w:val="index 3"/>
    <w:basedOn w:val="prastasis"/>
    <w:next w:val="prastasis"/>
    <w:autoRedefine/>
    <w:uiPriority w:val="99"/>
    <w:unhideWhenUsed/>
    <w:rsid w:val="00792B7D"/>
    <w:pPr>
      <w:tabs>
        <w:tab w:val="left" w:pos="1296"/>
      </w:tabs>
      <w:spacing w:line="260" w:lineRule="exact"/>
      <w:ind w:left="660" w:hanging="220"/>
    </w:pPr>
    <w:rPr>
      <w:rFonts w:ascii="Times New Roman" w:eastAsia="Times New Roman" w:hAnsi="Times New Roman" w:cs="Times New Roman"/>
      <w:szCs w:val="20"/>
      <w:lang w:val="en-GB" w:eastAsia="zh-CN"/>
    </w:rPr>
  </w:style>
  <w:style w:type="paragraph" w:styleId="Indeksas4">
    <w:name w:val="index 4"/>
    <w:basedOn w:val="prastasis"/>
    <w:next w:val="prastasis"/>
    <w:autoRedefine/>
    <w:uiPriority w:val="99"/>
    <w:unhideWhenUsed/>
    <w:rsid w:val="00792B7D"/>
    <w:pPr>
      <w:tabs>
        <w:tab w:val="left" w:pos="1296"/>
      </w:tabs>
      <w:spacing w:line="260" w:lineRule="exact"/>
      <w:ind w:left="880" w:hanging="220"/>
    </w:pPr>
    <w:rPr>
      <w:rFonts w:ascii="Times New Roman" w:eastAsia="Times New Roman" w:hAnsi="Times New Roman" w:cs="Times New Roman"/>
      <w:szCs w:val="20"/>
      <w:lang w:val="en-GB" w:eastAsia="zh-CN"/>
    </w:rPr>
  </w:style>
  <w:style w:type="paragraph" w:styleId="Indeksas5">
    <w:name w:val="index 5"/>
    <w:basedOn w:val="prastasis"/>
    <w:next w:val="prastasis"/>
    <w:autoRedefine/>
    <w:uiPriority w:val="99"/>
    <w:unhideWhenUsed/>
    <w:rsid w:val="00792B7D"/>
    <w:pPr>
      <w:tabs>
        <w:tab w:val="left" w:pos="1296"/>
      </w:tabs>
      <w:spacing w:line="260" w:lineRule="exact"/>
      <w:ind w:left="1100" w:hanging="220"/>
    </w:pPr>
    <w:rPr>
      <w:rFonts w:ascii="Times New Roman" w:eastAsia="Times New Roman" w:hAnsi="Times New Roman" w:cs="Times New Roman"/>
      <w:szCs w:val="20"/>
      <w:lang w:val="en-GB" w:eastAsia="zh-CN"/>
    </w:rPr>
  </w:style>
  <w:style w:type="paragraph" w:styleId="Indeksas6">
    <w:name w:val="index 6"/>
    <w:basedOn w:val="prastasis"/>
    <w:next w:val="prastasis"/>
    <w:autoRedefine/>
    <w:uiPriority w:val="99"/>
    <w:unhideWhenUsed/>
    <w:rsid w:val="00792B7D"/>
    <w:pPr>
      <w:tabs>
        <w:tab w:val="left" w:pos="1296"/>
      </w:tabs>
      <w:spacing w:line="260" w:lineRule="exact"/>
      <w:ind w:left="1320" w:hanging="220"/>
    </w:pPr>
    <w:rPr>
      <w:rFonts w:ascii="Times New Roman" w:eastAsia="Times New Roman" w:hAnsi="Times New Roman" w:cs="Times New Roman"/>
      <w:szCs w:val="20"/>
      <w:lang w:val="en-GB" w:eastAsia="zh-CN"/>
    </w:rPr>
  </w:style>
  <w:style w:type="paragraph" w:styleId="Indeksas7">
    <w:name w:val="index 7"/>
    <w:basedOn w:val="prastasis"/>
    <w:next w:val="prastasis"/>
    <w:autoRedefine/>
    <w:uiPriority w:val="99"/>
    <w:unhideWhenUsed/>
    <w:rsid w:val="00792B7D"/>
    <w:pPr>
      <w:tabs>
        <w:tab w:val="left" w:pos="1296"/>
      </w:tabs>
      <w:spacing w:line="260" w:lineRule="exact"/>
      <w:ind w:left="1540" w:hanging="220"/>
    </w:pPr>
    <w:rPr>
      <w:rFonts w:ascii="Times New Roman" w:eastAsia="Times New Roman" w:hAnsi="Times New Roman" w:cs="Times New Roman"/>
      <w:szCs w:val="20"/>
      <w:lang w:val="en-GB" w:eastAsia="zh-CN"/>
    </w:rPr>
  </w:style>
  <w:style w:type="paragraph" w:styleId="Indeksas8">
    <w:name w:val="index 8"/>
    <w:basedOn w:val="prastasis"/>
    <w:next w:val="prastasis"/>
    <w:autoRedefine/>
    <w:uiPriority w:val="99"/>
    <w:unhideWhenUsed/>
    <w:rsid w:val="00792B7D"/>
    <w:pPr>
      <w:tabs>
        <w:tab w:val="left" w:pos="1296"/>
      </w:tabs>
      <w:spacing w:line="260" w:lineRule="exact"/>
      <w:ind w:left="1760" w:hanging="220"/>
    </w:pPr>
    <w:rPr>
      <w:rFonts w:ascii="Times New Roman" w:eastAsia="Times New Roman" w:hAnsi="Times New Roman" w:cs="Times New Roman"/>
      <w:szCs w:val="20"/>
      <w:lang w:val="en-GB" w:eastAsia="zh-CN"/>
    </w:rPr>
  </w:style>
  <w:style w:type="paragraph" w:styleId="Indeksas9">
    <w:name w:val="index 9"/>
    <w:basedOn w:val="prastasis"/>
    <w:next w:val="prastasis"/>
    <w:autoRedefine/>
    <w:uiPriority w:val="99"/>
    <w:unhideWhenUsed/>
    <w:rsid w:val="00792B7D"/>
    <w:pPr>
      <w:tabs>
        <w:tab w:val="left" w:pos="1296"/>
      </w:tabs>
      <w:spacing w:line="260" w:lineRule="exact"/>
      <w:ind w:left="1980" w:hanging="220"/>
    </w:pPr>
    <w:rPr>
      <w:rFonts w:ascii="Times New Roman" w:eastAsia="Times New Roman" w:hAnsi="Times New Roman" w:cs="Times New Roman"/>
      <w:szCs w:val="20"/>
      <w:lang w:val="en-GB" w:eastAsia="zh-CN"/>
    </w:rPr>
  </w:style>
  <w:style w:type="paragraph" w:styleId="Turinys1">
    <w:name w:val="toc 1"/>
    <w:basedOn w:val="prastasis"/>
    <w:next w:val="prastasis"/>
    <w:autoRedefine/>
    <w:uiPriority w:val="99"/>
    <w:unhideWhenUsed/>
    <w:rsid w:val="00792B7D"/>
    <w:pPr>
      <w:tabs>
        <w:tab w:val="left" w:pos="1296"/>
      </w:tabs>
      <w:spacing w:before="120"/>
      <w:ind w:left="0" w:firstLine="0"/>
    </w:pPr>
    <w:rPr>
      <w:rFonts w:ascii="Times New Roman" w:eastAsia="Times New Roman" w:hAnsi="Times New Roman" w:cs="Times New Roman"/>
      <w:b/>
      <w:bCs/>
      <w:i/>
      <w:iCs/>
      <w:sz w:val="24"/>
      <w:szCs w:val="28"/>
      <w:lang w:val="sl-SI" w:eastAsia="sl-SI"/>
    </w:rPr>
  </w:style>
  <w:style w:type="paragraph" w:styleId="Turinys2">
    <w:name w:val="toc 2"/>
    <w:basedOn w:val="prastasis"/>
    <w:next w:val="prastasis"/>
    <w:autoRedefine/>
    <w:uiPriority w:val="99"/>
    <w:unhideWhenUsed/>
    <w:rsid w:val="00792B7D"/>
    <w:pPr>
      <w:tabs>
        <w:tab w:val="left" w:pos="1296"/>
      </w:tabs>
      <w:spacing w:line="260" w:lineRule="exact"/>
      <w:ind w:left="220" w:firstLine="0"/>
    </w:pPr>
    <w:rPr>
      <w:rFonts w:ascii="Times New Roman" w:eastAsia="Times New Roman" w:hAnsi="Times New Roman" w:cs="Times New Roman"/>
      <w:szCs w:val="20"/>
      <w:lang w:val="en-GB" w:eastAsia="zh-CN"/>
    </w:rPr>
  </w:style>
  <w:style w:type="paragraph" w:styleId="Turinys3">
    <w:name w:val="toc 3"/>
    <w:basedOn w:val="prastasis"/>
    <w:next w:val="prastasis"/>
    <w:autoRedefine/>
    <w:uiPriority w:val="99"/>
    <w:unhideWhenUsed/>
    <w:rsid w:val="00792B7D"/>
    <w:pPr>
      <w:tabs>
        <w:tab w:val="left" w:pos="1296"/>
      </w:tabs>
      <w:spacing w:line="260" w:lineRule="exact"/>
      <w:ind w:left="440" w:firstLine="0"/>
    </w:pPr>
    <w:rPr>
      <w:rFonts w:ascii="Times New Roman" w:eastAsia="Times New Roman" w:hAnsi="Times New Roman" w:cs="Times New Roman"/>
      <w:szCs w:val="20"/>
      <w:lang w:val="en-GB" w:eastAsia="zh-CN"/>
    </w:rPr>
  </w:style>
  <w:style w:type="paragraph" w:styleId="Turinys4">
    <w:name w:val="toc 4"/>
    <w:basedOn w:val="prastasis"/>
    <w:next w:val="prastasis"/>
    <w:autoRedefine/>
    <w:uiPriority w:val="99"/>
    <w:unhideWhenUsed/>
    <w:rsid w:val="00792B7D"/>
    <w:pPr>
      <w:tabs>
        <w:tab w:val="left" w:pos="1296"/>
      </w:tabs>
      <w:spacing w:line="260" w:lineRule="exact"/>
      <w:ind w:left="660" w:firstLine="0"/>
    </w:pPr>
    <w:rPr>
      <w:rFonts w:ascii="Times New Roman" w:eastAsia="Times New Roman" w:hAnsi="Times New Roman" w:cs="Times New Roman"/>
      <w:szCs w:val="20"/>
      <w:lang w:val="en-GB" w:eastAsia="zh-CN"/>
    </w:rPr>
  </w:style>
  <w:style w:type="paragraph" w:styleId="Turinys5">
    <w:name w:val="toc 5"/>
    <w:basedOn w:val="prastasis"/>
    <w:next w:val="prastasis"/>
    <w:autoRedefine/>
    <w:uiPriority w:val="99"/>
    <w:unhideWhenUsed/>
    <w:rsid w:val="00792B7D"/>
    <w:pPr>
      <w:tabs>
        <w:tab w:val="left" w:pos="1296"/>
      </w:tabs>
      <w:spacing w:line="260" w:lineRule="exact"/>
      <w:ind w:left="880" w:firstLine="0"/>
    </w:pPr>
    <w:rPr>
      <w:rFonts w:ascii="Times New Roman" w:eastAsia="Times New Roman" w:hAnsi="Times New Roman" w:cs="Times New Roman"/>
      <w:szCs w:val="20"/>
      <w:lang w:val="en-GB" w:eastAsia="zh-CN"/>
    </w:rPr>
  </w:style>
  <w:style w:type="paragraph" w:styleId="Turinys6">
    <w:name w:val="toc 6"/>
    <w:basedOn w:val="prastasis"/>
    <w:next w:val="prastasis"/>
    <w:autoRedefine/>
    <w:uiPriority w:val="99"/>
    <w:unhideWhenUsed/>
    <w:rsid w:val="00792B7D"/>
    <w:pPr>
      <w:tabs>
        <w:tab w:val="left" w:pos="1296"/>
      </w:tabs>
      <w:spacing w:line="260" w:lineRule="exact"/>
      <w:ind w:left="1100" w:firstLine="0"/>
    </w:pPr>
    <w:rPr>
      <w:rFonts w:ascii="Times New Roman" w:eastAsia="Times New Roman" w:hAnsi="Times New Roman" w:cs="Times New Roman"/>
      <w:szCs w:val="20"/>
      <w:lang w:val="en-GB" w:eastAsia="zh-CN"/>
    </w:rPr>
  </w:style>
  <w:style w:type="paragraph" w:styleId="Turinys7">
    <w:name w:val="toc 7"/>
    <w:basedOn w:val="prastasis"/>
    <w:next w:val="prastasis"/>
    <w:autoRedefine/>
    <w:uiPriority w:val="99"/>
    <w:unhideWhenUsed/>
    <w:rsid w:val="00792B7D"/>
    <w:pPr>
      <w:tabs>
        <w:tab w:val="left" w:pos="1296"/>
      </w:tabs>
      <w:spacing w:line="260" w:lineRule="exact"/>
      <w:ind w:left="1320" w:firstLine="0"/>
    </w:pPr>
    <w:rPr>
      <w:rFonts w:ascii="Times New Roman" w:eastAsia="Times New Roman" w:hAnsi="Times New Roman" w:cs="Times New Roman"/>
      <w:szCs w:val="20"/>
      <w:lang w:val="en-GB" w:eastAsia="zh-CN"/>
    </w:rPr>
  </w:style>
  <w:style w:type="paragraph" w:styleId="Turinys8">
    <w:name w:val="toc 8"/>
    <w:basedOn w:val="prastasis"/>
    <w:next w:val="prastasis"/>
    <w:autoRedefine/>
    <w:uiPriority w:val="99"/>
    <w:unhideWhenUsed/>
    <w:rsid w:val="00792B7D"/>
    <w:pPr>
      <w:tabs>
        <w:tab w:val="left" w:pos="1296"/>
      </w:tabs>
      <w:spacing w:line="260" w:lineRule="exact"/>
      <w:ind w:left="1540" w:firstLine="0"/>
    </w:pPr>
    <w:rPr>
      <w:rFonts w:ascii="Times New Roman" w:eastAsia="Times New Roman" w:hAnsi="Times New Roman" w:cs="Times New Roman"/>
      <w:szCs w:val="20"/>
      <w:lang w:val="en-GB" w:eastAsia="zh-CN"/>
    </w:rPr>
  </w:style>
  <w:style w:type="paragraph" w:styleId="Turinys9">
    <w:name w:val="toc 9"/>
    <w:basedOn w:val="prastasis"/>
    <w:next w:val="prastasis"/>
    <w:autoRedefine/>
    <w:uiPriority w:val="99"/>
    <w:unhideWhenUsed/>
    <w:rsid w:val="00792B7D"/>
    <w:pPr>
      <w:tabs>
        <w:tab w:val="left" w:pos="1296"/>
      </w:tabs>
      <w:spacing w:line="260" w:lineRule="exact"/>
      <w:ind w:left="1760" w:firstLine="0"/>
    </w:pPr>
    <w:rPr>
      <w:rFonts w:ascii="Times New Roman" w:eastAsia="Times New Roman" w:hAnsi="Times New Roman" w:cs="Times New Roman"/>
      <w:szCs w:val="20"/>
      <w:lang w:val="en-GB" w:eastAsia="zh-CN"/>
    </w:rPr>
  </w:style>
  <w:style w:type="paragraph" w:styleId="prastojitrauka">
    <w:name w:val="Normal Indent"/>
    <w:basedOn w:val="prastasis"/>
    <w:uiPriority w:val="99"/>
    <w:unhideWhenUsed/>
    <w:rsid w:val="00792B7D"/>
    <w:pPr>
      <w:tabs>
        <w:tab w:val="left" w:pos="567"/>
      </w:tabs>
      <w:spacing w:line="260" w:lineRule="exact"/>
      <w:ind w:left="708" w:firstLine="0"/>
    </w:pPr>
    <w:rPr>
      <w:rFonts w:ascii="Times New Roman" w:eastAsia="Times New Roman" w:hAnsi="Times New Roman" w:cs="Times New Roman"/>
      <w:szCs w:val="20"/>
      <w:lang w:val="en-GB" w:eastAsia="zh-CN"/>
    </w:rPr>
  </w:style>
  <w:style w:type="paragraph" w:styleId="Puslapioinaostekstas">
    <w:name w:val="footnote text"/>
    <w:basedOn w:val="prastasis"/>
    <w:link w:val="PuslapioinaostekstasDiagrama"/>
    <w:uiPriority w:val="99"/>
    <w:unhideWhenUsed/>
    <w:rsid w:val="00792B7D"/>
    <w:pPr>
      <w:tabs>
        <w:tab w:val="left" w:pos="567"/>
      </w:tabs>
      <w:spacing w:line="260" w:lineRule="exact"/>
      <w:ind w:left="0" w:firstLine="0"/>
    </w:pPr>
    <w:rPr>
      <w:rFonts w:ascii="Times New Roman" w:eastAsia="Times New Roman" w:hAnsi="Times New Roman" w:cs="Times New Roman"/>
      <w:sz w:val="20"/>
      <w:szCs w:val="20"/>
      <w:lang w:val="en-GB" w:eastAsia="zh-CN"/>
    </w:rPr>
  </w:style>
  <w:style w:type="character" w:customStyle="1" w:styleId="PuslapioinaostekstasDiagrama">
    <w:name w:val="Puslapio išnašos tekstas Diagrama"/>
    <w:basedOn w:val="Numatytasispastraiposriftas"/>
    <w:link w:val="Puslapioinaostekstas"/>
    <w:uiPriority w:val="99"/>
    <w:rsid w:val="006F7169"/>
    <w:rPr>
      <w:rFonts w:ascii="Times New Roman" w:eastAsia="Times New Roman" w:hAnsi="Times New Roman" w:cs="Times New Roman"/>
      <w:sz w:val="20"/>
      <w:szCs w:val="20"/>
      <w:lang w:val="en-GB" w:eastAsia="zh-CN"/>
    </w:rPr>
  </w:style>
  <w:style w:type="paragraph" w:styleId="Komentarotekstas">
    <w:name w:val="annotation text"/>
    <w:basedOn w:val="prastasis"/>
    <w:link w:val="KomentarotekstasDiagrama"/>
    <w:uiPriority w:val="99"/>
    <w:unhideWhenUsed/>
    <w:rsid w:val="00792B7D"/>
    <w:pPr>
      <w:tabs>
        <w:tab w:val="left" w:pos="567"/>
      </w:tabs>
      <w:spacing w:line="260" w:lineRule="exact"/>
      <w:ind w:left="0" w:firstLine="0"/>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rsid w:val="006F7169"/>
    <w:rPr>
      <w:rFonts w:ascii="Times New Roman" w:eastAsia="Times New Roman" w:hAnsi="Times New Roman" w:cs="Times New Roman"/>
      <w:sz w:val="20"/>
      <w:szCs w:val="20"/>
      <w:lang w:eastAsia="zh-CN"/>
    </w:rPr>
  </w:style>
  <w:style w:type="paragraph" w:styleId="Antrats">
    <w:name w:val="header"/>
    <w:basedOn w:val="prastasis"/>
    <w:link w:val="AntratsDiagrama"/>
    <w:uiPriority w:val="99"/>
    <w:unhideWhenUsed/>
    <w:rsid w:val="00792B7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6F716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792B7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F7169"/>
    <w:rPr>
      <w:rFonts w:ascii="Times New Roman" w:eastAsia="Times New Roman" w:hAnsi="Times New Roman" w:cs="Times New Roman"/>
      <w:sz w:val="24"/>
      <w:szCs w:val="20"/>
      <w:lang w:val="sl-SI" w:eastAsia="sl-SI"/>
    </w:rPr>
  </w:style>
  <w:style w:type="paragraph" w:styleId="Indeksoantrat">
    <w:name w:val="index heading"/>
    <w:basedOn w:val="prastasis"/>
    <w:next w:val="Indeksas1"/>
    <w:uiPriority w:val="99"/>
    <w:unhideWhenUsed/>
    <w:rsid w:val="00792B7D"/>
    <w:pPr>
      <w:tabs>
        <w:tab w:val="left" w:pos="567"/>
      </w:tabs>
      <w:spacing w:line="260" w:lineRule="exact"/>
      <w:ind w:left="0" w:firstLine="0"/>
    </w:pPr>
    <w:rPr>
      <w:rFonts w:ascii="Cambria" w:eastAsia="Times New Roman" w:hAnsi="Cambria" w:cs="Times New Roman"/>
      <w:b/>
      <w:bCs/>
      <w:szCs w:val="20"/>
      <w:lang w:val="en-GB" w:eastAsia="zh-CN"/>
    </w:rPr>
  </w:style>
  <w:style w:type="paragraph" w:styleId="Antrat">
    <w:name w:val="caption"/>
    <w:basedOn w:val="prastasis"/>
    <w:next w:val="prastasis"/>
    <w:uiPriority w:val="99"/>
    <w:unhideWhenUsed/>
    <w:qFormat/>
    <w:rsid w:val="00792B7D"/>
    <w:pPr>
      <w:tabs>
        <w:tab w:val="left" w:pos="1296"/>
      </w:tabs>
      <w:ind w:left="0" w:firstLine="0"/>
      <w:jc w:val="both"/>
    </w:pPr>
    <w:rPr>
      <w:rFonts w:ascii="Times New Roman" w:eastAsia="Times New Roman" w:hAnsi="Times New Roman" w:cs="Times New Roman"/>
      <w:sz w:val="24"/>
      <w:szCs w:val="20"/>
      <w:lang w:val="en-GB" w:eastAsia="sl-SI"/>
    </w:rPr>
  </w:style>
  <w:style w:type="paragraph" w:styleId="Iliustracijsraas">
    <w:name w:val="table of figures"/>
    <w:basedOn w:val="prastasis"/>
    <w:next w:val="prastasis"/>
    <w:uiPriority w:val="99"/>
    <w:unhideWhenUsed/>
    <w:rsid w:val="00792B7D"/>
    <w:pPr>
      <w:tabs>
        <w:tab w:val="left" w:pos="1296"/>
      </w:tabs>
      <w:spacing w:line="260" w:lineRule="exact"/>
      <w:ind w:left="0" w:firstLine="0"/>
    </w:pPr>
    <w:rPr>
      <w:rFonts w:ascii="Times New Roman" w:eastAsia="Times New Roman" w:hAnsi="Times New Roman" w:cs="Times New Roman"/>
      <w:szCs w:val="20"/>
      <w:lang w:val="en-GB" w:eastAsia="zh-CN"/>
    </w:rPr>
  </w:style>
  <w:style w:type="paragraph" w:styleId="Adresasantvoko">
    <w:name w:val="envelope address"/>
    <w:basedOn w:val="prastasis"/>
    <w:uiPriority w:val="99"/>
    <w:unhideWhenUsed/>
    <w:rsid w:val="00792B7D"/>
    <w:pPr>
      <w:framePr w:w="7920" w:h="1980" w:hSpace="141" w:wrap="auto" w:hAnchor="page" w:xAlign="center" w:yAlign="bottom"/>
      <w:tabs>
        <w:tab w:val="left" w:pos="567"/>
      </w:tabs>
      <w:spacing w:line="260" w:lineRule="exact"/>
      <w:ind w:left="2880" w:firstLine="0"/>
    </w:pPr>
    <w:rPr>
      <w:rFonts w:ascii="Cambria" w:eastAsia="Times New Roman" w:hAnsi="Cambria" w:cs="Times New Roman"/>
      <w:sz w:val="24"/>
      <w:szCs w:val="24"/>
      <w:lang w:val="en-GB" w:eastAsia="zh-CN"/>
    </w:rPr>
  </w:style>
  <w:style w:type="paragraph" w:styleId="Vokoatgalinisadresas">
    <w:name w:val="envelope return"/>
    <w:basedOn w:val="prastasis"/>
    <w:uiPriority w:val="99"/>
    <w:unhideWhenUsed/>
    <w:rsid w:val="00792B7D"/>
    <w:pPr>
      <w:tabs>
        <w:tab w:val="left" w:pos="567"/>
      </w:tabs>
      <w:spacing w:line="260" w:lineRule="exact"/>
      <w:ind w:left="0" w:firstLine="0"/>
    </w:pPr>
    <w:rPr>
      <w:rFonts w:ascii="Cambria" w:eastAsia="Times New Roman" w:hAnsi="Cambria" w:cs="Times New Roman"/>
      <w:sz w:val="20"/>
      <w:szCs w:val="20"/>
      <w:lang w:val="en-GB" w:eastAsia="zh-CN"/>
    </w:rPr>
  </w:style>
  <w:style w:type="paragraph" w:styleId="Dokumentoinaostekstas">
    <w:name w:val="endnote text"/>
    <w:basedOn w:val="prastasis"/>
    <w:link w:val="DokumentoinaostekstasDiagrama"/>
    <w:uiPriority w:val="99"/>
    <w:unhideWhenUsed/>
    <w:rsid w:val="00792B7D"/>
    <w:pPr>
      <w:tabs>
        <w:tab w:val="left" w:pos="567"/>
      </w:tabs>
      <w:spacing w:line="260" w:lineRule="exact"/>
      <w:ind w:left="0" w:firstLine="0"/>
    </w:pPr>
    <w:rPr>
      <w:rFonts w:ascii="Times New Roman" w:eastAsia="Times New Roma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rsid w:val="006F7169"/>
    <w:rPr>
      <w:rFonts w:ascii="Times New Roman" w:eastAsia="Times New Roman" w:hAnsi="Times New Roman" w:cs="Times New Roman"/>
      <w:sz w:val="20"/>
      <w:szCs w:val="20"/>
      <w:lang w:val="en-GB" w:eastAsia="zh-CN"/>
    </w:rPr>
  </w:style>
  <w:style w:type="paragraph" w:styleId="Literatra">
    <w:name w:val="table of authorities"/>
    <w:basedOn w:val="prastasis"/>
    <w:next w:val="prastasis"/>
    <w:uiPriority w:val="99"/>
    <w:unhideWhenUsed/>
    <w:rsid w:val="00792B7D"/>
    <w:pPr>
      <w:tabs>
        <w:tab w:val="left" w:pos="1296"/>
      </w:tabs>
      <w:spacing w:line="260" w:lineRule="exact"/>
      <w:ind w:left="220" w:hanging="220"/>
    </w:pPr>
    <w:rPr>
      <w:rFonts w:ascii="Times New Roman" w:eastAsia="Times New Roman" w:hAnsi="Times New Roman" w:cs="Times New Roman"/>
      <w:szCs w:val="20"/>
      <w:lang w:val="en-GB" w:eastAsia="zh-CN"/>
    </w:rPr>
  </w:style>
  <w:style w:type="paragraph" w:styleId="Makrokomandostekstas">
    <w:name w:val="macro"/>
    <w:link w:val="MakrokomandostekstasDiagrama"/>
    <w:uiPriority w:val="99"/>
    <w:unhideWhenUsed/>
    <w:rsid w:val="00792B7D"/>
    <w:pPr>
      <w:tabs>
        <w:tab w:val="left" w:pos="480"/>
        <w:tab w:val="left" w:pos="960"/>
        <w:tab w:val="left" w:pos="1440"/>
        <w:tab w:val="left" w:pos="1920"/>
        <w:tab w:val="left" w:pos="2400"/>
        <w:tab w:val="left" w:pos="2880"/>
        <w:tab w:val="left" w:pos="3360"/>
        <w:tab w:val="left" w:pos="3840"/>
        <w:tab w:val="left" w:pos="4320"/>
      </w:tabs>
      <w:spacing w:line="260" w:lineRule="exact"/>
      <w:ind w:left="0" w:firstLine="0"/>
    </w:pPr>
    <w:rPr>
      <w:rFonts w:ascii="Courier New" w:eastAsia="Times New Roman" w:hAnsi="Courier New" w:cs="Courier New"/>
      <w:sz w:val="20"/>
      <w:szCs w:val="20"/>
      <w:lang w:val="en-GB" w:eastAsia="zh-CN"/>
    </w:rPr>
  </w:style>
  <w:style w:type="character" w:customStyle="1" w:styleId="MakrokomandostekstasDiagrama">
    <w:name w:val="Makrokomandos tekstas Diagrama"/>
    <w:basedOn w:val="Numatytasispastraiposriftas"/>
    <w:link w:val="Makrokomandostekstas"/>
    <w:uiPriority w:val="99"/>
    <w:rsid w:val="006F7169"/>
    <w:rPr>
      <w:rFonts w:ascii="Courier New" w:eastAsia="Times New Roman" w:hAnsi="Courier New" w:cs="Courier New"/>
      <w:sz w:val="20"/>
      <w:szCs w:val="20"/>
      <w:lang w:val="en-GB" w:eastAsia="zh-CN"/>
    </w:rPr>
  </w:style>
  <w:style w:type="paragraph" w:styleId="Literatrossraoantrat">
    <w:name w:val="toa heading"/>
    <w:basedOn w:val="prastasis"/>
    <w:next w:val="prastasis"/>
    <w:uiPriority w:val="99"/>
    <w:unhideWhenUsed/>
    <w:rsid w:val="00792B7D"/>
    <w:pPr>
      <w:tabs>
        <w:tab w:val="left" w:pos="567"/>
      </w:tabs>
      <w:spacing w:before="120" w:line="260" w:lineRule="exact"/>
      <w:ind w:left="0" w:firstLine="0"/>
    </w:pPr>
    <w:rPr>
      <w:rFonts w:ascii="Cambria" w:eastAsia="Times New Roman" w:hAnsi="Cambria" w:cs="Times New Roman"/>
      <w:b/>
      <w:bCs/>
      <w:sz w:val="24"/>
      <w:szCs w:val="24"/>
      <w:lang w:val="en-GB" w:eastAsia="zh-CN"/>
    </w:rPr>
  </w:style>
  <w:style w:type="paragraph" w:styleId="Sraas">
    <w:name w:val="List"/>
    <w:basedOn w:val="prastasis"/>
    <w:uiPriority w:val="99"/>
    <w:unhideWhenUsed/>
    <w:rsid w:val="00792B7D"/>
    <w:pPr>
      <w:tabs>
        <w:tab w:val="left" w:pos="567"/>
      </w:tabs>
      <w:spacing w:line="260" w:lineRule="exact"/>
      <w:ind w:left="283" w:hanging="283"/>
      <w:contextualSpacing/>
    </w:pPr>
    <w:rPr>
      <w:rFonts w:ascii="Times New Roman" w:eastAsia="Times New Roman" w:hAnsi="Times New Roman" w:cs="Times New Roman"/>
      <w:szCs w:val="20"/>
      <w:lang w:val="en-GB" w:eastAsia="zh-CN"/>
    </w:rPr>
  </w:style>
  <w:style w:type="paragraph" w:styleId="Sraassuenkleliais">
    <w:name w:val="List Bullet"/>
    <w:basedOn w:val="prastasis"/>
    <w:uiPriority w:val="99"/>
    <w:unhideWhenUsed/>
    <w:rsid w:val="00792B7D"/>
    <w:pPr>
      <w:numPr>
        <w:numId w:val="1"/>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sunumeriais">
    <w:name w:val="List Number"/>
    <w:basedOn w:val="prastasis"/>
    <w:uiPriority w:val="99"/>
    <w:unhideWhenUsed/>
    <w:rsid w:val="00792B7D"/>
    <w:pPr>
      <w:numPr>
        <w:numId w:val="2"/>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2">
    <w:name w:val="List 2"/>
    <w:basedOn w:val="prastasis"/>
    <w:uiPriority w:val="99"/>
    <w:unhideWhenUsed/>
    <w:rsid w:val="00792B7D"/>
    <w:pPr>
      <w:tabs>
        <w:tab w:val="left" w:pos="567"/>
      </w:tabs>
      <w:spacing w:line="260" w:lineRule="exact"/>
      <w:ind w:left="566" w:hanging="283"/>
      <w:contextualSpacing/>
    </w:pPr>
    <w:rPr>
      <w:rFonts w:ascii="Times New Roman" w:eastAsia="Times New Roman" w:hAnsi="Times New Roman" w:cs="Times New Roman"/>
      <w:szCs w:val="20"/>
      <w:lang w:val="en-GB" w:eastAsia="zh-CN"/>
    </w:rPr>
  </w:style>
  <w:style w:type="paragraph" w:styleId="Sraas3">
    <w:name w:val="List 3"/>
    <w:basedOn w:val="prastasis"/>
    <w:uiPriority w:val="99"/>
    <w:unhideWhenUsed/>
    <w:rsid w:val="00792B7D"/>
    <w:pPr>
      <w:tabs>
        <w:tab w:val="left" w:pos="567"/>
      </w:tabs>
      <w:spacing w:line="260" w:lineRule="exact"/>
      <w:ind w:left="849" w:hanging="283"/>
      <w:contextualSpacing/>
    </w:pPr>
    <w:rPr>
      <w:rFonts w:ascii="Times New Roman" w:eastAsia="Times New Roman" w:hAnsi="Times New Roman" w:cs="Times New Roman"/>
      <w:szCs w:val="20"/>
      <w:lang w:val="en-GB" w:eastAsia="zh-CN"/>
    </w:rPr>
  </w:style>
  <w:style w:type="paragraph" w:styleId="Sraas4">
    <w:name w:val="List 4"/>
    <w:basedOn w:val="prastasis"/>
    <w:uiPriority w:val="99"/>
    <w:unhideWhenUsed/>
    <w:rsid w:val="00792B7D"/>
    <w:pPr>
      <w:tabs>
        <w:tab w:val="left" w:pos="567"/>
      </w:tabs>
      <w:spacing w:line="260" w:lineRule="exact"/>
      <w:ind w:left="1132" w:hanging="283"/>
      <w:contextualSpacing/>
    </w:pPr>
    <w:rPr>
      <w:rFonts w:ascii="Times New Roman" w:eastAsia="Times New Roman" w:hAnsi="Times New Roman" w:cs="Times New Roman"/>
      <w:szCs w:val="20"/>
      <w:lang w:val="en-GB" w:eastAsia="zh-CN"/>
    </w:rPr>
  </w:style>
  <w:style w:type="paragraph" w:styleId="Sraas5">
    <w:name w:val="List 5"/>
    <w:basedOn w:val="prastasis"/>
    <w:uiPriority w:val="99"/>
    <w:unhideWhenUsed/>
    <w:rsid w:val="00792B7D"/>
    <w:pPr>
      <w:tabs>
        <w:tab w:val="left" w:pos="567"/>
      </w:tabs>
      <w:spacing w:line="260" w:lineRule="exact"/>
      <w:ind w:left="1415" w:hanging="283"/>
      <w:contextualSpacing/>
    </w:pPr>
    <w:rPr>
      <w:rFonts w:ascii="Times New Roman" w:eastAsia="Times New Roman" w:hAnsi="Times New Roman" w:cs="Times New Roman"/>
      <w:szCs w:val="20"/>
      <w:lang w:val="en-GB" w:eastAsia="zh-CN"/>
    </w:rPr>
  </w:style>
  <w:style w:type="paragraph" w:styleId="Sraassuenkleliais2">
    <w:name w:val="List Bullet 2"/>
    <w:basedOn w:val="prastasis"/>
    <w:uiPriority w:val="99"/>
    <w:unhideWhenUsed/>
    <w:rsid w:val="00792B7D"/>
    <w:pPr>
      <w:numPr>
        <w:numId w:val="3"/>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suenkleliais3">
    <w:name w:val="List Bullet 3"/>
    <w:basedOn w:val="prastasis"/>
    <w:uiPriority w:val="99"/>
    <w:unhideWhenUsed/>
    <w:rsid w:val="00792B7D"/>
    <w:pPr>
      <w:numPr>
        <w:numId w:val="4"/>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suenkleliais4">
    <w:name w:val="List Bullet 4"/>
    <w:basedOn w:val="prastasis"/>
    <w:uiPriority w:val="99"/>
    <w:unhideWhenUsed/>
    <w:rsid w:val="00792B7D"/>
    <w:pPr>
      <w:numPr>
        <w:numId w:val="5"/>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suenkleliais5">
    <w:name w:val="List Bullet 5"/>
    <w:basedOn w:val="prastasis"/>
    <w:uiPriority w:val="99"/>
    <w:unhideWhenUsed/>
    <w:rsid w:val="00792B7D"/>
    <w:pPr>
      <w:numPr>
        <w:numId w:val="6"/>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sunumeriais2">
    <w:name w:val="List Number 2"/>
    <w:basedOn w:val="prastasis"/>
    <w:uiPriority w:val="99"/>
    <w:unhideWhenUsed/>
    <w:rsid w:val="00792B7D"/>
    <w:pPr>
      <w:numPr>
        <w:numId w:val="7"/>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sunumeriais3">
    <w:name w:val="List Number 3"/>
    <w:basedOn w:val="prastasis"/>
    <w:uiPriority w:val="99"/>
    <w:unhideWhenUsed/>
    <w:rsid w:val="00792B7D"/>
    <w:pPr>
      <w:numPr>
        <w:numId w:val="8"/>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sunumeriais4">
    <w:name w:val="List Number 4"/>
    <w:basedOn w:val="prastasis"/>
    <w:uiPriority w:val="99"/>
    <w:unhideWhenUsed/>
    <w:rsid w:val="00792B7D"/>
    <w:pPr>
      <w:numPr>
        <w:numId w:val="9"/>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Sraassunumeriais5">
    <w:name w:val="List Number 5"/>
    <w:basedOn w:val="prastasis"/>
    <w:uiPriority w:val="99"/>
    <w:unhideWhenUsed/>
    <w:rsid w:val="00792B7D"/>
    <w:pPr>
      <w:numPr>
        <w:numId w:val="10"/>
      </w:numPr>
      <w:tabs>
        <w:tab w:val="left" w:pos="567"/>
      </w:tabs>
      <w:spacing w:line="260" w:lineRule="exact"/>
      <w:contextualSpacing/>
    </w:pPr>
    <w:rPr>
      <w:rFonts w:ascii="Times New Roman" w:eastAsia="Times New Roman" w:hAnsi="Times New Roman" w:cs="Times New Roman"/>
      <w:szCs w:val="20"/>
      <w:lang w:val="en-GB" w:eastAsia="zh-CN"/>
    </w:rPr>
  </w:style>
  <w:style w:type="paragraph" w:styleId="Pavadinimas">
    <w:name w:val="Title"/>
    <w:basedOn w:val="prastasis"/>
    <w:next w:val="prastasis"/>
    <w:link w:val="PavadinimasDiagrama"/>
    <w:uiPriority w:val="99"/>
    <w:qFormat/>
    <w:rsid w:val="00792B7D"/>
    <w:pPr>
      <w:tabs>
        <w:tab w:val="left" w:pos="567"/>
      </w:tabs>
      <w:spacing w:before="240" w:after="60" w:line="260" w:lineRule="exact"/>
      <w:ind w:left="0" w:firstLine="0"/>
      <w:jc w:val="center"/>
      <w:outlineLvl w:val="0"/>
    </w:pPr>
    <w:rPr>
      <w:rFonts w:ascii="Cambria" w:eastAsia="Times New Roma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rsid w:val="006F7169"/>
    <w:rPr>
      <w:rFonts w:ascii="Cambria" w:eastAsia="Times New Roman" w:hAnsi="Cambria" w:cs="Times New Roman"/>
      <w:b/>
      <w:bCs/>
      <w:kern w:val="28"/>
      <w:sz w:val="32"/>
      <w:szCs w:val="32"/>
      <w:lang w:val="en-GB" w:eastAsia="zh-CN"/>
    </w:rPr>
  </w:style>
  <w:style w:type="paragraph" w:styleId="Ubaigimas">
    <w:name w:val="Closing"/>
    <w:basedOn w:val="prastasis"/>
    <w:link w:val="UbaigimasDiagrama"/>
    <w:uiPriority w:val="99"/>
    <w:unhideWhenUsed/>
    <w:rsid w:val="00792B7D"/>
    <w:pPr>
      <w:tabs>
        <w:tab w:val="left" w:pos="567"/>
      </w:tabs>
      <w:spacing w:line="260" w:lineRule="exact"/>
      <w:ind w:left="4252" w:firstLine="0"/>
    </w:pPr>
    <w:rPr>
      <w:rFonts w:ascii="Times New Roman" w:eastAsia="Times New Roman" w:hAnsi="Times New Roman" w:cs="Times New Roman"/>
      <w:szCs w:val="20"/>
      <w:lang w:val="en-GB" w:eastAsia="zh-CN"/>
    </w:rPr>
  </w:style>
  <w:style w:type="character" w:customStyle="1" w:styleId="UbaigimasDiagrama">
    <w:name w:val="Užbaigimas Diagrama"/>
    <w:basedOn w:val="Numatytasispastraiposriftas"/>
    <w:link w:val="Ubaigimas"/>
    <w:uiPriority w:val="99"/>
    <w:rsid w:val="006F7169"/>
    <w:rPr>
      <w:rFonts w:ascii="Times New Roman" w:eastAsia="Times New Roman" w:hAnsi="Times New Roman" w:cs="Times New Roman"/>
      <w:szCs w:val="20"/>
      <w:lang w:val="en-GB" w:eastAsia="zh-CN"/>
    </w:rPr>
  </w:style>
  <w:style w:type="paragraph" w:styleId="Paraas">
    <w:name w:val="Signature"/>
    <w:basedOn w:val="prastasis"/>
    <w:link w:val="ParaasDiagrama"/>
    <w:uiPriority w:val="99"/>
    <w:unhideWhenUsed/>
    <w:rsid w:val="00792B7D"/>
    <w:pPr>
      <w:tabs>
        <w:tab w:val="left" w:pos="567"/>
      </w:tabs>
      <w:spacing w:line="260" w:lineRule="exact"/>
      <w:ind w:left="4252" w:firstLine="0"/>
    </w:pPr>
    <w:rPr>
      <w:rFonts w:ascii="Times New Roman" w:eastAsia="Times New Roman" w:hAnsi="Times New Roman" w:cs="Times New Roman"/>
      <w:szCs w:val="20"/>
      <w:lang w:val="en-GB" w:eastAsia="zh-CN"/>
    </w:rPr>
  </w:style>
  <w:style w:type="character" w:customStyle="1" w:styleId="ParaasDiagrama">
    <w:name w:val="Parašas Diagrama"/>
    <w:basedOn w:val="Numatytasispastraiposriftas"/>
    <w:link w:val="Paraas"/>
    <w:uiPriority w:val="99"/>
    <w:rsid w:val="006F7169"/>
    <w:rPr>
      <w:rFonts w:ascii="Times New Roman" w:eastAsia="Times New Roman" w:hAnsi="Times New Roman" w:cs="Times New Roman"/>
      <w:szCs w:val="20"/>
      <w:lang w:val="en-GB" w:eastAsia="zh-CN"/>
    </w:rPr>
  </w:style>
  <w:style w:type="paragraph" w:styleId="Pagrindinistekstas">
    <w:name w:val="Body Text"/>
    <w:basedOn w:val="prastasis"/>
    <w:link w:val="PagrindinistekstasDiagrama"/>
    <w:uiPriority w:val="99"/>
    <w:unhideWhenUsed/>
    <w:rsid w:val="00792B7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6F7169"/>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unhideWhenUsed/>
    <w:rsid w:val="00792B7D"/>
    <w:pPr>
      <w:tabs>
        <w:tab w:val="left" w:pos="567"/>
      </w:tabs>
      <w:spacing w:after="120" w:line="260" w:lineRule="exact"/>
      <w:ind w:left="283" w:firstLine="0"/>
    </w:pPr>
    <w:rPr>
      <w:rFonts w:ascii="Times New Roman" w:eastAsia="Times New Roman" w:hAnsi="Times New Roman" w:cs="Times New Roman"/>
      <w:szCs w:val="20"/>
      <w:lang w:val="en-GB" w:eastAsia="zh-CN"/>
    </w:rPr>
  </w:style>
  <w:style w:type="character" w:customStyle="1" w:styleId="PagrindiniotekstotraukaDiagrama">
    <w:name w:val="Pagrindinio teksto įtrauka Diagrama"/>
    <w:basedOn w:val="Numatytasispastraiposriftas"/>
    <w:link w:val="Pagrindiniotekstotrauka"/>
    <w:uiPriority w:val="99"/>
    <w:rsid w:val="006F7169"/>
    <w:rPr>
      <w:rFonts w:ascii="Times New Roman" w:eastAsia="Times New Roman" w:hAnsi="Times New Roman" w:cs="Times New Roman"/>
      <w:szCs w:val="20"/>
      <w:lang w:val="en-GB" w:eastAsia="zh-CN"/>
    </w:rPr>
  </w:style>
  <w:style w:type="paragraph" w:styleId="Sraotsinys">
    <w:name w:val="List Continue"/>
    <w:basedOn w:val="prastasis"/>
    <w:uiPriority w:val="99"/>
    <w:unhideWhenUsed/>
    <w:rsid w:val="00792B7D"/>
    <w:pPr>
      <w:tabs>
        <w:tab w:val="left" w:pos="567"/>
      </w:tabs>
      <w:spacing w:after="120" w:line="260" w:lineRule="exact"/>
      <w:ind w:left="283" w:firstLine="0"/>
      <w:contextualSpacing/>
    </w:pPr>
    <w:rPr>
      <w:rFonts w:ascii="Times New Roman" w:eastAsia="Times New Roman" w:hAnsi="Times New Roman" w:cs="Times New Roman"/>
      <w:szCs w:val="20"/>
      <w:lang w:val="en-GB" w:eastAsia="zh-CN"/>
    </w:rPr>
  </w:style>
  <w:style w:type="paragraph" w:styleId="Sraotsinys2">
    <w:name w:val="List Continue 2"/>
    <w:basedOn w:val="prastasis"/>
    <w:uiPriority w:val="99"/>
    <w:unhideWhenUsed/>
    <w:rsid w:val="00792B7D"/>
    <w:pPr>
      <w:tabs>
        <w:tab w:val="left" w:pos="567"/>
      </w:tabs>
      <w:spacing w:after="120" w:line="260" w:lineRule="exact"/>
      <w:ind w:left="566" w:firstLine="0"/>
      <w:contextualSpacing/>
    </w:pPr>
    <w:rPr>
      <w:rFonts w:ascii="Times New Roman" w:eastAsia="Times New Roman" w:hAnsi="Times New Roman" w:cs="Times New Roman"/>
      <w:szCs w:val="20"/>
      <w:lang w:val="en-GB" w:eastAsia="zh-CN"/>
    </w:rPr>
  </w:style>
  <w:style w:type="paragraph" w:styleId="Sraotsinys3">
    <w:name w:val="List Continue 3"/>
    <w:basedOn w:val="prastasis"/>
    <w:uiPriority w:val="99"/>
    <w:unhideWhenUsed/>
    <w:rsid w:val="00792B7D"/>
    <w:pPr>
      <w:tabs>
        <w:tab w:val="left" w:pos="567"/>
      </w:tabs>
      <w:spacing w:after="120" w:line="260" w:lineRule="exact"/>
      <w:ind w:left="849" w:firstLine="0"/>
      <w:contextualSpacing/>
    </w:pPr>
    <w:rPr>
      <w:rFonts w:ascii="Times New Roman" w:eastAsia="Times New Roman" w:hAnsi="Times New Roman" w:cs="Times New Roman"/>
      <w:szCs w:val="20"/>
      <w:lang w:val="en-GB" w:eastAsia="zh-CN"/>
    </w:rPr>
  </w:style>
  <w:style w:type="paragraph" w:styleId="Sraotsinys4">
    <w:name w:val="List Continue 4"/>
    <w:basedOn w:val="prastasis"/>
    <w:uiPriority w:val="99"/>
    <w:unhideWhenUsed/>
    <w:rsid w:val="00792B7D"/>
    <w:pPr>
      <w:tabs>
        <w:tab w:val="left" w:pos="567"/>
      </w:tabs>
      <w:spacing w:after="120" w:line="260" w:lineRule="exact"/>
      <w:ind w:left="1132" w:firstLine="0"/>
      <w:contextualSpacing/>
    </w:pPr>
    <w:rPr>
      <w:rFonts w:ascii="Times New Roman" w:eastAsia="Times New Roman" w:hAnsi="Times New Roman" w:cs="Times New Roman"/>
      <w:szCs w:val="20"/>
      <w:lang w:val="en-GB" w:eastAsia="zh-CN"/>
    </w:rPr>
  </w:style>
  <w:style w:type="paragraph" w:styleId="Sraotsinys5">
    <w:name w:val="List Continue 5"/>
    <w:basedOn w:val="prastasis"/>
    <w:uiPriority w:val="99"/>
    <w:unhideWhenUsed/>
    <w:rsid w:val="00792B7D"/>
    <w:pPr>
      <w:tabs>
        <w:tab w:val="left" w:pos="567"/>
      </w:tabs>
      <w:spacing w:after="120" w:line="260" w:lineRule="exact"/>
      <w:ind w:left="1415" w:firstLine="0"/>
      <w:contextualSpacing/>
    </w:pPr>
    <w:rPr>
      <w:rFonts w:ascii="Times New Roman" w:eastAsia="Times New Roman" w:hAnsi="Times New Roman" w:cs="Times New Roman"/>
      <w:szCs w:val="20"/>
      <w:lang w:val="en-GB" w:eastAsia="zh-CN"/>
    </w:rPr>
  </w:style>
  <w:style w:type="paragraph" w:styleId="Laikoantrat">
    <w:name w:val="Message Header"/>
    <w:basedOn w:val="prastasis"/>
    <w:link w:val="LaikoantratDiagrama"/>
    <w:uiPriority w:val="99"/>
    <w:unhideWhenUsed/>
    <w:rsid w:val="00792B7D"/>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Cambria" w:eastAsia="Times New Roman" w:hAnsi="Cambria" w:cs="Times New Roman"/>
      <w:sz w:val="24"/>
      <w:szCs w:val="24"/>
      <w:lang w:val="en-GB" w:eastAsia="zh-CN"/>
    </w:rPr>
  </w:style>
  <w:style w:type="character" w:customStyle="1" w:styleId="LaikoantratDiagrama">
    <w:name w:val="Laiško antraštė Diagrama"/>
    <w:basedOn w:val="Numatytasispastraiposriftas"/>
    <w:link w:val="Laikoantrat"/>
    <w:uiPriority w:val="99"/>
    <w:rsid w:val="006F7169"/>
    <w:rPr>
      <w:rFonts w:ascii="Cambria" w:eastAsia="Times New Roman" w:hAnsi="Cambria" w:cs="Times New Roman"/>
      <w:sz w:val="24"/>
      <w:szCs w:val="24"/>
      <w:shd w:val="pct20" w:color="auto" w:fill="auto"/>
      <w:lang w:val="en-GB" w:eastAsia="zh-CN"/>
    </w:rPr>
  </w:style>
  <w:style w:type="paragraph" w:styleId="Paantrat">
    <w:name w:val="Subtitle"/>
    <w:basedOn w:val="prastasis"/>
    <w:next w:val="prastasis"/>
    <w:link w:val="PaantratDiagrama"/>
    <w:uiPriority w:val="99"/>
    <w:qFormat/>
    <w:rsid w:val="00792B7D"/>
    <w:pPr>
      <w:tabs>
        <w:tab w:val="left" w:pos="567"/>
      </w:tabs>
      <w:spacing w:after="60" w:line="260" w:lineRule="exact"/>
      <w:ind w:left="0" w:firstLine="0"/>
      <w:jc w:val="center"/>
      <w:outlineLvl w:val="1"/>
    </w:pPr>
    <w:rPr>
      <w:rFonts w:ascii="Cambria" w:eastAsia="Times New Roman" w:hAnsi="Cambria" w:cs="Times New Roman"/>
      <w:sz w:val="24"/>
      <w:szCs w:val="24"/>
      <w:lang w:val="en-GB" w:eastAsia="zh-CN"/>
    </w:rPr>
  </w:style>
  <w:style w:type="character" w:customStyle="1" w:styleId="PaantratDiagrama">
    <w:name w:val="Paantraštė Diagrama"/>
    <w:basedOn w:val="Numatytasispastraiposriftas"/>
    <w:link w:val="Paantrat"/>
    <w:uiPriority w:val="99"/>
    <w:rsid w:val="006F7169"/>
    <w:rPr>
      <w:rFonts w:ascii="Cambria" w:eastAsia="Times New Roman" w:hAnsi="Cambria" w:cs="Times New Roman"/>
      <w:sz w:val="24"/>
      <w:szCs w:val="24"/>
      <w:lang w:val="en-GB" w:eastAsia="zh-CN"/>
    </w:rPr>
  </w:style>
  <w:style w:type="paragraph" w:styleId="Pasveikinimas">
    <w:name w:val="Salutation"/>
    <w:basedOn w:val="prastasis"/>
    <w:next w:val="prastasis"/>
    <w:link w:val="PasveikinimasDiagrama"/>
    <w:uiPriority w:val="99"/>
    <w:unhideWhenUsed/>
    <w:rsid w:val="00792B7D"/>
    <w:pPr>
      <w:tabs>
        <w:tab w:val="left" w:pos="567"/>
      </w:tabs>
      <w:spacing w:line="260" w:lineRule="exact"/>
      <w:ind w:left="0" w:firstLine="0"/>
    </w:pPr>
    <w:rPr>
      <w:rFonts w:ascii="Times New Roman" w:eastAsia="Times New Roman" w:hAnsi="Times New Roman" w:cs="Times New Roman"/>
      <w:szCs w:val="20"/>
      <w:lang w:val="en-GB" w:eastAsia="zh-CN"/>
    </w:rPr>
  </w:style>
  <w:style w:type="character" w:customStyle="1" w:styleId="PasveikinimasDiagrama">
    <w:name w:val="Pasveikinimas Diagrama"/>
    <w:basedOn w:val="Numatytasispastraiposriftas"/>
    <w:link w:val="Pasveikinimas"/>
    <w:uiPriority w:val="99"/>
    <w:rsid w:val="006F7169"/>
    <w:rPr>
      <w:rFonts w:ascii="Times New Roman" w:eastAsia="Times New Roman" w:hAnsi="Times New Roman" w:cs="Times New Roman"/>
      <w:szCs w:val="20"/>
      <w:lang w:val="en-GB" w:eastAsia="zh-CN"/>
    </w:rPr>
  </w:style>
  <w:style w:type="paragraph" w:styleId="Data">
    <w:name w:val="Date"/>
    <w:basedOn w:val="prastasis"/>
    <w:next w:val="prastasis"/>
    <w:link w:val="DataDiagrama"/>
    <w:uiPriority w:val="99"/>
    <w:unhideWhenUsed/>
    <w:rsid w:val="00792B7D"/>
    <w:pPr>
      <w:tabs>
        <w:tab w:val="left" w:pos="567"/>
      </w:tabs>
      <w:spacing w:line="260" w:lineRule="exact"/>
      <w:ind w:left="0" w:firstLine="0"/>
    </w:pPr>
    <w:rPr>
      <w:rFonts w:ascii="Times New Roman" w:eastAsia="Times New Roman" w:hAnsi="Times New Roman" w:cs="Times New Roman"/>
      <w:szCs w:val="20"/>
      <w:lang w:val="en-GB" w:eastAsia="zh-CN"/>
    </w:rPr>
  </w:style>
  <w:style w:type="character" w:customStyle="1" w:styleId="DataDiagrama">
    <w:name w:val="Data Diagrama"/>
    <w:basedOn w:val="Numatytasispastraiposriftas"/>
    <w:link w:val="Data"/>
    <w:uiPriority w:val="99"/>
    <w:rsid w:val="006F7169"/>
    <w:rPr>
      <w:rFonts w:ascii="Times New Roman" w:eastAsia="Times New Roman" w:hAnsi="Times New Roman" w:cs="Times New Roman"/>
      <w:szCs w:val="20"/>
      <w:lang w:val="en-GB" w:eastAsia="zh-CN"/>
    </w:rPr>
  </w:style>
  <w:style w:type="paragraph" w:styleId="Pagrindiniotekstopirmatrauka">
    <w:name w:val="Body Text First Indent"/>
    <w:basedOn w:val="Pagrindinistekstas"/>
    <w:link w:val="PagrindiniotekstopirmatraukaDiagrama"/>
    <w:uiPriority w:val="99"/>
    <w:unhideWhenUsed/>
    <w:rsid w:val="00792B7D"/>
    <w:pPr>
      <w:numPr>
        <w:ilvl w:val="0"/>
      </w:numPr>
      <w:tabs>
        <w:tab w:val="clear" w:pos="8505"/>
        <w:tab w:val="left" w:pos="567"/>
      </w:tabs>
      <w:spacing w:after="120" w:line="260" w:lineRule="exact"/>
      <w:ind w:left="567" w:right="0" w:firstLine="210"/>
    </w:pPr>
    <w:rPr>
      <w:lang w:val="en-GB" w:eastAsia="zh-CN"/>
    </w:rPr>
  </w:style>
  <w:style w:type="character" w:customStyle="1" w:styleId="PagrindiniotekstopirmatraukaDiagrama">
    <w:name w:val="Pagrindinio teksto pirma įtrauka Diagrama"/>
    <w:basedOn w:val="PagrindinistekstasDiagrama"/>
    <w:link w:val="Pagrindiniotekstopirmatrauka"/>
    <w:uiPriority w:val="99"/>
    <w:rsid w:val="006F7169"/>
    <w:rPr>
      <w:rFonts w:ascii="Times New Roman" w:eastAsia="Times New Roman" w:hAnsi="Times New Roman" w:cs="Times New Roman"/>
      <w:szCs w:val="20"/>
      <w:lang w:val="en-GB" w:eastAsia="zh-CN"/>
    </w:rPr>
  </w:style>
  <w:style w:type="paragraph" w:styleId="Pagrindiniotekstopirmatrauka2">
    <w:name w:val="Body Text First Indent 2"/>
    <w:basedOn w:val="Pagrindiniotekstotrauka"/>
    <w:link w:val="Pagrindiniotekstopirmatrauka2Diagrama"/>
    <w:uiPriority w:val="99"/>
    <w:unhideWhenUsed/>
    <w:rsid w:val="00792B7D"/>
    <w:pPr>
      <w:ind w:firstLine="210"/>
    </w:pPr>
  </w:style>
  <w:style w:type="character" w:customStyle="1" w:styleId="Pagrindiniotekstopirmatrauka2Diagrama">
    <w:name w:val="Pagrindinio teksto pirma įtrauka 2 Diagrama"/>
    <w:basedOn w:val="PagrindiniotekstotraukaDiagrama"/>
    <w:link w:val="Pagrindiniotekstopirmatrauka2"/>
    <w:uiPriority w:val="99"/>
    <w:rsid w:val="006F7169"/>
    <w:rPr>
      <w:rFonts w:ascii="Times New Roman" w:eastAsia="Times New Roman" w:hAnsi="Times New Roman" w:cs="Times New Roman"/>
      <w:szCs w:val="20"/>
      <w:lang w:val="en-GB" w:eastAsia="zh-CN"/>
    </w:rPr>
  </w:style>
  <w:style w:type="paragraph" w:styleId="Pastabosantrat">
    <w:name w:val="Note Heading"/>
    <w:basedOn w:val="prastasis"/>
    <w:next w:val="prastasis"/>
    <w:link w:val="PastabosantratDiagrama"/>
    <w:uiPriority w:val="99"/>
    <w:unhideWhenUsed/>
    <w:rsid w:val="00792B7D"/>
    <w:pPr>
      <w:tabs>
        <w:tab w:val="left" w:pos="567"/>
      </w:tabs>
      <w:spacing w:line="260" w:lineRule="exact"/>
      <w:ind w:left="0" w:firstLine="0"/>
    </w:pPr>
    <w:rPr>
      <w:rFonts w:ascii="Times New Roman" w:eastAsia="Times New Roman" w:hAnsi="Times New Roman" w:cs="Times New Roman"/>
      <w:szCs w:val="20"/>
      <w:lang w:val="en-GB" w:eastAsia="zh-CN"/>
    </w:rPr>
  </w:style>
  <w:style w:type="character" w:customStyle="1" w:styleId="PastabosantratDiagrama">
    <w:name w:val="Pastabos antraštė Diagrama"/>
    <w:basedOn w:val="Numatytasispastraiposriftas"/>
    <w:link w:val="Pastabosantrat"/>
    <w:uiPriority w:val="99"/>
    <w:rsid w:val="006F7169"/>
    <w:rPr>
      <w:rFonts w:ascii="Times New Roman" w:eastAsia="Times New Roman" w:hAnsi="Times New Roman" w:cs="Times New Roman"/>
      <w:szCs w:val="20"/>
      <w:lang w:val="en-GB" w:eastAsia="zh-CN"/>
    </w:rPr>
  </w:style>
  <w:style w:type="paragraph" w:styleId="Pagrindinistekstas2">
    <w:name w:val="Body Text 2"/>
    <w:basedOn w:val="prastasis"/>
    <w:link w:val="Pagrindinistekstas2Diagrama"/>
    <w:uiPriority w:val="99"/>
    <w:unhideWhenUsed/>
    <w:rsid w:val="00792B7D"/>
    <w:pPr>
      <w:tabs>
        <w:tab w:val="left" w:pos="1296"/>
      </w:tabs>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6F7169"/>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rsid w:val="00792B7D"/>
    <w:pPr>
      <w:tabs>
        <w:tab w:val="left" w:pos="567"/>
      </w:tabs>
      <w:spacing w:after="120" w:line="260" w:lineRule="exact"/>
      <w:ind w:left="0" w:firstLine="0"/>
    </w:pPr>
    <w:rPr>
      <w:rFonts w:ascii="Times New Roman" w:eastAsia="Times New Roman" w:hAnsi="Times New Roman" w:cs="Times New Roman"/>
      <w:sz w:val="16"/>
      <w:szCs w:val="16"/>
      <w:lang w:val="en-GB" w:eastAsia="zh-CN"/>
    </w:rPr>
  </w:style>
  <w:style w:type="character" w:customStyle="1" w:styleId="Pagrindinistekstas3Diagrama">
    <w:name w:val="Pagrindinis tekstas 3 Diagrama"/>
    <w:basedOn w:val="Numatytasispastraiposriftas"/>
    <w:link w:val="Pagrindinistekstas3"/>
    <w:uiPriority w:val="99"/>
    <w:rsid w:val="006F7169"/>
    <w:rPr>
      <w:rFonts w:ascii="Times New Roman" w:eastAsia="Times New Roman" w:hAnsi="Times New Roman" w:cs="Times New Roman"/>
      <w:sz w:val="16"/>
      <w:szCs w:val="16"/>
      <w:lang w:val="en-GB" w:eastAsia="zh-CN"/>
    </w:rPr>
  </w:style>
  <w:style w:type="paragraph" w:styleId="Pagrindiniotekstotrauka2">
    <w:name w:val="Body Text Indent 2"/>
    <w:basedOn w:val="prastasis"/>
    <w:link w:val="Pagrindiniotekstotrauka2Diagrama"/>
    <w:uiPriority w:val="99"/>
    <w:unhideWhenUsed/>
    <w:rsid w:val="00792B7D"/>
    <w:pPr>
      <w:tabs>
        <w:tab w:val="left" w:pos="567"/>
      </w:tabs>
      <w:spacing w:after="120" w:line="480" w:lineRule="auto"/>
      <w:ind w:left="283" w:firstLine="0"/>
    </w:pPr>
    <w:rPr>
      <w:rFonts w:ascii="Times New Roman" w:eastAsia="Times New Roman" w:hAnsi="Times New Roman" w:cs="Times New Roman"/>
      <w:szCs w:val="20"/>
      <w:lang w:val="en-GB" w:eastAsia="zh-CN"/>
    </w:rPr>
  </w:style>
  <w:style w:type="character" w:customStyle="1" w:styleId="Pagrindiniotekstotrauka2Diagrama">
    <w:name w:val="Pagrindinio teksto įtrauka 2 Diagrama"/>
    <w:basedOn w:val="Numatytasispastraiposriftas"/>
    <w:link w:val="Pagrindiniotekstotrauka2"/>
    <w:uiPriority w:val="99"/>
    <w:rsid w:val="006F7169"/>
    <w:rPr>
      <w:rFonts w:ascii="Times New Roman" w:eastAsia="Times New Roman" w:hAnsi="Times New Roman" w:cs="Times New Roman"/>
      <w:szCs w:val="20"/>
      <w:lang w:val="en-GB" w:eastAsia="zh-CN"/>
    </w:rPr>
  </w:style>
  <w:style w:type="paragraph" w:styleId="Pagrindiniotekstotrauka3">
    <w:name w:val="Body Text Indent 3"/>
    <w:basedOn w:val="prastasis"/>
    <w:link w:val="Pagrindiniotekstotrauka3Diagrama"/>
    <w:uiPriority w:val="99"/>
    <w:unhideWhenUsed/>
    <w:rsid w:val="00792B7D"/>
    <w:pPr>
      <w:tabs>
        <w:tab w:val="left" w:pos="567"/>
      </w:tabs>
      <w:spacing w:after="120" w:line="260" w:lineRule="exact"/>
      <w:ind w:left="283" w:firstLine="0"/>
    </w:pPr>
    <w:rPr>
      <w:rFonts w:ascii="Times New Roman" w:eastAsia="Times New Roman" w:hAnsi="Times New Roman" w:cs="Times New Roman"/>
      <w:sz w:val="16"/>
      <w:szCs w:val="16"/>
      <w:lang w:val="en-GB" w:eastAsia="zh-CN"/>
    </w:rPr>
  </w:style>
  <w:style w:type="character" w:customStyle="1" w:styleId="Pagrindiniotekstotrauka3Diagrama">
    <w:name w:val="Pagrindinio teksto įtrauka 3 Diagrama"/>
    <w:basedOn w:val="Numatytasispastraiposriftas"/>
    <w:link w:val="Pagrindiniotekstotrauka3"/>
    <w:uiPriority w:val="99"/>
    <w:rsid w:val="006F7169"/>
    <w:rPr>
      <w:rFonts w:ascii="Times New Roman" w:eastAsia="Times New Roman" w:hAnsi="Times New Roman" w:cs="Times New Roman"/>
      <w:sz w:val="16"/>
      <w:szCs w:val="16"/>
      <w:lang w:val="en-GB" w:eastAsia="zh-CN"/>
    </w:rPr>
  </w:style>
  <w:style w:type="paragraph" w:styleId="Tekstoblokas">
    <w:name w:val="Block Text"/>
    <w:basedOn w:val="prastasis"/>
    <w:uiPriority w:val="99"/>
    <w:unhideWhenUsed/>
    <w:rsid w:val="00792B7D"/>
    <w:pPr>
      <w:tabs>
        <w:tab w:val="left" w:pos="567"/>
      </w:tabs>
      <w:spacing w:after="120" w:line="260" w:lineRule="exact"/>
      <w:ind w:left="1440" w:right="1440" w:firstLine="0"/>
    </w:pPr>
    <w:rPr>
      <w:rFonts w:ascii="Times New Roman" w:eastAsia="Times New Roman" w:hAnsi="Times New Roman" w:cs="Times New Roman"/>
      <w:szCs w:val="20"/>
      <w:lang w:val="en-GB" w:eastAsia="zh-CN"/>
    </w:rPr>
  </w:style>
  <w:style w:type="paragraph" w:styleId="Dokumentostruktra">
    <w:name w:val="Document Map"/>
    <w:basedOn w:val="prastasis"/>
    <w:link w:val="DokumentostruktraDiagrama"/>
    <w:uiPriority w:val="99"/>
    <w:unhideWhenUsed/>
    <w:rsid w:val="00792B7D"/>
    <w:pPr>
      <w:tabs>
        <w:tab w:val="left" w:pos="567"/>
      </w:tabs>
      <w:spacing w:line="260" w:lineRule="exact"/>
      <w:ind w:left="0" w:firstLine="0"/>
    </w:pPr>
    <w:rPr>
      <w:rFonts w:ascii="Tahoma" w:eastAsia="Times New Roman" w:hAnsi="Tahoma" w:cs="Times New Roman"/>
      <w:sz w:val="16"/>
      <w:szCs w:val="16"/>
      <w:lang w:val="en-GB" w:eastAsia="zh-CN"/>
    </w:rPr>
  </w:style>
  <w:style w:type="character" w:customStyle="1" w:styleId="DokumentostruktraDiagrama">
    <w:name w:val="Dokumento struktūra Diagrama"/>
    <w:basedOn w:val="Numatytasispastraiposriftas"/>
    <w:link w:val="Dokumentostruktra"/>
    <w:uiPriority w:val="99"/>
    <w:rsid w:val="006F7169"/>
    <w:rPr>
      <w:rFonts w:ascii="Tahoma" w:eastAsia="Times New Roman" w:hAnsi="Tahoma" w:cs="Times New Roman"/>
      <w:sz w:val="16"/>
      <w:szCs w:val="16"/>
      <w:lang w:val="en-GB" w:eastAsia="zh-CN"/>
    </w:rPr>
  </w:style>
  <w:style w:type="paragraph" w:styleId="Paprastasistekstas">
    <w:name w:val="Plain Text"/>
    <w:basedOn w:val="prastasis"/>
    <w:link w:val="PaprastasistekstasDiagrama"/>
    <w:uiPriority w:val="99"/>
    <w:unhideWhenUsed/>
    <w:rsid w:val="00792B7D"/>
    <w:pPr>
      <w:tabs>
        <w:tab w:val="left" w:pos="1296"/>
      </w:tabs>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6F7169"/>
    <w:rPr>
      <w:rFonts w:ascii="Courier New" w:eastAsia="Times New Roman" w:hAnsi="Courier New" w:cs="Times New Roman"/>
      <w:sz w:val="20"/>
      <w:szCs w:val="20"/>
      <w:lang w:val="en-GB" w:eastAsia="sl-SI"/>
    </w:rPr>
  </w:style>
  <w:style w:type="paragraph" w:styleId="Elpatoparaas">
    <w:name w:val="E-mail Signature"/>
    <w:basedOn w:val="prastasis"/>
    <w:link w:val="ElpatoparaasDiagrama"/>
    <w:uiPriority w:val="99"/>
    <w:unhideWhenUsed/>
    <w:rsid w:val="00792B7D"/>
    <w:pPr>
      <w:tabs>
        <w:tab w:val="left" w:pos="567"/>
      </w:tabs>
      <w:spacing w:line="260" w:lineRule="exact"/>
      <w:ind w:left="0" w:firstLine="0"/>
    </w:pPr>
    <w:rPr>
      <w:rFonts w:ascii="Times New Roman" w:eastAsia="Times New Roman" w:hAnsi="Times New Roman" w:cs="Times New Roman"/>
      <w:szCs w:val="20"/>
      <w:lang w:val="en-GB" w:eastAsia="zh-CN"/>
    </w:rPr>
  </w:style>
  <w:style w:type="character" w:customStyle="1" w:styleId="ElpatoparaasDiagrama">
    <w:name w:val="El. pašto parašas Diagrama"/>
    <w:basedOn w:val="Numatytasispastraiposriftas"/>
    <w:link w:val="Elpatoparaas"/>
    <w:uiPriority w:val="99"/>
    <w:rsid w:val="006F7169"/>
    <w:rPr>
      <w:rFonts w:ascii="Times New Roman" w:eastAsia="Times New Roman" w:hAnsi="Times New Roman" w:cs="Times New Roman"/>
      <w:szCs w:val="20"/>
      <w:lang w:val="en-GB" w:eastAsia="zh-CN"/>
    </w:rPr>
  </w:style>
  <w:style w:type="paragraph" w:styleId="Komentarotema">
    <w:name w:val="annotation subject"/>
    <w:basedOn w:val="Komentarotekstas"/>
    <w:next w:val="Komentarotekstas"/>
    <w:link w:val="KomentarotemaDiagrama"/>
    <w:uiPriority w:val="99"/>
    <w:unhideWhenUsed/>
    <w:rsid w:val="00792B7D"/>
    <w:rPr>
      <w:b/>
      <w:bCs/>
    </w:rPr>
  </w:style>
  <w:style w:type="character" w:customStyle="1" w:styleId="KomentarotemaDiagrama">
    <w:name w:val="Komentaro tema Diagrama"/>
    <w:basedOn w:val="KomentarotekstasDiagrama"/>
    <w:link w:val="Komentarotema"/>
    <w:uiPriority w:val="99"/>
    <w:rsid w:val="006F7169"/>
    <w:rPr>
      <w:rFonts w:ascii="Times New Roman" w:eastAsia="Times New Roman" w:hAnsi="Times New Roman" w:cs="Times New Roman"/>
      <w:b/>
      <w:bCs/>
      <w:sz w:val="20"/>
      <w:szCs w:val="20"/>
      <w:lang w:eastAsia="zh-CN"/>
    </w:rPr>
  </w:style>
  <w:style w:type="paragraph" w:styleId="Debesliotekstas">
    <w:name w:val="Balloon Text"/>
    <w:basedOn w:val="prastasis"/>
    <w:link w:val="DebesliotekstasDiagrama"/>
    <w:uiPriority w:val="99"/>
    <w:unhideWhenUsed/>
    <w:rsid w:val="00792B7D"/>
    <w:pPr>
      <w:tabs>
        <w:tab w:val="left" w:pos="567"/>
      </w:tabs>
      <w:ind w:left="0" w:firstLine="0"/>
    </w:pPr>
    <w:rPr>
      <w:rFonts w:ascii="Tahoma" w:eastAsia="Times New Roman" w:hAnsi="Tahoma" w:cs="Times New Roman"/>
      <w:sz w:val="16"/>
      <w:szCs w:val="16"/>
      <w:lang w:eastAsia="zh-CN"/>
    </w:rPr>
  </w:style>
  <w:style w:type="character" w:customStyle="1" w:styleId="DebesliotekstasDiagrama">
    <w:name w:val="Debesėlio tekstas Diagrama"/>
    <w:basedOn w:val="Numatytasispastraiposriftas"/>
    <w:link w:val="Debesliotekstas"/>
    <w:uiPriority w:val="99"/>
    <w:rsid w:val="006F7169"/>
    <w:rPr>
      <w:rFonts w:ascii="Tahoma" w:eastAsia="Times New Roman" w:hAnsi="Tahoma" w:cs="Times New Roman"/>
      <w:sz w:val="16"/>
      <w:szCs w:val="16"/>
      <w:lang w:eastAsia="zh-CN"/>
    </w:rPr>
  </w:style>
  <w:style w:type="paragraph" w:styleId="Pataisymai">
    <w:name w:val="Revision"/>
    <w:uiPriority w:val="99"/>
    <w:semiHidden/>
    <w:rsid w:val="00792B7D"/>
    <w:pPr>
      <w:tabs>
        <w:tab w:val="left" w:pos="1296"/>
      </w:tabs>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792B7D"/>
    <w:pPr>
      <w:tabs>
        <w:tab w:val="left" w:pos="1296"/>
      </w:tabs>
      <w:spacing w:after="200" w:line="276" w:lineRule="auto"/>
      <w:ind w:left="720" w:firstLine="0"/>
      <w:contextualSpacing/>
    </w:pPr>
    <w:rPr>
      <w:rFonts w:ascii="Calibri" w:eastAsia="Calibri" w:hAnsi="Calibri" w:cs="Times New Roman"/>
    </w:rPr>
  </w:style>
  <w:style w:type="paragraph" w:customStyle="1" w:styleId="Naslov1">
    <w:name w:val="Naslov1"/>
    <w:basedOn w:val="Antrat1"/>
    <w:rsid w:val="006F7169"/>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792B7D"/>
    <w:pPr>
      <w:tabs>
        <w:tab w:val="left" w:pos="1296"/>
      </w:tabs>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792B7D"/>
    <w:pPr>
      <w:tabs>
        <w:tab w:val="left" w:pos="1296"/>
      </w:tabs>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uiPriority w:val="99"/>
    <w:rsid w:val="00792B7D"/>
    <w:pPr>
      <w:tabs>
        <w:tab w:val="left" w:pos="1296"/>
      </w:tabs>
      <w:spacing w:after="140" w:line="280" w:lineRule="exact"/>
      <w:ind w:left="0" w:firstLine="0"/>
    </w:pPr>
    <w:rPr>
      <w:rFonts w:ascii="Verdana" w:eastAsia="Times New Roman" w:hAnsi="Verdana" w:cs="Verdana"/>
      <w:sz w:val="18"/>
      <w:szCs w:val="18"/>
      <w:lang w:val="en-GB" w:eastAsia="zh-CN"/>
    </w:rPr>
  </w:style>
  <w:style w:type="paragraph" w:customStyle="1" w:styleId="NormalAgency">
    <w:name w:val="Normal (Agency)"/>
    <w:uiPriority w:val="99"/>
    <w:rsid w:val="00792B7D"/>
    <w:pPr>
      <w:tabs>
        <w:tab w:val="left" w:pos="1296"/>
      </w:tabs>
      <w:ind w:left="0" w:firstLine="0"/>
    </w:pPr>
    <w:rPr>
      <w:rFonts w:ascii="Verdana" w:eastAsia="Times New Roman" w:hAnsi="Verdana" w:cs="Verdana"/>
      <w:sz w:val="18"/>
      <w:szCs w:val="18"/>
      <w:lang w:val="en-GB" w:eastAsia="zh-CN"/>
    </w:rPr>
  </w:style>
  <w:style w:type="paragraph" w:customStyle="1" w:styleId="TabletextrowsAgency">
    <w:name w:val="Table text rows (Agency)"/>
    <w:basedOn w:val="prastasis"/>
    <w:uiPriority w:val="99"/>
    <w:rsid w:val="00792B7D"/>
    <w:pPr>
      <w:tabs>
        <w:tab w:val="left" w:pos="1296"/>
      </w:tabs>
      <w:spacing w:line="280" w:lineRule="exact"/>
      <w:ind w:left="0" w:firstLine="0"/>
    </w:pPr>
    <w:rPr>
      <w:rFonts w:ascii="Verdana" w:eastAsia="Times New Roman" w:hAnsi="Verdana" w:cs="Verdana"/>
      <w:sz w:val="18"/>
      <w:szCs w:val="18"/>
      <w:lang w:val="en-GB" w:eastAsia="zh-CN"/>
    </w:rPr>
  </w:style>
  <w:style w:type="paragraph" w:customStyle="1" w:styleId="Bibliography1">
    <w:name w:val="Bibliography1"/>
    <w:basedOn w:val="prastasis"/>
    <w:next w:val="prastasis"/>
    <w:uiPriority w:val="99"/>
    <w:semiHidden/>
    <w:rsid w:val="00792B7D"/>
    <w:pPr>
      <w:tabs>
        <w:tab w:val="left" w:pos="567"/>
      </w:tabs>
      <w:spacing w:line="260" w:lineRule="exact"/>
      <w:ind w:left="0" w:firstLine="0"/>
    </w:pPr>
    <w:rPr>
      <w:rFonts w:ascii="Times New Roman" w:eastAsia="Times New Roman" w:hAnsi="Times New Roman" w:cs="Times New Roman"/>
      <w:szCs w:val="20"/>
      <w:lang w:val="en-GB" w:eastAsia="zh-CN"/>
    </w:rPr>
  </w:style>
  <w:style w:type="paragraph" w:customStyle="1" w:styleId="NoSpacing1">
    <w:name w:val="No Spacing1"/>
    <w:uiPriority w:val="99"/>
    <w:rsid w:val="00792B7D"/>
    <w:pPr>
      <w:tabs>
        <w:tab w:val="left" w:pos="567"/>
      </w:tabs>
      <w:ind w:left="0" w:firstLine="0"/>
    </w:pPr>
    <w:rPr>
      <w:rFonts w:ascii="Times New Roman" w:eastAsia="Times New Roman" w:hAnsi="Times New Roman" w:cs="Times New Roman"/>
      <w:szCs w:val="20"/>
      <w:lang w:val="en-GB" w:eastAsia="zh-CN"/>
    </w:rPr>
  </w:style>
  <w:style w:type="character" w:customStyle="1" w:styleId="QuoteChar">
    <w:name w:val="Quote Char"/>
    <w:link w:val="Quote1"/>
    <w:uiPriority w:val="99"/>
    <w:locked/>
    <w:rsid w:val="006F7169"/>
    <w:rPr>
      <w:i/>
      <w:color w:val="000000"/>
      <w:lang w:val="en-GB" w:eastAsia="zh-CN"/>
    </w:rPr>
  </w:style>
  <w:style w:type="paragraph" w:customStyle="1" w:styleId="Quote1">
    <w:name w:val="Quote1"/>
    <w:basedOn w:val="prastasis"/>
    <w:next w:val="prastasis"/>
    <w:link w:val="QuoteChar"/>
    <w:uiPriority w:val="99"/>
    <w:rsid w:val="00792B7D"/>
    <w:pPr>
      <w:tabs>
        <w:tab w:val="left" w:pos="567"/>
      </w:tabs>
      <w:spacing w:line="260" w:lineRule="exact"/>
      <w:ind w:left="0" w:firstLine="0"/>
    </w:pPr>
    <w:rPr>
      <w:i/>
      <w:color w:val="000000"/>
      <w:lang w:val="en-GB" w:eastAsia="zh-CN"/>
    </w:rPr>
  </w:style>
  <w:style w:type="character" w:customStyle="1" w:styleId="IntenseQuoteChar">
    <w:name w:val="Intense Quote Char"/>
    <w:link w:val="IntenseQuote1"/>
    <w:uiPriority w:val="99"/>
    <w:locked/>
    <w:rsid w:val="006F7169"/>
    <w:rPr>
      <w:b/>
      <w:i/>
      <w:color w:val="4F81BD"/>
      <w:lang w:val="en-GB" w:eastAsia="zh-CN"/>
    </w:rPr>
  </w:style>
  <w:style w:type="paragraph" w:customStyle="1" w:styleId="IntenseQuote1">
    <w:name w:val="Intense Quote1"/>
    <w:basedOn w:val="prastasis"/>
    <w:next w:val="prastasis"/>
    <w:link w:val="IntenseQuoteChar"/>
    <w:uiPriority w:val="99"/>
    <w:rsid w:val="00792B7D"/>
    <w:pPr>
      <w:pBdr>
        <w:bottom w:val="single" w:sz="4" w:space="4" w:color="4F81BD"/>
      </w:pBdr>
      <w:tabs>
        <w:tab w:val="left" w:pos="567"/>
      </w:tabs>
      <w:spacing w:before="200" w:after="280" w:line="260" w:lineRule="exact"/>
      <w:ind w:left="936" w:right="936" w:firstLine="0"/>
    </w:pPr>
    <w:rPr>
      <w:b/>
      <w:i/>
      <w:color w:val="4F81BD"/>
      <w:lang w:val="en-GB" w:eastAsia="zh-CN"/>
    </w:rPr>
  </w:style>
  <w:style w:type="paragraph" w:customStyle="1" w:styleId="TOCHeading1">
    <w:name w:val="TOC Heading1"/>
    <w:basedOn w:val="Antrat1"/>
    <w:next w:val="prastasis"/>
    <w:uiPriority w:val="99"/>
    <w:semiHidden/>
    <w:rsid w:val="006F7169"/>
    <w:pPr>
      <w:tabs>
        <w:tab w:val="clear" w:pos="1296"/>
        <w:tab w:val="left" w:pos="567"/>
      </w:tabs>
      <w:spacing w:line="260" w:lineRule="exact"/>
      <w:outlineLvl w:val="9"/>
    </w:pPr>
    <w:rPr>
      <w:rFonts w:ascii="Cambria" w:hAnsi="Cambria" w:cs="Times New Roman"/>
      <w:lang w:val="en-GB" w:eastAsia="zh-CN"/>
    </w:rPr>
  </w:style>
  <w:style w:type="paragraph" w:customStyle="1" w:styleId="ListParagraph1">
    <w:name w:val="List Paragraph1"/>
    <w:basedOn w:val="prastasis"/>
    <w:uiPriority w:val="99"/>
    <w:rsid w:val="00792B7D"/>
    <w:pPr>
      <w:tabs>
        <w:tab w:val="left" w:pos="567"/>
      </w:tabs>
      <w:spacing w:line="260" w:lineRule="exact"/>
      <w:ind w:left="708" w:firstLine="0"/>
    </w:pPr>
    <w:rPr>
      <w:rFonts w:ascii="Times New Roman" w:eastAsia="Times New Roman" w:hAnsi="Times New Roman" w:cs="Times New Roman"/>
      <w:szCs w:val="20"/>
      <w:lang w:val="en-GB" w:eastAsia="zh-CN"/>
    </w:rPr>
  </w:style>
  <w:style w:type="paragraph" w:customStyle="1" w:styleId="TitleA">
    <w:name w:val="Title A"/>
    <w:basedOn w:val="prastasis"/>
    <w:uiPriority w:val="99"/>
    <w:rsid w:val="00792B7D"/>
    <w:pPr>
      <w:suppressLineNumbers/>
      <w:tabs>
        <w:tab w:val="left" w:pos="-1440"/>
        <w:tab w:val="left" w:pos="-720"/>
        <w:tab w:val="left" w:pos="567"/>
      </w:tabs>
      <w:spacing w:line="260" w:lineRule="exact"/>
      <w:ind w:left="0" w:firstLine="0"/>
      <w:jc w:val="center"/>
    </w:pPr>
    <w:rPr>
      <w:rFonts w:ascii="Times New Roman" w:eastAsia="Times New Roman" w:hAnsi="Times New Roman" w:cs="Times New Roman"/>
      <w:b/>
      <w:noProof/>
      <w:szCs w:val="24"/>
      <w:lang w:val="es-ES_tradnl" w:eastAsia="zh-CN"/>
    </w:rPr>
  </w:style>
  <w:style w:type="paragraph" w:customStyle="1" w:styleId="TitleB">
    <w:name w:val="Title B"/>
    <w:basedOn w:val="prastasis"/>
    <w:autoRedefine/>
    <w:uiPriority w:val="99"/>
    <w:rsid w:val="00792B7D"/>
    <w:pPr>
      <w:widowControl w:val="0"/>
      <w:tabs>
        <w:tab w:val="left" w:pos="567"/>
      </w:tabs>
    </w:pPr>
    <w:rPr>
      <w:rFonts w:ascii="Times New Roman" w:eastAsia="Times New Roman" w:hAnsi="Times New Roman" w:cs="Times New Roman"/>
      <w:b/>
      <w:noProof/>
      <w:lang w:val="es-ES_tradnl" w:eastAsia="zh-CN"/>
    </w:rPr>
  </w:style>
  <w:style w:type="character" w:customStyle="1" w:styleId="BTEMEASMCAChar">
    <w:name w:val="BT EMEA_SMCA Char"/>
    <w:link w:val="BTEMEASMCA"/>
    <w:uiPriority w:val="99"/>
    <w:locked/>
    <w:rsid w:val="006F7169"/>
    <w:rPr>
      <w:rFonts w:ascii="SimSun" w:eastAsia="SimSun" w:hAnsi="SimSun"/>
      <w:noProof/>
    </w:rPr>
  </w:style>
  <w:style w:type="paragraph" w:customStyle="1" w:styleId="BTEMEASMCA">
    <w:name w:val="BT EMEA_SMCA"/>
    <w:basedOn w:val="prastasis"/>
    <w:link w:val="BTEMEASMCAChar"/>
    <w:autoRedefine/>
    <w:uiPriority w:val="99"/>
    <w:rsid w:val="00792B7D"/>
    <w:pPr>
      <w:tabs>
        <w:tab w:val="left" w:pos="1296"/>
      </w:tabs>
      <w:ind w:left="0" w:firstLine="0"/>
    </w:pPr>
    <w:rPr>
      <w:rFonts w:ascii="SimSun" w:eastAsia="SimSun" w:hAnsi="SimSun"/>
      <w:noProof/>
    </w:rPr>
  </w:style>
  <w:style w:type="paragraph" w:customStyle="1" w:styleId="Bibliografija1">
    <w:name w:val="Bibliografija1"/>
    <w:basedOn w:val="prastasis"/>
    <w:next w:val="prastasis"/>
    <w:uiPriority w:val="99"/>
    <w:semiHidden/>
    <w:rsid w:val="00792B7D"/>
    <w:pPr>
      <w:tabs>
        <w:tab w:val="left" w:pos="567"/>
      </w:tabs>
      <w:spacing w:line="260" w:lineRule="exact"/>
      <w:ind w:left="0" w:firstLine="0"/>
    </w:pPr>
    <w:rPr>
      <w:rFonts w:ascii="Times New Roman" w:eastAsia="Times New Roman" w:hAnsi="Times New Roman" w:cs="Times New Roman"/>
      <w:szCs w:val="20"/>
      <w:lang w:val="en-GB" w:eastAsia="zh-CN"/>
    </w:rPr>
  </w:style>
  <w:style w:type="paragraph" w:customStyle="1" w:styleId="Betarp1">
    <w:name w:val="Be tarpų1"/>
    <w:uiPriority w:val="99"/>
    <w:rsid w:val="00792B7D"/>
    <w:pPr>
      <w:tabs>
        <w:tab w:val="left" w:pos="567"/>
      </w:tabs>
      <w:ind w:left="0" w:firstLine="0"/>
    </w:pPr>
    <w:rPr>
      <w:rFonts w:ascii="Times New Roman" w:eastAsia="Times New Roman" w:hAnsi="Times New Roman" w:cs="Times New Roman"/>
      <w:szCs w:val="20"/>
      <w:lang w:val="en-GB" w:eastAsia="zh-CN"/>
    </w:rPr>
  </w:style>
  <w:style w:type="paragraph" w:customStyle="1" w:styleId="Citata1">
    <w:name w:val="Citata1"/>
    <w:basedOn w:val="prastasis"/>
    <w:next w:val="prastasis"/>
    <w:uiPriority w:val="99"/>
    <w:rsid w:val="00792B7D"/>
    <w:pPr>
      <w:tabs>
        <w:tab w:val="left" w:pos="567"/>
      </w:tabs>
      <w:spacing w:line="260" w:lineRule="exact"/>
      <w:ind w:left="0" w:firstLine="0"/>
    </w:pPr>
    <w:rPr>
      <w:rFonts w:ascii="Times New Roman" w:eastAsia="Times New Roman" w:hAnsi="Times New Roman" w:cs="Times New Roman"/>
      <w:i/>
      <w:iCs/>
      <w:color w:val="000000"/>
      <w:szCs w:val="20"/>
      <w:lang w:val="en-GB" w:eastAsia="zh-CN"/>
    </w:rPr>
  </w:style>
  <w:style w:type="paragraph" w:customStyle="1" w:styleId="Iskirtacitata1">
    <w:name w:val="Išskirta citata1"/>
    <w:basedOn w:val="prastasis"/>
    <w:next w:val="prastasis"/>
    <w:uiPriority w:val="99"/>
    <w:rsid w:val="00792B7D"/>
    <w:pPr>
      <w:pBdr>
        <w:bottom w:val="single" w:sz="4" w:space="4" w:color="4F81BD"/>
      </w:pBdr>
      <w:tabs>
        <w:tab w:val="left" w:pos="567"/>
      </w:tabs>
      <w:spacing w:before="200" w:after="280" w:line="260" w:lineRule="exact"/>
      <w:ind w:left="936" w:right="936" w:firstLine="0"/>
    </w:pPr>
    <w:rPr>
      <w:rFonts w:ascii="Times New Roman" w:eastAsia="Times New Roman" w:hAnsi="Times New Roman" w:cs="Times New Roman"/>
      <w:b/>
      <w:bCs/>
      <w:i/>
      <w:iCs/>
      <w:color w:val="4F81BD"/>
      <w:szCs w:val="20"/>
      <w:lang w:val="en-GB" w:eastAsia="zh-CN"/>
    </w:rPr>
  </w:style>
  <w:style w:type="paragraph" w:customStyle="1" w:styleId="Turinioantrat1">
    <w:name w:val="Turinio antraštė1"/>
    <w:basedOn w:val="Antrat1"/>
    <w:next w:val="prastasis"/>
    <w:uiPriority w:val="99"/>
    <w:semiHidden/>
    <w:rsid w:val="006F7169"/>
    <w:pPr>
      <w:tabs>
        <w:tab w:val="clear" w:pos="1296"/>
        <w:tab w:val="left" w:pos="567"/>
      </w:tabs>
      <w:spacing w:line="260" w:lineRule="exact"/>
      <w:outlineLvl w:val="9"/>
    </w:pPr>
    <w:rPr>
      <w:rFonts w:ascii="Cambria" w:hAnsi="Cambria" w:cs="Times New Roman"/>
      <w:lang w:val="en-GB" w:eastAsia="zh-CN"/>
    </w:rPr>
  </w:style>
  <w:style w:type="paragraph" w:customStyle="1" w:styleId="Sraopastraipa1">
    <w:name w:val="Sąrašo pastraipa1"/>
    <w:basedOn w:val="prastasis"/>
    <w:uiPriority w:val="99"/>
    <w:rsid w:val="00792B7D"/>
    <w:pPr>
      <w:tabs>
        <w:tab w:val="left" w:pos="567"/>
      </w:tabs>
      <w:spacing w:line="260" w:lineRule="exact"/>
      <w:ind w:left="708" w:firstLine="0"/>
    </w:pPr>
    <w:rPr>
      <w:rFonts w:ascii="Times New Roman" w:eastAsia="Times New Roman" w:hAnsi="Times New Roman" w:cs="Times New Roman"/>
      <w:szCs w:val="20"/>
      <w:lang w:val="en-GB" w:eastAsia="zh-CN"/>
    </w:rPr>
  </w:style>
  <w:style w:type="paragraph" w:customStyle="1" w:styleId="Indeksas11">
    <w:name w:val="Indeksas 11"/>
    <w:basedOn w:val="prastasis"/>
    <w:next w:val="prastasis"/>
    <w:autoRedefine/>
    <w:uiPriority w:val="99"/>
    <w:rsid w:val="00792B7D"/>
    <w:pPr>
      <w:tabs>
        <w:tab w:val="left" w:pos="1296"/>
      </w:tabs>
      <w:spacing w:line="260" w:lineRule="exact"/>
      <w:ind w:left="220" w:hanging="220"/>
    </w:pPr>
    <w:rPr>
      <w:rFonts w:ascii="Times New Roman" w:eastAsia="Times New Roman" w:hAnsi="Times New Roman" w:cs="Times New Roman"/>
      <w:szCs w:val="20"/>
      <w:lang w:val="en-GB" w:eastAsia="zh-CN"/>
    </w:rPr>
  </w:style>
  <w:style w:type="paragraph" w:customStyle="1" w:styleId="Indeksoantrat1">
    <w:name w:val="Indekso antraštė1"/>
    <w:basedOn w:val="prastasis"/>
    <w:next w:val="Indeksas11"/>
    <w:uiPriority w:val="99"/>
    <w:rsid w:val="00792B7D"/>
    <w:pPr>
      <w:tabs>
        <w:tab w:val="left" w:pos="567"/>
      </w:tabs>
      <w:spacing w:line="260" w:lineRule="exact"/>
      <w:ind w:left="0" w:firstLine="0"/>
    </w:pPr>
    <w:rPr>
      <w:rFonts w:ascii="Cambria" w:eastAsia="Times New Roman" w:hAnsi="Cambria" w:cs="Times New Roman"/>
      <w:b/>
      <w:bCs/>
      <w:szCs w:val="20"/>
      <w:lang w:val="en-GB" w:eastAsia="zh-CN"/>
    </w:rPr>
  </w:style>
  <w:style w:type="paragraph" w:customStyle="1" w:styleId="Indeksas21">
    <w:name w:val="Indeksas 21"/>
    <w:basedOn w:val="prastasis"/>
    <w:next w:val="prastasis"/>
    <w:autoRedefine/>
    <w:uiPriority w:val="99"/>
    <w:rsid w:val="00792B7D"/>
    <w:pPr>
      <w:tabs>
        <w:tab w:val="left" w:pos="1296"/>
      </w:tabs>
      <w:spacing w:line="260" w:lineRule="exact"/>
      <w:ind w:left="440" w:hanging="220"/>
    </w:pPr>
    <w:rPr>
      <w:rFonts w:ascii="Times New Roman" w:eastAsia="Times New Roman" w:hAnsi="Times New Roman" w:cs="Times New Roman"/>
      <w:szCs w:val="20"/>
      <w:lang w:val="en-GB" w:eastAsia="zh-CN"/>
    </w:rPr>
  </w:style>
  <w:style w:type="paragraph" w:customStyle="1" w:styleId="Indeksas31">
    <w:name w:val="Indeksas 31"/>
    <w:basedOn w:val="prastasis"/>
    <w:next w:val="prastasis"/>
    <w:autoRedefine/>
    <w:uiPriority w:val="99"/>
    <w:rsid w:val="00792B7D"/>
    <w:pPr>
      <w:tabs>
        <w:tab w:val="left" w:pos="1296"/>
      </w:tabs>
      <w:spacing w:line="260" w:lineRule="exact"/>
      <w:ind w:left="660" w:hanging="220"/>
    </w:pPr>
    <w:rPr>
      <w:rFonts w:ascii="Times New Roman" w:eastAsia="Times New Roman" w:hAnsi="Times New Roman" w:cs="Times New Roman"/>
      <w:szCs w:val="20"/>
      <w:lang w:val="en-GB" w:eastAsia="zh-CN"/>
    </w:rPr>
  </w:style>
  <w:style w:type="paragraph" w:customStyle="1" w:styleId="Indeksas41">
    <w:name w:val="Indeksas 41"/>
    <w:basedOn w:val="prastasis"/>
    <w:next w:val="prastasis"/>
    <w:autoRedefine/>
    <w:uiPriority w:val="99"/>
    <w:rsid w:val="00792B7D"/>
    <w:pPr>
      <w:tabs>
        <w:tab w:val="left" w:pos="1296"/>
      </w:tabs>
      <w:spacing w:line="260" w:lineRule="exact"/>
      <w:ind w:left="880" w:hanging="220"/>
    </w:pPr>
    <w:rPr>
      <w:rFonts w:ascii="Times New Roman" w:eastAsia="Times New Roman" w:hAnsi="Times New Roman" w:cs="Times New Roman"/>
      <w:szCs w:val="20"/>
      <w:lang w:val="en-GB" w:eastAsia="zh-CN"/>
    </w:rPr>
  </w:style>
  <w:style w:type="paragraph" w:customStyle="1" w:styleId="Indeksas51">
    <w:name w:val="Indeksas 51"/>
    <w:basedOn w:val="prastasis"/>
    <w:next w:val="prastasis"/>
    <w:autoRedefine/>
    <w:uiPriority w:val="99"/>
    <w:rsid w:val="00792B7D"/>
    <w:pPr>
      <w:tabs>
        <w:tab w:val="left" w:pos="1296"/>
      </w:tabs>
      <w:spacing w:line="260" w:lineRule="exact"/>
      <w:ind w:left="1100" w:hanging="220"/>
    </w:pPr>
    <w:rPr>
      <w:rFonts w:ascii="Times New Roman" w:eastAsia="Times New Roman" w:hAnsi="Times New Roman" w:cs="Times New Roman"/>
      <w:szCs w:val="20"/>
      <w:lang w:val="en-GB" w:eastAsia="zh-CN"/>
    </w:rPr>
  </w:style>
  <w:style w:type="paragraph" w:customStyle="1" w:styleId="Indeksas61">
    <w:name w:val="Indeksas 61"/>
    <w:basedOn w:val="prastasis"/>
    <w:next w:val="prastasis"/>
    <w:autoRedefine/>
    <w:uiPriority w:val="99"/>
    <w:rsid w:val="00792B7D"/>
    <w:pPr>
      <w:tabs>
        <w:tab w:val="left" w:pos="1296"/>
      </w:tabs>
      <w:spacing w:line="260" w:lineRule="exact"/>
      <w:ind w:left="1320" w:hanging="220"/>
    </w:pPr>
    <w:rPr>
      <w:rFonts w:ascii="Times New Roman" w:eastAsia="Times New Roman" w:hAnsi="Times New Roman" w:cs="Times New Roman"/>
      <w:szCs w:val="20"/>
      <w:lang w:val="en-GB" w:eastAsia="zh-CN"/>
    </w:rPr>
  </w:style>
  <w:style w:type="paragraph" w:customStyle="1" w:styleId="Indeksas71">
    <w:name w:val="Indeksas 71"/>
    <w:basedOn w:val="prastasis"/>
    <w:next w:val="prastasis"/>
    <w:autoRedefine/>
    <w:uiPriority w:val="99"/>
    <w:rsid w:val="00792B7D"/>
    <w:pPr>
      <w:tabs>
        <w:tab w:val="left" w:pos="1296"/>
      </w:tabs>
      <w:spacing w:line="260" w:lineRule="exact"/>
      <w:ind w:left="1540" w:hanging="220"/>
    </w:pPr>
    <w:rPr>
      <w:rFonts w:ascii="Times New Roman" w:eastAsia="Times New Roman" w:hAnsi="Times New Roman" w:cs="Times New Roman"/>
      <w:szCs w:val="20"/>
      <w:lang w:val="en-GB" w:eastAsia="zh-CN"/>
    </w:rPr>
  </w:style>
  <w:style w:type="paragraph" w:customStyle="1" w:styleId="Indeksas81">
    <w:name w:val="Indeksas 81"/>
    <w:basedOn w:val="prastasis"/>
    <w:next w:val="prastasis"/>
    <w:autoRedefine/>
    <w:uiPriority w:val="99"/>
    <w:rsid w:val="00792B7D"/>
    <w:pPr>
      <w:tabs>
        <w:tab w:val="left" w:pos="1296"/>
      </w:tabs>
      <w:spacing w:line="260" w:lineRule="exact"/>
      <w:ind w:left="1760" w:hanging="220"/>
    </w:pPr>
    <w:rPr>
      <w:rFonts w:ascii="Times New Roman" w:eastAsia="Times New Roman" w:hAnsi="Times New Roman" w:cs="Times New Roman"/>
      <w:szCs w:val="20"/>
      <w:lang w:val="en-GB" w:eastAsia="zh-CN"/>
    </w:rPr>
  </w:style>
  <w:style w:type="paragraph" w:customStyle="1" w:styleId="Indeksas91">
    <w:name w:val="Indeksas 91"/>
    <w:basedOn w:val="prastasis"/>
    <w:next w:val="prastasis"/>
    <w:autoRedefine/>
    <w:uiPriority w:val="99"/>
    <w:rsid w:val="00792B7D"/>
    <w:pPr>
      <w:tabs>
        <w:tab w:val="left" w:pos="1296"/>
      </w:tabs>
      <w:spacing w:line="260" w:lineRule="exact"/>
      <w:ind w:left="1980" w:hanging="220"/>
    </w:pPr>
    <w:rPr>
      <w:rFonts w:ascii="Times New Roman" w:eastAsia="Times New Roman" w:hAnsi="Times New Roman" w:cs="Times New Roman"/>
      <w:szCs w:val="20"/>
      <w:lang w:val="en-GB" w:eastAsia="zh-CN"/>
    </w:rPr>
  </w:style>
  <w:style w:type="character" w:styleId="Komentaronuoroda">
    <w:name w:val="annotation reference"/>
    <w:uiPriority w:val="99"/>
    <w:unhideWhenUsed/>
    <w:rsid w:val="00792B7D"/>
    <w:rPr>
      <w:rFonts w:ascii="Times New Roman" w:hAnsi="Times New Roman" w:cs="Times New Roman" w:hint="default"/>
      <w:sz w:val="16"/>
    </w:rPr>
  </w:style>
  <w:style w:type="character" w:customStyle="1" w:styleId="tw4winMark">
    <w:name w:val="tw4winMark"/>
    <w:uiPriority w:val="99"/>
    <w:rsid w:val="00792B7D"/>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6F7169"/>
    <w:rPr>
      <w:rFonts w:ascii="Courier New" w:hAnsi="Courier New" w:cs="Courier New" w:hint="default"/>
      <w:color w:val="00FF00"/>
      <w:sz w:val="40"/>
    </w:rPr>
  </w:style>
  <w:style w:type="character" w:customStyle="1" w:styleId="tw4winTerm">
    <w:name w:val="tw4winTerm"/>
    <w:uiPriority w:val="99"/>
    <w:rsid w:val="006F7169"/>
    <w:rPr>
      <w:color w:val="0000FF"/>
    </w:rPr>
  </w:style>
  <w:style w:type="character" w:customStyle="1" w:styleId="tw4winPopup">
    <w:name w:val="tw4winPopup"/>
    <w:uiPriority w:val="99"/>
    <w:rsid w:val="006F7169"/>
    <w:rPr>
      <w:rFonts w:ascii="Courier New" w:hAnsi="Courier New" w:cs="Courier New" w:hint="default"/>
      <w:noProof/>
      <w:color w:val="008000"/>
    </w:rPr>
  </w:style>
  <w:style w:type="character" w:customStyle="1" w:styleId="tw4winJump">
    <w:name w:val="tw4winJump"/>
    <w:uiPriority w:val="99"/>
    <w:rsid w:val="006F7169"/>
    <w:rPr>
      <w:rFonts w:ascii="Courier New" w:hAnsi="Courier New" w:cs="Courier New" w:hint="default"/>
      <w:noProof/>
      <w:color w:val="008080"/>
    </w:rPr>
  </w:style>
  <w:style w:type="character" w:customStyle="1" w:styleId="tw4winExternal">
    <w:name w:val="tw4winExternal"/>
    <w:uiPriority w:val="99"/>
    <w:rsid w:val="006F7169"/>
    <w:rPr>
      <w:rFonts w:ascii="Courier New" w:hAnsi="Courier New" w:cs="Courier New" w:hint="default"/>
      <w:noProof/>
      <w:color w:val="808080"/>
    </w:rPr>
  </w:style>
  <w:style w:type="character" w:customStyle="1" w:styleId="tw4winInternal">
    <w:name w:val="tw4winInternal"/>
    <w:uiPriority w:val="99"/>
    <w:rsid w:val="006F7169"/>
    <w:rPr>
      <w:rFonts w:ascii="Courier New" w:hAnsi="Courier New" w:cs="Courier New" w:hint="default"/>
      <w:noProof/>
      <w:color w:val="FF0000"/>
    </w:rPr>
  </w:style>
  <w:style w:type="character" w:customStyle="1" w:styleId="DONOTTRANSLATE">
    <w:name w:val="DO_NOT_TRANSLATE"/>
    <w:uiPriority w:val="99"/>
    <w:rsid w:val="006F7169"/>
    <w:rPr>
      <w:rFonts w:ascii="Courier New" w:hAnsi="Courier New" w:cs="Courier New" w:hint="default"/>
      <w:noProof/>
      <w:color w:val="800000"/>
    </w:rPr>
  </w:style>
  <w:style w:type="character" w:customStyle="1" w:styleId="TelobesedilaZnak">
    <w:name w:val="Telo besedila Znak"/>
    <w:uiPriority w:val="99"/>
    <w:rsid w:val="006F7169"/>
    <w:rPr>
      <w:rFonts w:ascii="Times New Roman" w:eastAsia="Times New Roman" w:hAnsi="Times New Roman" w:cs="Times New Roman" w:hint="default"/>
      <w:szCs w:val="20"/>
      <w:lang w:val="en-GB" w:eastAsia="zh-CN"/>
    </w:rPr>
  </w:style>
  <w:style w:type="table" w:styleId="Lentelstinklelis">
    <w:name w:val="Table Grid"/>
    <w:basedOn w:val="prastojilentel"/>
    <w:uiPriority w:val="99"/>
    <w:rsid w:val="006F7169"/>
    <w:pPr>
      <w:ind w:left="0" w:firstLine="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79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986287">
      <w:bodyDiv w:val="1"/>
      <w:marLeft w:val="0"/>
      <w:marRight w:val="0"/>
      <w:marTop w:val="0"/>
      <w:marBottom w:val="0"/>
      <w:divBdr>
        <w:top w:val="none" w:sz="0" w:space="0" w:color="auto"/>
        <w:left w:val="none" w:sz="0" w:space="0" w:color="auto"/>
        <w:bottom w:val="none" w:sz="0" w:space="0" w:color="auto"/>
        <w:right w:val="none" w:sz="0" w:space="0" w:color="auto"/>
      </w:divBdr>
    </w:div>
    <w:div w:id="19967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E5928-594C-442E-8A96-AEAB5FE7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100336</Words>
  <Characters>57193</Characters>
  <Application>Microsoft Office Word</Application>
  <DocSecurity>4</DocSecurity>
  <Lines>476</Lines>
  <Paragraphs>314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157215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2021-04-15T11:22:00Z</dcterms:created>
  <dcterms:modified xsi:type="dcterms:W3CDTF">2021-04-15T11:22:00Z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Docetaxel</vt:lpwstr>
  </property>
  <property fmtid="{D5CDD505-2E9C-101B-9397-08002B2CF9AE}" pid="4" name="ph_pharm_form">
    <vt:lpwstr>concentrate for solution for infusion</vt:lpwstr>
  </property>
  <property fmtid="{D5CDD505-2E9C-101B-9397-08002B2CF9AE}" pid="5" name="ph_unit_measure">
    <vt:lpwstr>mg_ml</vt:lpwstr>
  </property>
  <property fmtid="{D5CDD505-2E9C-101B-9397-08002B2CF9AE}" pid="6" name="mp_first_effective_date">
    <vt:lpwstr>07.05.2020</vt:lpwstr>
  </property>
  <property fmtid="{D5CDD505-2E9C-101B-9397-08002B2CF9AE}" pid="7" name="mp_updated_effective_date">
    <vt:lpwstr/>
  </property>
  <property fmtid="{D5CDD505-2E9C-101B-9397-08002B2CF9AE}" pid="8" name="object_name">
    <vt:lpwstr>SmPCPIL148642_2</vt:lpwstr>
  </property>
  <property fmtid="{D5CDD505-2E9C-101B-9397-08002B2CF9AE}" pid="9" name="ph_strength_custom">
    <vt:lpwstr>20_1</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