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6E751" w14:textId="77777777" w:rsidR="00311D0F" w:rsidRPr="00CA7033" w:rsidRDefault="00311D0F" w:rsidP="00311D0F">
      <w:pPr>
        <w:ind w:left="567" w:hanging="567"/>
        <w:rPr>
          <w:szCs w:val="22"/>
        </w:rPr>
      </w:pPr>
    </w:p>
    <w:p w14:paraId="2CE4D216" w14:textId="77777777" w:rsidR="00311D0F" w:rsidRPr="00CA7033" w:rsidRDefault="00311D0F" w:rsidP="00311D0F">
      <w:pPr>
        <w:ind w:left="567" w:hanging="567"/>
        <w:rPr>
          <w:szCs w:val="22"/>
        </w:rPr>
      </w:pPr>
    </w:p>
    <w:p w14:paraId="615C70A7" w14:textId="77777777" w:rsidR="00311D0F" w:rsidRPr="00CA7033" w:rsidRDefault="00311D0F" w:rsidP="00311D0F">
      <w:pPr>
        <w:ind w:left="567" w:hanging="567"/>
        <w:rPr>
          <w:szCs w:val="22"/>
        </w:rPr>
      </w:pPr>
    </w:p>
    <w:p w14:paraId="325AAEA1" w14:textId="77777777" w:rsidR="00311D0F" w:rsidRPr="00CA7033" w:rsidRDefault="00311D0F" w:rsidP="00311D0F">
      <w:pPr>
        <w:ind w:left="567" w:hanging="567"/>
        <w:rPr>
          <w:szCs w:val="22"/>
        </w:rPr>
      </w:pPr>
    </w:p>
    <w:p w14:paraId="5BEA28E8" w14:textId="77777777" w:rsidR="00311D0F" w:rsidRPr="00CA7033" w:rsidRDefault="00311D0F" w:rsidP="00311D0F">
      <w:pPr>
        <w:ind w:left="567" w:hanging="567"/>
        <w:rPr>
          <w:szCs w:val="22"/>
        </w:rPr>
      </w:pPr>
    </w:p>
    <w:p w14:paraId="413044FE" w14:textId="77777777" w:rsidR="00311D0F" w:rsidRPr="00CA7033" w:rsidRDefault="00311D0F" w:rsidP="00311D0F">
      <w:pPr>
        <w:ind w:left="567" w:hanging="567"/>
        <w:rPr>
          <w:szCs w:val="22"/>
        </w:rPr>
      </w:pPr>
    </w:p>
    <w:p w14:paraId="73D38FA6" w14:textId="77777777" w:rsidR="00311D0F" w:rsidRPr="00CA7033" w:rsidRDefault="00311D0F" w:rsidP="00311D0F">
      <w:pPr>
        <w:ind w:left="567" w:hanging="567"/>
        <w:rPr>
          <w:szCs w:val="22"/>
        </w:rPr>
      </w:pPr>
    </w:p>
    <w:p w14:paraId="163AC92B" w14:textId="77777777" w:rsidR="00311D0F" w:rsidRPr="00CA7033" w:rsidRDefault="00311D0F" w:rsidP="00311D0F">
      <w:pPr>
        <w:ind w:left="567" w:hanging="567"/>
        <w:rPr>
          <w:szCs w:val="22"/>
        </w:rPr>
      </w:pPr>
    </w:p>
    <w:p w14:paraId="684445D1" w14:textId="77777777" w:rsidR="00311D0F" w:rsidRPr="00CA7033" w:rsidRDefault="00311D0F" w:rsidP="00311D0F">
      <w:pPr>
        <w:ind w:left="567" w:hanging="567"/>
        <w:rPr>
          <w:szCs w:val="22"/>
        </w:rPr>
      </w:pPr>
    </w:p>
    <w:p w14:paraId="1E3762E8" w14:textId="77777777" w:rsidR="00311D0F" w:rsidRPr="00CA7033" w:rsidRDefault="00311D0F" w:rsidP="00311D0F">
      <w:pPr>
        <w:ind w:left="567" w:hanging="567"/>
        <w:rPr>
          <w:szCs w:val="22"/>
        </w:rPr>
      </w:pPr>
    </w:p>
    <w:p w14:paraId="4DDA1B0C" w14:textId="77777777" w:rsidR="00311D0F" w:rsidRPr="00CA7033" w:rsidRDefault="00311D0F" w:rsidP="00311D0F">
      <w:pPr>
        <w:ind w:left="567" w:hanging="567"/>
        <w:rPr>
          <w:szCs w:val="22"/>
        </w:rPr>
      </w:pPr>
    </w:p>
    <w:p w14:paraId="434C811D" w14:textId="77777777" w:rsidR="00311D0F" w:rsidRPr="00CA7033" w:rsidRDefault="00311D0F" w:rsidP="00311D0F">
      <w:pPr>
        <w:ind w:left="567" w:hanging="567"/>
        <w:rPr>
          <w:szCs w:val="22"/>
        </w:rPr>
      </w:pPr>
    </w:p>
    <w:p w14:paraId="690202A2" w14:textId="77777777" w:rsidR="00311D0F" w:rsidRPr="00CA7033" w:rsidRDefault="00311D0F" w:rsidP="00311D0F">
      <w:pPr>
        <w:ind w:left="567" w:hanging="567"/>
        <w:rPr>
          <w:szCs w:val="22"/>
        </w:rPr>
      </w:pPr>
    </w:p>
    <w:p w14:paraId="0D2BFD89" w14:textId="77777777" w:rsidR="00311D0F" w:rsidRPr="00CA7033" w:rsidRDefault="00311D0F" w:rsidP="00311D0F">
      <w:pPr>
        <w:ind w:left="567" w:hanging="567"/>
        <w:rPr>
          <w:szCs w:val="22"/>
        </w:rPr>
      </w:pPr>
    </w:p>
    <w:p w14:paraId="6BAA2DD5" w14:textId="77777777" w:rsidR="00311D0F" w:rsidRPr="00CA7033" w:rsidRDefault="00311D0F" w:rsidP="00311D0F">
      <w:pPr>
        <w:ind w:left="567" w:hanging="567"/>
        <w:rPr>
          <w:szCs w:val="22"/>
        </w:rPr>
      </w:pPr>
    </w:p>
    <w:p w14:paraId="7AAD4600" w14:textId="77777777" w:rsidR="00311D0F" w:rsidRPr="00CA7033" w:rsidRDefault="00311D0F" w:rsidP="00311D0F">
      <w:pPr>
        <w:ind w:left="567" w:hanging="567"/>
        <w:rPr>
          <w:szCs w:val="22"/>
        </w:rPr>
      </w:pPr>
    </w:p>
    <w:p w14:paraId="6463777E" w14:textId="77777777" w:rsidR="00311D0F" w:rsidRPr="00CA7033" w:rsidRDefault="00311D0F" w:rsidP="00311D0F">
      <w:pPr>
        <w:ind w:left="567" w:hanging="567"/>
        <w:rPr>
          <w:szCs w:val="22"/>
        </w:rPr>
      </w:pPr>
    </w:p>
    <w:p w14:paraId="56EC029A" w14:textId="77777777" w:rsidR="00311D0F" w:rsidRPr="00CA7033" w:rsidRDefault="00311D0F" w:rsidP="00311D0F">
      <w:pPr>
        <w:ind w:left="567" w:hanging="567"/>
        <w:rPr>
          <w:szCs w:val="22"/>
        </w:rPr>
      </w:pPr>
    </w:p>
    <w:p w14:paraId="372CA204" w14:textId="77777777" w:rsidR="00311D0F" w:rsidRPr="00CA7033" w:rsidRDefault="00311D0F" w:rsidP="00311D0F">
      <w:pPr>
        <w:ind w:left="567" w:hanging="567"/>
        <w:rPr>
          <w:szCs w:val="22"/>
        </w:rPr>
      </w:pPr>
    </w:p>
    <w:p w14:paraId="465045A6" w14:textId="77777777" w:rsidR="00311D0F" w:rsidRPr="00CA7033" w:rsidRDefault="00311D0F" w:rsidP="00311D0F">
      <w:pPr>
        <w:ind w:left="567" w:hanging="567"/>
        <w:rPr>
          <w:szCs w:val="22"/>
        </w:rPr>
      </w:pPr>
    </w:p>
    <w:p w14:paraId="108CD51D" w14:textId="77777777" w:rsidR="00311D0F" w:rsidRPr="00CA7033" w:rsidRDefault="00311D0F" w:rsidP="00311D0F">
      <w:pPr>
        <w:ind w:left="567" w:hanging="567"/>
        <w:rPr>
          <w:szCs w:val="22"/>
        </w:rPr>
      </w:pPr>
    </w:p>
    <w:p w14:paraId="05D86AEB" w14:textId="77777777" w:rsidR="00311D0F" w:rsidRPr="00CA7033" w:rsidRDefault="00311D0F" w:rsidP="00311D0F">
      <w:pPr>
        <w:ind w:left="567" w:hanging="567"/>
        <w:rPr>
          <w:szCs w:val="22"/>
        </w:rPr>
      </w:pPr>
    </w:p>
    <w:p w14:paraId="5A8A6162" w14:textId="77777777" w:rsidR="00311D0F" w:rsidRPr="00CA7033" w:rsidRDefault="00311D0F" w:rsidP="00311D0F">
      <w:pPr>
        <w:ind w:left="567" w:hanging="567"/>
        <w:rPr>
          <w:szCs w:val="22"/>
        </w:rPr>
      </w:pPr>
    </w:p>
    <w:p w14:paraId="09C6C64B" w14:textId="77777777" w:rsidR="00311D0F" w:rsidRPr="00CA7033" w:rsidRDefault="00311D0F" w:rsidP="00311D0F">
      <w:pPr>
        <w:keepNext/>
        <w:tabs>
          <w:tab w:val="left" w:pos="567"/>
        </w:tabs>
        <w:jc w:val="center"/>
        <w:outlineLvl w:val="1"/>
        <w:rPr>
          <w:b/>
          <w:snapToGrid w:val="0"/>
          <w:szCs w:val="22"/>
          <w:lang w:eastAsia="x-none"/>
        </w:rPr>
      </w:pPr>
      <w:r w:rsidRPr="00CA7033">
        <w:rPr>
          <w:b/>
          <w:bCs/>
          <w:iCs/>
          <w:snapToGrid w:val="0"/>
          <w:szCs w:val="22"/>
          <w:lang w:eastAsia="x-none"/>
        </w:rPr>
        <w:t>I PRIEDAS</w:t>
      </w:r>
    </w:p>
    <w:p w14:paraId="29B1EEFC" w14:textId="77777777" w:rsidR="00311D0F" w:rsidRPr="00CA7033" w:rsidRDefault="00311D0F" w:rsidP="00311D0F">
      <w:pPr>
        <w:ind w:left="567" w:hanging="567"/>
        <w:jc w:val="center"/>
        <w:rPr>
          <w:b/>
          <w:bCs/>
          <w:szCs w:val="22"/>
        </w:rPr>
      </w:pPr>
    </w:p>
    <w:p w14:paraId="2A29F4D1" w14:textId="77777777" w:rsidR="00311D0F" w:rsidRPr="00CA7033" w:rsidRDefault="00311D0F" w:rsidP="00311D0F">
      <w:pPr>
        <w:ind w:left="567" w:hanging="567"/>
        <w:jc w:val="center"/>
        <w:rPr>
          <w:szCs w:val="22"/>
        </w:rPr>
      </w:pPr>
      <w:r w:rsidRPr="00CA7033">
        <w:rPr>
          <w:b/>
          <w:bCs/>
          <w:szCs w:val="22"/>
        </w:rPr>
        <w:t>PREPARATO CHARAKTERISTIKŲ SANTRAUKA</w:t>
      </w:r>
    </w:p>
    <w:p w14:paraId="26A1C367" w14:textId="77777777" w:rsidR="00311D0F" w:rsidRPr="00CA7033" w:rsidRDefault="00311D0F" w:rsidP="00311D0F">
      <w:pPr>
        <w:rPr>
          <w:b/>
          <w:szCs w:val="22"/>
        </w:rPr>
      </w:pPr>
      <w:r w:rsidRPr="00CA7033">
        <w:rPr>
          <w:szCs w:val="22"/>
        </w:rPr>
        <w:br w:type="page"/>
      </w:r>
      <w:r w:rsidRPr="00CA7033">
        <w:rPr>
          <w:b/>
          <w:szCs w:val="22"/>
        </w:rPr>
        <w:lastRenderedPageBreak/>
        <w:t>1.</w:t>
      </w:r>
      <w:r w:rsidRPr="00CA7033">
        <w:rPr>
          <w:b/>
          <w:szCs w:val="22"/>
        </w:rPr>
        <w:tab/>
      </w:r>
      <w:r w:rsidRPr="00CA7033">
        <w:rPr>
          <w:b/>
          <w:caps/>
          <w:szCs w:val="22"/>
        </w:rPr>
        <w:t>VAISTINIO</w:t>
      </w:r>
      <w:r w:rsidRPr="00CA7033">
        <w:rPr>
          <w:b/>
          <w:szCs w:val="22"/>
        </w:rPr>
        <w:t xml:space="preserve"> PREPARATO PAVADINIMAS</w:t>
      </w:r>
    </w:p>
    <w:p w14:paraId="26D21937" w14:textId="77777777" w:rsidR="00311D0F" w:rsidRPr="00CA7033" w:rsidRDefault="00311D0F" w:rsidP="00311D0F">
      <w:pPr>
        <w:ind w:left="567" w:hanging="567"/>
        <w:rPr>
          <w:szCs w:val="22"/>
        </w:rPr>
      </w:pPr>
    </w:p>
    <w:p w14:paraId="651E21CE" w14:textId="77777777" w:rsidR="00311D0F" w:rsidRPr="00CA7033" w:rsidRDefault="00311D0F" w:rsidP="00311D0F">
      <w:pPr>
        <w:pStyle w:val="Default"/>
        <w:rPr>
          <w:sz w:val="22"/>
          <w:szCs w:val="22"/>
          <w:lang w:val="lt-LT"/>
        </w:rPr>
      </w:pPr>
      <w:bookmarkStart w:id="0" w:name="_GoBack"/>
      <w:r w:rsidRPr="00CA7033">
        <w:rPr>
          <w:iCs/>
          <w:sz w:val="22"/>
          <w:szCs w:val="22"/>
          <w:lang w:val="lt-LT"/>
        </w:rPr>
        <w:t xml:space="preserve">Dexilant </w:t>
      </w:r>
      <w:bookmarkEnd w:id="0"/>
      <w:r w:rsidRPr="00CA7033">
        <w:rPr>
          <w:iCs/>
          <w:sz w:val="22"/>
          <w:szCs w:val="22"/>
          <w:lang w:val="lt-LT"/>
        </w:rPr>
        <w:t xml:space="preserve">30 mg </w:t>
      </w:r>
      <w:r w:rsidRPr="00CA7033">
        <w:rPr>
          <w:sz w:val="22"/>
          <w:szCs w:val="22"/>
          <w:lang w:val="lt-LT"/>
        </w:rPr>
        <w:t>modifikuoto atpalaidavimo kietosios kapsulės</w:t>
      </w:r>
    </w:p>
    <w:p w14:paraId="5003B8F9" w14:textId="77777777" w:rsidR="00311D0F" w:rsidRPr="00CA7033" w:rsidRDefault="00311D0F" w:rsidP="00311D0F">
      <w:pPr>
        <w:rPr>
          <w:iCs/>
          <w:szCs w:val="22"/>
        </w:rPr>
      </w:pPr>
    </w:p>
    <w:p w14:paraId="39DBF9D4" w14:textId="77777777" w:rsidR="00311D0F" w:rsidRPr="00CA7033" w:rsidRDefault="00311D0F" w:rsidP="00311D0F">
      <w:pPr>
        <w:tabs>
          <w:tab w:val="left" w:pos="2100"/>
        </w:tabs>
        <w:rPr>
          <w:iCs/>
          <w:szCs w:val="22"/>
        </w:rPr>
      </w:pPr>
      <w:r w:rsidRPr="00CA7033">
        <w:rPr>
          <w:iCs/>
          <w:szCs w:val="22"/>
        </w:rPr>
        <w:t xml:space="preserve">Dexilant 60 mg </w:t>
      </w:r>
      <w:r w:rsidRPr="00CA7033">
        <w:rPr>
          <w:szCs w:val="22"/>
        </w:rPr>
        <w:t>modifikuoto atpalaidavimo kietosios kapsulės</w:t>
      </w:r>
    </w:p>
    <w:p w14:paraId="470C1DE5" w14:textId="77777777" w:rsidR="00311D0F" w:rsidRPr="00CA7033" w:rsidRDefault="00311D0F" w:rsidP="00311D0F">
      <w:pPr>
        <w:rPr>
          <w:iCs/>
          <w:szCs w:val="22"/>
        </w:rPr>
      </w:pPr>
    </w:p>
    <w:p w14:paraId="36E3B8E7" w14:textId="77777777" w:rsidR="00311D0F" w:rsidRPr="00CA7033" w:rsidRDefault="00311D0F" w:rsidP="00311D0F">
      <w:pPr>
        <w:ind w:left="567" w:hanging="567"/>
        <w:rPr>
          <w:szCs w:val="22"/>
        </w:rPr>
      </w:pPr>
    </w:p>
    <w:p w14:paraId="5939402C" w14:textId="77777777" w:rsidR="00311D0F" w:rsidRPr="00CA7033" w:rsidRDefault="00311D0F" w:rsidP="00311D0F">
      <w:pPr>
        <w:ind w:left="567" w:hanging="567"/>
        <w:rPr>
          <w:b/>
          <w:caps/>
          <w:szCs w:val="22"/>
        </w:rPr>
      </w:pPr>
      <w:r w:rsidRPr="00CA7033">
        <w:rPr>
          <w:b/>
          <w:caps/>
          <w:szCs w:val="22"/>
        </w:rPr>
        <w:t>2.</w:t>
      </w:r>
      <w:r w:rsidRPr="00CA7033">
        <w:rPr>
          <w:b/>
          <w:caps/>
          <w:szCs w:val="22"/>
        </w:rPr>
        <w:tab/>
        <w:t>kokybinė ir kiekybinė sudėtis</w:t>
      </w:r>
    </w:p>
    <w:p w14:paraId="045FB20D" w14:textId="77777777" w:rsidR="00311D0F" w:rsidRPr="00CA7033" w:rsidRDefault="00311D0F" w:rsidP="00311D0F">
      <w:pPr>
        <w:rPr>
          <w:szCs w:val="22"/>
        </w:rPr>
      </w:pPr>
    </w:p>
    <w:p w14:paraId="663E5CEF" w14:textId="77777777" w:rsidR="00311D0F" w:rsidRPr="00CA7033" w:rsidRDefault="00311D0F" w:rsidP="00311D0F">
      <w:pPr>
        <w:pStyle w:val="Default"/>
        <w:rPr>
          <w:sz w:val="22"/>
          <w:szCs w:val="22"/>
          <w:lang w:val="lt-LT"/>
        </w:rPr>
      </w:pPr>
      <w:r w:rsidRPr="00CA7033">
        <w:rPr>
          <w:sz w:val="22"/>
          <w:szCs w:val="22"/>
          <w:lang w:val="lt-LT"/>
        </w:rPr>
        <w:t>Kiekvienoje kapsulėje yra 30 mg dekslansoprazolo.</w:t>
      </w:r>
    </w:p>
    <w:p w14:paraId="01803038" w14:textId="77777777" w:rsidR="00311D0F" w:rsidRPr="00CA7033" w:rsidRDefault="00311D0F" w:rsidP="00311D0F">
      <w:pPr>
        <w:rPr>
          <w:szCs w:val="22"/>
        </w:rPr>
      </w:pPr>
    </w:p>
    <w:p w14:paraId="2DC67D55" w14:textId="77777777" w:rsidR="00311D0F" w:rsidRPr="00CA7033" w:rsidRDefault="00311D0F" w:rsidP="00311D0F">
      <w:pPr>
        <w:pStyle w:val="Default"/>
        <w:rPr>
          <w:sz w:val="22"/>
          <w:szCs w:val="22"/>
          <w:lang w:val="lt-LT"/>
        </w:rPr>
      </w:pPr>
      <w:r w:rsidRPr="00CA7033">
        <w:rPr>
          <w:sz w:val="22"/>
          <w:szCs w:val="22"/>
          <w:lang w:val="lt-LT"/>
        </w:rPr>
        <w:t>Kiekvienoje kapsulėje yra 60 mg dekslansoprazolo.</w:t>
      </w:r>
    </w:p>
    <w:p w14:paraId="32C2E712" w14:textId="77777777" w:rsidR="00311D0F" w:rsidRPr="00CA7033" w:rsidRDefault="00311D0F" w:rsidP="00311D0F">
      <w:pPr>
        <w:pStyle w:val="EMEAEnBodyText"/>
        <w:autoSpaceDE w:val="0"/>
        <w:autoSpaceDN w:val="0"/>
        <w:adjustRightInd w:val="0"/>
        <w:spacing w:before="0" w:after="0"/>
        <w:rPr>
          <w:szCs w:val="22"/>
          <w:u w:val="single"/>
          <w:lang w:val="lt-LT"/>
        </w:rPr>
      </w:pPr>
    </w:p>
    <w:p w14:paraId="7A275D90" w14:textId="4313F2D9" w:rsidR="00311D0F" w:rsidRPr="00CA7033" w:rsidRDefault="00311D0F" w:rsidP="00311D0F">
      <w:pPr>
        <w:pStyle w:val="EMEAEnBodyText"/>
        <w:autoSpaceDE w:val="0"/>
        <w:autoSpaceDN w:val="0"/>
        <w:adjustRightInd w:val="0"/>
        <w:spacing w:before="0" w:after="0"/>
        <w:rPr>
          <w:szCs w:val="22"/>
          <w:u w:val="single"/>
          <w:lang w:val="lt-LT"/>
        </w:rPr>
      </w:pPr>
      <w:r w:rsidRPr="00CA7033">
        <w:rPr>
          <w:szCs w:val="22"/>
          <w:u w:val="single"/>
          <w:lang w:val="lt-LT"/>
        </w:rPr>
        <w:t>Pagalbinė (-s) medžiaga (-os), kurios (-ių) poveikis žinomas</w:t>
      </w:r>
    </w:p>
    <w:p w14:paraId="533D5276" w14:textId="77777777" w:rsidR="00311D0F" w:rsidRPr="00CA7033" w:rsidRDefault="00311D0F" w:rsidP="00311D0F">
      <w:pPr>
        <w:rPr>
          <w:szCs w:val="22"/>
        </w:rPr>
      </w:pPr>
      <w:r w:rsidRPr="00CA7033">
        <w:rPr>
          <w:szCs w:val="22"/>
        </w:rPr>
        <w:t>Kiekvienoje 30 mg modifikuoto atpalaidavimo kietojoje kapsulėje yra 68 mg sacharozės.</w:t>
      </w:r>
    </w:p>
    <w:p w14:paraId="729165BC" w14:textId="77777777" w:rsidR="00311D0F" w:rsidRPr="00CA7033" w:rsidRDefault="00311D0F" w:rsidP="00311D0F">
      <w:pPr>
        <w:rPr>
          <w:szCs w:val="22"/>
        </w:rPr>
      </w:pPr>
    </w:p>
    <w:p w14:paraId="4EF8DA94" w14:textId="77777777" w:rsidR="00311D0F" w:rsidRPr="00CA7033" w:rsidRDefault="00311D0F" w:rsidP="00311D0F">
      <w:pPr>
        <w:rPr>
          <w:szCs w:val="22"/>
        </w:rPr>
      </w:pPr>
      <w:r w:rsidRPr="00CA7033">
        <w:rPr>
          <w:szCs w:val="22"/>
        </w:rPr>
        <w:t>Kiekvienoje 60 mg modifikuoto atpalaidavimo kietojoje kapsulėje yra 76 mg sacharozės.</w:t>
      </w:r>
    </w:p>
    <w:p w14:paraId="3BE62E37" w14:textId="77777777" w:rsidR="00311D0F" w:rsidRPr="00CA7033" w:rsidRDefault="00311D0F" w:rsidP="00311D0F">
      <w:pPr>
        <w:pStyle w:val="EMEAEnBodyText"/>
        <w:autoSpaceDE w:val="0"/>
        <w:autoSpaceDN w:val="0"/>
        <w:adjustRightInd w:val="0"/>
        <w:spacing w:before="0" w:after="0"/>
        <w:rPr>
          <w:szCs w:val="22"/>
          <w:lang w:val="lt-LT"/>
        </w:rPr>
      </w:pPr>
    </w:p>
    <w:p w14:paraId="0887D4A4" w14:textId="77777777" w:rsidR="00311D0F" w:rsidRPr="00CA7033" w:rsidRDefault="00311D0F" w:rsidP="00311D0F">
      <w:pPr>
        <w:rPr>
          <w:szCs w:val="22"/>
        </w:rPr>
      </w:pPr>
      <w:r w:rsidRPr="00CA7033">
        <w:rPr>
          <w:szCs w:val="22"/>
        </w:rPr>
        <w:t>Visos pagalbinės medžiagos išvardytos 6.1 skyriuje.</w:t>
      </w:r>
    </w:p>
    <w:p w14:paraId="5DF55731" w14:textId="77777777" w:rsidR="00311D0F" w:rsidRPr="00CA7033" w:rsidRDefault="00311D0F" w:rsidP="00311D0F">
      <w:pPr>
        <w:ind w:left="567" w:hanging="567"/>
        <w:rPr>
          <w:szCs w:val="22"/>
        </w:rPr>
      </w:pPr>
    </w:p>
    <w:p w14:paraId="281ED4CF" w14:textId="77777777" w:rsidR="00311D0F" w:rsidRPr="00CA7033" w:rsidRDefault="00311D0F" w:rsidP="00311D0F">
      <w:pPr>
        <w:ind w:left="567" w:hanging="567"/>
        <w:rPr>
          <w:szCs w:val="22"/>
        </w:rPr>
      </w:pPr>
    </w:p>
    <w:p w14:paraId="41D6D327" w14:textId="77777777" w:rsidR="00311D0F" w:rsidRPr="00CA7033" w:rsidRDefault="00311D0F" w:rsidP="00311D0F">
      <w:pPr>
        <w:ind w:left="567" w:hanging="567"/>
        <w:rPr>
          <w:b/>
          <w:caps/>
          <w:szCs w:val="22"/>
        </w:rPr>
      </w:pPr>
      <w:r w:rsidRPr="00CA7033">
        <w:rPr>
          <w:b/>
          <w:caps/>
          <w:szCs w:val="22"/>
        </w:rPr>
        <w:t>3.</w:t>
      </w:r>
      <w:r w:rsidRPr="00CA7033">
        <w:rPr>
          <w:b/>
          <w:caps/>
          <w:szCs w:val="22"/>
        </w:rPr>
        <w:tab/>
        <w:t>FARMACINĖ forma</w:t>
      </w:r>
    </w:p>
    <w:p w14:paraId="696F63B8" w14:textId="77777777" w:rsidR="00311D0F" w:rsidRPr="00CA7033" w:rsidRDefault="00311D0F" w:rsidP="00311D0F">
      <w:pPr>
        <w:rPr>
          <w:szCs w:val="22"/>
          <w:highlight w:val="yellow"/>
        </w:rPr>
      </w:pPr>
    </w:p>
    <w:p w14:paraId="715180E7" w14:textId="4109BB11" w:rsidR="00311D0F" w:rsidRPr="00CA7033" w:rsidRDefault="00311D0F" w:rsidP="00311D0F">
      <w:pPr>
        <w:pStyle w:val="Default"/>
        <w:rPr>
          <w:sz w:val="22"/>
          <w:szCs w:val="22"/>
          <w:lang w:val="lt-LT"/>
        </w:rPr>
      </w:pPr>
      <w:r w:rsidRPr="00CA7033">
        <w:rPr>
          <w:sz w:val="22"/>
          <w:szCs w:val="22"/>
          <w:lang w:val="lt-LT"/>
        </w:rPr>
        <w:t>Modifikuoto atpalaidavimo kietoji kapsulė</w:t>
      </w:r>
      <w:r w:rsidR="00260B52" w:rsidRPr="00CA7033">
        <w:rPr>
          <w:sz w:val="22"/>
          <w:szCs w:val="22"/>
          <w:lang w:val="lt-LT"/>
        </w:rPr>
        <w:t xml:space="preserve"> (kapsulė)</w:t>
      </w:r>
      <w:r w:rsidR="00A20A3F" w:rsidRPr="00CA7033">
        <w:rPr>
          <w:sz w:val="22"/>
          <w:szCs w:val="22"/>
          <w:lang w:val="lt-LT"/>
        </w:rPr>
        <w:t>.</w:t>
      </w:r>
    </w:p>
    <w:p w14:paraId="5ECB0FCF" w14:textId="77777777" w:rsidR="00311D0F" w:rsidRPr="00CA7033" w:rsidRDefault="00311D0F" w:rsidP="00311D0F">
      <w:pPr>
        <w:rPr>
          <w:szCs w:val="22"/>
        </w:rPr>
      </w:pPr>
    </w:p>
    <w:p w14:paraId="2F2A55A3" w14:textId="77777777" w:rsidR="00311D0F" w:rsidRPr="00CA7033" w:rsidRDefault="00311D0F" w:rsidP="00311D0F">
      <w:pPr>
        <w:rPr>
          <w:szCs w:val="22"/>
        </w:rPr>
      </w:pPr>
      <w:r w:rsidRPr="00CA7033">
        <w:rPr>
          <w:szCs w:val="22"/>
        </w:rPr>
        <w:t xml:space="preserve">Kiekviena 30 mg kapsulė (3 dydžio) yra nepermatoma, jos dangtelis yra mėlynas, korpusas - pilkas, dangtelyje įspausta „TAP“, korpuse – „30“. </w:t>
      </w:r>
    </w:p>
    <w:p w14:paraId="0624151A" w14:textId="77777777" w:rsidR="00311D0F" w:rsidRPr="00CA7033" w:rsidRDefault="00311D0F" w:rsidP="00311D0F">
      <w:pPr>
        <w:rPr>
          <w:szCs w:val="22"/>
        </w:rPr>
      </w:pPr>
    </w:p>
    <w:p w14:paraId="314A337A" w14:textId="77777777" w:rsidR="00311D0F" w:rsidRPr="00CA7033" w:rsidRDefault="00311D0F" w:rsidP="00311D0F">
      <w:pPr>
        <w:rPr>
          <w:szCs w:val="22"/>
        </w:rPr>
      </w:pPr>
      <w:r w:rsidRPr="00CA7033">
        <w:rPr>
          <w:szCs w:val="22"/>
        </w:rPr>
        <w:t xml:space="preserve">Kiekviena 60 mg kapsulė (2 dydžio) yra nepermatoma, jos dangtelis ir korpusas yra mėlyni, dangtelyje įspausta „TAP“, korpuse – „60“. </w:t>
      </w:r>
    </w:p>
    <w:p w14:paraId="06A5AF88" w14:textId="77777777" w:rsidR="00311D0F" w:rsidRPr="00CA7033" w:rsidRDefault="00311D0F" w:rsidP="00311D0F">
      <w:pPr>
        <w:rPr>
          <w:szCs w:val="22"/>
        </w:rPr>
      </w:pPr>
    </w:p>
    <w:p w14:paraId="1D4BB093" w14:textId="77777777" w:rsidR="00311D0F" w:rsidRPr="00CA7033" w:rsidRDefault="00311D0F" w:rsidP="00311D0F">
      <w:pPr>
        <w:ind w:left="567" w:hanging="567"/>
        <w:rPr>
          <w:szCs w:val="22"/>
        </w:rPr>
      </w:pPr>
    </w:p>
    <w:p w14:paraId="7BC1CBC5" w14:textId="77777777" w:rsidR="00311D0F" w:rsidRPr="00CA7033" w:rsidRDefault="00311D0F" w:rsidP="00311D0F">
      <w:pPr>
        <w:ind w:left="567" w:hanging="567"/>
        <w:rPr>
          <w:b/>
          <w:caps/>
          <w:szCs w:val="22"/>
        </w:rPr>
      </w:pPr>
      <w:r w:rsidRPr="00CA7033">
        <w:rPr>
          <w:b/>
          <w:caps/>
          <w:szCs w:val="22"/>
        </w:rPr>
        <w:t>4.</w:t>
      </w:r>
      <w:r w:rsidRPr="00CA7033">
        <w:rPr>
          <w:b/>
          <w:caps/>
          <w:szCs w:val="22"/>
        </w:rPr>
        <w:tab/>
        <w:t>klinikinĖ informacija</w:t>
      </w:r>
    </w:p>
    <w:p w14:paraId="54B332A3" w14:textId="77777777" w:rsidR="00311D0F" w:rsidRPr="00CA7033" w:rsidRDefault="00311D0F" w:rsidP="00311D0F">
      <w:pPr>
        <w:ind w:left="567" w:hanging="567"/>
        <w:rPr>
          <w:szCs w:val="22"/>
        </w:rPr>
      </w:pPr>
    </w:p>
    <w:p w14:paraId="79AA6A9B" w14:textId="77777777" w:rsidR="00311D0F" w:rsidRPr="00CA7033" w:rsidRDefault="00311D0F" w:rsidP="00311D0F">
      <w:pPr>
        <w:ind w:left="567" w:hanging="567"/>
        <w:rPr>
          <w:b/>
          <w:szCs w:val="22"/>
        </w:rPr>
      </w:pPr>
      <w:r w:rsidRPr="00CA7033">
        <w:rPr>
          <w:b/>
          <w:szCs w:val="22"/>
        </w:rPr>
        <w:t>4.1</w:t>
      </w:r>
      <w:r w:rsidRPr="00CA7033">
        <w:rPr>
          <w:b/>
          <w:szCs w:val="22"/>
        </w:rPr>
        <w:tab/>
        <w:t>Terapinės indikacijos</w:t>
      </w:r>
    </w:p>
    <w:p w14:paraId="19C8C2E2" w14:textId="77777777" w:rsidR="00311D0F" w:rsidRPr="00CA7033" w:rsidRDefault="00311D0F" w:rsidP="00311D0F">
      <w:pPr>
        <w:ind w:left="567" w:hanging="567"/>
        <w:rPr>
          <w:szCs w:val="22"/>
        </w:rPr>
      </w:pPr>
    </w:p>
    <w:p w14:paraId="45E91445" w14:textId="1A78A295" w:rsidR="00311D0F" w:rsidRPr="00CA7033" w:rsidRDefault="00311D0F" w:rsidP="00311D0F">
      <w:pPr>
        <w:rPr>
          <w:szCs w:val="22"/>
        </w:rPr>
      </w:pPr>
      <w:r w:rsidRPr="00CA7033">
        <w:rPr>
          <w:szCs w:val="22"/>
        </w:rPr>
        <w:t>Dexilant vartojama suaugusiems žmonėms ir 12</w:t>
      </w:r>
      <w:r w:rsidR="00260B52" w:rsidRPr="00CA7033">
        <w:rPr>
          <w:szCs w:val="22"/>
        </w:rPr>
        <w:t>–</w:t>
      </w:r>
      <w:r w:rsidRPr="00CA7033">
        <w:rPr>
          <w:szCs w:val="22"/>
        </w:rPr>
        <w:t>17 metų paaugliams:</w:t>
      </w:r>
    </w:p>
    <w:p w14:paraId="19BB6F70" w14:textId="77777777" w:rsidR="00311D0F" w:rsidRPr="00CA7033" w:rsidRDefault="00311D0F" w:rsidP="009A1CE0">
      <w:pPr>
        <w:numPr>
          <w:ilvl w:val="0"/>
          <w:numId w:val="4"/>
        </w:numPr>
        <w:tabs>
          <w:tab w:val="clear" w:pos="360"/>
        </w:tabs>
        <w:spacing w:line="260" w:lineRule="exact"/>
        <w:ind w:left="567" w:hanging="567"/>
        <w:rPr>
          <w:szCs w:val="22"/>
        </w:rPr>
      </w:pPr>
      <w:r w:rsidRPr="00CA7033">
        <w:rPr>
          <w:szCs w:val="22"/>
        </w:rPr>
        <w:t>refliukso sukelto erozinio ezofagito gydymui;</w:t>
      </w:r>
    </w:p>
    <w:p w14:paraId="46AEE365" w14:textId="77777777" w:rsidR="00311D0F" w:rsidRPr="00CA7033" w:rsidRDefault="00311D0F" w:rsidP="009A1CE0">
      <w:pPr>
        <w:numPr>
          <w:ilvl w:val="0"/>
          <w:numId w:val="4"/>
        </w:numPr>
        <w:tabs>
          <w:tab w:val="clear" w:pos="360"/>
          <w:tab w:val="num" w:pos="567"/>
        </w:tabs>
        <w:spacing w:line="260" w:lineRule="exact"/>
        <w:ind w:left="567" w:hanging="567"/>
        <w:rPr>
          <w:szCs w:val="22"/>
        </w:rPr>
      </w:pPr>
      <w:r w:rsidRPr="00CA7033">
        <w:rPr>
          <w:szCs w:val="22"/>
        </w:rPr>
        <w:t>refliukso sukelto erozinio ezofagito užgijimo ir rėmens malšinimo palaikymui;</w:t>
      </w:r>
    </w:p>
    <w:p w14:paraId="3E566D03" w14:textId="77777777" w:rsidR="00311D0F" w:rsidRPr="00CA7033" w:rsidRDefault="00311D0F" w:rsidP="009A1CE0">
      <w:pPr>
        <w:numPr>
          <w:ilvl w:val="0"/>
          <w:numId w:val="4"/>
        </w:numPr>
        <w:tabs>
          <w:tab w:val="clear" w:pos="360"/>
          <w:tab w:val="num" w:pos="567"/>
        </w:tabs>
        <w:spacing w:line="260" w:lineRule="exact"/>
        <w:ind w:left="567" w:hanging="567"/>
        <w:rPr>
          <w:szCs w:val="22"/>
        </w:rPr>
      </w:pPr>
      <w:r w:rsidRPr="00CA7033">
        <w:rPr>
          <w:szCs w:val="22"/>
        </w:rPr>
        <w:t>su simptomine gastroezofaginio refliukso liga (GERL) be erozinio ezofagito susijusio rėmens ir rūgšties regurgitacijos trumpalaikiam gydymui.</w:t>
      </w:r>
    </w:p>
    <w:p w14:paraId="14A0E555" w14:textId="77777777" w:rsidR="00311D0F" w:rsidRPr="00CA7033" w:rsidRDefault="00311D0F" w:rsidP="00311D0F">
      <w:pPr>
        <w:ind w:left="567" w:hanging="567"/>
        <w:rPr>
          <w:szCs w:val="22"/>
        </w:rPr>
      </w:pPr>
    </w:p>
    <w:p w14:paraId="7B8AAE2A" w14:textId="77777777" w:rsidR="00311D0F" w:rsidRPr="00CA7033" w:rsidRDefault="00311D0F" w:rsidP="00311D0F">
      <w:pPr>
        <w:ind w:left="567" w:hanging="567"/>
        <w:rPr>
          <w:b/>
          <w:szCs w:val="22"/>
        </w:rPr>
      </w:pPr>
      <w:r w:rsidRPr="00CA7033">
        <w:rPr>
          <w:b/>
          <w:szCs w:val="22"/>
        </w:rPr>
        <w:t>4.2</w:t>
      </w:r>
      <w:r w:rsidRPr="00CA7033">
        <w:rPr>
          <w:b/>
          <w:szCs w:val="22"/>
        </w:rPr>
        <w:tab/>
        <w:t>Dozavimas ir vartojimo metodas</w:t>
      </w:r>
    </w:p>
    <w:p w14:paraId="12487B9E" w14:textId="77777777" w:rsidR="00311D0F" w:rsidRPr="00CA7033" w:rsidRDefault="00311D0F" w:rsidP="00311D0F">
      <w:pPr>
        <w:ind w:left="567" w:hanging="567"/>
        <w:rPr>
          <w:b/>
          <w:szCs w:val="22"/>
        </w:rPr>
      </w:pPr>
    </w:p>
    <w:p w14:paraId="01BB27B5" w14:textId="77777777" w:rsidR="00311D0F" w:rsidRPr="00CA7033" w:rsidRDefault="00311D0F" w:rsidP="00311D0F">
      <w:pPr>
        <w:rPr>
          <w:szCs w:val="22"/>
          <w:u w:val="single"/>
        </w:rPr>
      </w:pPr>
      <w:r w:rsidRPr="00CA7033">
        <w:rPr>
          <w:szCs w:val="22"/>
          <w:u w:val="single"/>
        </w:rPr>
        <w:t>Dozavimas</w:t>
      </w:r>
    </w:p>
    <w:p w14:paraId="03EEECED" w14:textId="77777777" w:rsidR="00311D0F" w:rsidRPr="00CA7033" w:rsidRDefault="00311D0F" w:rsidP="00311D0F">
      <w:pPr>
        <w:rPr>
          <w:szCs w:val="22"/>
        </w:rPr>
      </w:pPr>
    </w:p>
    <w:p w14:paraId="0003ECFC" w14:textId="77777777" w:rsidR="00311D0F" w:rsidRPr="00CA7033" w:rsidRDefault="00311D0F" w:rsidP="009A1CE0">
      <w:pPr>
        <w:numPr>
          <w:ilvl w:val="0"/>
          <w:numId w:val="5"/>
        </w:numPr>
        <w:tabs>
          <w:tab w:val="clear" w:pos="360"/>
          <w:tab w:val="left" w:pos="567"/>
        </w:tabs>
        <w:spacing w:line="260" w:lineRule="exact"/>
        <w:rPr>
          <w:szCs w:val="22"/>
        </w:rPr>
      </w:pPr>
      <w:r w:rsidRPr="00CA7033">
        <w:rPr>
          <w:szCs w:val="22"/>
        </w:rPr>
        <w:t>Refliukso sukelto erozinio ezofagito gydymas</w:t>
      </w:r>
    </w:p>
    <w:p w14:paraId="31A74273" w14:textId="2101E52A" w:rsidR="00311D0F" w:rsidRPr="00CA7033" w:rsidRDefault="00311D0F" w:rsidP="00311D0F">
      <w:pPr>
        <w:pStyle w:val="Sraopastraipa"/>
        <w:tabs>
          <w:tab w:val="left" w:pos="567"/>
        </w:tabs>
        <w:spacing w:line="260" w:lineRule="exact"/>
        <w:ind w:left="360"/>
        <w:rPr>
          <w:i/>
          <w:szCs w:val="22"/>
        </w:rPr>
      </w:pPr>
      <w:r w:rsidRPr="00CA7033">
        <w:rPr>
          <w:i/>
          <w:szCs w:val="22"/>
        </w:rPr>
        <w:tab/>
        <w:t>Suaugusiesiems ir 12</w:t>
      </w:r>
      <w:r w:rsidR="00260B52" w:rsidRPr="00CA7033">
        <w:rPr>
          <w:i/>
          <w:szCs w:val="22"/>
        </w:rPr>
        <w:t>–</w:t>
      </w:r>
      <w:r w:rsidRPr="00CA7033">
        <w:rPr>
          <w:i/>
          <w:szCs w:val="22"/>
        </w:rPr>
        <w:t>17 metų paaugliams</w:t>
      </w:r>
    </w:p>
    <w:p w14:paraId="78AD083A" w14:textId="77777777" w:rsidR="00311D0F" w:rsidRPr="00CA7033" w:rsidRDefault="00311D0F" w:rsidP="00311D0F">
      <w:pPr>
        <w:ind w:left="567"/>
        <w:rPr>
          <w:szCs w:val="22"/>
        </w:rPr>
      </w:pPr>
      <w:r w:rsidRPr="00CA7033">
        <w:rPr>
          <w:szCs w:val="22"/>
        </w:rPr>
        <w:t>Rekomenduojama 4 savaites kartą per parą vartoti 60 mg dozę. Jei per tokį laikotarpį pacientas visiškai neišgyja, gydymą tokia pačia doze galima tęsti dar 4 savaites.</w:t>
      </w:r>
    </w:p>
    <w:p w14:paraId="212180A9" w14:textId="77777777" w:rsidR="00311D0F" w:rsidRPr="00CA7033" w:rsidRDefault="00311D0F" w:rsidP="00311D0F">
      <w:pPr>
        <w:rPr>
          <w:szCs w:val="22"/>
        </w:rPr>
      </w:pPr>
    </w:p>
    <w:p w14:paraId="1D519EB3" w14:textId="77777777" w:rsidR="00311D0F" w:rsidRPr="00CA7033" w:rsidRDefault="00311D0F" w:rsidP="009A1CE0">
      <w:pPr>
        <w:numPr>
          <w:ilvl w:val="0"/>
          <w:numId w:val="5"/>
        </w:numPr>
        <w:tabs>
          <w:tab w:val="clear" w:pos="360"/>
          <w:tab w:val="num" w:pos="567"/>
        </w:tabs>
        <w:spacing w:line="260" w:lineRule="exact"/>
        <w:ind w:left="567" w:hanging="567"/>
        <w:rPr>
          <w:szCs w:val="22"/>
        </w:rPr>
      </w:pPr>
      <w:r w:rsidRPr="00CA7033">
        <w:rPr>
          <w:szCs w:val="22"/>
        </w:rPr>
        <w:t>Refliukso sukelto erozinio ezofagito užgijimo ir rėmens malšinimo palaikymas</w:t>
      </w:r>
    </w:p>
    <w:p w14:paraId="5F42018E" w14:textId="77777777" w:rsidR="00311D0F" w:rsidRPr="00CA7033" w:rsidRDefault="00311D0F" w:rsidP="00311D0F">
      <w:pPr>
        <w:ind w:left="567"/>
        <w:rPr>
          <w:szCs w:val="22"/>
        </w:rPr>
      </w:pPr>
      <w:r w:rsidRPr="00CA7033">
        <w:rPr>
          <w:i/>
          <w:szCs w:val="22"/>
        </w:rPr>
        <w:t>Suaugusiesiems</w:t>
      </w:r>
      <w:r w:rsidRPr="00CA7033">
        <w:rPr>
          <w:szCs w:val="22"/>
        </w:rPr>
        <w:t>. Pacientams, kuriems reikalingas ilgalaikis rūgšties slopinimas, rekomenduojama kartą per parą vartoti 30 mg dozę ne ilgiau kaip 6 mėnesius.</w:t>
      </w:r>
    </w:p>
    <w:p w14:paraId="02429E33" w14:textId="60C152D6" w:rsidR="00311D0F" w:rsidRPr="00CA7033" w:rsidRDefault="00311D0F" w:rsidP="00311D0F">
      <w:pPr>
        <w:ind w:left="567"/>
      </w:pPr>
      <w:r w:rsidRPr="00CA7033">
        <w:rPr>
          <w:i/>
          <w:szCs w:val="22"/>
        </w:rPr>
        <w:t>12</w:t>
      </w:r>
      <w:r w:rsidR="00260B52" w:rsidRPr="00CA7033">
        <w:rPr>
          <w:i/>
          <w:szCs w:val="22"/>
        </w:rPr>
        <w:t>–</w:t>
      </w:r>
      <w:r w:rsidRPr="00CA7033">
        <w:rPr>
          <w:i/>
          <w:szCs w:val="22"/>
        </w:rPr>
        <w:t>17 metų paaugliams.</w:t>
      </w:r>
      <w:r w:rsidRPr="00CA7033">
        <w:rPr>
          <w:szCs w:val="22"/>
        </w:rPr>
        <w:t xml:space="preserve"> Rekomenduojama kartą per parą vartoti 30 mg dozę</w:t>
      </w:r>
      <w:r w:rsidRPr="00CA7033">
        <w:t>. Šiuo metu turimais duomenimis specifinės gydymo laikotarpio trukmės paremti negalima. Sprendimą dėl gydymo trukmės gydytojas turi priimti kiekvienam pacientui individualiai.</w:t>
      </w:r>
    </w:p>
    <w:p w14:paraId="50BBB66F" w14:textId="77777777" w:rsidR="00311D0F" w:rsidRPr="00CA7033" w:rsidRDefault="00311D0F" w:rsidP="00311D0F">
      <w:pPr>
        <w:ind w:left="567"/>
        <w:rPr>
          <w:szCs w:val="22"/>
        </w:rPr>
      </w:pPr>
    </w:p>
    <w:p w14:paraId="4C52AB19" w14:textId="77777777" w:rsidR="00311D0F" w:rsidRPr="00CA7033" w:rsidRDefault="00311D0F" w:rsidP="00311D0F">
      <w:pPr>
        <w:rPr>
          <w:szCs w:val="22"/>
        </w:rPr>
      </w:pPr>
    </w:p>
    <w:p w14:paraId="1A7AC8B5" w14:textId="77777777" w:rsidR="00311D0F" w:rsidRPr="00CA7033" w:rsidRDefault="00311D0F" w:rsidP="009A1CE0">
      <w:pPr>
        <w:numPr>
          <w:ilvl w:val="0"/>
          <w:numId w:val="5"/>
        </w:numPr>
        <w:tabs>
          <w:tab w:val="clear" w:pos="360"/>
          <w:tab w:val="num" w:pos="567"/>
        </w:tabs>
        <w:spacing w:line="260" w:lineRule="exact"/>
        <w:ind w:left="567" w:hanging="567"/>
        <w:rPr>
          <w:szCs w:val="22"/>
        </w:rPr>
      </w:pPr>
      <w:r w:rsidRPr="00CA7033">
        <w:rPr>
          <w:szCs w:val="22"/>
        </w:rPr>
        <w:t>Simptominė gastroezofaginio refliukso liga (GERL) be erozinio ezofagito</w:t>
      </w:r>
    </w:p>
    <w:p w14:paraId="73728D6F" w14:textId="7393C460" w:rsidR="00311D0F" w:rsidRPr="00CA7033" w:rsidRDefault="00311D0F" w:rsidP="00311D0F">
      <w:pPr>
        <w:ind w:left="567"/>
        <w:rPr>
          <w:szCs w:val="22"/>
        </w:rPr>
      </w:pPr>
      <w:r w:rsidRPr="00CA7033">
        <w:rPr>
          <w:i/>
          <w:szCs w:val="22"/>
        </w:rPr>
        <w:t>Suaugusiesiems ir 12</w:t>
      </w:r>
      <w:r w:rsidR="00260B52" w:rsidRPr="00CA7033">
        <w:rPr>
          <w:i/>
          <w:szCs w:val="22"/>
        </w:rPr>
        <w:t>–</w:t>
      </w:r>
      <w:r w:rsidRPr="00CA7033">
        <w:rPr>
          <w:i/>
          <w:szCs w:val="22"/>
        </w:rPr>
        <w:t>17 metų paaugliams</w:t>
      </w:r>
      <w:r w:rsidRPr="00CA7033">
        <w:rPr>
          <w:szCs w:val="22"/>
        </w:rPr>
        <w:t>. Rekomenduojama kartą per parą vartoti 30 mg dozę iki 4 savaičių.</w:t>
      </w:r>
    </w:p>
    <w:p w14:paraId="0CA8D8AF" w14:textId="77777777" w:rsidR="00311D0F" w:rsidRPr="00CA7033" w:rsidRDefault="00311D0F" w:rsidP="00311D0F">
      <w:pPr>
        <w:rPr>
          <w:szCs w:val="22"/>
        </w:rPr>
      </w:pPr>
    </w:p>
    <w:p w14:paraId="448D60B4" w14:textId="77777777" w:rsidR="00311D0F" w:rsidRPr="00CA7033" w:rsidRDefault="00311D0F" w:rsidP="00311D0F">
      <w:pPr>
        <w:ind w:left="567" w:hanging="567"/>
        <w:rPr>
          <w:szCs w:val="22"/>
          <w:u w:val="single"/>
        </w:rPr>
      </w:pPr>
      <w:r w:rsidRPr="00CA7033">
        <w:rPr>
          <w:szCs w:val="22"/>
          <w:u w:val="single"/>
        </w:rPr>
        <w:t>Ypatingos populiacijos</w:t>
      </w:r>
    </w:p>
    <w:p w14:paraId="7EC3BCE4" w14:textId="77777777" w:rsidR="00311D0F" w:rsidRPr="00CA7033" w:rsidRDefault="00311D0F" w:rsidP="00311D0F">
      <w:pPr>
        <w:ind w:left="567" w:hanging="567"/>
        <w:rPr>
          <w:szCs w:val="22"/>
        </w:rPr>
      </w:pPr>
    </w:p>
    <w:p w14:paraId="36327F6C" w14:textId="77777777" w:rsidR="00311D0F" w:rsidRPr="00CA7033" w:rsidRDefault="00311D0F" w:rsidP="00311D0F">
      <w:pPr>
        <w:ind w:left="567" w:hanging="567"/>
        <w:rPr>
          <w:i/>
          <w:szCs w:val="22"/>
        </w:rPr>
      </w:pPr>
      <w:r w:rsidRPr="00CA7033">
        <w:rPr>
          <w:i/>
          <w:szCs w:val="22"/>
        </w:rPr>
        <w:t>Senyviems pacientams</w:t>
      </w:r>
    </w:p>
    <w:p w14:paraId="4A4F312B" w14:textId="77777777" w:rsidR="00311D0F" w:rsidRPr="00CA7033" w:rsidRDefault="00311D0F" w:rsidP="00311D0F">
      <w:pPr>
        <w:tabs>
          <w:tab w:val="left" w:pos="0"/>
        </w:tabs>
        <w:rPr>
          <w:szCs w:val="22"/>
        </w:rPr>
      </w:pPr>
    </w:p>
    <w:p w14:paraId="5B1E1DC7" w14:textId="77777777" w:rsidR="00311D0F" w:rsidRPr="00CA7033" w:rsidRDefault="00311D0F" w:rsidP="00311D0F">
      <w:pPr>
        <w:rPr>
          <w:szCs w:val="22"/>
        </w:rPr>
      </w:pPr>
      <w:r w:rsidRPr="00CA7033">
        <w:rPr>
          <w:szCs w:val="22"/>
        </w:rPr>
        <w:t>Senyvų žmonių organizme dekslansoprazolo klirensas sumažėja, todėl, atsižvelgiant į individualų poreikį, dozę gali reikėti koreguoti. Senyviems žmonėms negalima vartoti didesnės kaip 60 mg paros dozės, nebent yra įtikinamų klinikinių indikacijų (žr. 5.2 skyrių).</w:t>
      </w:r>
    </w:p>
    <w:p w14:paraId="2D694F5C" w14:textId="77777777" w:rsidR="00311D0F" w:rsidRPr="00CA7033" w:rsidRDefault="00311D0F" w:rsidP="00311D0F">
      <w:pPr>
        <w:tabs>
          <w:tab w:val="left" w:pos="0"/>
        </w:tabs>
        <w:rPr>
          <w:szCs w:val="22"/>
        </w:rPr>
      </w:pPr>
    </w:p>
    <w:p w14:paraId="3C163DC3" w14:textId="77777777" w:rsidR="00311D0F" w:rsidRPr="00CA7033" w:rsidRDefault="00311D0F" w:rsidP="00311D0F">
      <w:pPr>
        <w:ind w:left="567" w:hanging="567"/>
        <w:rPr>
          <w:i/>
          <w:szCs w:val="22"/>
        </w:rPr>
      </w:pPr>
      <w:r w:rsidRPr="00CA7033">
        <w:rPr>
          <w:i/>
          <w:szCs w:val="22"/>
        </w:rPr>
        <w:t>Pacientams, kurių inkstų funkcija sutrikusi</w:t>
      </w:r>
    </w:p>
    <w:p w14:paraId="3C4C244D" w14:textId="77777777" w:rsidR="00311D0F" w:rsidRPr="00CA7033" w:rsidRDefault="00311D0F" w:rsidP="00311D0F">
      <w:pPr>
        <w:ind w:left="567" w:hanging="567"/>
        <w:rPr>
          <w:szCs w:val="22"/>
        </w:rPr>
      </w:pPr>
    </w:p>
    <w:p w14:paraId="50197C3B" w14:textId="77777777" w:rsidR="00311D0F" w:rsidRPr="00CA7033" w:rsidRDefault="00311D0F" w:rsidP="00311D0F">
      <w:pPr>
        <w:ind w:left="567" w:hanging="567"/>
        <w:rPr>
          <w:szCs w:val="22"/>
        </w:rPr>
      </w:pPr>
      <w:r w:rsidRPr="00CA7033">
        <w:rPr>
          <w:szCs w:val="22"/>
        </w:rPr>
        <w:t>Pacientams, kurių inkstų funkcija sutrikusi, dozės koreguoti nereikia (žr. 5.2 skyrių).</w:t>
      </w:r>
    </w:p>
    <w:p w14:paraId="7CBFD09A" w14:textId="77777777" w:rsidR="00311D0F" w:rsidRPr="00CA7033" w:rsidRDefault="00311D0F" w:rsidP="00311D0F">
      <w:pPr>
        <w:ind w:left="567" w:hanging="567"/>
        <w:rPr>
          <w:szCs w:val="22"/>
        </w:rPr>
      </w:pPr>
    </w:p>
    <w:p w14:paraId="65B296BC" w14:textId="77777777" w:rsidR="00311D0F" w:rsidRPr="00CA7033" w:rsidRDefault="00311D0F" w:rsidP="00311D0F">
      <w:pPr>
        <w:ind w:left="567" w:hanging="567"/>
        <w:rPr>
          <w:i/>
          <w:szCs w:val="22"/>
        </w:rPr>
      </w:pPr>
      <w:r w:rsidRPr="00CA7033">
        <w:rPr>
          <w:i/>
          <w:szCs w:val="22"/>
        </w:rPr>
        <w:t>Pacientams, kurių kepenų funkcija sutrikusi</w:t>
      </w:r>
    </w:p>
    <w:p w14:paraId="0F4D8EA1" w14:textId="77777777" w:rsidR="00311D0F" w:rsidRPr="00CA7033" w:rsidRDefault="00311D0F" w:rsidP="00311D0F">
      <w:pPr>
        <w:tabs>
          <w:tab w:val="left" w:pos="0"/>
        </w:tabs>
        <w:rPr>
          <w:szCs w:val="22"/>
        </w:rPr>
      </w:pPr>
    </w:p>
    <w:p w14:paraId="2D657248" w14:textId="77777777" w:rsidR="00311D0F" w:rsidRPr="00CA7033" w:rsidRDefault="00311D0F" w:rsidP="00311D0F">
      <w:pPr>
        <w:tabs>
          <w:tab w:val="left" w:pos="0"/>
        </w:tabs>
        <w:rPr>
          <w:szCs w:val="22"/>
        </w:rPr>
      </w:pPr>
      <w:r w:rsidRPr="00CA7033">
        <w:rPr>
          <w:szCs w:val="22"/>
        </w:rPr>
        <w:t>Pacientams, kuriems yra lengvas kepenų funkcijos sutrikimas, dozės koreguoti nereikia. Jei yra vidutinio sunkumo kepenų funkcijos sutrikimas, pacientą reikia reguliariai stebėti, be to, reikia apsvarstyti maksimalią 30 mg paros dozę. Tyrimų su pacientais, kuriems yra sunkus kepenų funkcijos sutrikimas, neatlikta (žr. 4.4 ir 5.2 skyrius), todėl tokiems pacientams dekslansoprazolo vartoti nerekomenduojama.</w:t>
      </w:r>
    </w:p>
    <w:p w14:paraId="27DE0C0D" w14:textId="77777777" w:rsidR="00311D0F" w:rsidRPr="00CA7033" w:rsidRDefault="00311D0F" w:rsidP="00311D0F">
      <w:pPr>
        <w:ind w:left="567" w:hanging="567"/>
        <w:rPr>
          <w:szCs w:val="22"/>
        </w:rPr>
      </w:pPr>
    </w:p>
    <w:p w14:paraId="0C8104AD" w14:textId="77777777" w:rsidR="00311D0F" w:rsidRPr="00CA7033" w:rsidRDefault="00311D0F" w:rsidP="00311D0F">
      <w:pPr>
        <w:rPr>
          <w:i/>
          <w:szCs w:val="22"/>
        </w:rPr>
      </w:pPr>
      <w:r w:rsidRPr="00CA7033">
        <w:rPr>
          <w:i/>
          <w:szCs w:val="22"/>
        </w:rPr>
        <w:t>Vaikų populiacija</w:t>
      </w:r>
    </w:p>
    <w:p w14:paraId="4C9D0BEE" w14:textId="77777777" w:rsidR="00311D0F" w:rsidRPr="00CA7033" w:rsidRDefault="00311D0F" w:rsidP="00311D0F">
      <w:pPr>
        <w:ind w:left="567" w:hanging="567"/>
        <w:rPr>
          <w:szCs w:val="22"/>
        </w:rPr>
      </w:pPr>
    </w:p>
    <w:p w14:paraId="3FDF944F" w14:textId="06E19D4D" w:rsidR="00311D0F" w:rsidRPr="00572B1E" w:rsidRDefault="00311D0F" w:rsidP="00311D0F">
      <w:pPr>
        <w:ind w:left="567" w:hanging="567"/>
        <w:rPr>
          <w:i/>
          <w:u w:val="single"/>
          <w:lang w:eastAsia="ja-JP"/>
        </w:rPr>
      </w:pPr>
      <w:r w:rsidRPr="00572B1E">
        <w:rPr>
          <w:i/>
          <w:szCs w:val="22"/>
          <w:u w:val="single"/>
        </w:rPr>
        <w:t>12</w:t>
      </w:r>
      <w:r w:rsidR="00260B52" w:rsidRPr="00572B1E">
        <w:rPr>
          <w:i/>
          <w:szCs w:val="22"/>
          <w:u w:val="single"/>
        </w:rPr>
        <w:t>–</w:t>
      </w:r>
      <w:r w:rsidRPr="00572B1E">
        <w:rPr>
          <w:i/>
          <w:szCs w:val="22"/>
          <w:u w:val="single"/>
        </w:rPr>
        <w:t>17 metų paaugliams</w:t>
      </w:r>
    </w:p>
    <w:p w14:paraId="7F497549" w14:textId="77777777" w:rsidR="00311D0F" w:rsidRPr="00CA7033" w:rsidRDefault="00311D0F" w:rsidP="00311D0F">
      <w:pPr>
        <w:ind w:left="567" w:hanging="567"/>
        <w:rPr>
          <w:i/>
          <w:lang w:eastAsia="ja-JP"/>
        </w:rPr>
      </w:pPr>
    </w:p>
    <w:p w14:paraId="40256283" w14:textId="77777777" w:rsidR="00311D0F" w:rsidRPr="00CA7033" w:rsidRDefault="00311D0F" w:rsidP="00311D0F">
      <w:pPr>
        <w:ind w:left="567" w:hanging="567"/>
        <w:rPr>
          <w:b/>
          <w:lang w:eastAsia="ja-JP"/>
        </w:rPr>
      </w:pPr>
      <w:r w:rsidRPr="00CA7033">
        <w:rPr>
          <w:b/>
          <w:lang w:eastAsia="ja-JP"/>
        </w:rPr>
        <w:t>Refliukso sukelto erozinio ezofagito gydymas</w:t>
      </w:r>
    </w:p>
    <w:p w14:paraId="75411221" w14:textId="185C415B" w:rsidR="00311D0F" w:rsidRPr="00CA7033" w:rsidRDefault="00311D0F" w:rsidP="00311D0F">
      <w:pPr>
        <w:ind w:left="567" w:hanging="567"/>
        <w:rPr>
          <w:lang w:eastAsia="ja-JP"/>
        </w:rPr>
      </w:pPr>
      <w:r w:rsidRPr="00CA7033">
        <w:rPr>
          <w:iCs/>
          <w:szCs w:val="22"/>
        </w:rPr>
        <w:t>Dexilant 12</w:t>
      </w:r>
      <w:r w:rsidR="00260B52" w:rsidRPr="00CA7033">
        <w:rPr>
          <w:iCs/>
          <w:szCs w:val="22"/>
        </w:rPr>
        <w:t>–</w:t>
      </w:r>
      <w:r w:rsidRPr="00CA7033">
        <w:rPr>
          <w:iCs/>
          <w:szCs w:val="22"/>
        </w:rPr>
        <w:t>17 metų paaugliams dozuojamas taip pat kaip ir suaugusiesiems</w:t>
      </w:r>
      <w:r w:rsidRPr="00CA7033">
        <w:rPr>
          <w:lang w:eastAsia="ja-JP"/>
        </w:rPr>
        <w:t>.</w:t>
      </w:r>
    </w:p>
    <w:p w14:paraId="5C617452" w14:textId="77777777" w:rsidR="00311D0F" w:rsidRPr="00CA7033" w:rsidRDefault="00311D0F" w:rsidP="00311D0F">
      <w:pPr>
        <w:ind w:left="567" w:hanging="567"/>
        <w:rPr>
          <w:i/>
          <w:lang w:eastAsia="ja-JP"/>
        </w:rPr>
      </w:pPr>
    </w:p>
    <w:p w14:paraId="21B86334" w14:textId="77777777" w:rsidR="00311D0F" w:rsidRPr="00CA7033" w:rsidRDefault="00311D0F" w:rsidP="00311D0F">
      <w:pPr>
        <w:ind w:left="567" w:hanging="567"/>
        <w:rPr>
          <w:b/>
          <w:lang w:eastAsia="ja-JP"/>
        </w:rPr>
      </w:pPr>
      <w:r w:rsidRPr="00CA7033">
        <w:rPr>
          <w:b/>
          <w:szCs w:val="22"/>
        </w:rPr>
        <w:t>Refliukso sukelto erozinio ezofagito užgijimo ir rėmens malšinimo palaikymas</w:t>
      </w:r>
    </w:p>
    <w:p w14:paraId="39C28D92" w14:textId="2644043F" w:rsidR="00311D0F" w:rsidRPr="00CA7033" w:rsidRDefault="00311D0F" w:rsidP="00311D0F">
      <w:pPr>
        <w:ind w:left="567" w:hanging="567"/>
        <w:rPr>
          <w:lang w:eastAsia="ja-JP"/>
        </w:rPr>
      </w:pPr>
      <w:r w:rsidRPr="00CA7033">
        <w:rPr>
          <w:iCs/>
          <w:szCs w:val="22"/>
        </w:rPr>
        <w:t>Dexilant dozė 12</w:t>
      </w:r>
      <w:r w:rsidR="00260B52" w:rsidRPr="00CA7033">
        <w:rPr>
          <w:iCs/>
          <w:szCs w:val="22"/>
        </w:rPr>
        <w:t>–</w:t>
      </w:r>
      <w:r w:rsidRPr="00CA7033">
        <w:rPr>
          <w:iCs/>
          <w:szCs w:val="22"/>
        </w:rPr>
        <w:t>17 metų paaugliams yra tokia pati kaip ir suaugusiesiems</w:t>
      </w:r>
      <w:r w:rsidRPr="00CA7033">
        <w:rPr>
          <w:lang w:eastAsia="ja-JP"/>
        </w:rPr>
        <w:t>.</w:t>
      </w:r>
    </w:p>
    <w:p w14:paraId="77BDDF0C" w14:textId="77777777" w:rsidR="00311D0F" w:rsidRPr="00CA7033" w:rsidRDefault="00311D0F" w:rsidP="00311D0F">
      <w:pPr>
        <w:ind w:left="567" w:hanging="567"/>
        <w:rPr>
          <w:i/>
          <w:lang w:eastAsia="ja-JP"/>
        </w:rPr>
      </w:pPr>
    </w:p>
    <w:p w14:paraId="4A22B45D" w14:textId="77777777" w:rsidR="00311D0F" w:rsidRPr="00CA7033" w:rsidRDefault="00311D0F" w:rsidP="00311D0F">
      <w:pPr>
        <w:ind w:left="567" w:hanging="567"/>
        <w:rPr>
          <w:lang w:eastAsia="ja-JP"/>
        </w:rPr>
      </w:pPr>
      <w:r w:rsidRPr="00CA7033">
        <w:rPr>
          <w:b/>
          <w:lang w:eastAsia="ja-JP"/>
        </w:rPr>
        <w:t>Simptominė gastroezofaginio refliukso liga (GERL) be erozinio ezofagito</w:t>
      </w:r>
    </w:p>
    <w:p w14:paraId="306E27EE" w14:textId="1A63A39B" w:rsidR="00311D0F" w:rsidRPr="00CA7033" w:rsidRDefault="00311D0F" w:rsidP="00311D0F">
      <w:pPr>
        <w:ind w:left="567" w:hanging="567"/>
        <w:rPr>
          <w:lang w:eastAsia="ja-JP"/>
        </w:rPr>
      </w:pPr>
      <w:r w:rsidRPr="00CA7033">
        <w:rPr>
          <w:iCs/>
          <w:szCs w:val="22"/>
        </w:rPr>
        <w:t>Dexilant 12</w:t>
      </w:r>
      <w:r w:rsidR="00260B52" w:rsidRPr="00CA7033">
        <w:rPr>
          <w:iCs/>
          <w:szCs w:val="22"/>
        </w:rPr>
        <w:t>–</w:t>
      </w:r>
      <w:r w:rsidRPr="00CA7033">
        <w:rPr>
          <w:iCs/>
          <w:szCs w:val="22"/>
        </w:rPr>
        <w:t>17 metų paaugliams dozuojamas taip pat kaip ir suaugusiesiems</w:t>
      </w:r>
      <w:r w:rsidRPr="00CA7033">
        <w:rPr>
          <w:lang w:eastAsia="ja-JP"/>
        </w:rPr>
        <w:t>.</w:t>
      </w:r>
    </w:p>
    <w:p w14:paraId="0CFEAEA1" w14:textId="77777777" w:rsidR="00311D0F" w:rsidRPr="00CA7033" w:rsidRDefault="00311D0F" w:rsidP="00311D0F">
      <w:pPr>
        <w:ind w:left="567" w:hanging="567"/>
        <w:rPr>
          <w:lang w:eastAsia="ja-JP"/>
        </w:rPr>
      </w:pPr>
    </w:p>
    <w:p w14:paraId="217E0FD0" w14:textId="77777777" w:rsidR="00311D0F" w:rsidRPr="00572B1E" w:rsidRDefault="00311D0F" w:rsidP="00311D0F">
      <w:pPr>
        <w:ind w:left="567" w:hanging="567"/>
        <w:rPr>
          <w:i/>
          <w:u w:val="single"/>
          <w:lang w:eastAsia="ja-JP"/>
        </w:rPr>
      </w:pPr>
      <w:r w:rsidRPr="00572B1E">
        <w:rPr>
          <w:i/>
          <w:u w:val="single"/>
          <w:lang w:eastAsia="ja-JP"/>
        </w:rPr>
        <w:t>Jaunesniems kaip 12 metų vaikams</w:t>
      </w:r>
    </w:p>
    <w:p w14:paraId="7C315050" w14:textId="3BEBDD54" w:rsidR="00311D0F" w:rsidRPr="00CA7033" w:rsidRDefault="00311D0F" w:rsidP="00311D0F">
      <w:pPr>
        <w:rPr>
          <w:szCs w:val="22"/>
        </w:rPr>
      </w:pPr>
      <w:r w:rsidRPr="00CA7033">
        <w:rPr>
          <w:szCs w:val="22"/>
        </w:rPr>
        <w:t>Dexilant saugumas ir veiksmingumas vaikams iki 12 metų neištirti. Duomenų nėra.</w:t>
      </w:r>
      <w:r w:rsidR="00711815" w:rsidRPr="00CA7033">
        <w:rPr>
          <w:szCs w:val="22"/>
        </w:rPr>
        <w:t xml:space="preserve"> Dexilant nerekomenduojama vartoti jaunesniems kaip 12 metų vaikams, nes klinikinių duomenų yra nedaug (žr. 5.2 skyrių), o tyrimų su gyvūnų jaunikliais duomenų reikšmė žmonėms šiuo metu nežinoma (žr. 5.3</w:t>
      </w:r>
      <w:r w:rsidR="00A7317F" w:rsidRPr="00CA7033">
        <w:rPr>
          <w:szCs w:val="22"/>
        </w:rPr>
        <w:t> </w:t>
      </w:r>
      <w:r w:rsidR="00711815" w:rsidRPr="00CA7033">
        <w:rPr>
          <w:szCs w:val="22"/>
        </w:rPr>
        <w:t>skyrių). Reik</w:t>
      </w:r>
      <w:r w:rsidR="00A7317F" w:rsidRPr="00CA7033">
        <w:rPr>
          <w:szCs w:val="22"/>
        </w:rPr>
        <w:t>ia</w:t>
      </w:r>
      <w:r w:rsidR="00711815" w:rsidRPr="00CA7033">
        <w:rPr>
          <w:szCs w:val="22"/>
        </w:rPr>
        <w:t xml:space="preserve"> vengti gydyti mažus vaikus iki vienerių metų, nes turimi duomenys neparodė teigiamo poveikio gydant gastroezofaginio refliukso ligą.</w:t>
      </w:r>
    </w:p>
    <w:p w14:paraId="0AE2FE48" w14:textId="77777777" w:rsidR="00311D0F" w:rsidRPr="00CA7033" w:rsidRDefault="00311D0F" w:rsidP="00311D0F">
      <w:pPr>
        <w:ind w:left="567" w:hanging="567"/>
        <w:rPr>
          <w:szCs w:val="22"/>
        </w:rPr>
      </w:pPr>
    </w:p>
    <w:p w14:paraId="4141D551" w14:textId="77777777" w:rsidR="00311D0F" w:rsidRPr="00CA7033" w:rsidRDefault="00311D0F" w:rsidP="00311D0F">
      <w:pPr>
        <w:rPr>
          <w:szCs w:val="22"/>
          <w:u w:val="single"/>
        </w:rPr>
      </w:pPr>
      <w:r w:rsidRPr="00CA7033">
        <w:rPr>
          <w:szCs w:val="22"/>
          <w:u w:val="single"/>
        </w:rPr>
        <w:t>Vartojimo metodas</w:t>
      </w:r>
    </w:p>
    <w:p w14:paraId="15A15101" w14:textId="77777777" w:rsidR="00311D0F" w:rsidRPr="00CA7033" w:rsidRDefault="00311D0F" w:rsidP="00311D0F">
      <w:pPr>
        <w:ind w:left="567" w:hanging="567"/>
        <w:rPr>
          <w:szCs w:val="22"/>
        </w:rPr>
      </w:pPr>
    </w:p>
    <w:p w14:paraId="68AD5F43" w14:textId="77777777" w:rsidR="00311D0F" w:rsidRPr="00CA7033" w:rsidRDefault="00311D0F" w:rsidP="00311D0F">
      <w:pPr>
        <w:ind w:left="567" w:hanging="567"/>
        <w:rPr>
          <w:szCs w:val="22"/>
        </w:rPr>
      </w:pPr>
      <w:r w:rsidRPr="00CA7033">
        <w:rPr>
          <w:szCs w:val="22"/>
        </w:rPr>
        <w:t>Vartoti per burną.</w:t>
      </w:r>
    </w:p>
    <w:p w14:paraId="5E2C8D9E" w14:textId="77777777" w:rsidR="00311D0F" w:rsidRPr="00CA7033" w:rsidRDefault="00311D0F" w:rsidP="00311D0F">
      <w:pPr>
        <w:ind w:left="567" w:hanging="567"/>
        <w:rPr>
          <w:szCs w:val="22"/>
        </w:rPr>
      </w:pPr>
    </w:p>
    <w:p w14:paraId="6E41BF09" w14:textId="509D6C60" w:rsidR="00311D0F" w:rsidRPr="00CA7033" w:rsidRDefault="00311D0F" w:rsidP="00311D0F">
      <w:pPr>
        <w:rPr>
          <w:szCs w:val="22"/>
        </w:rPr>
      </w:pPr>
      <w:r w:rsidRPr="00CA7033">
        <w:rPr>
          <w:szCs w:val="22"/>
        </w:rPr>
        <w:t xml:space="preserve">Kapsules reikia nuryti sveikas, užgeriant </w:t>
      </w:r>
      <w:r w:rsidR="00802727" w:rsidRPr="00CA7033">
        <w:rPr>
          <w:szCs w:val="22"/>
        </w:rPr>
        <w:t>skysčiu</w:t>
      </w:r>
      <w:r w:rsidRPr="00CA7033">
        <w:rPr>
          <w:szCs w:val="22"/>
        </w:rPr>
        <w:t>. Jas galima vartoti valgio metu arba neatsižvelgiant į valgymo laiką (žr. 5.2 skyrių).</w:t>
      </w:r>
    </w:p>
    <w:p w14:paraId="6B4AB7E6" w14:textId="77777777" w:rsidR="00311D0F" w:rsidRPr="00CA7033" w:rsidRDefault="00311D0F" w:rsidP="00311D0F">
      <w:pPr>
        <w:tabs>
          <w:tab w:val="left" w:pos="0"/>
        </w:tabs>
        <w:rPr>
          <w:szCs w:val="22"/>
        </w:rPr>
      </w:pPr>
    </w:p>
    <w:p w14:paraId="2C7DE7AB" w14:textId="77777777" w:rsidR="00311D0F" w:rsidRPr="00CA7033" w:rsidRDefault="00311D0F" w:rsidP="00311D0F">
      <w:pPr>
        <w:tabs>
          <w:tab w:val="left" w:pos="0"/>
        </w:tabs>
        <w:rPr>
          <w:szCs w:val="22"/>
        </w:rPr>
      </w:pPr>
      <w:r w:rsidRPr="00CA7033">
        <w:rPr>
          <w:szCs w:val="22"/>
        </w:rPr>
        <w:t>Kapsules galima atidaryti ir granules sumaišyti su valgomuoju šaukštu obuolių tyrės. Paruošus mišinį, vaistinį preparatą būtina suvartoti nedelsiant.</w:t>
      </w:r>
    </w:p>
    <w:p w14:paraId="752D615C" w14:textId="77777777" w:rsidR="00311D0F" w:rsidRPr="00CA7033" w:rsidRDefault="00311D0F" w:rsidP="00311D0F">
      <w:pPr>
        <w:ind w:left="567" w:hanging="567"/>
        <w:rPr>
          <w:szCs w:val="22"/>
        </w:rPr>
      </w:pPr>
    </w:p>
    <w:p w14:paraId="68FD093F" w14:textId="77777777" w:rsidR="00311D0F" w:rsidRPr="00CA7033" w:rsidRDefault="00311D0F" w:rsidP="00311D0F">
      <w:pPr>
        <w:ind w:left="567" w:hanging="567"/>
        <w:rPr>
          <w:szCs w:val="22"/>
        </w:rPr>
      </w:pPr>
      <w:r w:rsidRPr="00CA7033">
        <w:rPr>
          <w:szCs w:val="22"/>
        </w:rPr>
        <w:t>Granulių kramtyti negalima.</w:t>
      </w:r>
    </w:p>
    <w:p w14:paraId="4E58956B" w14:textId="77777777" w:rsidR="00311D0F" w:rsidRPr="00CA7033" w:rsidRDefault="00311D0F" w:rsidP="00311D0F">
      <w:pPr>
        <w:rPr>
          <w:i/>
          <w:szCs w:val="22"/>
        </w:rPr>
      </w:pPr>
    </w:p>
    <w:p w14:paraId="37691A6A" w14:textId="77777777" w:rsidR="00311D0F" w:rsidRPr="00CA7033" w:rsidRDefault="00311D0F" w:rsidP="00311D0F">
      <w:pPr>
        <w:ind w:left="567" w:hanging="567"/>
        <w:rPr>
          <w:b/>
          <w:szCs w:val="22"/>
        </w:rPr>
      </w:pPr>
      <w:r w:rsidRPr="00CA7033">
        <w:rPr>
          <w:b/>
          <w:szCs w:val="22"/>
        </w:rPr>
        <w:t>4.3</w:t>
      </w:r>
      <w:r w:rsidRPr="00CA7033">
        <w:rPr>
          <w:b/>
          <w:szCs w:val="22"/>
        </w:rPr>
        <w:tab/>
        <w:t>Kontraindikacijos</w:t>
      </w:r>
    </w:p>
    <w:p w14:paraId="5627279A" w14:textId="77777777" w:rsidR="00311D0F" w:rsidRPr="00CA7033" w:rsidRDefault="00311D0F" w:rsidP="00311D0F">
      <w:pPr>
        <w:ind w:left="567" w:hanging="567"/>
        <w:rPr>
          <w:szCs w:val="22"/>
        </w:rPr>
      </w:pPr>
    </w:p>
    <w:p w14:paraId="372729A5" w14:textId="77777777" w:rsidR="00311D0F" w:rsidRPr="00CA7033" w:rsidRDefault="00311D0F" w:rsidP="00311D0F">
      <w:pPr>
        <w:rPr>
          <w:szCs w:val="22"/>
        </w:rPr>
      </w:pPr>
      <w:r w:rsidRPr="00CA7033">
        <w:rPr>
          <w:szCs w:val="22"/>
        </w:rPr>
        <w:t>Padidėjęs jautrumas veikliajai arba bet kuriai 6.1 skyriuje nurodytai pagalbinei medžiagai.</w:t>
      </w:r>
    </w:p>
    <w:p w14:paraId="74756B97" w14:textId="77777777" w:rsidR="00311D0F" w:rsidRPr="00CA7033" w:rsidRDefault="00311D0F" w:rsidP="00311D0F">
      <w:pPr>
        <w:ind w:left="567" w:hanging="567"/>
        <w:rPr>
          <w:szCs w:val="22"/>
        </w:rPr>
      </w:pPr>
    </w:p>
    <w:p w14:paraId="350B3D4D" w14:textId="77777777" w:rsidR="00311D0F" w:rsidRPr="00CA7033" w:rsidRDefault="00311D0F" w:rsidP="00311D0F">
      <w:pPr>
        <w:ind w:left="567" w:hanging="567"/>
        <w:rPr>
          <w:b/>
          <w:szCs w:val="22"/>
        </w:rPr>
      </w:pPr>
      <w:r w:rsidRPr="00CA7033">
        <w:rPr>
          <w:b/>
          <w:szCs w:val="22"/>
        </w:rPr>
        <w:t>4.4</w:t>
      </w:r>
      <w:r w:rsidRPr="00CA7033">
        <w:rPr>
          <w:b/>
          <w:szCs w:val="22"/>
        </w:rPr>
        <w:tab/>
        <w:t>Specialūs įspėjimai ir atsargumo priemonės</w:t>
      </w:r>
    </w:p>
    <w:p w14:paraId="0B3B7390" w14:textId="77777777" w:rsidR="00311D0F" w:rsidRPr="00CA7033" w:rsidRDefault="00311D0F" w:rsidP="00311D0F">
      <w:pPr>
        <w:ind w:left="567" w:hanging="567"/>
        <w:rPr>
          <w:b/>
          <w:szCs w:val="22"/>
        </w:rPr>
      </w:pPr>
    </w:p>
    <w:p w14:paraId="40CEA5A6" w14:textId="4755393E" w:rsidR="00260B52" w:rsidRPr="00CA7033" w:rsidRDefault="00260B52" w:rsidP="00260B52">
      <w:pPr>
        <w:autoSpaceDE w:val="0"/>
        <w:autoSpaceDN w:val="0"/>
        <w:adjustRightInd w:val="0"/>
        <w:rPr>
          <w:szCs w:val="22"/>
          <w:u w:val="single"/>
        </w:rPr>
      </w:pPr>
      <w:r w:rsidRPr="00CA7033">
        <w:rPr>
          <w:szCs w:val="22"/>
          <w:u w:val="single"/>
        </w:rPr>
        <w:t>Skrandžio vėžys</w:t>
      </w:r>
    </w:p>
    <w:p w14:paraId="2B81D2D8" w14:textId="77777777" w:rsidR="00260B52" w:rsidRPr="00CA7033" w:rsidRDefault="00260B52" w:rsidP="00260B52">
      <w:pPr>
        <w:autoSpaceDE w:val="0"/>
        <w:autoSpaceDN w:val="0"/>
        <w:adjustRightInd w:val="0"/>
        <w:rPr>
          <w:szCs w:val="22"/>
          <w:u w:val="single"/>
        </w:rPr>
      </w:pPr>
    </w:p>
    <w:p w14:paraId="02CD24D2" w14:textId="77777777" w:rsidR="00311D0F" w:rsidRPr="00CA7033" w:rsidRDefault="00311D0F" w:rsidP="00311D0F">
      <w:pPr>
        <w:autoSpaceDE w:val="0"/>
        <w:autoSpaceDN w:val="0"/>
        <w:adjustRightInd w:val="0"/>
        <w:rPr>
          <w:szCs w:val="22"/>
        </w:rPr>
      </w:pPr>
      <w:r w:rsidRPr="00CA7033">
        <w:rPr>
          <w:szCs w:val="22"/>
        </w:rPr>
        <w:t>Gydymo Dexilant metu būtina įsitikinti, kad nėra piktybinio skrandžio naviko, kadangi dekslansoprazolas gali slėpti jo simptomus ir todėl diagnozė gali būti nustatyta vėliau.</w:t>
      </w:r>
    </w:p>
    <w:p w14:paraId="130A4709" w14:textId="77777777" w:rsidR="00311D0F" w:rsidRPr="00CA7033" w:rsidRDefault="00311D0F" w:rsidP="00311D0F">
      <w:pPr>
        <w:rPr>
          <w:szCs w:val="22"/>
        </w:rPr>
      </w:pPr>
    </w:p>
    <w:p w14:paraId="3541FD86" w14:textId="77777777" w:rsidR="00260B52" w:rsidRPr="00CA7033" w:rsidRDefault="00260B52" w:rsidP="00260B52">
      <w:pPr>
        <w:autoSpaceDE w:val="0"/>
        <w:autoSpaceDN w:val="0"/>
        <w:adjustRightInd w:val="0"/>
        <w:rPr>
          <w:szCs w:val="22"/>
          <w:u w:val="single"/>
        </w:rPr>
      </w:pPr>
      <w:r w:rsidRPr="00CA7033">
        <w:rPr>
          <w:szCs w:val="22"/>
          <w:u w:val="single"/>
        </w:rPr>
        <w:t>ŽIV proteazės inhibitoriai</w:t>
      </w:r>
    </w:p>
    <w:p w14:paraId="063EE0C8" w14:textId="77777777" w:rsidR="00260B52" w:rsidRPr="00CA7033" w:rsidRDefault="00260B52" w:rsidP="00311D0F">
      <w:pPr>
        <w:rPr>
          <w:szCs w:val="22"/>
        </w:rPr>
      </w:pPr>
    </w:p>
    <w:p w14:paraId="0C53E756" w14:textId="5FB6E367" w:rsidR="00311D0F" w:rsidRPr="00CA7033" w:rsidRDefault="00311D0F" w:rsidP="00311D0F">
      <w:pPr>
        <w:rPr>
          <w:szCs w:val="22"/>
        </w:rPr>
      </w:pPr>
      <w:r w:rsidRPr="00CA7033">
        <w:rPr>
          <w:szCs w:val="22"/>
        </w:rPr>
        <w:t>Dekslansoprazolo nerekomenduojama vartoti kartu su ŽIV proteazės inhibitoriais, kurių absorbcija priklauso nuo rūgštinio intragastrinio pH, pvz., atazanaviru ar nelfinaviru, kadangi reikšmingai sumažėja jų biologinis prieinamumas (žr. 4.5 skyrių).</w:t>
      </w:r>
    </w:p>
    <w:p w14:paraId="09DE882A" w14:textId="77777777" w:rsidR="00311D0F" w:rsidRPr="00CA7033" w:rsidRDefault="00311D0F" w:rsidP="00311D0F">
      <w:pPr>
        <w:rPr>
          <w:szCs w:val="22"/>
        </w:rPr>
      </w:pPr>
    </w:p>
    <w:p w14:paraId="66DDD780" w14:textId="77777777" w:rsidR="00260B52" w:rsidRPr="00CA7033" w:rsidRDefault="00260B52" w:rsidP="00260B52">
      <w:pPr>
        <w:autoSpaceDE w:val="0"/>
        <w:autoSpaceDN w:val="0"/>
        <w:adjustRightInd w:val="0"/>
        <w:rPr>
          <w:szCs w:val="22"/>
          <w:u w:val="single"/>
        </w:rPr>
      </w:pPr>
      <w:r w:rsidRPr="00CA7033">
        <w:rPr>
          <w:szCs w:val="22"/>
          <w:u w:val="single"/>
        </w:rPr>
        <w:t>Kepenų funkcijos sutrikimas</w:t>
      </w:r>
    </w:p>
    <w:p w14:paraId="6DE00B3A" w14:textId="77777777" w:rsidR="00260B52" w:rsidRPr="00CA7033" w:rsidRDefault="00260B52" w:rsidP="00311D0F">
      <w:pPr>
        <w:rPr>
          <w:szCs w:val="22"/>
        </w:rPr>
      </w:pPr>
    </w:p>
    <w:p w14:paraId="391A7665" w14:textId="7028F230" w:rsidR="00311D0F" w:rsidRPr="00CA7033" w:rsidRDefault="00311D0F" w:rsidP="00311D0F">
      <w:pPr>
        <w:rPr>
          <w:szCs w:val="22"/>
        </w:rPr>
      </w:pPr>
      <w:r w:rsidRPr="00CA7033">
        <w:rPr>
          <w:szCs w:val="22"/>
        </w:rPr>
        <w:t xml:space="preserve">Pacientams, kuriems yra vidutinio sunkumo kepenų funkcijos sutrikimas, dekslansoprazolo būtina vartoti atsargiai. Pacientams, kuriems yra sunkus kepenų funkcijos sutrikimas, dekslansoprazolo vartoti nerekomenduojama (žr. 4.2 ir 5.2 skyrius). </w:t>
      </w:r>
    </w:p>
    <w:p w14:paraId="473CD0F1" w14:textId="77777777" w:rsidR="00311D0F" w:rsidRPr="00CA7033" w:rsidRDefault="00311D0F" w:rsidP="00311D0F">
      <w:pPr>
        <w:rPr>
          <w:szCs w:val="22"/>
        </w:rPr>
      </w:pPr>
    </w:p>
    <w:p w14:paraId="0C51BEAA" w14:textId="77777777" w:rsidR="00260B52" w:rsidRPr="00CA7033" w:rsidRDefault="00260B52" w:rsidP="00260B52">
      <w:pPr>
        <w:autoSpaceDE w:val="0"/>
        <w:autoSpaceDN w:val="0"/>
        <w:adjustRightInd w:val="0"/>
        <w:rPr>
          <w:szCs w:val="22"/>
          <w:u w:val="single"/>
        </w:rPr>
      </w:pPr>
      <w:r w:rsidRPr="00CA7033">
        <w:rPr>
          <w:szCs w:val="22"/>
          <w:u w:val="single"/>
        </w:rPr>
        <w:t>Bakterijų sukeltos virškinimo trakto infekcijos</w:t>
      </w:r>
    </w:p>
    <w:p w14:paraId="453F70CE" w14:textId="77777777" w:rsidR="00260B52" w:rsidRPr="00CA7033" w:rsidRDefault="00260B52" w:rsidP="00311D0F">
      <w:pPr>
        <w:autoSpaceDE w:val="0"/>
        <w:autoSpaceDN w:val="0"/>
        <w:adjustRightInd w:val="0"/>
        <w:rPr>
          <w:szCs w:val="22"/>
        </w:rPr>
      </w:pPr>
    </w:p>
    <w:p w14:paraId="032875A3" w14:textId="2B6B0F87" w:rsidR="00311D0F" w:rsidRPr="00CA7033" w:rsidRDefault="00311D0F" w:rsidP="00311D0F">
      <w:pPr>
        <w:autoSpaceDE w:val="0"/>
        <w:autoSpaceDN w:val="0"/>
        <w:adjustRightInd w:val="0"/>
        <w:rPr>
          <w:szCs w:val="22"/>
        </w:rPr>
      </w:pPr>
      <w:r w:rsidRPr="00CA7033">
        <w:rPr>
          <w:szCs w:val="22"/>
        </w:rPr>
        <w:t xml:space="preserve">Dėl bet kokios priežasties, įskaitant protonų siurblio inhibitorių (PSI), pvz., dekslansoprazolo, vartojimą, sukelto skrandžio rūgštingumo sumažėjimo didėja bakterijų, kurių paprastai būna virškinimo trakte, skaičius. Dėl gydymo PSI gali šiek tiek padidėti virškinimo trakto infekcijos, pvz., </w:t>
      </w:r>
      <w:r w:rsidRPr="00CA7033">
        <w:rPr>
          <w:i/>
          <w:szCs w:val="22"/>
        </w:rPr>
        <w:t>Salmonella</w:t>
      </w:r>
      <w:r w:rsidRPr="00CA7033">
        <w:rPr>
          <w:szCs w:val="22"/>
        </w:rPr>
        <w:t xml:space="preserve">, </w:t>
      </w:r>
      <w:r w:rsidRPr="00CA7033">
        <w:rPr>
          <w:i/>
          <w:szCs w:val="22"/>
        </w:rPr>
        <w:t xml:space="preserve">Campylobacter </w:t>
      </w:r>
      <w:r w:rsidRPr="00CA7033">
        <w:rPr>
          <w:szCs w:val="22"/>
        </w:rPr>
        <w:t xml:space="preserve">ir </w:t>
      </w:r>
      <w:r w:rsidRPr="00CA7033">
        <w:rPr>
          <w:i/>
          <w:szCs w:val="22"/>
        </w:rPr>
        <w:t>Clostridium difficile</w:t>
      </w:r>
      <w:r w:rsidRPr="00CA7033">
        <w:rPr>
          <w:szCs w:val="22"/>
        </w:rPr>
        <w:t>, rizika.</w:t>
      </w:r>
    </w:p>
    <w:p w14:paraId="423597A6" w14:textId="77777777" w:rsidR="00311D0F" w:rsidRPr="00CA7033" w:rsidRDefault="00311D0F" w:rsidP="00311D0F">
      <w:pPr>
        <w:rPr>
          <w:szCs w:val="22"/>
        </w:rPr>
      </w:pPr>
    </w:p>
    <w:p w14:paraId="3AEEB0FF" w14:textId="77777777" w:rsidR="00260B52" w:rsidRPr="00CA7033" w:rsidRDefault="00260B52" w:rsidP="00260B52">
      <w:pPr>
        <w:autoSpaceDE w:val="0"/>
        <w:autoSpaceDN w:val="0"/>
        <w:adjustRightInd w:val="0"/>
        <w:rPr>
          <w:szCs w:val="22"/>
          <w:u w:val="single"/>
        </w:rPr>
      </w:pPr>
      <w:r w:rsidRPr="00CA7033">
        <w:rPr>
          <w:szCs w:val="22"/>
          <w:u w:val="single"/>
        </w:rPr>
        <w:t>Ilgalaikis gydymas</w:t>
      </w:r>
    </w:p>
    <w:p w14:paraId="28E49D9E" w14:textId="77777777" w:rsidR="00260B52" w:rsidRPr="00CA7033" w:rsidRDefault="00260B52" w:rsidP="00311D0F">
      <w:pPr>
        <w:autoSpaceDE w:val="0"/>
        <w:autoSpaceDN w:val="0"/>
        <w:adjustRightInd w:val="0"/>
        <w:rPr>
          <w:szCs w:val="22"/>
        </w:rPr>
      </w:pPr>
    </w:p>
    <w:p w14:paraId="1D07A64F" w14:textId="438A3A1F" w:rsidR="00311D0F" w:rsidRPr="00CA7033" w:rsidRDefault="00311D0F" w:rsidP="00311D0F">
      <w:pPr>
        <w:autoSpaceDE w:val="0"/>
        <w:autoSpaceDN w:val="0"/>
        <w:adjustRightInd w:val="0"/>
        <w:rPr>
          <w:szCs w:val="22"/>
        </w:rPr>
      </w:pPr>
      <w:r w:rsidRPr="00CA7033">
        <w:rPr>
          <w:szCs w:val="22"/>
        </w:rPr>
        <w:t>Kadangi duomenų apie ilgesnio kaip 1 metų gydymo saugumą yra nedaug, būtina reguliariai peržiūrėti tokių pacientų gydymą ir atidžiai įvertinti jo riziką bei naudą.</w:t>
      </w:r>
    </w:p>
    <w:p w14:paraId="4983D780" w14:textId="77777777" w:rsidR="00311D0F" w:rsidRPr="00CA7033" w:rsidRDefault="00311D0F" w:rsidP="00311D0F">
      <w:pPr>
        <w:rPr>
          <w:szCs w:val="22"/>
        </w:rPr>
      </w:pPr>
    </w:p>
    <w:p w14:paraId="64BFC007" w14:textId="77777777" w:rsidR="00260B52" w:rsidRPr="00CA7033" w:rsidRDefault="00260B52" w:rsidP="00260B52">
      <w:pPr>
        <w:autoSpaceDE w:val="0"/>
        <w:autoSpaceDN w:val="0"/>
        <w:adjustRightInd w:val="0"/>
        <w:rPr>
          <w:szCs w:val="22"/>
          <w:u w:val="single"/>
        </w:rPr>
      </w:pPr>
      <w:r w:rsidRPr="00CA7033">
        <w:rPr>
          <w:szCs w:val="22"/>
          <w:u w:val="single"/>
        </w:rPr>
        <w:t>Hipomagnezemija</w:t>
      </w:r>
    </w:p>
    <w:p w14:paraId="4515ADA7" w14:textId="77777777" w:rsidR="00260B52" w:rsidRPr="00CA7033" w:rsidRDefault="00260B52" w:rsidP="00311D0F">
      <w:pPr>
        <w:rPr>
          <w:szCs w:val="22"/>
        </w:rPr>
      </w:pPr>
    </w:p>
    <w:p w14:paraId="0EDA3549" w14:textId="77777777" w:rsidR="000A378E" w:rsidRPr="00CA7033" w:rsidRDefault="00311D0F" w:rsidP="00311D0F">
      <w:pPr>
        <w:rPr>
          <w:szCs w:val="22"/>
        </w:rPr>
      </w:pPr>
      <w:r w:rsidRPr="00CA7033">
        <w:rPr>
          <w:szCs w:val="22"/>
        </w:rPr>
        <w:t xml:space="preserve">Gauta </w:t>
      </w:r>
      <w:r w:rsidR="00260B52" w:rsidRPr="00CA7033">
        <w:rPr>
          <w:szCs w:val="22"/>
        </w:rPr>
        <w:t xml:space="preserve">retų </w:t>
      </w:r>
      <w:r w:rsidRPr="00CA7033">
        <w:rPr>
          <w:szCs w:val="22"/>
        </w:rPr>
        <w:t xml:space="preserve">pranešimų apie sunkios hipomagnezemijos atvejus pacientams, kurie PSI, pvz., dekslansoprazolu, buvo gydomi ne mažiau kaip tris mėnesius (daugeliu atvejų vienerius metus). Gali atsirasti sunkių hipomagnezemijos simptomų, tokių kaip nuovargis, delyras, traukuliai, svaigulys ir skilvelinė aritmija, tačiau toks poveikis gali prasidėti be aiškių požymių ir būti nepastebėtas. </w:t>
      </w:r>
      <w:r w:rsidR="00260B52" w:rsidRPr="00CA7033">
        <w:rPr>
          <w:szCs w:val="22"/>
        </w:rPr>
        <w:t xml:space="preserve">Hipomagnezenija gali sukelti hipokalcemiją ir (arba) hipokalemiją (žr. 4.8 skyrių). </w:t>
      </w:r>
      <w:r w:rsidRPr="00CA7033">
        <w:rPr>
          <w:szCs w:val="22"/>
        </w:rPr>
        <w:t xml:space="preserve">Daugumai pacientų, kuriems toks poveikis pasireiškė, hipomagnezemija </w:t>
      </w:r>
      <w:r w:rsidR="00260B52" w:rsidRPr="00CA7033">
        <w:rPr>
          <w:szCs w:val="22"/>
        </w:rPr>
        <w:t xml:space="preserve"> (bei su hipomagnezemija susijusi hipokalcemija ir (arba) hipokalemija) </w:t>
      </w:r>
      <w:r w:rsidRPr="00CA7033">
        <w:rPr>
          <w:szCs w:val="22"/>
        </w:rPr>
        <w:t xml:space="preserve">palengvėjo pavartojus magnio papildų ir nutraukus gydymą PSI. </w:t>
      </w:r>
    </w:p>
    <w:p w14:paraId="33E73DA0" w14:textId="77777777" w:rsidR="000A378E" w:rsidRPr="00CA7033" w:rsidRDefault="000A378E" w:rsidP="00311D0F">
      <w:pPr>
        <w:rPr>
          <w:szCs w:val="22"/>
        </w:rPr>
      </w:pPr>
    </w:p>
    <w:p w14:paraId="61EF292F" w14:textId="358113F4" w:rsidR="00311D0F" w:rsidRPr="00CA7033" w:rsidRDefault="00311D0F" w:rsidP="00311D0F">
      <w:pPr>
        <w:rPr>
          <w:szCs w:val="22"/>
        </w:rPr>
      </w:pPr>
      <w:r w:rsidRPr="00CA7033">
        <w:rPr>
          <w:szCs w:val="22"/>
        </w:rPr>
        <w:t>Jei planuojama, kad pacientas PSI bus gydomas ilgai, arba jis PSI vartoja kartu su digoksinu ar vaistiniais preparatais, kurie gali sukelti hipomagnezemiją (pvz., diuretikais), sveikatos priežiūros specialistai turi apsvarstyti magnio kiekio nustatymą prieš pradedant gydymą PSI ir periodiškai jo metu.</w:t>
      </w:r>
    </w:p>
    <w:p w14:paraId="2F0BC831" w14:textId="77777777" w:rsidR="00311D0F" w:rsidRPr="00CA7033" w:rsidRDefault="00311D0F" w:rsidP="00311D0F">
      <w:pPr>
        <w:widowControl w:val="0"/>
        <w:rPr>
          <w:u w:val="single"/>
        </w:rPr>
      </w:pPr>
    </w:p>
    <w:p w14:paraId="720BCAA7" w14:textId="7B88260E" w:rsidR="00311D0F" w:rsidRPr="00CA7033" w:rsidRDefault="00260B52" w:rsidP="00311D0F">
      <w:pPr>
        <w:widowControl w:val="0"/>
        <w:rPr>
          <w:bCs/>
          <w:szCs w:val="22"/>
          <w:u w:val="single"/>
        </w:rPr>
      </w:pPr>
      <w:r w:rsidRPr="00CA7033">
        <w:rPr>
          <w:bCs/>
          <w:szCs w:val="22"/>
          <w:u w:val="single"/>
        </w:rPr>
        <w:t>Poveikis v</w:t>
      </w:r>
      <w:r w:rsidR="00311D0F" w:rsidRPr="00CA7033">
        <w:rPr>
          <w:bCs/>
          <w:szCs w:val="22"/>
          <w:u w:val="single"/>
        </w:rPr>
        <w:t>itamino B12 absorbcija</w:t>
      </w:r>
      <w:r w:rsidRPr="00CA7033">
        <w:rPr>
          <w:bCs/>
          <w:szCs w:val="22"/>
          <w:u w:val="single"/>
        </w:rPr>
        <w:t>i</w:t>
      </w:r>
    </w:p>
    <w:p w14:paraId="41A0B9B5" w14:textId="77777777" w:rsidR="00260B52" w:rsidRPr="00CA7033" w:rsidRDefault="00260B52" w:rsidP="00311D0F">
      <w:pPr>
        <w:widowControl w:val="0"/>
        <w:rPr>
          <w:bCs/>
          <w:szCs w:val="22"/>
          <w:u w:val="single"/>
        </w:rPr>
      </w:pPr>
    </w:p>
    <w:p w14:paraId="496A541D" w14:textId="77777777" w:rsidR="00311D0F" w:rsidRPr="00CA7033" w:rsidRDefault="00311D0F" w:rsidP="00311D0F">
      <w:pPr>
        <w:widowControl w:val="0"/>
        <w:rPr>
          <w:szCs w:val="22"/>
        </w:rPr>
      </w:pPr>
      <w:r w:rsidRPr="00CA7033">
        <w:rPr>
          <w:szCs w:val="22"/>
        </w:rPr>
        <w:t>Dekslansoprazolas</w:t>
      </w:r>
      <w:r w:rsidRPr="00CA7033">
        <w:rPr>
          <w:bCs/>
          <w:szCs w:val="22"/>
        </w:rPr>
        <w:t>, kaip ir visi kiti rūgštingumą mažinantys vaistiniai preparatai, gali sumažinti absorbuojamą vitamino B</w:t>
      </w:r>
      <w:r w:rsidRPr="00CA7033">
        <w:rPr>
          <w:bCs/>
          <w:szCs w:val="22"/>
          <w:vertAlign w:val="subscript"/>
        </w:rPr>
        <w:t>12</w:t>
      </w:r>
      <w:r w:rsidRPr="00CA7033">
        <w:rPr>
          <w:bCs/>
          <w:szCs w:val="22"/>
        </w:rPr>
        <w:t xml:space="preserve"> (cianokobalamino) kiekį dėl hipochlorhidrijos ar achlorhidrijos. Į tai reikia atsižvelgti, kai šio vaistinio preparato ilgai vartoja pacientai, kurių organizme sumažėjusios vitamino B</w:t>
      </w:r>
      <w:r w:rsidRPr="00CA7033">
        <w:rPr>
          <w:bCs/>
          <w:szCs w:val="22"/>
          <w:vertAlign w:val="subscript"/>
        </w:rPr>
        <w:t>12</w:t>
      </w:r>
      <w:r w:rsidRPr="00CA7033">
        <w:rPr>
          <w:bCs/>
          <w:szCs w:val="22"/>
        </w:rPr>
        <w:t xml:space="preserve"> atsargos ar yra sumažėjusios jo rezorbcijos rizikos veiksnių arba pasireiškia atitinkami klinikiniai </w:t>
      </w:r>
      <w:r w:rsidRPr="00CA7033">
        <w:rPr>
          <w:bCs/>
          <w:szCs w:val="22"/>
        </w:rPr>
        <w:lastRenderedPageBreak/>
        <w:t>simptomai.</w:t>
      </w:r>
    </w:p>
    <w:p w14:paraId="0F29C8A9" w14:textId="77777777" w:rsidR="00311D0F" w:rsidRPr="00CA7033" w:rsidRDefault="00311D0F" w:rsidP="00311D0F">
      <w:pPr>
        <w:rPr>
          <w:szCs w:val="22"/>
        </w:rPr>
      </w:pPr>
    </w:p>
    <w:p w14:paraId="6B0D5A45" w14:textId="77777777" w:rsidR="00260B52" w:rsidRPr="00CA7033" w:rsidRDefault="00260B52" w:rsidP="00260B52">
      <w:pPr>
        <w:autoSpaceDE w:val="0"/>
        <w:autoSpaceDN w:val="0"/>
        <w:adjustRightInd w:val="0"/>
        <w:rPr>
          <w:szCs w:val="22"/>
          <w:u w:val="single"/>
        </w:rPr>
      </w:pPr>
      <w:r w:rsidRPr="00CA7033">
        <w:rPr>
          <w:szCs w:val="22"/>
          <w:u w:val="single"/>
        </w:rPr>
        <w:t>Virškinimo trakto sutrikimai</w:t>
      </w:r>
    </w:p>
    <w:p w14:paraId="4EF1D30E" w14:textId="77777777" w:rsidR="00260B52" w:rsidRPr="00CA7033" w:rsidRDefault="00260B52" w:rsidP="00311D0F">
      <w:pPr>
        <w:autoSpaceDE w:val="0"/>
        <w:autoSpaceDN w:val="0"/>
        <w:adjustRightInd w:val="0"/>
        <w:rPr>
          <w:szCs w:val="22"/>
        </w:rPr>
      </w:pPr>
    </w:p>
    <w:p w14:paraId="5103B2FE" w14:textId="7E1A3861" w:rsidR="00311D0F" w:rsidRPr="00CA7033" w:rsidRDefault="00311D0F" w:rsidP="00311D0F">
      <w:pPr>
        <w:autoSpaceDE w:val="0"/>
        <w:autoSpaceDN w:val="0"/>
        <w:adjustRightInd w:val="0"/>
        <w:rPr>
          <w:szCs w:val="22"/>
        </w:rPr>
      </w:pPr>
      <w:r w:rsidRPr="00CA7033">
        <w:rPr>
          <w:szCs w:val="22"/>
        </w:rPr>
        <w:t>Lansoprazolo vartojantiems ligoniams buvo labai retų kolito atvejų. Panašus poveikis tikėtinas ir vartojant dekslansoprazolo. Dėl šios priežasties, atsiradus sunkiam viduriavimui ir (arba) jam užsitęsus, būtina apsvarstyti gydymo nutraukimą.</w:t>
      </w:r>
    </w:p>
    <w:p w14:paraId="15F68B93" w14:textId="77777777" w:rsidR="00311D0F" w:rsidRPr="00CA7033" w:rsidRDefault="00311D0F" w:rsidP="00311D0F">
      <w:pPr>
        <w:rPr>
          <w:szCs w:val="22"/>
        </w:rPr>
      </w:pPr>
    </w:p>
    <w:p w14:paraId="7C7F5BA5" w14:textId="77777777" w:rsidR="00260B52" w:rsidRPr="00CA7033" w:rsidRDefault="00260B52" w:rsidP="00260B52">
      <w:pPr>
        <w:autoSpaceDE w:val="0"/>
        <w:autoSpaceDN w:val="0"/>
        <w:adjustRightInd w:val="0"/>
        <w:rPr>
          <w:szCs w:val="22"/>
          <w:u w:val="single"/>
        </w:rPr>
      </w:pPr>
      <w:r w:rsidRPr="00CA7033">
        <w:rPr>
          <w:szCs w:val="22"/>
          <w:u w:val="single"/>
        </w:rPr>
        <w:t>Kaulų lūžimai</w:t>
      </w:r>
    </w:p>
    <w:p w14:paraId="0D29019C" w14:textId="77777777" w:rsidR="00260B52" w:rsidRPr="00CA7033" w:rsidRDefault="00260B52" w:rsidP="00311D0F">
      <w:pPr>
        <w:rPr>
          <w:szCs w:val="22"/>
        </w:rPr>
      </w:pPr>
    </w:p>
    <w:p w14:paraId="2E553CF4" w14:textId="3128E27E" w:rsidR="00311D0F" w:rsidRPr="00CA7033" w:rsidRDefault="00311D0F" w:rsidP="00311D0F">
      <w:pPr>
        <w:rPr>
          <w:szCs w:val="22"/>
        </w:rPr>
      </w:pPr>
      <w:r w:rsidRPr="00CA7033">
        <w:rPr>
          <w:szCs w:val="22"/>
        </w:rPr>
        <w:t>Protonų siurblio inhibitoriai, ypač vartojami didelėmis dozėmis ir ilgai (&gt;1 metus), gali nežymiai didinti šlaunikaulio, riešo ar stuburo lūžimų riziką, ypač senyvo amžiaus žmonėms arba jei yra kitokių rizikos veiksnių. Stebėjimo tyrimai rodo, kad protonų siurblio inhibitorių vartojimas bendrą lūžimų riziką gali didinti 10</w:t>
      </w:r>
      <w:r w:rsidR="007365F6" w:rsidRPr="00CA7033">
        <w:rPr>
          <w:szCs w:val="22"/>
        </w:rPr>
        <w:t>–</w:t>
      </w:r>
      <w:r w:rsidRPr="00CA7033">
        <w:rPr>
          <w:szCs w:val="22"/>
        </w:rPr>
        <w:t>40%. Kartais su tokiu padidėjimu gali būti susiję kitokie rizikos veiksniai. Pacientai, kuriems yra osteoporozės rizika, turi būti stebimi vadovaujantis galiojančiomis klinikinėmis gairėmis, be to, jie turi vartoti pakankamai vitamino D ir kalcio.</w:t>
      </w:r>
    </w:p>
    <w:p w14:paraId="1710191C" w14:textId="77777777" w:rsidR="00311D0F" w:rsidRPr="00CA7033" w:rsidRDefault="00311D0F" w:rsidP="00311D0F">
      <w:pPr>
        <w:rPr>
          <w:szCs w:val="22"/>
        </w:rPr>
      </w:pPr>
    </w:p>
    <w:p w14:paraId="02C21D79" w14:textId="0BF690EE" w:rsidR="00260B52" w:rsidRPr="00CA7033" w:rsidRDefault="00260B52" w:rsidP="00260B52">
      <w:pPr>
        <w:autoSpaceDE w:val="0"/>
        <w:autoSpaceDN w:val="0"/>
        <w:adjustRightInd w:val="0"/>
        <w:rPr>
          <w:szCs w:val="22"/>
          <w:u w:val="single"/>
        </w:rPr>
      </w:pPr>
      <w:r w:rsidRPr="00CA7033">
        <w:rPr>
          <w:szCs w:val="22"/>
          <w:u w:val="single"/>
        </w:rPr>
        <w:t>Metotreksatas</w:t>
      </w:r>
    </w:p>
    <w:p w14:paraId="0D22BB34" w14:textId="77777777" w:rsidR="00260B52" w:rsidRPr="00CA7033" w:rsidRDefault="00260B52" w:rsidP="00260B52">
      <w:pPr>
        <w:autoSpaceDE w:val="0"/>
        <w:autoSpaceDN w:val="0"/>
        <w:adjustRightInd w:val="0"/>
        <w:rPr>
          <w:szCs w:val="22"/>
          <w:u w:val="single"/>
        </w:rPr>
      </w:pPr>
    </w:p>
    <w:p w14:paraId="5FA0110D" w14:textId="77777777" w:rsidR="00311D0F" w:rsidRPr="00CA7033" w:rsidRDefault="00311D0F" w:rsidP="00311D0F">
      <w:pPr>
        <w:rPr>
          <w:szCs w:val="22"/>
        </w:rPr>
      </w:pPr>
      <w:r w:rsidRPr="00CA7033">
        <w:rPr>
          <w:szCs w:val="22"/>
        </w:rPr>
        <w:t>Gauta pranešimų, kad kai kuriems pacientams padidėjo kartu su PSI vartojamo metotreksato koncentracija. Jei vartojama didelė metotreksato dozė, gali reikėti apsvarstyti laikiną gydymo dekslansoprazolu nutraukimą.</w:t>
      </w:r>
    </w:p>
    <w:p w14:paraId="1ABAFD50" w14:textId="77777777" w:rsidR="00311D0F" w:rsidRPr="00CA7033" w:rsidRDefault="00311D0F" w:rsidP="00311D0F">
      <w:pPr>
        <w:rPr>
          <w:szCs w:val="22"/>
        </w:rPr>
      </w:pPr>
    </w:p>
    <w:p w14:paraId="14369FD5" w14:textId="1767A3FC" w:rsidR="000A378E" w:rsidRPr="00572B1E" w:rsidRDefault="000A378E" w:rsidP="00311D0F">
      <w:pPr>
        <w:rPr>
          <w:u w:val="single"/>
        </w:rPr>
      </w:pPr>
      <w:r w:rsidRPr="00572B1E">
        <w:rPr>
          <w:u w:val="single"/>
        </w:rPr>
        <w:t>Sunkios nepageidaujamos odos reakcijos</w:t>
      </w:r>
    </w:p>
    <w:p w14:paraId="01554D30" w14:textId="77777777" w:rsidR="000A378E" w:rsidRPr="00CA7033" w:rsidRDefault="000A378E" w:rsidP="00311D0F"/>
    <w:p w14:paraId="4836AD52" w14:textId="056CF6C5" w:rsidR="000A378E" w:rsidRPr="00CA7033" w:rsidRDefault="000A378E" w:rsidP="00311D0F">
      <w:r w:rsidRPr="00CA7033">
        <w:t>Buvo pranešta apie su PSI vartojimu susijusias sunkias nepageidaujamas odos reakcijas, įskaitant Stivenso-Džonsono (</w:t>
      </w:r>
      <w:r w:rsidRPr="00572B1E">
        <w:rPr>
          <w:i/>
          <w:iCs/>
        </w:rPr>
        <w:t>Stevens-Johnson</w:t>
      </w:r>
      <w:r w:rsidRPr="00CA7033">
        <w:t xml:space="preserve">) sindromą (SJS), toksinę epidermio nekrolizę (TEN), reakciją į vaistinį preparatą su eozinofilija ir sisteminiais simptomais (angl. </w:t>
      </w:r>
      <w:r w:rsidRPr="00572B1E">
        <w:rPr>
          <w:i/>
          <w:iCs/>
        </w:rPr>
        <w:t>drug reaction with eosinophilia and systemic symptoms</w:t>
      </w:r>
      <w:r w:rsidRPr="00CA7033">
        <w:t xml:space="preserve">, DRESS) ir daugiaformę eritemą (žr. 4.8 skyrių). Pasireiškus pirmiesiems sunkių nepageidaujamų </w:t>
      </w:r>
      <w:r w:rsidR="00F97E9F" w:rsidRPr="00CA7033">
        <w:t xml:space="preserve">odos </w:t>
      </w:r>
      <w:r w:rsidRPr="00CA7033">
        <w:t xml:space="preserve">reakcijų </w:t>
      </w:r>
      <w:r w:rsidR="00F97E9F" w:rsidRPr="00CA7033">
        <w:t xml:space="preserve">požymiams ar simptomams </w:t>
      </w:r>
      <w:r w:rsidRPr="00CA7033">
        <w:t>ar</w:t>
      </w:r>
      <w:r w:rsidR="00F97E9F" w:rsidRPr="00CA7033">
        <w:t>ba</w:t>
      </w:r>
      <w:r w:rsidRPr="00CA7033">
        <w:t xml:space="preserve"> kit</w:t>
      </w:r>
      <w:r w:rsidR="00F97E9F" w:rsidRPr="00CA7033">
        <w:t>iems</w:t>
      </w:r>
      <w:r w:rsidRPr="00CA7033">
        <w:t xml:space="preserve"> padidėjusio jautrumo požymi</w:t>
      </w:r>
      <w:r w:rsidR="00F97E9F" w:rsidRPr="00CA7033">
        <w:t>ams</w:t>
      </w:r>
      <w:r w:rsidRPr="00CA7033">
        <w:t xml:space="preserve">, </w:t>
      </w:r>
      <w:r w:rsidR="00F97E9F" w:rsidRPr="00CA7033">
        <w:t xml:space="preserve">reikia nedelsiant nutraukti </w:t>
      </w:r>
      <w:r w:rsidRPr="00CA7033">
        <w:t>dekslansoprazolo vartojimą ir apsvarsty</w:t>
      </w:r>
      <w:r w:rsidR="00F97E9F" w:rsidRPr="00CA7033">
        <w:t>ti</w:t>
      </w:r>
      <w:r w:rsidRPr="00CA7033">
        <w:t xml:space="preserve"> galimybę atlikti tolesnį </w:t>
      </w:r>
      <w:r w:rsidR="00F97E9F" w:rsidRPr="00CA7033">
        <w:t>į</w:t>
      </w:r>
      <w:r w:rsidRPr="00CA7033">
        <w:t>vertinimą.</w:t>
      </w:r>
    </w:p>
    <w:p w14:paraId="45835F9D" w14:textId="77777777" w:rsidR="000A378E" w:rsidRPr="00CA7033" w:rsidRDefault="000A378E" w:rsidP="00311D0F">
      <w:pPr>
        <w:rPr>
          <w:szCs w:val="22"/>
        </w:rPr>
      </w:pPr>
    </w:p>
    <w:p w14:paraId="0564458E" w14:textId="77777777" w:rsidR="00311D0F" w:rsidRPr="00CA7033" w:rsidRDefault="00311D0F" w:rsidP="00311D0F">
      <w:pPr>
        <w:ind w:left="567" w:hanging="567"/>
        <w:rPr>
          <w:u w:val="single"/>
        </w:rPr>
      </w:pPr>
      <w:r w:rsidRPr="00CA7033">
        <w:rPr>
          <w:u w:val="single"/>
        </w:rPr>
        <w:t>Poūmė odos raudonoji vilkligė (PORV)</w:t>
      </w:r>
    </w:p>
    <w:p w14:paraId="72CD0DB5" w14:textId="77777777" w:rsidR="00311D0F" w:rsidRPr="00CA7033" w:rsidRDefault="00311D0F" w:rsidP="00311D0F">
      <w:pPr>
        <w:ind w:left="567" w:hanging="567"/>
        <w:rPr>
          <w:szCs w:val="22"/>
        </w:rPr>
      </w:pPr>
    </w:p>
    <w:p w14:paraId="3F93D0A4" w14:textId="77777777" w:rsidR="00311D0F" w:rsidRPr="00CA7033" w:rsidRDefault="00311D0F" w:rsidP="00311D0F">
      <w:r w:rsidRPr="00CA7033">
        <w:rPr>
          <w:szCs w:val="22"/>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Dexilant. Jeigu po ankstesnio gydymo protonų siurblio inhibitoriumi pacientui išsivystė PORV, PORV pavojus vartojant kitus protonų siurblio inhibitorius gali būti didesnis.</w:t>
      </w:r>
    </w:p>
    <w:p w14:paraId="24B7EF08" w14:textId="77777777" w:rsidR="00311D0F" w:rsidRPr="00CA7033" w:rsidRDefault="00311D0F" w:rsidP="00311D0F">
      <w:pPr>
        <w:rPr>
          <w:szCs w:val="22"/>
        </w:rPr>
      </w:pPr>
    </w:p>
    <w:p w14:paraId="26682E49" w14:textId="70D16905" w:rsidR="004B3037" w:rsidRPr="00CA7033" w:rsidRDefault="004B3037" w:rsidP="004B3037">
      <w:pPr>
        <w:autoSpaceDE w:val="0"/>
        <w:autoSpaceDN w:val="0"/>
        <w:adjustRightInd w:val="0"/>
        <w:rPr>
          <w:rFonts w:eastAsiaTheme="minorHAnsi"/>
          <w:color w:val="000000"/>
          <w:szCs w:val="22"/>
          <w:u w:val="single"/>
          <w:lang w:bidi="bn-BD"/>
        </w:rPr>
      </w:pPr>
      <w:r w:rsidRPr="00CA7033">
        <w:rPr>
          <w:rFonts w:eastAsiaTheme="minorHAnsi"/>
          <w:color w:val="000000"/>
          <w:szCs w:val="22"/>
          <w:u w:val="single"/>
          <w:lang w:bidi="bn-BD"/>
        </w:rPr>
        <w:t>Inkstų funkcijos sutrikimas</w:t>
      </w:r>
    </w:p>
    <w:p w14:paraId="2CB6C759" w14:textId="77777777" w:rsidR="004B3037" w:rsidRPr="00CA7033" w:rsidRDefault="004B3037" w:rsidP="004B3037">
      <w:pPr>
        <w:autoSpaceDE w:val="0"/>
        <w:autoSpaceDN w:val="0"/>
        <w:adjustRightInd w:val="0"/>
        <w:rPr>
          <w:rFonts w:eastAsiaTheme="minorHAnsi"/>
          <w:color w:val="000000"/>
          <w:szCs w:val="22"/>
          <w:u w:val="single"/>
          <w:lang w:bidi="bn-BD"/>
        </w:rPr>
      </w:pPr>
    </w:p>
    <w:p w14:paraId="05C46FCE" w14:textId="3AF02E75" w:rsidR="004B3037" w:rsidRPr="00CA7033" w:rsidRDefault="004B3037" w:rsidP="004B3037">
      <w:pPr>
        <w:autoSpaceDE w:val="0"/>
        <w:autoSpaceDN w:val="0"/>
        <w:adjustRightInd w:val="0"/>
        <w:rPr>
          <w:rFonts w:eastAsiaTheme="minorHAnsi"/>
          <w:color w:val="000000"/>
          <w:szCs w:val="22"/>
          <w:lang w:bidi="bn-BD"/>
        </w:rPr>
      </w:pPr>
      <w:r w:rsidRPr="00CA7033">
        <w:rPr>
          <w:rFonts w:eastAsiaTheme="minorHAnsi"/>
          <w:color w:val="000000"/>
          <w:szCs w:val="22"/>
          <w:lang w:bidi="bn-BD"/>
        </w:rPr>
        <w:t xml:space="preserve">Pacientams, vartojantiems </w:t>
      </w:r>
      <w:r w:rsidRPr="00CA7033">
        <w:rPr>
          <w:szCs w:val="22"/>
        </w:rPr>
        <w:t>dekslansoprazolą</w:t>
      </w:r>
      <w:r w:rsidRPr="00CA7033">
        <w:rPr>
          <w:rFonts w:eastAsiaTheme="minorHAnsi"/>
          <w:color w:val="000000"/>
          <w:szCs w:val="22"/>
          <w:lang w:bidi="bn-BD"/>
        </w:rPr>
        <w:t>, buvo stebėtas ūminis kanalėlių ir intersticinio audinio nefritas (angl.</w:t>
      </w:r>
      <w:r w:rsidRPr="00CA7033">
        <w:rPr>
          <w:rFonts w:eastAsiaTheme="minorHAnsi"/>
          <w:i/>
          <w:iCs/>
          <w:color w:val="000000"/>
          <w:szCs w:val="22"/>
          <w:lang w:bidi="bn-BD"/>
        </w:rPr>
        <w:t xml:space="preserve"> tubulointerstitial, TIN</w:t>
      </w:r>
      <w:r w:rsidRPr="00CA7033">
        <w:rPr>
          <w:rFonts w:eastAsiaTheme="minorHAnsi"/>
          <w:color w:val="000000"/>
          <w:szCs w:val="22"/>
          <w:lang w:bidi="bn-BD"/>
        </w:rPr>
        <w:t xml:space="preserve">), kuris gali pasireikšti bet kuriuo gydymo dekslansoprazolu metu (žr. 4.8 skyrių). Ūminis kanalėlių ir intersticinio audinio nefritas gali progresuoti iki inkstų nepakankamumo. </w:t>
      </w:r>
    </w:p>
    <w:p w14:paraId="4739E269" w14:textId="77777777" w:rsidR="004B3037" w:rsidRPr="00CA7033" w:rsidRDefault="004B3037" w:rsidP="004B3037">
      <w:pPr>
        <w:rPr>
          <w:rFonts w:eastAsiaTheme="minorHAnsi"/>
          <w:color w:val="000000"/>
          <w:szCs w:val="22"/>
          <w:lang w:bidi="bn-BD"/>
        </w:rPr>
      </w:pPr>
    </w:p>
    <w:p w14:paraId="0C98604E" w14:textId="190537C9" w:rsidR="004B3037" w:rsidRPr="00CA7033" w:rsidRDefault="004B3037" w:rsidP="004B3037">
      <w:pPr>
        <w:rPr>
          <w:rFonts w:eastAsiaTheme="minorHAnsi"/>
          <w:color w:val="000000"/>
          <w:szCs w:val="22"/>
          <w:lang w:bidi="bn-BD"/>
        </w:rPr>
      </w:pPr>
      <w:r w:rsidRPr="00CA7033">
        <w:rPr>
          <w:rFonts w:eastAsiaTheme="minorHAnsi"/>
          <w:color w:val="000000"/>
          <w:szCs w:val="22"/>
          <w:lang w:bidi="bn-BD"/>
        </w:rPr>
        <w:t xml:space="preserve">Jei įtariamas kanalėlių ir intersticinio audinio nefritas, dekslansoprazolo vartojimą reikia nutraukti ir nedelsiant pradėti tinkamą gydymą. </w:t>
      </w:r>
    </w:p>
    <w:p w14:paraId="7291A993" w14:textId="77777777" w:rsidR="004B3037" w:rsidRPr="00CA7033" w:rsidRDefault="004B3037" w:rsidP="004B3037">
      <w:pPr>
        <w:rPr>
          <w:rFonts w:ascii="Verdana" w:eastAsiaTheme="minorHAnsi" w:hAnsi="Verdana" w:cs="Verdana"/>
          <w:b/>
          <w:bCs/>
          <w:color w:val="000000"/>
          <w:sz w:val="18"/>
          <w:szCs w:val="18"/>
          <w:lang w:bidi="bn-BD"/>
        </w:rPr>
      </w:pPr>
    </w:p>
    <w:p w14:paraId="3F59DC60" w14:textId="0A58250A" w:rsidR="00311D0F" w:rsidRPr="00CA7033" w:rsidRDefault="00311D0F" w:rsidP="004B3037">
      <w:pPr>
        <w:rPr>
          <w:u w:val="single"/>
        </w:rPr>
      </w:pPr>
      <w:r w:rsidRPr="00CA7033">
        <w:rPr>
          <w:u w:val="single"/>
        </w:rPr>
        <w:t>Poveikis laboratorinių tyrimų rezultatams</w:t>
      </w:r>
    </w:p>
    <w:p w14:paraId="756819E0" w14:textId="77777777" w:rsidR="00311D0F" w:rsidRPr="00CA7033" w:rsidRDefault="00311D0F" w:rsidP="00311D0F">
      <w:pPr>
        <w:rPr>
          <w:szCs w:val="22"/>
        </w:rPr>
      </w:pPr>
    </w:p>
    <w:p w14:paraId="35B59FC3" w14:textId="77777777" w:rsidR="00311D0F" w:rsidRPr="00CA7033" w:rsidRDefault="00311D0F" w:rsidP="00311D0F">
      <w:pPr>
        <w:rPr>
          <w:rFonts w:ascii="Verdana" w:eastAsiaTheme="minorHAnsi" w:hAnsi="Verdana" w:cs="Verdana"/>
          <w:color w:val="000000"/>
          <w:sz w:val="18"/>
          <w:szCs w:val="18"/>
        </w:rPr>
      </w:pPr>
      <w:r w:rsidRPr="00CA7033">
        <w:rPr>
          <w:szCs w:val="22"/>
        </w:rPr>
        <w:t xml:space="preserve">Dėl padidėjusios chromogranino A (CgA) koncentracijos gali būti sunkiau atlikti neuroendokrininių navikų tyrimus. Siekiant išvengti tokio poveikio, gydymą Dexilant reikia nutraukti likus ne mažiau kaip 5 dienoms iki CgA tyrimų (žr. 5.1 skyrių). Jeigu po pirminio tyrimo CgA ir gastrino </w:t>
      </w:r>
      <w:r w:rsidRPr="00CA7033">
        <w:rPr>
          <w:szCs w:val="22"/>
        </w:rPr>
        <w:lastRenderedPageBreak/>
        <w:t>koncentracija nesumažėjo iki standartinės koncentracijos intervalo, tyrimus reikia pakartoti praėjus 14 dienų po gydymo protonų siurblio inhibitoriais nutraukimo.</w:t>
      </w:r>
    </w:p>
    <w:p w14:paraId="13BEB936" w14:textId="77777777" w:rsidR="00311D0F" w:rsidRPr="00CA7033" w:rsidRDefault="00311D0F" w:rsidP="00311D0F">
      <w:pPr>
        <w:ind w:left="567" w:hanging="567"/>
        <w:rPr>
          <w:szCs w:val="22"/>
        </w:rPr>
      </w:pPr>
    </w:p>
    <w:p w14:paraId="7C11FC4D" w14:textId="77777777" w:rsidR="000A378E" w:rsidRPr="00CA7033" w:rsidRDefault="000A378E" w:rsidP="000A378E">
      <w:pPr>
        <w:rPr>
          <w:szCs w:val="22"/>
        </w:rPr>
      </w:pPr>
      <w:r w:rsidRPr="00CA7033">
        <w:rPr>
          <w:szCs w:val="22"/>
          <w:u w:val="single"/>
        </w:rPr>
        <w:t>Dexilant sudėtyje yra sacharozės</w:t>
      </w:r>
      <w:r w:rsidRPr="00CA7033">
        <w:rPr>
          <w:szCs w:val="22"/>
        </w:rPr>
        <w:t xml:space="preserve"> </w:t>
      </w:r>
    </w:p>
    <w:p w14:paraId="590902C4" w14:textId="77777777" w:rsidR="000A378E" w:rsidRPr="00CA7033" w:rsidRDefault="000A378E" w:rsidP="000A378E">
      <w:pPr>
        <w:rPr>
          <w:szCs w:val="22"/>
        </w:rPr>
      </w:pPr>
      <w:r w:rsidRPr="00CA7033">
        <w:rPr>
          <w:szCs w:val="22"/>
        </w:rPr>
        <w:t>Šio vaistinio preparato negalima vartoti pacientams, kuriems nustatytas retas paveldimas sutrikimas – fruktozės netoleravimas, gliukozės ir galaktozės malabsorbcija arba sacharozės ir izomaltazės stygius.</w:t>
      </w:r>
    </w:p>
    <w:p w14:paraId="49BC0F84" w14:textId="77777777" w:rsidR="000A378E" w:rsidRDefault="000A378E" w:rsidP="000A378E">
      <w:pPr>
        <w:ind w:left="567" w:hanging="567"/>
        <w:rPr>
          <w:szCs w:val="22"/>
        </w:rPr>
      </w:pPr>
    </w:p>
    <w:p w14:paraId="505F63F8" w14:textId="77777777" w:rsidR="0004742D" w:rsidRDefault="0004742D" w:rsidP="0004742D">
      <w:pPr>
        <w:rPr>
          <w:szCs w:val="22"/>
          <w:u w:val="single"/>
        </w:rPr>
      </w:pPr>
      <w:r w:rsidRPr="00CA7033">
        <w:rPr>
          <w:szCs w:val="22"/>
          <w:u w:val="single"/>
        </w:rPr>
        <w:t xml:space="preserve">Dexilant sudėtyje yra </w:t>
      </w:r>
      <w:r>
        <w:rPr>
          <w:szCs w:val="22"/>
          <w:u w:val="single"/>
        </w:rPr>
        <w:t>natrio</w:t>
      </w:r>
    </w:p>
    <w:p w14:paraId="65940459" w14:textId="706E38A2" w:rsidR="0004742D" w:rsidRPr="00CA7033" w:rsidRDefault="0004742D" w:rsidP="0004742D">
      <w:pPr>
        <w:rPr>
          <w:szCs w:val="22"/>
        </w:rPr>
      </w:pPr>
    </w:p>
    <w:p w14:paraId="0DB9BD02" w14:textId="3B84992B" w:rsidR="0004742D" w:rsidRDefault="0004742D" w:rsidP="0004742D">
      <w:pPr>
        <w:rPr>
          <w:szCs w:val="22"/>
        </w:rPr>
      </w:pPr>
      <w:r w:rsidRPr="0004742D">
        <w:rPr>
          <w:szCs w:val="22"/>
        </w:rPr>
        <w:t>Šio vaist</w:t>
      </w:r>
      <w:r>
        <w:rPr>
          <w:szCs w:val="22"/>
        </w:rPr>
        <w:t>inio preparato</w:t>
      </w:r>
      <w:r w:rsidRPr="0004742D">
        <w:rPr>
          <w:szCs w:val="22"/>
        </w:rPr>
        <w:t xml:space="preserve"> </w:t>
      </w:r>
      <w:r>
        <w:rPr>
          <w:szCs w:val="22"/>
        </w:rPr>
        <w:t>kapsulėje</w:t>
      </w:r>
      <w:r w:rsidRPr="0004742D">
        <w:rPr>
          <w:szCs w:val="22"/>
        </w:rPr>
        <w:t xml:space="preserve"> yra mažiau kaip 1</w:t>
      </w:r>
      <w:r>
        <w:rPr>
          <w:szCs w:val="22"/>
        </w:rPr>
        <w:t> </w:t>
      </w:r>
      <w:r w:rsidRPr="0004742D">
        <w:rPr>
          <w:szCs w:val="22"/>
        </w:rPr>
        <w:t>mmol (23 mg) natrio, t.</w:t>
      </w:r>
      <w:r>
        <w:rPr>
          <w:szCs w:val="22"/>
        </w:rPr>
        <w:t xml:space="preserve"> </w:t>
      </w:r>
      <w:r w:rsidRPr="0004742D">
        <w:rPr>
          <w:szCs w:val="22"/>
        </w:rPr>
        <w:t>y. jis beveik neturi reikšmės.</w:t>
      </w:r>
    </w:p>
    <w:p w14:paraId="2BDF6B08" w14:textId="77777777" w:rsidR="0004742D" w:rsidRPr="00CA7033" w:rsidRDefault="0004742D" w:rsidP="000A378E">
      <w:pPr>
        <w:ind w:left="567" w:hanging="567"/>
        <w:rPr>
          <w:szCs w:val="22"/>
        </w:rPr>
      </w:pPr>
    </w:p>
    <w:p w14:paraId="16D3F708" w14:textId="77777777" w:rsidR="00311D0F" w:rsidRPr="00CA7033" w:rsidRDefault="00311D0F" w:rsidP="00311D0F">
      <w:pPr>
        <w:ind w:left="567" w:hanging="567"/>
        <w:rPr>
          <w:b/>
          <w:szCs w:val="22"/>
        </w:rPr>
      </w:pPr>
      <w:r w:rsidRPr="00CA7033">
        <w:rPr>
          <w:b/>
          <w:szCs w:val="22"/>
        </w:rPr>
        <w:t>4.5</w:t>
      </w:r>
      <w:r w:rsidRPr="00CA7033">
        <w:rPr>
          <w:b/>
          <w:szCs w:val="22"/>
        </w:rPr>
        <w:tab/>
        <w:t>Sąveika su kitais vaistiniais preparatais ir kitokia sąveika</w:t>
      </w:r>
    </w:p>
    <w:p w14:paraId="5CB89A0A" w14:textId="77777777" w:rsidR="00311D0F" w:rsidRPr="00CA7033" w:rsidRDefault="00311D0F" w:rsidP="00311D0F">
      <w:pPr>
        <w:ind w:left="567" w:hanging="567"/>
        <w:rPr>
          <w:b/>
          <w:szCs w:val="22"/>
        </w:rPr>
      </w:pPr>
    </w:p>
    <w:p w14:paraId="30FA4AF3" w14:textId="77777777" w:rsidR="00311D0F" w:rsidRPr="00CA7033" w:rsidRDefault="00311D0F" w:rsidP="00311D0F">
      <w:pPr>
        <w:ind w:left="567" w:hanging="567"/>
        <w:rPr>
          <w:b/>
          <w:szCs w:val="22"/>
        </w:rPr>
      </w:pPr>
      <w:r w:rsidRPr="00CA7033">
        <w:rPr>
          <w:szCs w:val="22"/>
        </w:rPr>
        <w:t>Sąveikos tyrimai atlikti tik suaugusiesiems.</w:t>
      </w:r>
    </w:p>
    <w:p w14:paraId="0D1A138A" w14:textId="77777777" w:rsidR="00311D0F" w:rsidRPr="00CA7033" w:rsidRDefault="00311D0F" w:rsidP="00311D0F">
      <w:pPr>
        <w:ind w:left="567" w:hanging="567"/>
        <w:rPr>
          <w:b/>
          <w:szCs w:val="22"/>
        </w:rPr>
      </w:pPr>
    </w:p>
    <w:p w14:paraId="3C6C3EA5" w14:textId="77777777" w:rsidR="00311D0F" w:rsidRPr="00CA7033" w:rsidRDefault="00311D0F" w:rsidP="00705DE5">
      <w:pPr>
        <w:keepNext/>
        <w:rPr>
          <w:szCs w:val="22"/>
          <w:u w:val="single"/>
        </w:rPr>
      </w:pPr>
      <w:r w:rsidRPr="00CA7033">
        <w:rPr>
          <w:szCs w:val="22"/>
          <w:u w:val="single"/>
        </w:rPr>
        <w:t>Kitų vaistinių preparatų poveikis dekslansoprazolui</w:t>
      </w:r>
    </w:p>
    <w:p w14:paraId="1FAC0B8C" w14:textId="77777777" w:rsidR="00311D0F" w:rsidRPr="00CA7033" w:rsidRDefault="00311D0F" w:rsidP="00705DE5">
      <w:pPr>
        <w:keepNext/>
        <w:rPr>
          <w:szCs w:val="22"/>
        </w:rPr>
      </w:pPr>
    </w:p>
    <w:p w14:paraId="2643B7E7" w14:textId="77777777" w:rsidR="00311D0F" w:rsidRPr="00CA7033" w:rsidRDefault="00311D0F" w:rsidP="00705DE5">
      <w:pPr>
        <w:keepNext/>
        <w:rPr>
          <w:szCs w:val="22"/>
        </w:rPr>
      </w:pPr>
      <w:r w:rsidRPr="00CA7033">
        <w:rPr>
          <w:szCs w:val="22"/>
        </w:rPr>
        <w:t>Nustatyta, kad dekslansoprazolo metabolizme dalyvauja CYP2C19 ir CYP3A4 izofermentai.</w:t>
      </w:r>
    </w:p>
    <w:p w14:paraId="0EF2DBAF" w14:textId="77777777" w:rsidR="00311D0F" w:rsidRPr="00CA7033" w:rsidRDefault="00311D0F" w:rsidP="00311D0F">
      <w:pPr>
        <w:rPr>
          <w:szCs w:val="22"/>
        </w:rPr>
      </w:pPr>
    </w:p>
    <w:p w14:paraId="15E275FC" w14:textId="77777777" w:rsidR="00311D0F" w:rsidRPr="00CA7033" w:rsidRDefault="00311D0F" w:rsidP="00311D0F">
      <w:pPr>
        <w:rPr>
          <w:i/>
          <w:szCs w:val="22"/>
        </w:rPr>
      </w:pPr>
      <w:r w:rsidRPr="00CA7033">
        <w:rPr>
          <w:i/>
          <w:szCs w:val="22"/>
        </w:rPr>
        <w:t>CYP2C19 slopinantys vaistiniai preparatai</w:t>
      </w:r>
    </w:p>
    <w:p w14:paraId="2BD4FADF" w14:textId="77777777" w:rsidR="00311D0F" w:rsidRPr="00CA7033" w:rsidRDefault="00311D0F" w:rsidP="00311D0F">
      <w:pPr>
        <w:rPr>
          <w:szCs w:val="22"/>
        </w:rPr>
      </w:pPr>
    </w:p>
    <w:p w14:paraId="24A90AF0" w14:textId="77777777" w:rsidR="00311D0F" w:rsidRPr="00CA7033" w:rsidRDefault="00311D0F" w:rsidP="00311D0F">
      <w:pPr>
        <w:rPr>
          <w:szCs w:val="22"/>
        </w:rPr>
      </w:pPr>
      <w:r w:rsidRPr="00CA7033">
        <w:rPr>
          <w:szCs w:val="22"/>
        </w:rPr>
        <w:t>Tikėtina, kad CYP2C19 inhibitoriai (pvz., fluvoksaminas) didina sisteminę dekslansoprazolo ekspoziciją.</w:t>
      </w:r>
    </w:p>
    <w:p w14:paraId="04156F6F" w14:textId="77777777" w:rsidR="00311D0F" w:rsidRPr="00CA7033" w:rsidRDefault="00311D0F" w:rsidP="00311D0F">
      <w:pPr>
        <w:rPr>
          <w:szCs w:val="22"/>
        </w:rPr>
      </w:pPr>
    </w:p>
    <w:p w14:paraId="4560AB6C" w14:textId="77777777" w:rsidR="00311D0F" w:rsidRPr="00CA7033" w:rsidRDefault="00311D0F" w:rsidP="00311D0F">
      <w:pPr>
        <w:rPr>
          <w:i/>
          <w:szCs w:val="22"/>
        </w:rPr>
      </w:pPr>
      <w:r w:rsidRPr="00CA7033">
        <w:rPr>
          <w:i/>
          <w:szCs w:val="22"/>
        </w:rPr>
        <w:t>CYP2C19 ir CYP3A4 indukuojantys vaistiniai preparatai</w:t>
      </w:r>
    </w:p>
    <w:p w14:paraId="289D2D9F" w14:textId="77777777" w:rsidR="00311D0F" w:rsidRPr="00CA7033" w:rsidRDefault="00311D0F" w:rsidP="00311D0F">
      <w:pPr>
        <w:rPr>
          <w:szCs w:val="22"/>
        </w:rPr>
      </w:pPr>
    </w:p>
    <w:p w14:paraId="30EBE901" w14:textId="77777777" w:rsidR="00311D0F" w:rsidRPr="00CA7033" w:rsidRDefault="00311D0F" w:rsidP="00311D0F">
      <w:pPr>
        <w:rPr>
          <w:szCs w:val="22"/>
        </w:rPr>
      </w:pPr>
      <w:r w:rsidRPr="00CA7033">
        <w:rPr>
          <w:szCs w:val="22"/>
        </w:rPr>
        <w:t>CYP2C19 ir CYP3A4 veikiantys fermentų induktoriai, pvz., rifampicinas, ir paprastųjų jonažolių (</w:t>
      </w:r>
      <w:r w:rsidRPr="00CA7033">
        <w:rPr>
          <w:i/>
          <w:szCs w:val="22"/>
        </w:rPr>
        <w:t>Hypericum perforatum</w:t>
      </w:r>
      <w:r w:rsidRPr="00CA7033">
        <w:rPr>
          <w:szCs w:val="22"/>
        </w:rPr>
        <w:t xml:space="preserve">) preparatai gali mažinti dekslansoprazolo koncentraciją plazmoje. </w:t>
      </w:r>
    </w:p>
    <w:p w14:paraId="6556A6B3" w14:textId="77777777" w:rsidR="00311D0F" w:rsidRPr="00CA7033" w:rsidRDefault="00311D0F" w:rsidP="00311D0F">
      <w:pPr>
        <w:rPr>
          <w:szCs w:val="22"/>
        </w:rPr>
      </w:pPr>
    </w:p>
    <w:p w14:paraId="48460AFA" w14:textId="478B7F20" w:rsidR="00311D0F" w:rsidRPr="00CA7033" w:rsidRDefault="00311D0F" w:rsidP="00311D0F">
      <w:pPr>
        <w:rPr>
          <w:i/>
          <w:szCs w:val="22"/>
        </w:rPr>
      </w:pPr>
      <w:r w:rsidRPr="00CA7033">
        <w:rPr>
          <w:i/>
          <w:szCs w:val="22"/>
        </w:rPr>
        <w:t>Kit</w:t>
      </w:r>
      <w:r w:rsidR="00F97E9F" w:rsidRPr="00CA7033">
        <w:rPr>
          <w:i/>
          <w:szCs w:val="22"/>
        </w:rPr>
        <w:t>i</w:t>
      </w:r>
      <w:r w:rsidRPr="00CA7033">
        <w:rPr>
          <w:i/>
          <w:szCs w:val="22"/>
        </w:rPr>
        <w:t xml:space="preserve"> </w:t>
      </w:r>
      <w:r w:rsidR="00F97E9F" w:rsidRPr="00CA7033">
        <w:rPr>
          <w:i/>
          <w:szCs w:val="22"/>
        </w:rPr>
        <w:t>vaistiniai preparatai</w:t>
      </w:r>
    </w:p>
    <w:p w14:paraId="421FEC84" w14:textId="77777777" w:rsidR="00311D0F" w:rsidRPr="00CA7033" w:rsidRDefault="00311D0F" w:rsidP="00311D0F">
      <w:pPr>
        <w:rPr>
          <w:szCs w:val="22"/>
        </w:rPr>
      </w:pPr>
    </w:p>
    <w:p w14:paraId="5DC159AB" w14:textId="77777777" w:rsidR="00311D0F" w:rsidRPr="00572B1E" w:rsidRDefault="00311D0F" w:rsidP="00311D0F">
      <w:pPr>
        <w:rPr>
          <w:i/>
          <w:iCs/>
          <w:szCs w:val="22"/>
          <w:u w:val="single"/>
        </w:rPr>
      </w:pPr>
      <w:r w:rsidRPr="00572B1E">
        <w:rPr>
          <w:i/>
          <w:iCs/>
          <w:szCs w:val="22"/>
          <w:u w:val="single"/>
        </w:rPr>
        <w:t>Sukralfatas ir antacidiniai preparatai</w:t>
      </w:r>
    </w:p>
    <w:p w14:paraId="5D99ED88" w14:textId="77777777" w:rsidR="00311D0F" w:rsidRPr="00CA7033" w:rsidRDefault="00311D0F" w:rsidP="00311D0F">
      <w:pPr>
        <w:rPr>
          <w:szCs w:val="22"/>
        </w:rPr>
      </w:pPr>
      <w:r w:rsidRPr="00CA7033">
        <w:rPr>
          <w:szCs w:val="22"/>
        </w:rPr>
        <w:t>Sukralfatas ir antacidiniai preparatai gali mažinti biologinį dekslansoprazolo prieinamumą. Dėl šios priežasties dekslansoprazolo galima vartoti po minėtų vaistinių preparatų pavartojimo praėjus ne mažiau kaip 1 valandai.</w:t>
      </w:r>
    </w:p>
    <w:p w14:paraId="753A5045" w14:textId="77777777" w:rsidR="00311D0F" w:rsidRPr="00CA7033" w:rsidRDefault="00311D0F" w:rsidP="00311D0F">
      <w:pPr>
        <w:rPr>
          <w:szCs w:val="22"/>
        </w:rPr>
      </w:pPr>
    </w:p>
    <w:p w14:paraId="59266D69" w14:textId="77777777" w:rsidR="00311D0F" w:rsidRPr="00CA7033" w:rsidRDefault="00311D0F" w:rsidP="00311D0F">
      <w:pPr>
        <w:rPr>
          <w:szCs w:val="22"/>
          <w:u w:val="single"/>
        </w:rPr>
      </w:pPr>
      <w:r w:rsidRPr="00CA7033">
        <w:rPr>
          <w:szCs w:val="22"/>
          <w:u w:val="single"/>
        </w:rPr>
        <w:t>Dekslansoprazolo poveikis kitiems vaistiniams preparatams</w:t>
      </w:r>
    </w:p>
    <w:p w14:paraId="32404936" w14:textId="77777777" w:rsidR="00311D0F" w:rsidRPr="00CA7033" w:rsidRDefault="00311D0F" w:rsidP="00311D0F">
      <w:pPr>
        <w:rPr>
          <w:szCs w:val="22"/>
        </w:rPr>
      </w:pPr>
    </w:p>
    <w:p w14:paraId="67455DF4" w14:textId="77777777" w:rsidR="00311D0F" w:rsidRPr="00CA7033" w:rsidRDefault="00311D0F" w:rsidP="00311D0F">
      <w:pPr>
        <w:rPr>
          <w:i/>
          <w:szCs w:val="22"/>
        </w:rPr>
      </w:pPr>
      <w:r w:rsidRPr="00CA7033">
        <w:rPr>
          <w:i/>
          <w:szCs w:val="22"/>
        </w:rPr>
        <w:t>Vaistiniai preparatai, kurių absorbcija priklauso nuo pH</w:t>
      </w:r>
    </w:p>
    <w:p w14:paraId="6B324277" w14:textId="77777777" w:rsidR="00311D0F" w:rsidRPr="00CA7033" w:rsidRDefault="00311D0F" w:rsidP="00311D0F">
      <w:pPr>
        <w:rPr>
          <w:szCs w:val="22"/>
        </w:rPr>
      </w:pPr>
    </w:p>
    <w:p w14:paraId="022CAD7F" w14:textId="77777777" w:rsidR="00311D0F" w:rsidRPr="00CA7033" w:rsidRDefault="00311D0F" w:rsidP="00311D0F">
      <w:pPr>
        <w:autoSpaceDE w:val="0"/>
        <w:autoSpaceDN w:val="0"/>
        <w:adjustRightInd w:val="0"/>
        <w:rPr>
          <w:szCs w:val="22"/>
        </w:rPr>
      </w:pPr>
      <w:r w:rsidRPr="00CA7033">
        <w:rPr>
          <w:szCs w:val="22"/>
        </w:rPr>
        <w:t>Dekslansoprazolas gali sutrikdyti vaistinių preparatų, kurių biologinis prieinamumas priklauso nuo skrandžio pH, absorbciją.</w:t>
      </w:r>
    </w:p>
    <w:p w14:paraId="070881BC" w14:textId="77777777" w:rsidR="00311D0F" w:rsidRPr="00CA7033" w:rsidRDefault="00311D0F" w:rsidP="00311D0F">
      <w:pPr>
        <w:autoSpaceDE w:val="0"/>
        <w:autoSpaceDN w:val="0"/>
        <w:adjustRightInd w:val="0"/>
        <w:rPr>
          <w:szCs w:val="22"/>
        </w:rPr>
      </w:pPr>
    </w:p>
    <w:p w14:paraId="6C65BD4C" w14:textId="77777777" w:rsidR="00311D0F" w:rsidRPr="00CA7033" w:rsidRDefault="00311D0F" w:rsidP="00311D0F">
      <w:pPr>
        <w:rPr>
          <w:i/>
          <w:iCs/>
          <w:szCs w:val="22"/>
        </w:rPr>
      </w:pPr>
      <w:r w:rsidRPr="00572B1E">
        <w:rPr>
          <w:i/>
          <w:iCs/>
          <w:szCs w:val="22"/>
        </w:rPr>
        <w:t>ŽIV proteazės inhibitoriai</w:t>
      </w:r>
    </w:p>
    <w:p w14:paraId="458B406C" w14:textId="77777777" w:rsidR="00F97E9F" w:rsidRPr="00572B1E" w:rsidRDefault="00F97E9F" w:rsidP="00311D0F">
      <w:pPr>
        <w:rPr>
          <w:i/>
          <w:iCs/>
          <w:szCs w:val="22"/>
        </w:rPr>
      </w:pPr>
    </w:p>
    <w:p w14:paraId="161BFFB1" w14:textId="77777777" w:rsidR="00311D0F" w:rsidRPr="00CA7033" w:rsidRDefault="00311D0F" w:rsidP="00311D0F">
      <w:pPr>
        <w:rPr>
          <w:szCs w:val="22"/>
        </w:rPr>
      </w:pPr>
      <w:r w:rsidRPr="00CA7033">
        <w:rPr>
          <w:szCs w:val="22"/>
        </w:rPr>
        <w:t>Dekslansoprazolo nerekomenduojama vartoti kartu su ŽIV proteazės inhibitoriais, kurių absorbcija priklauso nuo rūgštinio intragastrinio pH, pvz., atazanaviru ar nelfinaviru, kadangi reikšmingai sumažėja jų biologinis prieinamumas (žr. 4.4 skyrių).</w:t>
      </w:r>
    </w:p>
    <w:p w14:paraId="4B2CF401" w14:textId="77777777" w:rsidR="00311D0F" w:rsidRPr="00CA7033" w:rsidRDefault="00311D0F" w:rsidP="00311D0F">
      <w:pPr>
        <w:rPr>
          <w:szCs w:val="22"/>
        </w:rPr>
      </w:pPr>
    </w:p>
    <w:p w14:paraId="1699A7E0" w14:textId="77777777" w:rsidR="00311D0F" w:rsidRPr="00CA7033" w:rsidRDefault="00311D0F" w:rsidP="00311D0F">
      <w:pPr>
        <w:rPr>
          <w:i/>
          <w:iCs/>
          <w:szCs w:val="22"/>
        </w:rPr>
      </w:pPr>
      <w:r w:rsidRPr="00572B1E">
        <w:rPr>
          <w:i/>
          <w:iCs/>
          <w:szCs w:val="22"/>
        </w:rPr>
        <w:t>Ketokonazolas, itrakonazolas ir erlotinibas</w:t>
      </w:r>
    </w:p>
    <w:p w14:paraId="43377FAB" w14:textId="77777777" w:rsidR="00F97E9F" w:rsidRPr="00572B1E" w:rsidRDefault="00F97E9F" w:rsidP="00311D0F">
      <w:pPr>
        <w:rPr>
          <w:i/>
          <w:iCs/>
          <w:szCs w:val="22"/>
        </w:rPr>
      </w:pPr>
    </w:p>
    <w:p w14:paraId="1FCA0A3A" w14:textId="77777777" w:rsidR="00311D0F" w:rsidRPr="00CA7033" w:rsidRDefault="00311D0F" w:rsidP="00311D0F">
      <w:pPr>
        <w:rPr>
          <w:szCs w:val="22"/>
        </w:rPr>
      </w:pPr>
      <w:r w:rsidRPr="00CA7033">
        <w:rPr>
          <w:szCs w:val="22"/>
        </w:rPr>
        <w:t>Skrandžio rūgštis padidina ketokonazolo, itrakonazolo ir erlotinibo absorbciją iš virškinimo trakto. Vartojant dekslansoprazolo, ketokonazolo, itrakonazolo ir erlotinibo koncentracija gali tapti mažesnė už terapinę, todėl minėtų vaistinių preparatų kartu vartoti nerekomenduojama.</w:t>
      </w:r>
    </w:p>
    <w:p w14:paraId="24F72259" w14:textId="77777777" w:rsidR="00311D0F" w:rsidRPr="00CA7033" w:rsidRDefault="00311D0F" w:rsidP="00311D0F">
      <w:pPr>
        <w:rPr>
          <w:szCs w:val="22"/>
        </w:rPr>
      </w:pPr>
    </w:p>
    <w:p w14:paraId="37ED6A8D" w14:textId="77777777" w:rsidR="00311D0F" w:rsidRPr="00572B1E" w:rsidRDefault="00311D0F" w:rsidP="00311D0F">
      <w:pPr>
        <w:rPr>
          <w:i/>
          <w:iCs/>
          <w:szCs w:val="22"/>
        </w:rPr>
      </w:pPr>
      <w:r w:rsidRPr="00572B1E">
        <w:rPr>
          <w:i/>
          <w:iCs/>
          <w:szCs w:val="22"/>
        </w:rPr>
        <w:t>Digoksinas</w:t>
      </w:r>
    </w:p>
    <w:p w14:paraId="4B09D1A6" w14:textId="77777777" w:rsidR="00F97E9F" w:rsidRPr="00CA7033" w:rsidRDefault="00F97E9F" w:rsidP="00311D0F">
      <w:pPr>
        <w:rPr>
          <w:szCs w:val="22"/>
        </w:rPr>
      </w:pPr>
    </w:p>
    <w:p w14:paraId="2A1D823C" w14:textId="77777777" w:rsidR="00311D0F" w:rsidRPr="00CA7033" w:rsidRDefault="00311D0F" w:rsidP="00311D0F">
      <w:pPr>
        <w:rPr>
          <w:szCs w:val="22"/>
        </w:rPr>
      </w:pPr>
      <w:r w:rsidRPr="00CA7033">
        <w:rPr>
          <w:szCs w:val="22"/>
        </w:rPr>
        <w:t>Gali padidėti kartu su dekslansoprazolu vartojamo digoksino kiekis plazmoje. Dėl šios priežasties, pradedant ar baigiant gydymą dekslansoprazolu, būtina stebėti digoksino kiekį plazmoje ir prireikus koreguoti digoksino dozę.</w:t>
      </w:r>
    </w:p>
    <w:p w14:paraId="4919F790" w14:textId="77777777" w:rsidR="00311D0F" w:rsidRPr="00CA7033" w:rsidRDefault="00311D0F" w:rsidP="00311D0F">
      <w:pPr>
        <w:rPr>
          <w:szCs w:val="22"/>
        </w:rPr>
      </w:pPr>
    </w:p>
    <w:p w14:paraId="043B18E5" w14:textId="77777777" w:rsidR="00311D0F" w:rsidRPr="00CA7033" w:rsidRDefault="00311D0F" w:rsidP="00311D0F">
      <w:pPr>
        <w:rPr>
          <w:i/>
          <w:szCs w:val="22"/>
        </w:rPr>
      </w:pPr>
      <w:r w:rsidRPr="00CA7033">
        <w:rPr>
          <w:i/>
          <w:szCs w:val="22"/>
        </w:rPr>
        <w:t>Vaistiniai preparatai, kuriuos metabolizuoja P450 fermentai</w:t>
      </w:r>
    </w:p>
    <w:p w14:paraId="6A36CAE7" w14:textId="77777777" w:rsidR="00311D0F" w:rsidRPr="00CA7033" w:rsidRDefault="00311D0F" w:rsidP="00311D0F">
      <w:pPr>
        <w:rPr>
          <w:szCs w:val="22"/>
        </w:rPr>
      </w:pPr>
    </w:p>
    <w:p w14:paraId="5312E538" w14:textId="77777777" w:rsidR="00311D0F" w:rsidRPr="00CA7033" w:rsidRDefault="00311D0F" w:rsidP="00311D0F">
      <w:pPr>
        <w:rPr>
          <w:szCs w:val="22"/>
        </w:rPr>
      </w:pPr>
      <w:r w:rsidRPr="00CA7033">
        <w:rPr>
          <w:i/>
          <w:iCs/>
          <w:szCs w:val="22"/>
        </w:rPr>
        <w:t>In vitro</w:t>
      </w:r>
      <w:r w:rsidRPr="00CA7033">
        <w:rPr>
          <w:szCs w:val="22"/>
        </w:rPr>
        <w:t xml:space="preserve"> tyrimų metu nustatyta, kad slopinamasis Dexilant poveikis CYP izofermetams 1A1, 1A2, 2A6, 2B6, 2C8, 2C9, 2D6, 2E1 ar 3A4 nėra tikėtinas. Dėl šios priežasties kliniškai reikšminga sąveika su vaistiniais preparatais, kuriuos metabolizuoja šie CYP fermentai, nėra tikėtina. Be to, </w:t>
      </w:r>
      <w:r w:rsidRPr="00CA7033">
        <w:rPr>
          <w:i/>
          <w:szCs w:val="22"/>
        </w:rPr>
        <w:t>in vivo</w:t>
      </w:r>
      <w:r w:rsidRPr="00CA7033">
        <w:rPr>
          <w:szCs w:val="22"/>
        </w:rPr>
        <w:t xml:space="preserve"> tyrimų metu nustatyta, kad Dexilant neturi įtakos kartu vartojamų fenitoino (CYP2C9 substrato) ar teofilino (CYP1A2 substrato) farmakokinetikai. Tiriamųjų CYP1A2 genotipas vaistinių preparatų sąveikos su teofilinu tyrimo metu nustatytas nebuvo. Nors </w:t>
      </w:r>
      <w:r w:rsidRPr="00CA7033">
        <w:rPr>
          <w:i/>
          <w:szCs w:val="22"/>
        </w:rPr>
        <w:t>in vitro</w:t>
      </w:r>
      <w:r w:rsidRPr="00CA7033">
        <w:rPr>
          <w:szCs w:val="22"/>
        </w:rPr>
        <w:t xml:space="preserve"> tyrimų metu nustatyta, kad Dexilant gali slopinti CYP2C19, </w:t>
      </w:r>
      <w:r w:rsidRPr="00CA7033">
        <w:rPr>
          <w:i/>
          <w:szCs w:val="22"/>
        </w:rPr>
        <w:t>in vivo</w:t>
      </w:r>
      <w:r w:rsidRPr="00CA7033">
        <w:rPr>
          <w:szCs w:val="22"/>
        </w:rPr>
        <w:t xml:space="preserve"> vaistinių preparatų sąveikos tyrimas (jame dalyvavo daugiausia tiriamieji, kurių organizme CYP2C19 metabolizmas buvo ekstensyvus ar vidutinio intensyvumo) parodė, kad Dexilant poveikio diazepamo (CYP2C19 substrato) farmakokinetikai nesukelia. </w:t>
      </w:r>
    </w:p>
    <w:p w14:paraId="16F0855D" w14:textId="77777777" w:rsidR="00311D0F" w:rsidRPr="00CA7033" w:rsidRDefault="00311D0F" w:rsidP="00311D0F">
      <w:pPr>
        <w:rPr>
          <w:szCs w:val="22"/>
        </w:rPr>
      </w:pPr>
    </w:p>
    <w:p w14:paraId="24390978" w14:textId="77777777" w:rsidR="00311D0F" w:rsidRPr="00CA7033" w:rsidRDefault="00311D0F" w:rsidP="00705DE5">
      <w:pPr>
        <w:keepNext/>
        <w:rPr>
          <w:i/>
          <w:iCs/>
          <w:szCs w:val="22"/>
        </w:rPr>
      </w:pPr>
      <w:r w:rsidRPr="00572B1E">
        <w:rPr>
          <w:i/>
          <w:iCs/>
          <w:szCs w:val="22"/>
        </w:rPr>
        <w:t>Takrolimuzas</w:t>
      </w:r>
    </w:p>
    <w:p w14:paraId="3CE125E9" w14:textId="77777777" w:rsidR="00F97E9F" w:rsidRPr="00572B1E" w:rsidRDefault="00F97E9F" w:rsidP="00705DE5">
      <w:pPr>
        <w:keepNext/>
        <w:rPr>
          <w:i/>
          <w:iCs/>
          <w:szCs w:val="22"/>
        </w:rPr>
      </w:pPr>
    </w:p>
    <w:p w14:paraId="3B2CFB6A" w14:textId="77777777" w:rsidR="00311D0F" w:rsidRPr="00CA7033" w:rsidRDefault="00311D0F" w:rsidP="00705DE5">
      <w:pPr>
        <w:keepNext/>
        <w:rPr>
          <w:szCs w:val="22"/>
        </w:rPr>
      </w:pPr>
      <w:r w:rsidRPr="00CA7033">
        <w:rPr>
          <w:szCs w:val="22"/>
        </w:rPr>
        <w:t>Kartu su dekslansoprazolu vartojamo takrolimuzo (CYP3A ir P</w:t>
      </w:r>
      <w:r w:rsidRPr="00CA7033">
        <w:rPr>
          <w:szCs w:val="22"/>
        </w:rPr>
        <w:noBreakHyphen/>
        <w:t xml:space="preserve">glikoproteino [P-gp] substrato) kiekis plazmoje gali padidėti, ypač jei pacientui persodintas organas arba jo organizme CYP2C19 metabolizmas yra vidutinio intensyvumo ar silpnas. Pradedant ar baigiant gydymą dekslansoprazolu, rekomenduojama stebėti takrolimuzo kiekį plazmoje. </w:t>
      </w:r>
    </w:p>
    <w:p w14:paraId="47B5DB89" w14:textId="77777777" w:rsidR="00311D0F" w:rsidRPr="00CA7033" w:rsidRDefault="00311D0F" w:rsidP="00311D0F">
      <w:pPr>
        <w:rPr>
          <w:szCs w:val="22"/>
        </w:rPr>
      </w:pPr>
    </w:p>
    <w:p w14:paraId="26B4024B" w14:textId="77777777" w:rsidR="00311D0F" w:rsidRPr="00572B1E" w:rsidRDefault="00311D0F" w:rsidP="00311D0F">
      <w:pPr>
        <w:rPr>
          <w:i/>
          <w:iCs/>
          <w:szCs w:val="22"/>
        </w:rPr>
      </w:pPr>
      <w:r w:rsidRPr="00572B1E">
        <w:rPr>
          <w:i/>
          <w:iCs/>
          <w:szCs w:val="22"/>
        </w:rPr>
        <w:t>Varfarinas</w:t>
      </w:r>
    </w:p>
    <w:p w14:paraId="26D28109" w14:textId="77777777" w:rsidR="00F97E9F" w:rsidRPr="00CA7033" w:rsidRDefault="00F97E9F" w:rsidP="00311D0F">
      <w:pPr>
        <w:rPr>
          <w:i/>
          <w:szCs w:val="22"/>
        </w:rPr>
      </w:pPr>
    </w:p>
    <w:p w14:paraId="62C8C3D2" w14:textId="77777777" w:rsidR="00311D0F" w:rsidRPr="00CA7033" w:rsidRDefault="00311D0F" w:rsidP="00311D0F">
      <w:pPr>
        <w:rPr>
          <w:szCs w:val="22"/>
        </w:rPr>
      </w:pPr>
      <w:r w:rsidRPr="00CA7033">
        <w:rPr>
          <w:szCs w:val="22"/>
        </w:rPr>
        <w:t>Tyrimo metu kartu su Dexilant vartojamo varfarino farmakokinetika ar tarptautinis normalizuotas santykis (TNS) reikšmingai nepakito, palyginus su atitinkamais rodmenimis, kai varfarino buvo vartojama su placebu. Vis dėlto gauta pranešimų apie TNS padidėjimą ir protrombino laiko pailgėjimą pacientams, kurie vienu metu vartojo PSI ir varfarino. Gali reikėti stebėti, ar nepadidėja pacientų, kurie tuo pat metu vartoja PSI ir varfarino, TNS ir protrombino laiko rodmenys, ypač pradedant ar baigiant kombinuotąjį gydymą.</w:t>
      </w:r>
    </w:p>
    <w:p w14:paraId="4B0D418E" w14:textId="4D98CE9C" w:rsidR="00311D0F" w:rsidRPr="00CA7033" w:rsidRDefault="00311D0F" w:rsidP="00311D0F">
      <w:pPr>
        <w:rPr>
          <w:szCs w:val="22"/>
        </w:rPr>
      </w:pPr>
    </w:p>
    <w:p w14:paraId="3CD10D24" w14:textId="77777777" w:rsidR="00311D0F" w:rsidRPr="00CA7033" w:rsidRDefault="00311D0F" w:rsidP="00311D0F">
      <w:pPr>
        <w:rPr>
          <w:i/>
          <w:iCs/>
          <w:szCs w:val="22"/>
        </w:rPr>
      </w:pPr>
      <w:r w:rsidRPr="00572B1E">
        <w:rPr>
          <w:i/>
          <w:iCs/>
          <w:szCs w:val="22"/>
        </w:rPr>
        <w:t>Klopidogrelis</w:t>
      </w:r>
    </w:p>
    <w:p w14:paraId="34F8B76B" w14:textId="77777777" w:rsidR="00F97E9F" w:rsidRPr="00572B1E" w:rsidRDefault="00F97E9F" w:rsidP="00311D0F">
      <w:pPr>
        <w:rPr>
          <w:i/>
          <w:iCs/>
          <w:szCs w:val="22"/>
        </w:rPr>
      </w:pPr>
    </w:p>
    <w:p w14:paraId="3AF1F359" w14:textId="77777777" w:rsidR="00311D0F" w:rsidRPr="00CA7033" w:rsidRDefault="00311D0F" w:rsidP="00311D0F">
      <w:pPr>
        <w:rPr>
          <w:szCs w:val="22"/>
        </w:rPr>
      </w:pPr>
      <w:r w:rsidRPr="00CA7033">
        <w:rPr>
          <w:szCs w:val="22"/>
        </w:rPr>
        <w:t>Tyrimas parodė, kad sveikiems savanoriams dekslansoprazolo (60 mg kartą per parą) vartojant kartu su 75 mg klopidogrelio doze, sumažėja veikliojo klopidogrelio metabolito ekspozicija (AUC sumažėja maždaug 9%, C</w:t>
      </w:r>
      <w:r w:rsidRPr="00CA7033">
        <w:rPr>
          <w:szCs w:val="22"/>
          <w:vertAlign w:val="subscript"/>
        </w:rPr>
        <w:t>max</w:t>
      </w:r>
      <w:r w:rsidRPr="00CA7033">
        <w:rPr>
          <w:szCs w:val="22"/>
        </w:rPr>
        <w:t xml:space="preserve"> maždaug 27%). Dekslansoprazolas kartu vartojamo klopidogrelio farmakodinamikos kliniškai reikšmingai nekeičia. Vartojant patvirtintą Dexilant dozę, klopidogrelio dozės koreguoti nereikia.</w:t>
      </w:r>
    </w:p>
    <w:p w14:paraId="6F116BEE" w14:textId="77777777" w:rsidR="00311D0F" w:rsidRPr="00CA7033" w:rsidRDefault="00311D0F" w:rsidP="00311D0F">
      <w:pPr>
        <w:rPr>
          <w:szCs w:val="22"/>
        </w:rPr>
      </w:pPr>
    </w:p>
    <w:p w14:paraId="0A66780F" w14:textId="77777777" w:rsidR="00311D0F" w:rsidRPr="00CA7033" w:rsidRDefault="00311D0F" w:rsidP="00311D0F">
      <w:pPr>
        <w:rPr>
          <w:i/>
          <w:szCs w:val="22"/>
        </w:rPr>
      </w:pPr>
      <w:r w:rsidRPr="00CA7033">
        <w:rPr>
          <w:i/>
          <w:szCs w:val="22"/>
        </w:rPr>
        <w:t>Metotrekstas</w:t>
      </w:r>
    </w:p>
    <w:p w14:paraId="18188ED3" w14:textId="77777777" w:rsidR="00311D0F" w:rsidRPr="00CA7033" w:rsidRDefault="00311D0F" w:rsidP="00311D0F">
      <w:pPr>
        <w:rPr>
          <w:i/>
          <w:szCs w:val="22"/>
        </w:rPr>
      </w:pPr>
    </w:p>
    <w:p w14:paraId="012BF10C" w14:textId="77777777" w:rsidR="00311D0F" w:rsidRPr="00CA7033" w:rsidRDefault="00311D0F" w:rsidP="00311D0F">
      <w:pPr>
        <w:rPr>
          <w:szCs w:val="22"/>
        </w:rPr>
      </w:pPr>
      <w:r w:rsidRPr="00CA7033">
        <w:rPr>
          <w:szCs w:val="22"/>
        </w:rPr>
        <w:t>Atvejų pranešimai, paskelbti populiacijų farmakokinetikos tyrimai ir retrospektyvios analizės rodo, kad gali didėti ir ilgiau išlikti kartu su PSI vartojamo metotreksato ir (arba) jo metabolito hidroksimetotreksato kiekis serume (ypač jei vartojama didelė dozė, žr. metotreksato preparato charakteristikų santrauką), todėl gali pasireikšti toksinis metotreksato poveikis. Dėl šios priežasties tuo atveju, jei vartojama didelė metotreksato dozė, gali būti naudinga laikinai nutraukti gydymą dekslansoprazolu. Vis dėlto formalių didelių metotreksato dozių ir PSI sąveikos tyrimų neatlikta.</w:t>
      </w:r>
    </w:p>
    <w:p w14:paraId="0DCB1C46" w14:textId="77777777" w:rsidR="00311D0F" w:rsidRPr="00CA7033" w:rsidRDefault="00311D0F" w:rsidP="00311D0F">
      <w:pPr>
        <w:rPr>
          <w:szCs w:val="22"/>
        </w:rPr>
      </w:pPr>
    </w:p>
    <w:p w14:paraId="440864C6" w14:textId="77777777" w:rsidR="00311D0F" w:rsidRPr="00CA7033" w:rsidRDefault="00311D0F" w:rsidP="00311D0F">
      <w:pPr>
        <w:rPr>
          <w:i/>
          <w:szCs w:val="22"/>
        </w:rPr>
      </w:pPr>
      <w:r w:rsidRPr="00CA7033">
        <w:rPr>
          <w:i/>
          <w:szCs w:val="22"/>
        </w:rPr>
        <w:t>Vaistiniai preparatai, kurių pernašoje dalyvauja P-glikoproteinas</w:t>
      </w:r>
    </w:p>
    <w:p w14:paraId="110EDFE1" w14:textId="77777777" w:rsidR="00311D0F" w:rsidRPr="00CA7033" w:rsidRDefault="00311D0F" w:rsidP="00311D0F">
      <w:pPr>
        <w:rPr>
          <w:szCs w:val="22"/>
        </w:rPr>
      </w:pPr>
    </w:p>
    <w:p w14:paraId="02AF71BD" w14:textId="77777777" w:rsidR="00311D0F" w:rsidRPr="00CA7033" w:rsidRDefault="00311D0F" w:rsidP="00311D0F">
      <w:pPr>
        <w:rPr>
          <w:szCs w:val="22"/>
        </w:rPr>
      </w:pPr>
      <w:r w:rsidRPr="00CA7033">
        <w:rPr>
          <w:szCs w:val="22"/>
        </w:rPr>
        <w:t xml:space="preserve">Nustatyta, kad lansoprazolas </w:t>
      </w:r>
      <w:r w:rsidRPr="00CA7033">
        <w:rPr>
          <w:i/>
          <w:szCs w:val="22"/>
        </w:rPr>
        <w:t>in vitro</w:t>
      </w:r>
      <w:r w:rsidRPr="00CA7033">
        <w:rPr>
          <w:szCs w:val="22"/>
        </w:rPr>
        <w:t xml:space="preserve"> slopina pernašos baltymą P-gp</w:t>
      </w:r>
      <w:r w:rsidRPr="00CA7033">
        <w:rPr>
          <w:i/>
          <w:szCs w:val="22"/>
        </w:rPr>
        <w:t>.</w:t>
      </w:r>
      <w:r w:rsidRPr="00CA7033">
        <w:rPr>
          <w:szCs w:val="22"/>
        </w:rPr>
        <w:t xml:space="preserve"> Panašus poveikis tikėtinas ir vartojant dekslansoprazolo. Klinikinė tokio poveikio reikšmė nėra žinoma. </w:t>
      </w:r>
    </w:p>
    <w:p w14:paraId="1FAB1F94" w14:textId="77777777" w:rsidR="00311D0F" w:rsidRPr="00CA7033" w:rsidRDefault="00311D0F" w:rsidP="00311D0F">
      <w:pPr>
        <w:rPr>
          <w:szCs w:val="22"/>
        </w:rPr>
      </w:pPr>
    </w:p>
    <w:p w14:paraId="02E721ED" w14:textId="7A3B044B" w:rsidR="00311D0F" w:rsidRPr="00572B1E" w:rsidRDefault="00311D0F" w:rsidP="00311D0F">
      <w:pPr>
        <w:rPr>
          <w:i/>
          <w:szCs w:val="22"/>
        </w:rPr>
      </w:pPr>
      <w:r w:rsidRPr="00CA7033">
        <w:rPr>
          <w:i/>
          <w:szCs w:val="22"/>
        </w:rPr>
        <w:t>Kit</w:t>
      </w:r>
      <w:r w:rsidR="00F97E9F" w:rsidRPr="00CA7033">
        <w:rPr>
          <w:i/>
          <w:szCs w:val="22"/>
        </w:rPr>
        <w:t>i vaistiniai preparatai</w:t>
      </w:r>
    </w:p>
    <w:p w14:paraId="780D2B34" w14:textId="77777777" w:rsidR="00311D0F" w:rsidRPr="00CA7033" w:rsidRDefault="00311D0F" w:rsidP="00311D0F">
      <w:pPr>
        <w:rPr>
          <w:szCs w:val="22"/>
        </w:rPr>
      </w:pPr>
    </w:p>
    <w:p w14:paraId="2C3F6D3E" w14:textId="77777777" w:rsidR="00311D0F" w:rsidRPr="00CA7033" w:rsidRDefault="00311D0F" w:rsidP="00311D0F">
      <w:pPr>
        <w:rPr>
          <w:szCs w:val="22"/>
        </w:rPr>
      </w:pPr>
      <w:r w:rsidRPr="00CA7033">
        <w:rPr>
          <w:szCs w:val="22"/>
        </w:rPr>
        <w:lastRenderedPageBreak/>
        <w:t>Kliniškai reikšmingos dekslansoprazolo ir nesteroidinių vaistinių preparatų nuo uždegimo sąveikos nenustatyta, tačiau formalių sąveikos tyrimų neatlikta.</w:t>
      </w:r>
    </w:p>
    <w:p w14:paraId="184EBDF7" w14:textId="77777777" w:rsidR="00311D0F" w:rsidRPr="00CA7033" w:rsidRDefault="00311D0F" w:rsidP="00311D0F">
      <w:pPr>
        <w:ind w:left="567" w:hanging="567"/>
        <w:rPr>
          <w:b/>
          <w:szCs w:val="22"/>
        </w:rPr>
      </w:pPr>
    </w:p>
    <w:p w14:paraId="1FDA696D" w14:textId="77777777" w:rsidR="00311D0F" w:rsidRPr="00CA7033" w:rsidRDefault="00311D0F" w:rsidP="00572B1E">
      <w:pPr>
        <w:keepNext/>
        <w:ind w:left="567" w:hanging="567"/>
        <w:rPr>
          <w:b/>
          <w:szCs w:val="22"/>
        </w:rPr>
      </w:pPr>
      <w:r w:rsidRPr="00CA7033">
        <w:rPr>
          <w:b/>
          <w:szCs w:val="22"/>
        </w:rPr>
        <w:t>4.6</w:t>
      </w:r>
      <w:r w:rsidRPr="00CA7033">
        <w:rPr>
          <w:b/>
          <w:szCs w:val="22"/>
        </w:rPr>
        <w:tab/>
        <w:t xml:space="preserve">Vaisingumas, </w:t>
      </w:r>
      <w:r w:rsidRPr="00CA7033">
        <w:rPr>
          <w:b/>
          <w:bCs/>
          <w:szCs w:val="22"/>
        </w:rPr>
        <w:t>nėštumo ir žindymo laikotarpis</w:t>
      </w:r>
      <w:r w:rsidRPr="00CA7033">
        <w:rPr>
          <w:szCs w:val="22"/>
        </w:rPr>
        <w:t xml:space="preserve"> </w:t>
      </w:r>
    </w:p>
    <w:p w14:paraId="190B3305" w14:textId="77777777" w:rsidR="00311D0F" w:rsidRPr="00CA7033" w:rsidRDefault="00311D0F" w:rsidP="00572B1E">
      <w:pPr>
        <w:keepNext/>
        <w:rPr>
          <w:i/>
          <w:szCs w:val="22"/>
        </w:rPr>
      </w:pPr>
    </w:p>
    <w:p w14:paraId="5DB1180A" w14:textId="77777777" w:rsidR="00311D0F" w:rsidRPr="00CA7033" w:rsidRDefault="00311D0F" w:rsidP="00572B1E">
      <w:pPr>
        <w:keepNext/>
        <w:rPr>
          <w:szCs w:val="22"/>
          <w:u w:val="single"/>
        </w:rPr>
      </w:pPr>
      <w:r w:rsidRPr="00CA7033">
        <w:rPr>
          <w:szCs w:val="22"/>
          <w:u w:val="single"/>
        </w:rPr>
        <w:t>Nėštumas</w:t>
      </w:r>
    </w:p>
    <w:p w14:paraId="6DF40D93" w14:textId="77777777" w:rsidR="00311D0F" w:rsidRPr="00CA7033" w:rsidRDefault="00311D0F" w:rsidP="00311D0F">
      <w:pPr>
        <w:rPr>
          <w:szCs w:val="22"/>
        </w:rPr>
      </w:pPr>
    </w:p>
    <w:p w14:paraId="46B9A75B" w14:textId="77777777" w:rsidR="00311D0F" w:rsidRPr="00CA7033" w:rsidRDefault="00311D0F" w:rsidP="00311D0F">
      <w:pPr>
        <w:pStyle w:val="Default"/>
        <w:rPr>
          <w:color w:val="auto"/>
          <w:sz w:val="22"/>
          <w:szCs w:val="22"/>
          <w:lang w:val="lt-LT"/>
        </w:rPr>
      </w:pPr>
      <w:r w:rsidRPr="00CA7033">
        <w:rPr>
          <w:bCs/>
          <w:iCs/>
          <w:sz w:val="22"/>
          <w:szCs w:val="22"/>
          <w:lang w:val="lt-LT"/>
        </w:rPr>
        <w:t>D</w:t>
      </w:r>
      <w:r w:rsidRPr="00CA7033">
        <w:rPr>
          <w:sz w:val="22"/>
          <w:szCs w:val="22"/>
          <w:lang w:val="lt-LT"/>
        </w:rPr>
        <w:t xml:space="preserve">uomenų apie dekslansoprazolo vartojimą nėštumo metu nėra arba jų nepakanka. </w:t>
      </w:r>
      <w:r w:rsidRPr="00CA7033">
        <w:rPr>
          <w:color w:val="auto"/>
          <w:sz w:val="22"/>
          <w:szCs w:val="22"/>
          <w:lang w:val="lt-LT"/>
        </w:rPr>
        <w:t>Tyrimai su gyvūnais tiesioginio ar netiesioginio kenksmingo toksinio poveikio reprodukcijai neparodė (žr. 5.3 skyrių). Nėštumo metu</w:t>
      </w:r>
      <w:r w:rsidRPr="00CA7033">
        <w:rPr>
          <w:sz w:val="22"/>
          <w:szCs w:val="22"/>
          <w:lang w:val="lt-LT"/>
        </w:rPr>
        <w:t xml:space="preserve"> Dexilant </w:t>
      </w:r>
      <w:r w:rsidRPr="00CA7033">
        <w:rPr>
          <w:color w:val="auto"/>
          <w:sz w:val="22"/>
          <w:szCs w:val="22"/>
          <w:lang w:val="lt-LT"/>
        </w:rPr>
        <w:t>geriau nevartoti.</w:t>
      </w:r>
    </w:p>
    <w:p w14:paraId="5B5617B6" w14:textId="77777777" w:rsidR="00311D0F" w:rsidRPr="00CA7033" w:rsidRDefault="00311D0F" w:rsidP="00311D0F">
      <w:pPr>
        <w:rPr>
          <w:szCs w:val="22"/>
          <w:u w:val="single"/>
        </w:rPr>
      </w:pPr>
    </w:p>
    <w:p w14:paraId="10D8902A" w14:textId="77777777" w:rsidR="00311D0F" w:rsidRPr="00CA7033" w:rsidRDefault="00311D0F" w:rsidP="00311D0F">
      <w:pPr>
        <w:rPr>
          <w:szCs w:val="22"/>
          <w:u w:val="single"/>
        </w:rPr>
      </w:pPr>
      <w:r w:rsidRPr="00CA7033">
        <w:rPr>
          <w:szCs w:val="22"/>
          <w:u w:val="single"/>
        </w:rPr>
        <w:t>Žindymas</w:t>
      </w:r>
    </w:p>
    <w:p w14:paraId="5F1F5613" w14:textId="77777777" w:rsidR="00311D0F" w:rsidRPr="00CA7033" w:rsidRDefault="00311D0F" w:rsidP="00311D0F">
      <w:pPr>
        <w:rPr>
          <w:szCs w:val="22"/>
        </w:rPr>
      </w:pPr>
    </w:p>
    <w:p w14:paraId="5036074B" w14:textId="77777777" w:rsidR="00311D0F" w:rsidRPr="00CA7033" w:rsidRDefault="00311D0F" w:rsidP="00311D0F">
      <w:pPr>
        <w:autoSpaceDE w:val="0"/>
        <w:autoSpaceDN w:val="0"/>
        <w:adjustRightInd w:val="0"/>
        <w:rPr>
          <w:rFonts w:eastAsia="SimSun"/>
          <w:color w:val="000000"/>
          <w:szCs w:val="22"/>
          <w:lang w:eastAsia="zh-CN"/>
        </w:rPr>
      </w:pPr>
      <w:r w:rsidRPr="00CA7033">
        <w:rPr>
          <w:rFonts w:eastAsia="SimSun"/>
          <w:color w:val="000000"/>
          <w:szCs w:val="22"/>
          <w:lang w:eastAsia="zh-CN"/>
        </w:rPr>
        <w:t xml:space="preserve">Nežinoma, ar </w:t>
      </w:r>
      <w:r w:rsidRPr="00CA7033">
        <w:rPr>
          <w:szCs w:val="22"/>
        </w:rPr>
        <w:t>dekslansoprazolas</w:t>
      </w:r>
      <w:r w:rsidRPr="00CA7033">
        <w:rPr>
          <w:rFonts w:eastAsia="SimSun"/>
          <w:color w:val="000000"/>
          <w:szCs w:val="22"/>
          <w:lang w:eastAsia="zh-CN"/>
        </w:rPr>
        <w:t xml:space="preserve"> išsiskiria į motinos pieną. Tyrimų su gyvūnais duomenys rodo, kad </w:t>
      </w:r>
      <w:r w:rsidRPr="00CA7033">
        <w:rPr>
          <w:szCs w:val="22"/>
        </w:rPr>
        <w:t xml:space="preserve">lansoprazolas </w:t>
      </w:r>
      <w:r w:rsidRPr="00CA7033">
        <w:rPr>
          <w:rFonts w:eastAsia="SimSun"/>
          <w:color w:val="000000"/>
          <w:szCs w:val="22"/>
          <w:lang w:eastAsia="zh-CN"/>
        </w:rPr>
        <w:t>išsiskiria į gyvūnų pieną.</w:t>
      </w:r>
    </w:p>
    <w:p w14:paraId="43C2B3C5" w14:textId="77777777" w:rsidR="00311D0F" w:rsidRPr="00CA7033" w:rsidRDefault="00311D0F" w:rsidP="00311D0F">
      <w:pPr>
        <w:autoSpaceDE w:val="0"/>
        <w:autoSpaceDN w:val="0"/>
        <w:adjustRightInd w:val="0"/>
        <w:rPr>
          <w:rFonts w:eastAsia="SimSun"/>
          <w:color w:val="000000"/>
          <w:szCs w:val="22"/>
          <w:lang w:eastAsia="zh-CN"/>
        </w:rPr>
      </w:pPr>
    </w:p>
    <w:p w14:paraId="1F775925" w14:textId="77777777" w:rsidR="00311D0F" w:rsidRPr="00CA7033" w:rsidRDefault="00311D0F" w:rsidP="00311D0F">
      <w:pPr>
        <w:autoSpaceDE w:val="0"/>
        <w:autoSpaceDN w:val="0"/>
        <w:adjustRightInd w:val="0"/>
        <w:rPr>
          <w:rFonts w:eastAsia="SimSun"/>
          <w:color w:val="000000"/>
          <w:szCs w:val="22"/>
          <w:lang w:eastAsia="zh-CN"/>
        </w:rPr>
      </w:pPr>
      <w:r w:rsidRPr="00CA7033">
        <w:rPr>
          <w:rFonts w:eastAsia="SimSun"/>
          <w:color w:val="000000"/>
          <w:szCs w:val="22"/>
          <w:lang w:eastAsia="zh-CN"/>
        </w:rPr>
        <w:t xml:space="preserve">Pavojaus žindomiems naujagimiams/ kūdikiams negalima atmesti. Atsižvelgiant į žindymo naudą kūdikiui ir gydymo naudą motinai, reikia nuspręsti, ar nutraukti žindymą ar nutraukti/susilaikyti nuo gydymo </w:t>
      </w:r>
      <w:r w:rsidRPr="00CA7033">
        <w:rPr>
          <w:szCs w:val="22"/>
        </w:rPr>
        <w:t>Dexilant.</w:t>
      </w:r>
    </w:p>
    <w:p w14:paraId="40A3AC58" w14:textId="77777777" w:rsidR="00311D0F" w:rsidRPr="00CA7033" w:rsidRDefault="00311D0F" w:rsidP="00311D0F">
      <w:pPr>
        <w:autoSpaceDE w:val="0"/>
        <w:autoSpaceDN w:val="0"/>
        <w:adjustRightInd w:val="0"/>
        <w:rPr>
          <w:rFonts w:eastAsia="SimSun"/>
          <w:color w:val="000000"/>
          <w:szCs w:val="22"/>
          <w:lang w:eastAsia="zh-CN"/>
        </w:rPr>
      </w:pPr>
    </w:p>
    <w:p w14:paraId="621785E2" w14:textId="77777777" w:rsidR="00311D0F" w:rsidRPr="00CA7033" w:rsidRDefault="00311D0F" w:rsidP="00311D0F">
      <w:pPr>
        <w:rPr>
          <w:szCs w:val="22"/>
          <w:u w:val="single"/>
        </w:rPr>
      </w:pPr>
      <w:r w:rsidRPr="00CA7033">
        <w:rPr>
          <w:szCs w:val="22"/>
          <w:u w:val="single"/>
        </w:rPr>
        <w:t>Vaisingumas</w:t>
      </w:r>
    </w:p>
    <w:p w14:paraId="3B7807BE" w14:textId="77777777" w:rsidR="00311D0F" w:rsidRPr="00CA7033" w:rsidRDefault="00311D0F" w:rsidP="00311D0F">
      <w:pPr>
        <w:rPr>
          <w:szCs w:val="22"/>
        </w:rPr>
      </w:pPr>
    </w:p>
    <w:p w14:paraId="06CDD94C" w14:textId="77777777" w:rsidR="00311D0F" w:rsidRPr="00CA7033" w:rsidRDefault="00311D0F" w:rsidP="00311D0F">
      <w:pPr>
        <w:rPr>
          <w:szCs w:val="22"/>
        </w:rPr>
      </w:pPr>
      <w:r w:rsidRPr="00CA7033">
        <w:rPr>
          <w:szCs w:val="22"/>
        </w:rPr>
        <w:t>Tyrimų su gyvūnais metu duomenų, kad po lansoprazolo vartojimo pablogėtų vislumas, negauta (žr. 5.3 skyrių). Panašus poveikis tikėtinas ir vartojant dekslansoprazolo.</w:t>
      </w:r>
    </w:p>
    <w:p w14:paraId="2215E0D9" w14:textId="77777777" w:rsidR="00311D0F" w:rsidRPr="00CA7033" w:rsidRDefault="00311D0F" w:rsidP="00311D0F">
      <w:pPr>
        <w:ind w:left="567" w:hanging="567"/>
        <w:rPr>
          <w:szCs w:val="22"/>
        </w:rPr>
      </w:pPr>
    </w:p>
    <w:p w14:paraId="3C5FAD10" w14:textId="77777777" w:rsidR="00311D0F" w:rsidRPr="00CA7033" w:rsidRDefault="00311D0F" w:rsidP="00311D0F">
      <w:pPr>
        <w:ind w:left="567" w:hanging="567"/>
        <w:rPr>
          <w:b/>
          <w:szCs w:val="22"/>
        </w:rPr>
      </w:pPr>
      <w:r w:rsidRPr="00CA7033">
        <w:rPr>
          <w:b/>
          <w:szCs w:val="22"/>
        </w:rPr>
        <w:t>4.7</w:t>
      </w:r>
      <w:r w:rsidRPr="00CA7033">
        <w:rPr>
          <w:b/>
          <w:szCs w:val="22"/>
        </w:rPr>
        <w:tab/>
        <w:t>Poveikis gebėjimui vairuoti ir valdyti mechanizmus</w:t>
      </w:r>
    </w:p>
    <w:p w14:paraId="3D7F1C8C" w14:textId="77777777" w:rsidR="00311D0F" w:rsidRPr="00CA7033" w:rsidRDefault="00311D0F" w:rsidP="00311D0F">
      <w:pPr>
        <w:ind w:left="567" w:hanging="567"/>
        <w:rPr>
          <w:szCs w:val="22"/>
        </w:rPr>
      </w:pPr>
    </w:p>
    <w:p w14:paraId="5077099D" w14:textId="77777777" w:rsidR="00311D0F" w:rsidRPr="00CA7033" w:rsidRDefault="00311D0F" w:rsidP="00311D0F">
      <w:pPr>
        <w:rPr>
          <w:szCs w:val="22"/>
        </w:rPr>
      </w:pPr>
      <w:r w:rsidRPr="00CA7033">
        <w:rPr>
          <w:szCs w:val="22"/>
        </w:rPr>
        <w:t>Gali atsirasti nepageidaujamų reakcijų, tokių kaip svaigulys, galvos sukimasis</w:t>
      </w:r>
      <w:r w:rsidRPr="00CA7033">
        <w:rPr>
          <w:iCs/>
          <w:szCs w:val="22"/>
        </w:rPr>
        <w:t xml:space="preserve">, </w:t>
      </w:r>
      <w:r w:rsidRPr="00CA7033">
        <w:rPr>
          <w:szCs w:val="22"/>
        </w:rPr>
        <w:t>regos sutrikimas ir somnolencija (žr. 4.8 skyrių). Jeigu atsiranda minėtų būklių, gebėjimas reaguoti gali pablogėti.</w:t>
      </w:r>
    </w:p>
    <w:p w14:paraId="01B8B550" w14:textId="77777777" w:rsidR="00311D0F" w:rsidRPr="00CA7033" w:rsidRDefault="00311D0F" w:rsidP="00311D0F">
      <w:pPr>
        <w:ind w:left="567" w:hanging="567"/>
        <w:rPr>
          <w:szCs w:val="22"/>
        </w:rPr>
      </w:pPr>
    </w:p>
    <w:p w14:paraId="26107968" w14:textId="77777777" w:rsidR="00311D0F" w:rsidRPr="00CA7033" w:rsidRDefault="00311D0F" w:rsidP="00311D0F">
      <w:pPr>
        <w:ind w:left="567" w:hanging="567"/>
        <w:rPr>
          <w:b/>
          <w:szCs w:val="22"/>
        </w:rPr>
      </w:pPr>
      <w:r w:rsidRPr="00CA7033">
        <w:rPr>
          <w:b/>
          <w:szCs w:val="22"/>
        </w:rPr>
        <w:t>4.8</w:t>
      </w:r>
      <w:r w:rsidRPr="00CA7033">
        <w:rPr>
          <w:b/>
          <w:szCs w:val="22"/>
        </w:rPr>
        <w:tab/>
        <w:t>Nepageidaujamas poveikis</w:t>
      </w:r>
    </w:p>
    <w:p w14:paraId="610E5F3A" w14:textId="77777777" w:rsidR="00311D0F" w:rsidRPr="00CA7033" w:rsidRDefault="00311D0F" w:rsidP="00311D0F">
      <w:pPr>
        <w:rPr>
          <w:i/>
          <w:szCs w:val="22"/>
        </w:rPr>
      </w:pPr>
    </w:p>
    <w:p w14:paraId="7F6819BF" w14:textId="77777777" w:rsidR="00311D0F" w:rsidRPr="00CA7033" w:rsidRDefault="00311D0F" w:rsidP="00311D0F">
      <w:pPr>
        <w:rPr>
          <w:szCs w:val="22"/>
          <w:u w:val="single"/>
        </w:rPr>
      </w:pPr>
      <w:r w:rsidRPr="00CA7033">
        <w:rPr>
          <w:szCs w:val="22"/>
          <w:u w:val="single"/>
        </w:rPr>
        <w:t>Saugumo duomenų santrauka</w:t>
      </w:r>
    </w:p>
    <w:p w14:paraId="57B0A0E2" w14:textId="77777777" w:rsidR="00311D0F" w:rsidRPr="00CA7033" w:rsidRDefault="00311D0F" w:rsidP="00311D0F">
      <w:pPr>
        <w:rPr>
          <w:szCs w:val="22"/>
        </w:rPr>
      </w:pPr>
    </w:p>
    <w:p w14:paraId="2E18D88B" w14:textId="77777777" w:rsidR="00311D0F" w:rsidRPr="00572B1E" w:rsidRDefault="00311D0F" w:rsidP="00311D0F">
      <w:pPr>
        <w:rPr>
          <w:i/>
          <w:iCs/>
          <w:szCs w:val="22"/>
        </w:rPr>
      </w:pPr>
      <w:r w:rsidRPr="00572B1E">
        <w:rPr>
          <w:i/>
          <w:iCs/>
          <w:szCs w:val="22"/>
        </w:rPr>
        <w:t>Suaugusiesiems</w:t>
      </w:r>
    </w:p>
    <w:p w14:paraId="01A6407D" w14:textId="77777777" w:rsidR="00F97E9F" w:rsidRPr="00CA7033" w:rsidRDefault="00F97E9F" w:rsidP="00311D0F">
      <w:pPr>
        <w:rPr>
          <w:szCs w:val="22"/>
          <w:u w:val="single"/>
        </w:rPr>
      </w:pPr>
    </w:p>
    <w:p w14:paraId="0A380931" w14:textId="77777777" w:rsidR="00311D0F" w:rsidRPr="00CA7033" w:rsidRDefault="00311D0F" w:rsidP="00311D0F">
      <w:pPr>
        <w:rPr>
          <w:szCs w:val="22"/>
        </w:rPr>
      </w:pPr>
      <w:r w:rsidRPr="00CA7033">
        <w:rPr>
          <w:szCs w:val="22"/>
        </w:rPr>
        <w:t>30 mg, 60 mg ar 90 mg Dexilant dozių saugumas buvo vertinamas klinikinių tyrimų metu (pacientai buvo gydomi iki 1 metų). Šių klinikinių tyrimų metu dauguma su gydymu Dexilant susijusių nepageidaujamų reakcijų buvo lengvos ar vidutinio sunkumo, bendras jų dažnis buvo panašus į būnantį vartojant placebo ir lansoprazolo. Nepageidaujamos reakcijos, apie kurias pranešta dažniausiai, buvo viduriavimas, pilvo skausmas, galvos skausmas, pykinimas, pilvo diskomfortas, pilvo pūtimas ir vidurių užkietėjimas. Lytis, amžius ar rasė įtakos šių nepageidaujamų reakcijų dažniui neturėjo.</w:t>
      </w:r>
    </w:p>
    <w:p w14:paraId="22C55539" w14:textId="77777777" w:rsidR="00311D0F" w:rsidRPr="00CA7033" w:rsidRDefault="00311D0F" w:rsidP="00311D0F">
      <w:pPr>
        <w:rPr>
          <w:szCs w:val="22"/>
        </w:rPr>
      </w:pPr>
    </w:p>
    <w:p w14:paraId="07633CEF" w14:textId="77777777" w:rsidR="00311D0F" w:rsidRPr="00CA7033" w:rsidRDefault="00311D0F" w:rsidP="00311D0F">
      <w:pPr>
        <w:rPr>
          <w:szCs w:val="22"/>
          <w:u w:val="single"/>
        </w:rPr>
      </w:pPr>
      <w:r w:rsidRPr="00CA7033">
        <w:rPr>
          <w:szCs w:val="22"/>
          <w:u w:val="single"/>
        </w:rPr>
        <w:t>Nepageidaujamų reakcijų santrauka lentelėje</w:t>
      </w:r>
    </w:p>
    <w:p w14:paraId="05254C68" w14:textId="77777777" w:rsidR="00311D0F" w:rsidRPr="00CA7033" w:rsidRDefault="00311D0F" w:rsidP="00311D0F">
      <w:pPr>
        <w:rPr>
          <w:szCs w:val="22"/>
        </w:rPr>
      </w:pPr>
    </w:p>
    <w:p w14:paraId="02F0F260" w14:textId="3E8EB6F1" w:rsidR="00311D0F" w:rsidRPr="00CA7033" w:rsidRDefault="00311D0F" w:rsidP="00311D0F">
      <w:pPr>
        <w:rPr>
          <w:szCs w:val="22"/>
        </w:rPr>
      </w:pPr>
      <w:r w:rsidRPr="00CA7033">
        <w:rPr>
          <w:szCs w:val="22"/>
        </w:rPr>
        <w:t>Toliau išvardytos Dexilant (30 mg, 60 mg arba 90 mg) nepageidaujamos reakcijos, apie kurias pranešta klinikinių tyrimų metu ar po vaistinio preparato pateikimo rinkai, nurodomos naudojant MedDRA siūlomas organų sistemų klases ir absoliutų dažnį. Nepageidaujamo poveikio dažnis apibūdinamas taip: labai dažnas (≥ 1/10), dažnas (nuo ≥ 1/100 iki &lt; 1/10), nedažnas (nuo ≥ 1/1</w:t>
      </w:r>
      <w:r w:rsidR="00F97E9F" w:rsidRPr="00CA7033">
        <w:rPr>
          <w:szCs w:val="22"/>
        </w:rPr>
        <w:t> </w:t>
      </w:r>
      <w:r w:rsidRPr="00CA7033">
        <w:rPr>
          <w:szCs w:val="22"/>
        </w:rPr>
        <w:t>000 iki &lt; 1/100), retas (nuo ≥ 1/10</w:t>
      </w:r>
      <w:r w:rsidR="00F97E9F" w:rsidRPr="00CA7033">
        <w:rPr>
          <w:szCs w:val="22"/>
        </w:rPr>
        <w:t> </w:t>
      </w:r>
      <w:r w:rsidRPr="00CA7033">
        <w:rPr>
          <w:szCs w:val="22"/>
        </w:rPr>
        <w:t>000 iki &lt; 1/1</w:t>
      </w:r>
      <w:r w:rsidR="00F97E9F" w:rsidRPr="00CA7033">
        <w:rPr>
          <w:szCs w:val="22"/>
        </w:rPr>
        <w:t> </w:t>
      </w:r>
      <w:r w:rsidRPr="00CA7033">
        <w:rPr>
          <w:szCs w:val="22"/>
        </w:rPr>
        <w:t>000), labai retas (&lt; 1/10</w:t>
      </w:r>
      <w:r w:rsidR="00F97E9F" w:rsidRPr="00CA7033">
        <w:rPr>
          <w:szCs w:val="22"/>
        </w:rPr>
        <w:t> </w:t>
      </w:r>
      <w:r w:rsidRPr="00CA7033">
        <w:rPr>
          <w:szCs w:val="22"/>
        </w:rPr>
        <w:t xml:space="preserve">000) ir nežinomas (negali būti apskaičiuotas pagal turimus duomenis). </w:t>
      </w:r>
      <w:r w:rsidR="003778D1" w:rsidRPr="00CA7033">
        <w:rPr>
          <w:szCs w:val="22"/>
        </w:rPr>
        <w:t>Visoms nepageidaujamoms reakcijoms, apie kurias pranešta po vaistinio preparato pateikimo į rinką, nepageidaujamų reakcijų dažnio apskaičiuoti negalima, todėl jos paminėtos dažnio kategorijo</w:t>
      </w:r>
      <w:r w:rsidR="00E83A0C" w:rsidRPr="00CA7033">
        <w:rPr>
          <w:szCs w:val="22"/>
        </w:rPr>
        <w:t>je</w:t>
      </w:r>
      <w:r w:rsidR="003778D1" w:rsidRPr="00CA7033">
        <w:rPr>
          <w:szCs w:val="22"/>
        </w:rPr>
        <w:t xml:space="preserve"> „nežinomas“. </w:t>
      </w:r>
      <w:r w:rsidRPr="00CA7033">
        <w:rPr>
          <w:szCs w:val="22"/>
        </w:rPr>
        <w:t>Kiekvienoje dažnio grupėje nepageidaujamos reakcijos pateikiamos mažėjančio sunkumo tvarka.</w:t>
      </w:r>
    </w:p>
    <w:p w14:paraId="708EF004" w14:textId="77777777" w:rsidR="00311D0F" w:rsidRPr="00CA7033" w:rsidRDefault="00311D0F" w:rsidP="00572B1E">
      <w:pPr>
        <w:keepNext/>
        <w:rPr>
          <w:szCs w:val="22"/>
        </w:rPr>
      </w:pPr>
    </w:p>
    <w:tbl>
      <w:tblPr>
        <w:tblW w:w="92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1701"/>
        <w:gridCol w:w="1701"/>
        <w:gridCol w:w="1984"/>
        <w:gridCol w:w="2190"/>
      </w:tblGrid>
      <w:tr w:rsidR="00572B1E" w:rsidRPr="00CA7033" w14:paraId="6AAF8CE2" w14:textId="77777777" w:rsidTr="00572B1E">
        <w:trPr>
          <w:tblHeader/>
          <w:jc w:val="center"/>
        </w:trPr>
        <w:tc>
          <w:tcPr>
            <w:tcW w:w="1706" w:type="dxa"/>
            <w:tcBorders>
              <w:top w:val="single" w:sz="4" w:space="0" w:color="auto"/>
              <w:bottom w:val="single" w:sz="4" w:space="0" w:color="auto"/>
              <w:right w:val="single" w:sz="4" w:space="0" w:color="auto"/>
            </w:tcBorders>
          </w:tcPr>
          <w:p w14:paraId="369AAA90" w14:textId="77777777" w:rsidR="00311D0F" w:rsidRPr="00CA7033" w:rsidRDefault="00311D0F" w:rsidP="00572B1E">
            <w:pPr>
              <w:keepNext/>
              <w:rPr>
                <w:b/>
              </w:rPr>
            </w:pPr>
            <w:r w:rsidRPr="00CA7033">
              <w:rPr>
                <w:b/>
              </w:rPr>
              <w:t>Organų sistemų klasė</w:t>
            </w:r>
          </w:p>
        </w:tc>
        <w:tc>
          <w:tcPr>
            <w:tcW w:w="1701" w:type="dxa"/>
            <w:tcBorders>
              <w:top w:val="single" w:sz="4" w:space="0" w:color="auto"/>
              <w:left w:val="single" w:sz="4" w:space="0" w:color="auto"/>
              <w:bottom w:val="single" w:sz="4" w:space="0" w:color="auto"/>
              <w:right w:val="single" w:sz="4" w:space="0" w:color="auto"/>
            </w:tcBorders>
          </w:tcPr>
          <w:p w14:paraId="668E3073" w14:textId="77777777" w:rsidR="00311D0F" w:rsidRPr="00CA7033" w:rsidRDefault="00311D0F" w:rsidP="00572B1E">
            <w:pPr>
              <w:keepNext/>
              <w:rPr>
                <w:b/>
              </w:rPr>
            </w:pPr>
            <w:r w:rsidRPr="00CA7033">
              <w:rPr>
                <w:b/>
              </w:rPr>
              <w:t>Dažnas</w:t>
            </w:r>
          </w:p>
        </w:tc>
        <w:tc>
          <w:tcPr>
            <w:tcW w:w="1701" w:type="dxa"/>
            <w:tcBorders>
              <w:top w:val="single" w:sz="4" w:space="0" w:color="auto"/>
              <w:left w:val="single" w:sz="4" w:space="0" w:color="auto"/>
              <w:bottom w:val="single" w:sz="4" w:space="0" w:color="auto"/>
              <w:right w:val="single" w:sz="4" w:space="0" w:color="auto"/>
            </w:tcBorders>
          </w:tcPr>
          <w:p w14:paraId="77E59952" w14:textId="77777777" w:rsidR="00311D0F" w:rsidRPr="00CA7033" w:rsidRDefault="00311D0F" w:rsidP="00572B1E">
            <w:pPr>
              <w:keepNext/>
              <w:rPr>
                <w:b/>
              </w:rPr>
            </w:pPr>
            <w:r w:rsidRPr="00CA7033">
              <w:rPr>
                <w:b/>
              </w:rPr>
              <w:t>Nedažnas</w:t>
            </w:r>
          </w:p>
        </w:tc>
        <w:tc>
          <w:tcPr>
            <w:tcW w:w="1984" w:type="dxa"/>
            <w:tcBorders>
              <w:top w:val="single" w:sz="4" w:space="0" w:color="auto"/>
              <w:left w:val="single" w:sz="4" w:space="0" w:color="auto"/>
              <w:bottom w:val="single" w:sz="4" w:space="0" w:color="auto"/>
              <w:right w:val="single" w:sz="4" w:space="0" w:color="auto"/>
            </w:tcBorders>
          </w:tcPr>
          <w:p w14:paraId="3E37CE0F" w14:textId="77777777" w:rsidR="00311D0F" w:rsidRPr="00CA7033" w:rsidRDefault="00311D0F" w:rsidP="00572B1E">
            <w:pPr>
              <w:keepNext/>
              <w:rPr>
                <w:b/>
              </w:rPr>
            </w:pPr>
            <w:r w:rsidRPr="00CA7033">
              <w:rPr>
                <w:b/>
              </w:rPr>
              <w:t>Retas</w:t>
            </w:r>
          </w:p>
        </w:tc>
        <w:tc>
          <w:tcPr>
            <w:tcW w:w="2190" w:type="dxa"/>
            <w:tcBorders>
              <w:top w:val="single" w:sz="4" w:space="0" w:color="auto"/>
              <w:left w:val="single" w:sz="4" w:space="0" w:color="auto"/>
              <w:bottom w:val="single" w:sz="4" w:space="0" w:color="auto"/>
            </w:tcBorders>
          </w:tcPr>
          <w:p w14:paraId="7DE8E53F" w14:textId="557089DE" w:rsidR="00311D0F" w:rsidRPr="00CA7033" w:rsidRDefault="00E83A0C" w:rsidP="00572B1E">
            <w:pPr>
              <w:keepNext/>
              <w:rPr>
                <w:b/>
              </w:rPr>
            </w:pPr>
            <w:r w:rsidRPr="00CA7033">
              <w:rPr>
                <w:b/>
              </w:rPr>
              <w:t>N</w:t>
            </w:r>
            <w:r w:rsidR="00311D0F" w:rsidRPr="00CA7033">
              <w:rPr>
                <w:b/>
              </w:rPr>
              <w:t>ežinomas</w:t>
            </w:r>
          </w:p>
        </w:tc>
      </w:tr>
      <w:tr w:rsidR="00572B1E" w:rsidRPr="00CA7033" w14:paraId="1ACB17CB" w14:textId="77777777" w:rsidTr="00572B1E">
        <w:trPr>
          <w:jc w:val="center"/>
        </w:trPr>
        <w:tc>
          <w:tcPr>
            <w:tcW w:w="1706" w:type="dxa"/>
            <w:tcBorders>
              <w:top w:val="single" w:sz="4" w:space="0" w:color="auto"/>
              <w:bottom w:val="single" w:sz="4" w:space="0" w:color="auto"/>
              <w:right w:val="single" w:sz="4" w:space="0" w:color="auto"/>
            </w:tcBorders>
          </w:tcPr>
          <w:p w14:paraId="6BBCA2A0" w14:textId="77777777" w:rsidR="00311D0F" w:rsidRPr="00572B1E" w:rsidRDefault="00311D0F" w:rsidP="00572B1E">
            <w:pPr>
              <w:keepNext/>
              <w:rPr>
                <w:b/>
                <w:bCs/>
              </w:rPr>
            </w:pPr>
            <w:r w:rsidRPr="00572B1E">
              <w:rPr>
                <w:b/>
                <w:bCs/>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3EB7BCE0" w14:textId="77777777" w:rsidR="00311D0F" w:rsidRPr="00CA7033" w:rsidRDefault="00311D0F" w:rsidP="00572B1E">
            <w:pPr>
              <w:keepNext/>
            </w:pPr>
          </w:p>
        </w:tc>
        <w:tc>
          <w:tcPr>
            <w:tcW w:w="1701" w:type="dxa"/>
            <w:tcBorders>
              <w:top w:val="single" w:sz="4" w:space="0" w:color="auto"/>
              <w:left w:val="single" w:sz="4" w:space="0" w:color="auto"/>
              <w:bottom w:val="single" w:sz="4" w:space="0" w:color="auto"/>
              <w:right w:val="single" w:sz="4" w:space="0" w:color="auto"/>
            </w:tcBorders>
          </w:tcPr>
          <w:p w14:paraId="29D5B4D1" w14:textId="77777777" w:rsidR="00311D0F" w:rsidRPr="00CA7033" w:rsidRDefault="00311D0F" w:rsidP="00572B1E">
            <w:pPr>
              <w:keepNext/>
            </w:pPr>
          </w:p>
        </w:tc>
        <w:tc>
          <w:tcPr>
            <w:tcW w:w="1984" w:type="dxa"/>
            <w:tcBorders>
              <w:top w:val="single" w:sz="4" w:space="0" w:color="auto"/>
              <w:left w:val="single" w:sz="4" w:space="0" w:color="auto"/>
              <w:bottom w:val="single" w:sz="4" w:space="0" w:color="auto"/>
              <w:right w:val="single" w:sz="4" w:space="0" w:color="auto"/>
            </w:tcBorders>
          </w:tcPr>
          <w:p w14:paraId="06868ECB" w14:textId="77777777" w:rsidR="00311D0F" w:rsidRPr="00CA7033" w:rsidRDefault="00311D0F" w:rsidP="00572B1E">
            <w:pPr>
              <w:keepNext/>
            </w:pPr>
          </w:p>
        </w:tc>
        <w:tc>
          <w:tcPr>
            <w:tcW w:w="2190" w:type="dxa"/>
            <w:tcBorders>
              <w:top w:val="single" w:sz="4" w:space="0" w:color="auto"/>
              <w:left w:val="single" w:sz="4" w:space="0" w:color="auto"/>
              <w:bottom w:val="single" w:sz="4" w:space="0" w:color="auto"/>
            </w:tcBorders>
          </w:tcPr>
          <w:p w14:paraId="7320C58E" w14:textId="77777777" w:rsidR="00311D0F" w:rsidRPr="00CA7033" w:rsidRDefault="00311D0F" w:rsidP="00572B1E">
            <w:pPr>
              <w:keepNext/>
            </w:pPr>
            <w:r w:rsidRPr="00CA7033">
              <w:t>Autoimuninė hemolizinė anemija</w:t>
            </w:r>
            <w:r w:rsidRPr="00CA7033">
              <w:rPr>
                <w:vertAlign w:val="superscript"/>
              </w:rPr>
              <w:t>1,2</w:t>
            </w:r>
          </w:p>
          <w:p w14:paraId="4B47C12F" w14:textId="77777777" w:rsidR="00311D0F" w:rsidRPr="00CA7033" w:rsidRDefault="00311D0F" w:rsidP="00572B1E">
            <w:pPr>
              <w:keepNext/>
            </w:pPr>
            <w:r w:rsidRPr="00CA7033">
              <w:t>Idiopatinė trombocitopeninė purpura</w:t>
            </w:r>
            <w:r w:rsidRPr="00CA7033">
              <w:rPr>
                <w:vertAlign w:val="superscript"/>
              </w:rPr>
              <w:t>2</w:t>
            </w:r>
          </w:p>
        </w:tc>
      </w:tr>
      <w:tr w:rsidR="00572B1E" w:rsidRPr="00CA7033" w14:paraId="24108834" w14:textId="77777777" w:rsidTr="00572B1E">
        <w:trPr>
          <w:jc w:val="center"/>
        </w:trPr>
        <w:tc>
          <w:tcPr>
            <w:tcW w:w="1706" w:type="dxa"/>
            <w:tcBorders>
              <w:top w:val="single" w:sz="4" w:space="0" w:color="auto"/>
              <w:bottom w:val="single" w:sz="4" w:space="0" w:color="auto"/>
              <w:right w:val="single" w:sz="4" w:space="0" w:color="auto"/>
            </w:tcBorders>
          </w:tcPr>
          <w:p w14:paraId="7C5C99EA" w14:textId="77777777" w:rsidR="00311D0F" w:rsidRPr="00572B1E" w:rsidRDefault="00311D0F" w:rsidP="009A1CE0">
            <w:pPr>
              <w:rPr>
                <w:b/>
                <w:bCs/>
              </w:rPr>
            </w:pPr>
            <w:r w:rsidRPr="00572B1E">
              <w:rPr>
                <w:b/>
                <w:bCs/>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078997AE"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448C9074" w14:textId="77777777" w:rsidR="00311D0F" w:rsidRPr="00CA7033" w:rsidRDefault="00311D0F" w:rsidP="009A1CE0"/>
        </w:tc>
        <w:tc>
          <w:tcPr>
            <w:tcW w:w="1984" w:type="dxa"/>
            <w:tcBorders>
              <w:top w:val="single" w:sz="4" w:space="0" w:color="auto"/>
              <w:left w:val="single" w:sz="4" w:space="0" w:color="auto"/>
              <w:bottom w:val="single" w:sz="4" w:space="0" w:color="auto"/>
              <w:right w:val="single" w:sz="4" w:space="0" w:color="auto"/>
            </w:tcBorders>
          </w:tcPr>
          <w:p w14:paraId="5F8E8C5A"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7AAB4D35" w14:textId="77777777" w:rsidR="00311D0F" w:rsidRPr="00CA7033" w:rsidRDefault="00311D0F" w:rsidP="009A1CE0">
            <w:pPr>
              <w:rPr>
                <w:vertAlign w:val="superscript"/>
              </w:rPr>
            </w:pPr>
            <w:r w:rsidRPr="00CA7033">
              <w:t>Anafilaksinė reakcija</w:t>
            </w:r>
            <w:r w:rsidRPr="00CA7033">
              <w:rPr>
                <w:vertAlign w:val="superscript"/>
              </w:rPr>
              <w:t>2</w:t>
            </w:r>
          </w:p>
          <w:p w14:paraId="18BDD567" w14:textId="77777777" w:rsidR="00311D0F" w:rsidRPr="00CA7033" w:rsidRDefault="00311D0F" w:rsidP="009A1CE0">
            <w:r w:rsidRPr="00CA7033">
              <w:t>Padidėjęs jautrumas</w:t>
            </w:r>
            <w:r w:rsidRPr="00CA7033">
              <w:rPr>
                <w:vertAlign w:val="superscript"/>
              </w:rPr>
              <w:t>1,2</w:t>
            </w:r>
          </w:p>
          <w:p w14:paraId="45B0A0AB" w14:textId="77777777" w:rsidR="00311D0F" w:rsidRPr="00CA7033" w:rsidRDefault="00311D0F" w:rsidP="009A1CE0">
            <w:r w:rsidRPr="00CA7033">
              <w:t>Anafilaksinis šokas</w:t>
            </w:r>
            <w:r w:rsidRPr="00CA7033">
              <w:rPr>
                <w:vertAlign w:val="superscript"/>
              </w:rPr>
              <w:t>2</w:t>
            </w:r>
          </w:p>
        </w:tc>
      </w:tr>
      <w:tr w:rsidR="00572B1E" w:rsidRPr="00CA7033" w14:paraId="2F68768E" w14:textId="77777777" w:rsidTr="00572B1E">
        <w:trPr>
          <w:jc w:val="center"/>
        </w:trPr>
        <w:tc>
          <w:tcPr>
            <w:tcW w:w="1706" w:type="dxa"/>
            <w:tcBorders>
              <w:top w:val="single" w:sz="4" w:space="0" w:color="auto"/>
              <w:bottom w:val="single" w:sz="4" w:space="0" w:color="auto"/>
              <w:right w:val="single" w:sz="4" w:space="0" w:color="auto"/>
            </w:tcBorders>
          </w:tcPr>
          <w:p w14:paraId="294602B1" w14:textId="77777777" w:rsidR="00311D0F" w:rsidRPr="00572B1E" w:rsidRDefault="00311D0F" w:rsidP="009A1CE0">
            <w:pPr>
              <w:rPr>
                <w:b/>
                <w:bCs/>
              </w:rPr>
            </w:pPr>
            <w:r w:rsidRPr="00572B1E">
              <w:rPr>
                <w:b/>
                <w:bCs/>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7DE204EF"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62E42D59" w14:textId="77777777" w:rsidR="00311D0F" w:rsidRPr="00CA7033" w:rsidRDefault="00311D0F" w:rsidP="009A1CE0"/>
        </w:tc>
        <w:tc>
          <w:tcPr>
            <w:tcW w:w="1984" w:type="dxa"/>
            <w:tcBorders>
              <w:top w:val="single" w:sz="4" w:space="0" w:color="auto"/>
              <w:left w:val="single" w:sz="4" w:space="0" w:color="auto"/>
              <w:bottom w:val="single" w:sz="4" w:space="0" w:color="auto"/>
              <w:right w:val="single" w:sz="4" w:space="0" w:color="auto"/>
            </w:tcBorders>
          </w:tcPr>
          <w:p w14:paraId="66AC9828"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6A92EBB3" w14:textId="77777777" w:rsidR="003778D1" w:rsidRPr="00CA7033" w:rsidRDefault="003778D1" w:rsidP="009A1CE0">
            <w:pPr>
              <w:rPr>
                <w:vertAlign w:val="superscript"/>
              </w:rPr>
            </w:pPr>
            <w:r w:rsidRPr="00CA7033">
              <w:t>Hiponatremija</w:t>
            </w:r>
            <w:r w:rsidRPr="00CA7033">
              <w:rPr>
                <w:vertAlign w:val="superscript"/>
              </w:rPr>
              <w:t>2</w:t>
            </w:r>
          </w:p>
          <w:p w14:paraId="688AB25F" w14:textId="7B82FB2D" w:rsidR="00311D0F" w:rsidRPr="00CA7033" w:rsidRDefault="00311D0F" w:rsidP="009A1CE0">
            <w:r w:rsidRPr="00CA7033">
              <w:t>Hipomagnezemija</w:t>
            </w:r>
            <w:r w:rsidRPr="00CA7033">
              <w:rPr>
                <w:vertAlign w:val="superscript"/>
              </w:rPr>
              <w:t xml:space="preserve">2 </w:t>
            </w:r>
          </w:p>
          <w:p w14:paraId="065614CB" w14:textId="134CCEA1" w:rsidR="003778D1" w:rsidRPr="00CA7033" w:rsidRDefault="003778D1" w:rsidP="009A1CE0">
            <w:r w:rsidRPr="00CA7033">
              <w:t>Hipokalcemija</w:t>
            </w:r>
            <w:r w:rsidRPr="00CA7033">
              <w:rPr>
                <w:vertAlign w:val="superscript"/>
              </w:rPr>
              <w:t>2,3</w:t>
            </w:r>
            <w:r w:rsidRPr="00CA7033">
              <w:t xml:space="preserve"> </w:t>
            </w:r>
            <w:r w:rsidR="00F97E9F" w:rsidRPr="00CA7033">
              <w:t>H</w:t>
            </w:r>
            <w:r w:rsidRPr="00CA7033">
              <w:t>ipokalemija</w:t>
            </w:r>
            <w:r w:rsidRPr="00CA7033">
              <w:rPr>
                <w:vertAlign w:val="superscript"/>
              </w:rPr>
              <w:t>2,3</w:t>
            </w:r>
          </w:p>
        </w:tc>
      </w:tr>
      <w:tr w:rsidR="00572B1E" w:rsidRPr="00CA7033" w14:paraId="2129B0AA" w14:textId="77777777" w:rsidTr="00572B1E">
        <w:trPr>
          <w:jc w:val="center"/>
        </w:trPr>
        <w:tc>
          <w:tcPr>
            <w:tcW w:w="1706" w:type="dxa"/>
            <w:tcBorders>
              <w:top w:val="single" w:sz="4" w:space="0" w:color="auto"/>
              <w:bottom w:val="single" w:sz="4" w:space="0" w:color="auto"/>
              <w:right w:val="single" w:sz="4" w:space="0" w:color="auto"/>
            </w:tcBorders>
          </w:tcPr>
          <w:p w14:paraId="5598F203" w14:textId="77777777" w:rsidR="00311D0F" w:rsidRPr="00572B1E" w:rsidRDefault="00311D0F" w:rsidP="009A1CE0">
            <w:pPr>
              <w:rPr>
                <w:b/>
                <w:bCs/>
              </w:rPr>
            </w:pPr>
            <w:r w:rsidRPr="00572B1E">
              <w:rPr>
                <w:b/>
                <w:bCs/>
              </w:rP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6789416B"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179F8808" w14:textId="77777777" w:rsidR="00311D0F" w:rsidRPr="00CA7033" w:rsidRDefault="00311D0F" w:rsidP="009A1CE0">
            <w:r w:rsidRPr="00CA7033">
              <w:t>Šlaunikaulio, riešo ar stuburo lūžimas (žr. 4.4 skyrių)</w:t>
            </w:r>
          </w:p>
        </w:tc>
        <w:tc>
          <w:tcPr>
            <w:tcW w:w="1984" w:type="dxa"/>
            <w:tcBorders>
              <w:top w:val="single" w:sz="4" w:space="0" w:color="auto"/>
              <w:left w:val="single" w:sz="4" w:space="0" w:color="auto"/>
              <w:bottom w:val="single" w:sz="4" w:space="0" w:color="auto"/>
              <w:right w:val="single" w:sz="4" w:space="0" w:color="auto"/>
            </w:tcBorders>
          </w:tcPr>
          <w:p w14:paraId="5E324C6F"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4AAB1AA3" w14:textId="77777777" w:rsidR="00311D0F" w:rsidRPr="00CA7033" w:rsidRDefault="00311D0F" w:rsidP="009A1CE0"/>
        </w:tc>
      </w:tr>
      <w:tr w:rsidR="00572B1E" w:rsidRPr="00CA7033" w14:paraId="5CA56CDF" w14:textId="77777777" w:rsidTr="00572B1E">
        <w:trPr>
          <w:jc w:val="center"/>
        </w:trPr>
        <w:tc>
          <w:tcPr>
            <w:tcW w:w="1706" w:type="dxa"/>
            <w:tcBorders>
              <w:top w:val="single" w:sz="4" w:space="0" w:color="auto"/>
              <w:bottom w:val="single" w:sz="4" w:space="0" w:color="auto"/>
              <w:right w:val="single" w:sz="4" w:space="0" w:color="auto"/>
            </w:tcBorders>
          </w:tcPr>
          <w:p w14:paraId="576B2E3E" w14:textId="77777777" w:rsidR="00311D0F" w:rsidRPr="00572B1E" w:rsidRDefault="00311D0F" w:rsidP="009A1CE0">
            <w:pPr>
              <w:rPr>
                <w:b/>
                <w:bCs/>
              </w:rPr>
            </w:pPr>
            <w:r w:rsidRPr="00572B1E">
              <w:rPr>
                <w:b/>
                <w:bCs/>
              </w:rPr>
              <w:t>Psichikos sutrikimai</w:t>
            </w:r>
          </w:p>
        </w:tc>
        <w:tc>
          <w:tcPr>
            <w:tcW w:w="1701" w:type="dxa"/>
            <w:tcBorders>
              <w:top w:val="single" w:sz="4" w:space="0" w:color="auto"/>
              <w:left w:val="single" w:sz="4" w:space="0" w:color="auto"/>
              <w:bottom w:val="single" w:sz="4" w:space="0" w:color="auto"/>
              <w:right w:val="single" w:sz="4" w:space="0" w:color="auto"/>
            </w:tcBorders>
          </w:tcPr>
          <w:p w14:paraId="45D9DB1D"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51B7B22A" w14:textId="77777777" w:rsidR="00311D0F" w:rsidRPr="00CA7033" w:rsidRDefault="00311D0F" w:rsidP="009A1CE0">
            <w:r w:rsidRPr="00CA7033">
              <w:t>Nemiga</w:t>
            </w:r>
          </w:p>
          <w:p w14:paraId="0F3ACBCE" w14:textId="77777777" w:rsidR="00311D0F" w:rsidRPr="00CA7033" w:rsidRDefault="00311D0F" w:rsidP="009A1CE0">
            <w:r w:rsidRPr="00CA7033">
              <w:t>Depresija</w:t>
            </w:r>
          </w:p>
        </w:tc>
        <w:tc>
          <w:tcPr>
            <w:tcW w:w="1984" w:type="dxa"/>
            <w:tcBorders>
              <w:top w:val="single" w:sz="4" w:space="0" w:color="auto"/>
              <w:left w:val="single" w:sz="4" w:space="0" w:color="auto"/>
              <w:bottom w:val="single" w:sz="4" w:space="0" w:color="auto"/>
              <w:right w:val="single" w:sz="4" w:space="0" w:color="auto"/>
            </w:tcBorders>
          </w:tcPr>
          <w:p w14:paraId="5DA94971" w14:textId="77777777" w:rsidR="00311D0F" w:rsidRPr="00CA7033" w:rsidRDefault="00311D0F" w:rsidP="009A1CE0">
            <w:r w:rsidRPr="00CA7033">
              <w:t>Klausos haliucinacijos</w:t>
            </w:r>
          </w:p>
          <w:p w14:paraId="42736950"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609C062A" w14:textId="77777777" w:rsidR="00311D0F" w:rsidRPr="00CA7033" w:rsidRDefault="00311D0F" w:rsidP="009A1CE0">
            <w:r w:rsidRPr="00CA7033">
              <w:t>Regėjimo haliucinacijos</w:t>
            </w:r>
          </w:p>
        </w:tc>
      </w:tr>
      <w:tr w:rsidR="00572B1E" w:rsidRPr="00CA7033" w14:paraId="3433BD62" w14:textId="77777777" w:rsidTr="00572B1E">
        <w:trPr>
          <w:jc w:val="center"/>
        </w:trPr>
        <w:tc>
          <w:tcPr>
            <w:tcW w:w="1706" w:type="dxa"/>
            <w:tcBorders>
              <w:top w:val="single" w:sz="4" w:space="0" w:color="auto"/>
              <w:bottom w:val="single" w:sz="4" w:space="0" w:color="auto"/>
              <w:right w:val="single" w:sz="4" w:space="0" w:color="auto"/>
            </w:tcBorders>
          </w:tcPr>
          <w:p w14:paraId="514E8B44" w14:textId="77777777" w:rsidR="00311D0F" w:rsidRPr="00572B1E" w:rsidRDefault="00311D0F" w:rsidP="009A1CE0">
            <w:pPr>
              <w:rPr>
                <w:b/>
                <w:bCs/>
              </w:rPr>
            </w:pPr>
            <w:r w:rsidRPr="00572B1E">
              <w:rPr>
                <w:b/>
                <w:bCs/>
              </w:rPr>
              <w:t xml:space="preserve">Nervų sistemos sutrikimai </w:t>
            </w:r>
          </w:p>
        </w:tc>
        <w:tc>
          <w:tcPr>
            <w:tcW w:w="1701" w:type="dxa"/>
            <w:tcBorders>
              <w:top w:val="single" w:sz="4" w:space="0" w:color="auto"/>
              <w:left w:val="single" w:sz="4" w:space="0" w:color="auto"/>
              <w:bottom w:val="single" w:sz="4" w:space="0" w:color="auto"/>
              <w:right w:val="single" w:sz="4" w:space="0" w:color="auto"/>
            </w:tcBorders>
          </w:tcPr>
          <w:p w14:paraId="4D418AE4" w14:textId="77777777" w:rsidR="00311D0F" w:rsidRPr="00CA7033" w:rsidRDefault="00311D0F" w:rsidP="009A1CE0">
            <w:r w:rsidRPr="00CA7033">
              <w:t>Galvos skausmas</w:t>
            </w:r>
          </w:p>
        </w:tc>
        <w:tc>
          <w:tcPr>
            <w:tcW w:w="1701" w:type="dxa"/>
            <w:tcBorders>
              <w:top w:val="single" w:sz="4" w:space="0" w:color="auto"/>
              <w:left w:val="single" w:sz="4" w:space="0" w:color="auto"/>
              <w:bottom w:val="single" w:sz="4" w:space="0" w:color="auto"/>
              <w:right w:val="single" w:sz="4" w:space="0" w:color="auto"/>
            </w:tcBorders>
          </w:tcPr>
          <w:p w14:paraId="667A28D7" w14:textId="77777777" w:rsidR="00311D0F" w:rsidRPr="00CA7033" w:rsidRDefault="00311D0F" w:rsidP="009A1CE0">
            <w:r w:rsidRPr="00CA7033">
              <w:t>Svaigulys</w:t>
            </w:r>
          </w:p>
          <w:p w14:paraId="777D9C0A" w14:textId="77777777" w:rsidR="00311D0F" w:rsidRPr="00CA7033" w:rsidRDefault="00311D0F" w:rsidP="009A1CE0">
            <w:r w:rsidRPr="00CA7033">
              <w:t>Skonio pojūčio pokytis</w:t>
            </w:r>
          </w:p>
        </w:tc>
        <w:tc>
          <w:tcPr>
            <w:tcW w:w="1984" w:type="dxa"/>
            <w:tcBorders>
              <w:top w:val="single" w:sz="4" w:space="0" w:color="auto"/>
              <w:left w:val="single" w:sz="4" w:space="0" w:color="auto"/>
              <w:bottom w:val="single" w:sz="4" w:space="0" w:color="auto"/>
              <w:right w:val="single" w:sz="4" w:space="0" w:color="auto"/>
            </w:tcBorders>
          </w:tcPr>
          <w:p w14:paraId="28D826F7" w14:textId="77777777" w:rsidR="00311D0F" w:rsidRPr="00CA7033" w:rsidRDefault="00311D0F" w:rsidP="009A1CE0">
            <w:r w:rsidRPr="00CA7033">
              <w:t>Traukuliai</w:t>
            </w:r>
          </w:p>
          <w:p w14:paraId="075BAAF9" w14:textId="77777777" w:rsidR="00311D0F" w:rsidRPr="00CA7033" w:rsidRDefault="00311D0F" w:rsidP="009A1CE0">
            <w:r w:rsidRPr="00CA7033">
              <w:t>Parestezija</w:t>
            </w:r>
          </w:p>
        </w:tc>
        <w:tc>
          <w:tcPr>
            <w:tcW w:w="2190" w:type="dxa"/>
            <w:tcBorders>
              <w:top w:val="single" w:sz="4" w:space="0" w:color="auto"/>
              <w:left w:val="single" w:sz="4" w:space="0" w:color="auto"/>
              <w:bottom w:val="single" w:sz="4" w:space="0" w:color="auto"/>
            </w:tcBorders>
          </w:tcPr>
          <w:p w14:paraId="62BAD2BE" w14:textId="77777777" w:rsidR="00311D0F" w:rsidRPr="00CA7033" w:rsidRDefault="00311D0F" w:rsidP="009A1CE0"/>
        </w:tc>
      </w:tr>
      <w:tr w:rsidR="00572B1E" w:rsidRPr="00CA7033" w14:paraId="78528CBB" w14:textId="77777777" w:rsidTr="00572B1E">
        <w:trPr>
          <w:jc w:val="center"/>
        </w:trPr>
        <w:tc>
          <w:tcPr>
            <w:tcW w:w="1706" w:type="dxa"/>
            <w:tcBorders>
              <w:top w:val="single" w:sz="4" w:space="0" w:color="auto"/>
              <w:bottom w:val="single" w:sz="4" w:space="0" w:color="auto"/>
              <w:right w:val="single" w:sz="4" w:space="0" w:color="auto"/>
            </w:tcBorders>
          </w:tcPr>
          <w:p w14:paraId="3FF523D4" w14:textId="77777777" w:rsidR="00311D0F" w:rsidRPr="00572B1E" w:rsidRDefault="00311D0F" w:rsidP="009A1CE0">
            <w:pPr>
              <w:rPr>
                <w:b/>
                <w:bCs/>
              </w:rPr>
            </w:pPr>
            <w:r w:rsidRPr="00572B1E">
              <w:rPr>
                <w:b/>
                <w:bCs/>
              </w:rPr>
              <w:t xml:space="preserve">Akių sutrikimai </w:t>
            </w:r>
          </w:p>
        </w:tc>
        <w:tc>
          <w:tcPr>
            <w:tcW w:w="1701" w:type="dxa"/>
            <w:tcBorders>
              <w:top w:val="single" w:sz="4" w:space="0" w:color="auto"/>
              <w:left w:val="single" w:sz="4" w:space="0" w:color="auto"/>
              <w:bottom w:val="single" w:sz="4" w:space="0" w:color="auto"/>
              <w:right w:val="single" w:sz="4" w:space="0" w:color="auto"/>
            </w:tcBorders>
          </w:tcPr>
          <w:p w14:paraId="3A6C63F1"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6B42EBEA" w14:textId="77777777" w:rsidR="00311D0F" w:rsidRPr="00CA7033" w:rsidRDefault="00311D0F" w:rsidP="009A1CE0"/>
        </w:tc>
        <w:tc>
          <w:tcPr>
            <w:tcW w:w="1984" w:type="dxa"/>
            <w:tcBorders>
              <w:top w:val="single" w:sz="4" w:space="0" w:color="auto"/>
              <w:left w:val="single" w:sz="4" w:space="0" w:color="auto"/>
              <w:bottom w:val="single" w:sz="4" w:space="0" w:color="auto"/>
              <w:right w:val="single" w:sz="4" w:space="0" w:color="auto"/>
            </w:tcBorders>
          </w:tcPr>
          <w:p w14:paraId="01616846" w14:textId="77777777" w:rsidR="00311D0F" w:rsidRPr="00CA7033" w:rsidRDefault="00311D0F" w:rsidP="009A1CE0">
            <w:r w:rsidRPr="00CA7033">
              <w:t>Regos sutrikimas</w:t>
            </w:r>
          </w:p>
        </w:tc>
        <w:tc>
          <w:tcPr>
            <w:tcW w:w="2190" w:type="dxa"/>
            <w:tcBorders>
              <w:top w:val="single" w:sz="4" w:space="0" w:color="auto"/>
              <w:left w:val="single" w:sz="4" w:space="0" w:color="auto"/>
              <w:bottom w:val="single" w:sz="4" w:space="0" w:color="auto"/>
            </w:tcBorders>
          </w:tcPr>
          <w:p w14:paraId="10E9E713" w14:textId="77777777" w:rsidR="00311D0F" w:rsidRPr="00CA7033" w:rsidRDefault="00311D0F" w:rsidP="009A1CE0">
            <w:r w:rsidRPr="00CA7033">
              <w:t>Neryškus matomas vaizdas</w:t>
            </w:r>
            <w:r w:rsidRPr="00CA7033">
              <w:rPr>
                <w:vertAlign w:val="superscript"/>
              </w:rPr>
              <w:t>2</w:t>
            </w:r>
          </w:p>
        </w:tc>
      </w:tr>
      <w:tr w:rsidR="00572B1E" w:rsidRPr="00CA7033" w14:paraId="35A766BD" w14:textId="77777777" w:rsidTr="00572B1E">
        <w:trPr>
          <w:jc w:val="center"/>
        </w:trPr>
        <w:tc>
          <w:tcPr>
            <w:tcW w:w="1706" w:type="dxa"/>
            <w:tcBorders>
              <w:top w:val="single" w:sz="4" w:space="0" w:color="auto"/>
              <w:bottom w:val="single" w:sz="4" w:space="0" w:color="auto"/>
              <w:right w:val="single" w:sz="4" w:space="0" w:color="auto"/>
            </w:tcBorders>
          </w:tcPr>
          <w:p w14:paraId="11EDDC8F" w14:textId="77777777" w:rsidR="00311D0F" w:rsidRPr="00572B1E" w:rsidRDefault="00311D0F" w:rsidP="009A1CE0">
            <w:pPr>
              <w:rPr>
                <w:b/>
                <w:bCs/>
              </w:rPr>
            </w:pPr>
            <w:r w:rsidRPr="00572B1E">
              <w:rPr>
                <w:b/>
                <w:bCs/>
              </w:rPr>
              <w:t xml:space="preserve">Ausų ir labirintų sutrikimai </w:t>
            </w:r>
          </w:p>
        </w:tc>
        <w:tc>
          <w:tcPr>
            <w:tcW w:w="1701" w:type="dxa"/>
            <w:tcBorders>
              <w:top w:val="single" w:sz="4" w:space="0" w:color="auto"/>
              <w:left w:val="single" w:sz="4" w:space="0" w:color="auto"/>
              <w:bottom w:val="single" w:sz="4" w:space="0" w:color="auto"/>
              <w:right w:val="single" w:sz="4" w:space="0" w:color="auto"/>
            </w:tcBorders>
          </w:tcPr>
          <w:p w14:paraId="6D330422"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5932704E" w14:textId="77777777" w:rsidR="00311D0F" w:rsidRPr="00CA7033" w:rsidRDefault="00311D0F" w:rsidP="009A1CE0"/>
        </w:tc>
        <w:tc>
          <w:tcPr>
            <w:tcW w:w="1984" w:type="dxa"/>
            <w:tcBorders>
              <w:top w:val="single" w:sz="4" w:space="0" w:color="auto"/>
              <w:left w:val="single" w:sz="4" w:space="0" w:color="auto"/>
              <w:bottom w:val="single" w:sz="4" w:space="0" w:color="auto"/>
              <w:right w:val="single" w:sz="4" w:space="0" w:color="auto"/>
            </w:tcBorders>
          </w:tcPr>
          <w:p w14:paraId="7F0B4629" w14:textId="77777777" w:rsidR="00311D0F" w:rsidRPr="00CA7033" w:rsidRDefault="00311D0F" w:rsidP="009A1CE0">
            <w:pPr>
              <w:rPr>
                <w:i/>
              </w:rPr>
            </w:pPr>
            <w:r w:rsidRPr="00CA7033">
              <w:t xml:space="preserve">Galvos sukimasis </w:t>
            </w:r>
            <w:r w:rsidRPr="00CA7033">
              <w:rPr>
                <w:i/>
              </w:rPr>
              <w:t>(Vertigo)</w:t>
            </w:r>
          </w:p>
          <w:p w14:paraId="6E8F8D53"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142DA1DD" w14:textId="77777777" w:rsidR="00311D0F" w:rsidRPr="00CA7033" w:rsidRDefault="00311D0F" w:rsidP="009A1CE0">
            <w:r w:rsidRPr="00CA7033">
              <w:t>Kurtumas</w:t>
            </w:r>
            <w:r w:rsidRPr="00CA7033">
              <w:rPr>
                <w:vertAlign w:val="superscript"/>
              </w:rPr>
              <w:t>2</w:t>
            </w:r>
          </w:p>
        </w:tc>
      </w:tr>
      <w:tr w:rsidR="00572B1E" w:rsidRPr="00CA7033" w14:paraId="58B0CF2A" w14:textId="77777777" w:rsidTr="00572B1E">
        <w:trPr>
          <w:jc w:val="center"/>
        </w:trPr>
        <w:tc>
          <w:tcPr>
            <w:tcW w:w="1706" w:type="dxa"/>
            <w:tcBorders>
              <w:top w:val="single" w:sz="4" w:space="0" w:color="auto"/>
              <w:bottom w:val="single" w:sz="4" w:space="0" w:color="auto"/>
              <w:right w:val="single" w:sz="4" w:space="0" w:color="auto"/>
            </w:tcBorders>
          </w:tcPr>
          <w:p w14:paraId="721D3720" w14:textId="77777777" w:rsidR="00311D0F" w:rsidRPr="00572B1E" w:rsidRDefault="00311D0F" w:rsidP="009A1CE0">
            <w:pPr>
              <w:rPr>
                <w:b/>
                <w:bCs/>
              </w:rPr>
            </w:pPr>
            <w:r w:rsidRPr="00572B1E">
              <w:rPr>
                <w:b/>
                <w:bCs/>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65D8B7FD"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46175E5E" w14:textId="77777777" w:rsidR="00311D0F" w:rsidRPr="00CA7033" w:rsidRDefault="00311D0F" w:rsidP="009A1CE0">
            <w:r w:rsidRPr="00CA7033">
              <w:t>Hipertenzija</w:t>
            </w:r>
          </w:p>
          <w:p w14:paraId="098C26DA" w14:textId="77777777" w:rsidR="00311D0F" w:rsidRPr="00CA7033" w:rsidRDefault="00311D0F" w:rsidP="009A1CE0">
            <w:r w:rsidRPr="00CA7033">
              <w:t>Kraujo samplūdis į veidą</w:t>
            </w:r>
          </w:p>
        </w:tc>
        <w:tc>
          <w:tcPr>
            <w:tcW w:w="1984" w:type="dxa"/>
            <w:tcBorders>
              <w:top w:val="single" w:sz="4" w:space="0" w:color="auto"/>
              <w:left w:val="single" w:sz="4" w:space="0" w:color="auto"/>
              <w:bottom w:val="single" w:sz="4" w:space="0" w:color="auto"/>
              <w:right w:val="single" w:sz="4" w:space="0" w:color="auto"/>
            </w:tcBorders>
          </w:tcPr>
          <w:p w14:paraId="60BB1F7B"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05B3AAEC" w14:textId="77777777" w:rsidR="00311D0F" w:rsidRPr="00CA7033" w:rsidRDefault="00311D0F" w:rsidP="009A1CE0"/>
        </w:tc>
      </w:tr>
      <w:tr w:rsidR="00572B1E" w:rsidRPr="00CA7033" w14:paraId="4D61002E" w14:textId="77777777" w:rsidTr="00572B1E">
        <w:trPr>
          <w:jc w:val="center"/>
        </w:trPr>
        <w:tc>
          <w:tcPr>
            <w:tcW w:w="1706" w:type="dxa"/>
            <w:tcBorders>
              <w:top w:val="single" w:sz="4" w:space="0" w:color="auto"/>
              <w:bottom w:val="single" w:sz="4" w:space="0" w:color="auto"/>
              <w:right w:val="single" w:sz="4" w:space="0" w:color="auto"/>
            </w:tcBorders>
          </w:tcPr>
          <w:p w14:paraId="12085747" w14:textId="77777777" w:rsidR="00311D0F" w:rsidRPr="00572B1E" w:rsidRDefault="00311D0F" w:rsidP="009A1CE0">
            <w:pPr>
              <w:rPr>
                <w:b/>
                <w:bCs/>
              </w:rPr>
            </w:pPr>
            <w:r w:rsidRPr="00572B1E">
              <w:rPr>
                <w:b/>
                <w:bCs/>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6508EA2D"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220CA0B5" w14:textId="77777777" w:rsidR="00311D0F" w:rsidRPr="00CA7033" w:rsidRDefault="00311D0F" w:rsidP="009A1CE0">
            <w:r w:rsidRPr="00CA7033">
              <w:t>Kosulys</w:t>
            </w:r>
          </w:p>
        </w:tc>
        <w:tc>
          <w:tcPr>
            <w:tcW w:w="1984" w:type="dxa"/>
            <w:tcBorders>
              <w:top w:val="single" w:sz="4" w:space="0" w:color="auto"/>
              <w:left w:val="single" w:sz="4" w:space="0" w:color="auto"/>
              <w:bottom w:val="single" w:sz="4" w:space="0" w:color="auto"/>
              <w:right w:val="single" w:sz="4" w:space="0" w:color="auto"/>
            </w:tcBorders>
          </w:tcPr>
          <w:p w14:paraId="597E09DB"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534D090C" w14:textId="77777777" w:rsidR="00311D0F" w:rsidRPr="00CA7033" w:rsidRDefault="00311D0F" w:rsidP="009A1CE0"/>
        </w:tc>
      </w:tr>
      <w:tr w:rsidR="00572B1E" w:rsidRPr="00CA7033" w14:paraId="328D1A36" w14:textId="77777777" w:rsidTr="00572B1E">
        <w:trPr>
          <w:jc w:val="center"/>
        </w:trPr>
        <w:tc>
          <w:tcPr>
            <w:tcW w:w="1706" w:type="dxa"/>
            <w:tcBorders>
              <w:top w:val="single" w:sz="4" w:space="0" w:color="auto"/>
              <w:bottom w:val="single" w:sz="4" w:space="0" w:color="auto"/>
              <w:right w:val="single" w:sz="4" w:space="0" w:color="auto"/>
            </w:tcBorders>
          </w:tcPr>
          <w:p w14:paraId="1D50B0FE" w14:textId="77777777" w:rsidR="00311D0F" w:rsidRPr="00572B1E" w:rsidRDefault="00311D0F" w:rsidP="009A1CE0">
            <w:pPr>
              <w:rPr>
                <w:b/>
                <w:bCs/>
              </w:rPr>
            </w:pPr>
            <w:r w:rsidRPr="00572B1E">
              <w:rPr>
                <w:b/>
                <w:bCs/>
              </w:rPr>
              <w:t xml:space="preserve">Virškinimo trakto sutrikimai </w:t>
            </w:r>
          </w:p>
        </w:tc>
        <w:tc>
          <w:tcPr>
            <w:tcW w:w="1701" w:type="dxa"/>
            <w:tcBorders>
              <w:top w:val="single" w:sz="4" w:space="0" w:color="auto"/>
              <w:left w:val="single" w:sz="4" w:space="0" w:color="auto"/>
              <w:bottom w:val="single" w:sz="4" w:space="0" w:color="auto"/>
              <w:right w:val="single" w:sz="4" w:space="0" w:color="auto"/>
            </w:tcBorders>
          </w:tcPr>
          <w:p w14:paraId="3BA2B04E" w14:textId="77777777" w:rsidR="00311D0F" w:rsidRPr="00CA7033" w:rsidRDefault="00311D0F" w:rsidP="009A1CE0">
            <w:r w:rsidRPr="00CA7033">
              <w:t>Viduriavimas</w:t>
            </w:r>
            <w:r w:rsidRPr="00CA7033">
              <w:rPr>
                <w:vertAlign w:val="superscript"/>
              </w:rPr>
              <w:t>1</w:t>
            </w:r>
          </w:p>
          <w:p w14:paraId="6B52645E" w14:textId="77777777" w:rsidR="00311D0F" w:rsidRPr="00CA7033" w:rsidRDefault="00311D0F" w:rsidP="009A1CE0">
            <w:r w:rsidRPr="00CA7033">
              <w:t>Pilvo skausmas</w:t>
            </w:r>
            <w:r w:rsidRPr="00CA7033">
              <w:rPr>
                <w:vertAlign w:val="superscript"/>
              </w:rPr>
              <w:t>1</w:t>
            </w:r>
          </w:p>
          <w:p w14:paraId="52E167A7" w14:textId="77777777" w:rsidR="00311D0F" w:rsidRPr="00CA7033" w:rsidRDefault="00311D0F" w:rsidP="009A1CE0">
            <w:r w:rsidRPr="00CA7033">
              <w:t>Pykinimas</w:t>
            </w:r>
          </w:p>
          <w:p w14:paraId="2C525519" w14:textId="77777777" w:rsidR="00311D0F" w:rsidRPr="00CA7033" w:rsidRDefault="00311D0F" w:rsidP="009A1CE0">
            <w:r w:rsidRPr="00CA7033">
              <w:t>Pilvo diskomfortas</w:t>
            </w:r>
          </w:p>
          <w:p w14:paraId="6D977B58" w14:textId="77777777" w:rsidR="00311D0F" w:rsidRPr="00CA7033" w:rsidRDefault="00311D0F" w:rsidP="009A1CE0">
            <w:r w:rsidRPr="00CA7033">
              <w:t>Pilvo pūtimas</w:t>
            </w:r>
          </w:p>
          <w:p w14:paraId="6763C1F2" w14:textId="77777777" w:rsidR="00311D0F" w:rsidRPr="00CA7033" w:rsidRDefault="00311D0F" w:rsidP="009A1CE0">
            <w:r w:rsidRPr="00CA7033">
              <w:t>Vidurių užkietėjimas</w:t>
            </w:r>
          </w:p>
          <w:p w14:paraId="79145F2A" w14:textId="77777777" w:rsidR="00311D0F" w:rsidRPr="00CA7033" w:rsidRDefault="00311D0F" w:rsidP="009A1CE0">
            <w:r w:rsidRPr="00CA7033">
              <w:t>Skrandžio dugno liaukų polipai (gerybiniai)</w:t>
            </w:r>
          </w:p>
        </w:tc>
        <w:tc>
          <w:tcPr>
            <w:tcW w:w="1701" w:type="dxa"/>
            <w:tcBorders>
              <w:top w:val="single" w:sz="4" w:space="0" w:color="auto"/>
              <w:left w:val="single" w:sz="4" w:space="0" w:color="auto"/>
              <w:bottom w:val="single" w:sz="4" w:space="0" w:color="auto"/>
              <w:right w:val="single" w:sz="4" w:space="0" w:color="auto"/>
            </w:tcBorders>
          </w:tcPr>
          <w:p w14:paraId="1D93D0EF" w14:textId="77777777" w:rsidR="00311D0F" w:rsidRPr="00CA7033" w:rsidRDefault="00311D0F" w:rsidP="009A1CE0">
            <w:r w:rsidRPr="00CA7033">
              <w:t>Vėmimas</w:t>
            </w:r>
          </w:p>
          <w:p w14:paraId="4AC33245" w14:textId="77777777" w:rsidR="00311D0F" w:rsidRPr="00CA7033" w:rsidRDefault="00311D0F" w:rsidP="009A1CE0">
            <w:r w:rsidRPr="00CA7033">
              <w:t>Burnos džiūvimas</w:t>
            </w:r>
          </w:p>
        </w:tc>
        <w:tc>
          <w:tcPr>
            <w:tcW w:w="1984" w:type="dxa"/>
            <w:tcBorders>
              <w:top w:val="single" w:sz="4" w:space="0" w:color="auto"/>
              <w:left w:val="single" w:sz="4" w:space="0" w:color="auto"/>
              <w:bottom w:val="single" w:sz="4" w:space="0" w:color="auto"/>
              <w:right w:val="single" w:sz="4" w:space="0" w:color="auto"/>
            </w:tcBorders>
          </w:tcPr>
          <w:p w14:paraId="3D6C6BEA" w14:textId="77777777" w:rsidR="00311D0F" w:rsidRPr="00CA7033" w:rsidRDefault="00311D0F" w:rsidP="009A1CE0">
            <w:r w:rsidRPr="00CA7033">
              <w:t xml:space="preserve">Kandidozė </w:t>
            </w:r>
          </w:p>
        </w:tc>
        <w:tc>
          <w:tcPr>
            <w:tcW w:w="2190" w:type="dxa"/>
            <w:tcBorders>
              <w:top w:val="single" w:sz="4" w:space="0" w:color="auto"/>
              <w:left w:val="single" w:sz="4" w:space="0" w:color="auto"/>
              <w:bottom w:val="single" w:sz="4" w:space="0" w:color="auto"/>
            </w:tcBorders>
          </w:tcPr>
          <w:p w14:paraId="0374CA9A" w14:textId="77777777" w:rsidR="00311D0F" w:rsidRPr="00CA7033" w:rsidRDefault="00311D0F" w:rsidP="009A1CE0"/>
        </w:tc>
      </w:tr>
      <w:tr w:rsidR="00572B1E" w:rsidRPr="00CA7033" w14:paraId="48EB7483" w14:textId="77777777" w:rsidTr="00572B1E">
        <w:trPr>
          <w:jc w:val="center"/>
        </w:trPr>
        <w:tc>
          <w:tcPr>
            <w:tcW w:w="1706" w:type="dxa"/>
            <w:tcBorders>
              <w:top w:val="single" w:sz="4" w:space="0" w:color="auto"/>
              <w:bottom w:val="single" w:sz="4" w:space="0" w:color="auto"/>
              <w:right w:val="single" w:sz="4" w:space="0" w:color="auto"/>
            </w:tcBorders>
          </w:tcPr>
          <w:p w14:paraId="6A336028" w14:textId="77777777" w:rsidR="00311D0F" w:rsidRPr="00572B1E" w:rsidRDefault="00311D0F" w:rsidP="009A1CE0">
            <w:pPr>
              <w:rPr>
                <w:b/>
                <w:bCs/>
              </w:rPr>
            </w:pPr>
            <w:r w:rsidRPr="00572B1E">
              <w:rPr>
                <w:b/>
                <w:bCs/>
              </w:rPr>
              <w:t xml:space="preserve">Kepenų, tulžies pūslės ir latakų sutrikimai </w:t>
            </w:r>
          </w:p>
        </w:tc>
        <w:tc>
          <w:tcPr>
            <w:tcW w:w="1701" w:type="dxa"/>
            <w:tcBorders>
              <w:top w:val="single" w:sz="4" w:space="0" w:color="auto"/>
              <w:left w:val="single" w:sz="4" w:space="0" w:color="auto"/>
              <w:bottom w:val="single" w:sz="4" w:space="0" w:color="auto"/>
              <w:right w:val="single" w:sz="4" w:space="0" w:color="auto"/>
            </w:tcBorders>
          </w:tcPr>
          <w:p w14:paraId="4FFCD6DE"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31CBD18D" w14:textId="77777777" w:rsidR="00311D0F" w:rsidRPr="00CA7033" w:rsidRDefault="00311D0F" w:rsidP="009A1CE0">
            <w:r w:rsidRPr="00CA7033">
              <w:t>Nenormalūs kepenų funkcijos tyrimų rodmenys</w:t>
            </w:r>
          </w:p>
        </w:tc>
        <w:tc>
          <w:tcPr>
            <w:tcW w:w="1984" w:type="dxa"/>
            <w:tcBorders>
              <w:top w:val="single" w:sz="4" w:space="0" w:color="auto"/>
              <w:left w:val="single" w:sz="4" w:space="0" w:color="auto"/>
              <w:bottom w:val="single" w:sz="4" w:space="0" w:color="auto"/>
              <w:right w:val="single" w:sz="4" w:space="0" w:color="auto"/>
            </w:tcBorders>
          </w:tcPr>
          <w:p w14:paraId="7332CBF6"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7EC78FFA" w14:textId="77777777" w:rsidR="00311D0F" w:rsidRPr="00CA7033" w:rsidRDefault="00311D0F" w:rsidP="009A1CE0">
            <w:r w:rsidRPr="00CA7033">
              <w:t>Vaistinių preparatų sukeltas hepatitas</w:t>
            </w:r>
            <w:r w:rsidRPr="00CA7033">
              <w:rPr>
                <w:vertAlign w:val="superscript"/>
              </w:rPr>
              <w:t>2</w:t>
            </w:r>
            <w:r w:rsidRPr="00CA7033">
              <w:t xml:space="preserve"> </w:t>
            </w:r>
          </w:p>
        </w:tc>
      </w:tr>
      <w:tr w:rsidR="00572B1E" w:rsidRPr="00CA7033" w14:paraId="79004CC0" w14:textId="77777777" w:rsidTr="00572B1E">
        <w:trPr>
          <w:jc w:val="center"/>
        </w:trPr>
        <w:tc>
          <w:tcPr>
            <w:tcW w:w="1706" w:type="dxa"/>
            <w:tcBorders>
              <w:top w:val="single" w:sz="4" w:space="0" w:color="auto"/>
              <w:bottom w:val="single" w:sz="4" w:space="0" w:color="auto"/>
              <w:right w:val="single" w:sz="4" w:space="0" w:color="auto"/>
            </w:tcBorders>
          </w:tcPr>
          <w:p w14:paraId="0BE1A7D3" w14:textId="77777777" w:rsidR="00311D0F" w:rsidRPr="00572B1E" w:rsidRDefault="00311D0F" w:rsidP="009A1CE0">
            <w:pPr>
              <w:rPr>
                <w:b/>
                <w:bCs/>
              </w:rPr>
            </w:pPr>
            <w:r w:rsidRPr="00572B1E">
              <w:rPr>
                <w:b/>
                <w:bCs/>
              </w:rPr>
              <w:lastRenderedPageBreak/>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6AF00225"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148F4400" w14:textId="77777777" w:rsidR="00311D0F" w:rsidRPr="00CA7033" w:rsidRDefault="00311D0F" w:rsidP="009A1CE0">
            <w:r w:rsidRPr="00CA7033">
              <w:t>Dilgėlinė</w:t>
            </w:r>
          </w:p>
          <w:p w14:paraId="57305F88" w14:textId="77777777" w:rsidR="00311D0F" w:rsidRPr="00CA7033" w:rsidRDefault="00311D0F" w:rsidP="009A1CE0">
            <w:r w:rsidRPr="00CA7033">
              <w:t>Niežulys</w:t>
            </w:r>
          </w:p>
          <w:p w14:paraId="75CDD2B3" w14:textId="77777777" w:rsidR="00311D0F" w:rsidRPr="00CA7033" w:rsidRDefault="00311D0F" w:rsidP="009A1CE0">
            <w:r w:rsidRPr="00CA7033">
              <w:t>Išbėrimas</w:t>
            </w:r>
          </w:p>
        </w:tc>
        <w:tc>
          <w:tcPr>
            <w:tcW w:w="1984" w:type="dxa"/>
            <w:tcBorders>
              <w:top w:val="single" w:sz="4" w:space="0" w:color="auto"/>
              <w:left w:val="single" w:sz="4" w:space="0" w:color="auto"/>
              <w:bottom w:val="single" w:sz="4" w:space="0" w:color="auto"/>
              <w:right w:val="single" w:sz="4" w:space="0" w:color="auto"/>
            </w:tcBorders>
          </w:tcPr>
          <w:p w14:paraId="74190540" w14:textId="77777777" w:rsidR="00311D0F" w:rsidRPr="00CA7033" w:rsidRDefault="00311D0F" w:rsidP="009A1CE0"/>
        </w:tc>
        <w:tc>
          <w:tcPr>
            <w:tcW w:w="2190" w:type="dxa"/>
            <w:tcBorders>
              <w:top w:val="single" w:sz="4" w:space="0" w:color="auto"/>
              <w:left w:val="single" w:sz="4" w:space="0" w:color="auto"/>
              <w:bottom w:val="single" w:sz="4" w:space="0" w:color="auto"/>
            </w:tcBorders>
          </w:tcPr>
          <w:p w14:paraId="7EEB5B90" w14:textId="77777777" w:rsidR="00311D0F" w:rsidRPr="00CA7033" w:rsidRDefault="00311D0F" w:rsidP="009A1CE0">
            <w:r w:rsidRPr="00CA7033">
              <w:t>Poūmė odos raudonoji vilkligė (žr. 4.4 skyrių)</w:t>
            </w:r>
          </w:p>
          <w:p w14:paraId="26249222" w14:textId="7DEEC763" w:rsidR="00311D0F" w:rsidRPr="00CA7033" w:rsidRDefault="00311D0F" w:rsidP="009A1CE0">
            <w:r w:rsidRPr="00CA7033">
              <w:t>Stivenso</w:t>
            </w:r>
            <w:r w:rsidR="00EF3F2E" w:rsidRPr="00CA7033">
              <w:t>-</w:t>
            </w:r>
            <w:r w:rsidRPr="00CA7033">
              <w:t xml:space="preserve">Džonsono </w:t>
            </w:r>
            <w:r w:rsidRPr="00CA7033">
              <w:rPr>
                <w:i/>
              </w:rPr>
              <w:t>(Stevens-Johnson</w:t>
            </w:r>
            <w:r w:rsidRPr="00CA7033">
              <w:t>) sindromas</w:t>
            </w:r>
            <w:r w:rsidRPr="00CA7033">
              <w:rPr>
                <w:vertAlign w:val="superscript"/>
              </w:rPr>
              <w:t>2</w:t>
            </w:r>
            <w:r w:rsidRPr="00CA7033">
              <w:t xml:space="preserve"> </w:t>
            </w:r>
          </w:p>
          <w:p w14:paraId="670CE872" w14:textId="77777777" w:rsidR="00311D0F" w:rsidRPr="00CA7033" w:rsidRDefault="00311D0F" w:rsidP="009A1CE0">
            <w:pPr>
              <w:rPr>
                <w:vertAlign w:val="superscript"/>
              </w:rPr>
            </w:pPr>
            <w:r w:rsidRPr="00CA7033">
              <w:t>Toksinė epidermio nekrolizė</w:t>
            </w:r>
            <w:r w:rsidRPr="00CA7033">
              <w:rPr>
                <w:vertAlign w:val="superscript"/>
              </w:rPr>
              <w:t>2</w:t>
            </w:r>
          </w:p>
          <w:p w14:paraId="2A0D2F71" w14:textId="54CC1D97" w:rsidR="003778D1" w:rsidRPr="00CA7033" w:rsidRDefault="003778D1" w:rsidP="009A1CE0">
            <w:pPr>
              <w:rPr>
                <w:vertAlign w:val="superscript"/>
              </w:rPr>
            </w:pPr>
            <w:r w:rsidRPr="00CA7033">
              <w:t>Reakcija į vaistinį preparatą su eozinofilija ir sisteminiais simptomais (DRESS)</w:t>
            </w:r>
            <w:r w:rsidRPr="00CA7033">
              <w:rPr>
                <w:vertAlign w:val="superscript"/>
              </w:rPr>
              <w:t>2</w:t>
            </w:r>
          </w:p>
          <w:p w14:paraId="6406EEB4" w14:textId="090E5D00" w:rsidR="00EF3F2E" w:rsidRPr="00572B1E" w:rsidRDefault="00EF3F2E" w:rsidP="009A1CE0">
            <w:r w:rsidRPr="00572B1E">
              <w:t>Daugiaformė eritema</w:t>
            </w:r>
          </w:p>
        </w:tc>
      </w:tr>
      <w:tr w:rsidR="00572B1E" w:rsidRPr="00CA7033" w14:paraId="349CEE1E" w14:textId="77777777" w:rsidTr="00572B1E">
        <w:trPr>
          <w:jc w:val="center"/>
        </w:trPr>
        <w:tc>
          <w:tcPr>
            <w:tcW w:w="1706" w:type="dxa"/>
            <w:tcBorders>
              <w:top w:val="single" w:sz="4" w:space="0" w:color="auto"/>
              <w:bottom w:val="single" w:sz="4" w:space="0" w:color="auto"/>
              <w:right w:val="single" w:sz="4" w:space="0" w:color="auto"/>
            </w:tcBorders>
          </w:tcPr>
          <w:p w14:paraId="29B23A31" w14:textId="52449A88" w:rsidR="003778D1" w:rsidRPr="00572B1E" w:rsidRDefault="00BB7E68" w:rsidP="009A1CE0">
            <w:pPr>
              <w:rPr>
                <w:b/>
              </w:rPr>
            </w:pPr>
            <w:r w:rsidRPr="00572B1E">
              <w:rPr>
                <w:b/>
                <w:szCs w:val="22"/>
              </w:rPr>
              <w:t>Inkstų ir šlapimo takų sutrikimai</w:t>
            </w:r>
          </w:p>
        </w:tc>
        <w:tc>
          <w:tcPr>
            <w:tcW w:w="1701" w:type="dxa"/>
            <w:tcBorders>
              <w:top w:val="single" w:sz="4" w:space="0" w:color="auto"/>
              <w:left w:val="single" w:sz="4" w:space="0" w:color="auto"/>
              <w:bottom w:val="single" w:sz="4" w:space="0" w:color="auto"/>
              <w:right w:val="single" w:sz="4" w:space="0" w:color="auto"/>
            </w:tcBorders>
          </w:tcPr>
          <w:p w14:paraId="356F2106" w14:textId="77777777" w:rsidR="003778D1" w:rsidRPr="00CA7033" w:rsidRDefault="003778D1" w:rsidP="009A1CE0"/>
        </w:tc>
        <w:tc>
          <w:tcPr>
            <w:tcW w:w="1701" w:type="dxa"/>
            <w:tcBorders>
              <w:top w:val="single" w:sz="4" w:space="0" w:color="auto"/>
              <w:left w:val="single" w:sz="4" w:space="0" w:color="auto"/>
              <w:bottom w:val="single" w:sz="4" w:space="0" w:color="auto"/>
              <w:right w:val="single" w:sz="4" w:space="0" w:color="auto"/>
            </w:tcBorders>
          </w:tcPr>
          <w:p w14:paraId="0352B801" w14:textId="77777777" w:rsidR="003778D1" w:rsidRPr="00CA7033" w:rsidRDefault="003778D1" w:rsidP="009A1CE0"/>
        </w:tc>
        <w:tc>
          <w:tcPr>
            <w:tcW w:w="1984" w:type="dxa"/>
            <w:tcBorders>
              <w:top w:val="single" w:sz="4" w:space="0" w:color="auto"/>
              <w:left w:val="single" w:sz="4" w:space="0" w:color="auto"/>
              <w:bottom w:val="single" w:sz="4" w:space="0" w:color="auto"/>
              <w:right w:val="single" w:sz="4" w:space="0" w:color="auto"/>
            </w:tcBorders>
          </w:tcPr>
          <w:p w14:paraId="1769A328" w14:textId="10422E0D" w:rsidR="003778D1" w:rsidRPr="00CA7033" w:rsidRDefault="004B3037" w:rsidP="009A1CE0">
            <w:r w:rsidRPr="00CA7033">
              <w:t xml:space="preserve">Kanalėlių ir intersticinio audinio </w:t>
            </w:r>
            <w:r w:rsidRPr="00CA7033">
              <w:rPr>
                <w:szCs w:val="28"/>
              </w:rPr>
              <w:t>nefritas</w:t>
            </w:r>
            <w:r w:rsidRPr="00CA7033">
              <w:rPr>
                <w:szCs w:val="22"/>
                <w:vertAlign w:val="superscript"/>
              </w:rPr>
              <w:t xml:space="preserve">2 </w:t>
            </w:r>
            <w:r w:rsidRPr="00CA7033">
              <w:rPr>
                <w:szCs w:val="22"/>
              </w:rPr>
              <w:t>(su galimu progresavimu iki inkstų nepakankamumo)</w:t>
            </w:r>
          </w:p>
        </w:tc>
        <w:tc>
          <w:tcPr>
            <w:tcW w:w="2190" w:type="dxa"/>
            <w:tcBorders>
              <w:top w:val="single" w:sz="4" w:space="0" w:color="auto"/>
              <w:left w:val="single" w:sz="4" w:space="0" w:color="auto"/>
              <w:bottom w:val="single" w:sz="4" w:space="0" w:color="auto"/>
            </w:tcBorders>
          </w:tcPr>
          <w:p w14:paraId="4AA4F021" w14:textId="70C3E11C" w:rsidR="003778D1" w:rsidRPr="00CA7033" w:rsidRDefault="003778D1" w:rsidP="009A1CE0"/>
        </w:tc>
      </w:tr>
      <w:tr w:rsidR="00572B1E" w:rsidRPr="00CA7033" w14:paraId="7E5C2647" w14:textId="77777777" w:rsidTr="00572B1E">
        <w:trPr>
          <w:jc w:val="center"/>
        </w:trPr>
        <w:tc>
          <w:tcPr>
            <w:tcW w:w="1706" w:type="dxa"/>
            <w:tcBorders>
              <w:top w:val="single" w:sz="4" w:space="0" w:color="auto"/>
              <w:bottom w:val="single" w:sz="4" w:space="0" w:color="auto"/>
              <w:right w:val="single" w:sz="4" w:space="0" w:color="auto"/>
            </w:tcBorders>
          </w:tcPr>
          <w:p w14:paraId="1B8D4808" w14:textId="77777777" w:rsidR="00311D0F" w:rsidRPr="00572B1E" w:rsidRDefault="00311D0F" w:rsidP="009A1CE0">
            <w:pPr>
              <w:rPr>
                <w:b/>
              </w:rPr>
            </w:pPr>
            <w:r w:rsidRPr="00572B1E">
              <w:rPr>
                <w:b/>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16110C23" w14:textId="77777777" w:rsidR="00311D0F" w:rsidRPr="00CA7033" w:rsidRDefault="00311D0F" w:rsidP="009A1CE0"/>
        </w:tc>
        <w:tc>
          <w:tcPr>
            <w:tcW w:w="1701" w:type="dxa"/>
            <w:tcBorders>
              <w:top w:val="single" w:sz="4" w:space="0" w:color="auto"/>
              <w:left w:val="single" w:sz="4" w:space="0" w:color="auto"/>
              <w:bottom w:val="single" w:sz="4" w:space="0" w:color="auto"/>
              <w:right w:val="single" w:sz="4" w:space="0" w:color="auto"/>
            </w:tcBorders>
          </w:tcPr>
          <w:p w14:paraId="270B5B28" w14:textId="77777777" w:rsidR="00311D0F" w:rsidRPr="00CA7033" w:rsidRDefault="00311D0F" w:rsidP="009A1CE0">
            <w:r w:rsidRPr="00CA7033">
              <w:t>Astenija</w:t>
            </w:r>
          </w:p>
          <w:p w14:paraId="79B4C919" w14:textId="77777777" w:rsidR="00311D0F" w:rsidRPr="00CA7033" w:rsidRDefault="00311D0F" w:rsidP="009A1CE0">
            <w:r w:rsidRPr="00CA7033">
              <w:t>Apetito pokytis</w:t>
            </w:r>
          </w:p>
        </w:tc>
        <w:tc>
          <w:tcPr>
            <w:tcW w:w="1984" w:type="dxa"/>
            <w:tcBorders>
              <w:top w:val="single" w:sz="4" w:space="0" w:color="auto"/>
              <w:left w:val="single" w:sz="4" w:space="0" w:color="auto"/>
              <w:bottom w:val="single" w:sz="4" w:space="0" w:color="auto"/>
              <w:right w:val="single" w:sz="4" w:space="0" w:color="auto"/>
            </w:tcBorders>
          </w:tcPr>
          <w:p w14:paraId="2793AD6F" w14:textId="77777777" w:rsidR="00311D0F" w:rsidRPr="00CA7033" w:rsidRDefault="00311D0F" w:rsidP="009A1CE0">
            <w:r w:rsidRPr="00CA7033">
              <w:t xml:space="preserve"> </w:t>
            </w:r>
          </w:p>
        </w:tc>
        <w:tc>
          <w:tcPr>
            <w:tcW w:w="2190" w:type="dxa"/>
            <w:tcBorders>
              <w:top w:val="single" w:sz="4" w:space="0" w:color="auto"/>
              <w:left w:val="single" w:sz="4" w:space="0" w:color="auto"/>
              <w:bottom w:val="single" w:sz="4" w:space="0" w:color="auto"/>
            </w:tcBorders>
          </w:tcPr>
          <w:p w14:paraId="67713DC9" w14:textId="77777777" w:rsidR="00311D0F" w:rsidRPr="00CA7033" w:rsidRDefault="00311D0F" w:rsidP="009A1CE0"/>
        </w:tc>
      </w:tr>
    </w:tbl>
    <w:p w14:paraId="30355EF7" w14:textId="77777777" w:rsidR="00311D0F" w:rsidRPr="00CA7033" w:rsidRDefault="00311D0F" w:rsidP="00311D0F">
      <w:pPr>
        <w:rPr>
          <w:iCs/>
          <w:szCs w:val="22"/>
          <w:lang w:eastAsia="lt-LT"/>
        </w:rPr>
      </w:pPr>
      <w:r w:rsidRPr="00CA7033">
        <w:rPr>
          <w:szCs w:val="22"/>
          <w:vertAlign w:val="superscript"/>
        </w:rPr>
        <w:t>1</w:t>
      </w:r>
      <w:r w:rsidRPr="00CA7033">
        <w:rPr>
          <w:szCs w:val="22"/>
        </w:rPr>
        <w:t xml:space="preserve"> žr. poskyrį „</w:t>
      </w:r>
      <w:r w:rsidRPr="00CA7033">
        <w:rPr>
          <w:iCs/>
          <w:szCs w:val="22"/>
          <w:lang w:eastAsia="lt-LT"/>
        </w:rPr>
        <w:t>Atrinktų nepageidaujamų reakcijų apibūdinimas“</w:t>
      </w:r>
    </w:p>
    <w:p w14:paraId="0A88F63C" w14:textId="57F44727" w:rsidR="00311D0F" w:rsidRPr="00CA7033" w:rsidRDefault="00311D0F" w:rsidP="00311D0F">
      <w:pPr>
        <w:rPr>
          <w:szCs w:val="22"/>
        </w:rPr>
      </w:pPr>
      <w:r w:rsidRPr="00CA7033">
        <w:rPr>
          <w:szCs w:val="22"/>
          <w:vertAlign w:val="superscript"/>
        </w:rPr>
        <w:t>2</w:t>
      </w:r>
      <w:r w:rsidRPr="00CA7033">
        <w:rPr>
          <w:szCs w:val="22"/>
        </w:rPr>
        <w:t xml:space="preserve"> nepageidaujamos reakcijos, pastebėtos po dekslansoprazolo užregistravimo</w:t>
      </w:r>
      <w:r w:rsidR="003778D1" w:rsidRPr="00CA7033">
        <w:rPr>
          <w:szCs w:val="22"/>
        </w:rPr>
        <w:t xml:space="preserve"> ir pateikimo į rinką</w:t>
      </w:r>
      <w:r w:rsidRPr="00CA7033">
        <w:rPr>
          <w:szCs w:val="22"/>
        </w:rPr>
        <w:t xml:space="preserve"> (apie šias reakcijas buvo pranešta savanoriškai, populiacijos dydis nėra žinomas, jų dažnio, remiantis turimais duomenimis, nustatyti negalima)</w:t>
      </w:r>
    </w:p>
    <w:p w14:paraId="1B1912A1" w14:textId="77777777" w:rsidR="003778D1" w:rsidRPr="00CA7033" w:rsidRDefault="003778D1" w:rsidP="003778D1">
      <w:pPr>
        <w:rPr>
          <w:szCs w:val="22"/>
        </w:rPr>
      </w:pPr>
      <w:r w:rsidRPr="00CA7033">
        <w:rPr>
          <w:szCs w:val="22"/>
          <w:vertAlign w:val="superscript"/>
        </w:rPr>
        <w:t>3</w:t>
      </w:r>
      <w:r w:rsidRPr="00CA7033">
        <w:rPr>
          <w:szCs w:val="22"/>
        </w:rPr>
        <w:t xml:space="preserve"> Hipokalcemija ir (arba) hipokalemija gali būti susijusios su hipomagnezemijos pasireiškimu (žr. 4.4 skyrių)</w:t>
      </w:r>
    </w:p>
    <w:p w14:paraId="435B20BB" w14:textId="77777777" w:rsidR="00311D0F" w:rsidRPr="00CA7033" w:rsidRDefault="00311D0F" w:rsidP="00311D0F">
      <w:pPr>
        <w:rPr>
          <w:szCs w:val="22"/>
        </w:rPr>
      </w:pPr>
    </w:p>
    <w:p w14:paraId="1A0383F9" w14:textId="77777777" w:rsidR="00311D0F" w:rsidRPr="00CA7033" w:rsidRDefault="00311D0F" w:rsidP="00311D0F">
      <w:pPr>
        <w:rPr>
          <w:szCs w:val="22"/>
          <w:u w:val="single"/>
        </w:rPr>
      </w:pPr>
      <w:r w:rsidRPr="00CA7033">
        <w:rPr>
          <w:szCs w:val="22"/>
          <w:u w:val="single"/>
        </w:rPr>
        <w:t>Atrinktų nepageidaujamų reakcijų apibūdinimas</w:t>
      </w:r>
    </w:p>
    <w:p w14:paraId="13EA995D" w14:textId="77777777" w:rsidR="00311D0F" w:rsidRPr="00CA7033" w:rsidRDefault="00311D0F" w:rsidP="00311D0F">
      <w:pPr>
        <w:rPr>
          <w:szCs w:val="22"/>
        </w:rPr>
      </w:pPr>
    </w:p>
    <w:p w14:paraId="2A0A3737" w14:textId="77777777" w:rsidR="00311D0F" w:rsidRPr="00CA7033" w:rsidRDefault="00311D0F" w:rsidP="00311D0F">
      <w:pPr>
        <w:rPr>
          <w:i/>
          <w:szCs w:val="22"/>
        </w:rPr>
      </w:pPr>
      <w:r w:rsidRPr="00CA7033">
        <w:rPr>
          <w:i/>
          <w:szCs w:val="22"/>
        </w:rPr>
        <w:t>Viduriavimas ir pilvo skausmas</w:t>
      </w:r>
    </w:p>
    <w:p w14:paraId="06624DFF" w14:textId="77777777" w:rsidR="00262F84" w:rsidRPr="00CA7033" w:rsidRDefault="00262F84" w:rsidP="00311D0F">
      <w:pPr>
        <w:rPr>
          <w:i/>
          <w:szCs w:val="22"/>
        </w:rPr>
      </w:pPr>
    </w:p>
    <w:p w14:paraId="64F4F5D2" w14:textId="77777777" w:rsidR="00311D0F" w:rsidRPr="00CA7033" w:rsidRDefault="00311D0F" w:rsidP="00311D0F">
      <w:pPr>
        <w:rPr>
          <w:szCs w:val="22"/>
        </w:rPr>
      </w:pPr>
      <w:r w:rsidRPr="00CA7033">
        <w:rPr>
          <w:szCs w:val="22"/>
        </w:rPr>
        <w:t>3 fazės klinikinių tyrimų metu nepageidaujama reakcija, apie kurią pranešta dažniausiai, buvo viduriavimas (išskyrus infekcinį viduriavimą), dažniausiai jis buvo nesunkus. Apskritai dėl nepageidaujamų reakcijų gydymą dekslansoprazolu per anksti nutraukė nedaug (2,4%) pacientų. Dažniausios (≥0,5%) nepageidaujamos reakcijos, dėl kurių per anksti buvo nutrauktas gydymas, buvo viduriavimas, skrandžio ir žarnyno bei pilvo skausmas. Pradinis viduriavimo ir pilvo skausmo pasireiškimas nuo ekspozicijos trukmės nepriklausė, dažniausiai tokie reiškiniai buvo lengvi ar vidutinio sunkumo. Aiškios tendencijos, kad būtų ryšys tarp vartotų dekslansoprazolo dozių ir minėtų reiškinių dažnio, nenustatyta.</w:t>
      </w:r>
    </w:p>
    <w:p w14:paraId="24876603" w14:textId="77777777" w:rsidR="00311D0F" w:rsidRPr="00CA7033" w:rsidRDefault="00311D0F" w:rsidP="00311D0F">
      <w:pPr>
        <w:rPr>
          <w:i/>
          <w:szCs w:val="22"/>
        </w:rPr>
      </w:pPr>
    </w:p>
    <w:p w14:paraId="79614A11" w14:textId="77777777" w:rsidR="00311D0F" w:rsidRPr="00CA7033" w:rsidRDefault="00311D0F" w:rsidP="00311D0F">
      <w:pPr>
        <w:rPr>
          <w:i/>
          <w:szCs w:val="22"/>
        </w:rPr>
      </w:pPr>
      <w:r w:rsidRPr="00CA7033">
        <w:rPr>
          <w:i/>
          <w:szCs w:val="22"/>
        </w:rPr>
        <w:t>Padidėjęs jautrumas</w:t>
      </w:r>
    </w:p>
    <w:p w14:paraId="6D8AF1B9" w14:textId="77777777" w:rsidR="00262F84" w:rsidRPr="00CA7033" w:rsidRDefault="00262F84" w:rsidP="00311D0F">
      <w:pPr>
        <w:rPr>
          <w:i/>
          <w:szCs w:val="22"/>
        </w:rPr>
      </w:pPr>
    </w:p>
    <w:p w14:paraId="24636B3C" w14:textId="1A12642B" w:rsidR="00311D0F" w:rsidRPr="00CA7033" w:rsidRDefault="00311D0F" w:rsidP="00311D0F">
      <w:pPr>
        <w:rPr>
          <w:szCs w:val="22"/>
        </w:rPr>
      </w:pPr>
      <w:r w:rsidRPr="00CA7033">
        <w:rPr>
          <w:szCs w:val="22"/>
        </w:rPr>
        <w:t>Po vaistinio preparato pateikimo rinkai gauta pranešimų apie sunkias padidėjusio jautrumo reakcijas. Padidėjusio jautrumo reakcijų dažniau atsirasdavo moterims (74%). Dauguma sunkių atvejų buvo gydomi steroidais ir (arba) antihistamininiais preparatais bei nutraukiant vaistinio preparato vartojimą. Keliems pacientams atsirado sunkių reakcijų, tokių kaip Stivenso</w:t>
      </w:r>
      <w:r w:rsidR="00262F84" w:rsidRPr="00CA7033">
        <w:rPr>
          <w:szCs w:val="22"/>
        </w:rPr>
        <w:t>-</w:t>
      </w:r>
      <w:r w:rsidRPr="00CA7033">
        <w:rPr>
          <w:szCs w:val="22"/>
        </w:rPr>
        <w:t xml:space="preserve">Džonsono </w:t>
      </w:r>
      <w:r w:rsidRPr="00CA7033">
        <w:rPr>
          <w:i/>
          <w:szCs w:val="22"/>
        </w:rPr>
        <w:t>(</w:t>
      </w:r>
      <w:r w:rsidRPr="00CA7033">
        <w:rPr>
          <w:i/>
          <w:iCs/>
          <w:szCs w:val="22"/>
        </w:rPr>
        <w:t>Stevens-Johnson)</w:t>
      </w:r>
      <w:r w:rsidRPr="00CA7033">
        <w:rPr>
          <w:szCs w:val="22"/>
        </w:rPr>
        <w:t xml:space="preserve"> sindromas (SJS)</w:t>
      </w:r>
      <w:r w:rsidR="003778D1" w:rsidRPr="00CA7033">
        <w:rPr>
          <w:szCs w:val="22"/>
        </w:rPr>
        <w:t>,</w:t>
      </w:r>
      <w:r w:rsidRPr="00CA7033">
        <w:rPr>
          <w:szCs w:val="22"/>
        </w:rPr>
        <w:t xml:space="preserve"> toksinė epidermio nekrolizė (TEN)</w:t>
      </w:r>
      <w:r w:rsidR="00262F84" w:rsidRPr="00CA7033">
        <w:rPr>
          <w:szCs w:val="22"/>
        </w:rPr>
        <w:t>,</w:t>
      </w:r>
      <w:r w:rsidR="003778D1" w:rsidRPr="00CA7033">
        <w:rPr>
          <w:szCs w:val="22"/>
        </w:rPr>
        <w:t xml:space="preserve"> </w:t>
      </w:r>
      <w:r w:rsidR="003778D1" w:rsidRPr="00CA7033">
        <w:t>reakcija į vaistinį preparatą su eozinofilija ir sisteminiais simptomais (DRESS)</w:t>
      </w:r>
      <w:r w:rsidR="00262F84" w:rsidRPr="00CA7033">
        <w:t xml:space="preserve"> ir daugiaformė eritema</w:t>
      </w:r>
      <w:r w:rsidRPr="00CA7033">
        <w:rPr>
          <w:szCs w:val="22"/>
        </w:rPr>
        <w:t>.</w:t>
      </w:r>
    </w:p>
    <w:p w14:paraId="1515966B" w14:textId="77777777" w:rsidR="00311D0F" w:rsidRPr="00CA7033" w:rsidRDefault="00311D0F" w:rsidP="00311D0F">
      <w:pPr>
        <w:rPr>
          <w:szCs w:val="22"/>
        </w:rPr>
      </w:pPr>
    </w:p>
    <w:p w14:paraId="7838547E" w14:textId="77777777" w:rsidR="00311D0F" w:rsidRPr="00CA7033" w:rsidRDefault="00311D0F" w:rsidP="00262F84">
      <w:pPr>
        <w:keepNext/>
        <w:rPr>
          <w:i/>
          <w:szCs w:val="22"/>
        </w:rPr>
      </w:pPr>
      <w:r w:rsidRPr="00CA7033">
        <w:rPr>
          <w:i/>
          <w:szCs w:val="22"/>
        </w:rPr>
        <w:lastRenderedPageBreak/>
        <w:t>Hemolizinė anemija</w:t>
      </w:r>
    </w:p>
    <w:p w14:paraId="28E45944" w14:textId="77777777" w:rsidR="00262F84" w:rsidRPr="00CA7033" w:rsidRDefault="00262F84" w:rsidP="00572B1E">
      <w:pPr>
        <w:keepNext/>
        <w:rPr>
          <w:i/>
          <w:szCs w:val="22"/>
        </w:rPr>
      </w:pPr>
    </w:p>
    <w:p w14:paraId="240E6CDF" w14:textId="77777777" w:rsidR="00311D0F" w:rsidRPr="00CA7033" w:rsidRDefault="00311D0F" w:rsidP="00572B1E">
      <w:pPr>
        <w:keepNext/>
        <w:rPr>
          <w:szCs w:val="22"/>
        </w:rPr>
      </w:pPr>
      <w:r w:rsidRPr="00CA7033">
        <w:rPr>
          <w:szCs w:val="22"/>
        </w:rPr>
        <w:t>Po vaistinio preparato pateikimo rinkai gauta keletas pranešimų apie sunkią hemolizinę anemiją, atsiradusią po maždaug keturių – septynių gydymo dekslansoprazolo 60 mg doze mėnesių.</w:t>
      </w:r>
    </w:p>
    <w:p w14:paraId="58736DAB" w14:textId="77777777" w:rsidR="00311D0F" w:rsidRPr="00CA7033" w:rsidRDefault="00311D0F" w:rsidP="00311D0F"/>
    <w:p w14:paraId="5F431DF9" w14:textId="77777777" w:rsidR="00311D0F" w:rsidRPr="00CA7033" w:rsidRDefault="00311D0F" w:rsidP="00311D0F">
      <w:pPr>
        <w:rPr>
          <w:iCs/>
          <w:szCs w:val="22"/>
          <w:u w:val="single"/>
        </w:rPr>
      </w:pPr>
      <w:r w:rsidRPr="00572B1E">
        <w:rPr>
          <w:iCs/>
          <w:szCs w:val="22"/>
          <w:u w:val="single"/>
        </w:rPr>
        <w:t>Vaikų populiacija</w:t>
      </w:r>
    </w:p>
    <w:p w14:paraId="42ADCF10" w14:textId="77777777" w:rsidR="00262F84" w:rsidRPr="00572B1E" w:rsidRDefault="00262F84" w:rsidP="00311D0F">
      <w:pPr>
        <w:rPr>
          <w:iCs/>
          <w:szCs w:val="22"/>
          <w:u w:val="single"/>
        </w:rPr>
      </w:pPr>
    </w:p>
    <w:p w14:paraId="2CE1C608" w14:textId="77777777" w:rsidR="00311D0F" w:rsidRPr="00CA7033" w:rsidRDefault="00311D0F" w:rsidP="00311D0F">
      <w:pPr>
        <w:rPr>
          <w:szCs w:val="22"/>
        </w:rPr>
      </w:pPr>
      <w:r w:rsidRPr="00CA7033">
        <w:rPr>
          <w:szCs w:val="22"/>
        </w:rPr>
        <w:t>Saugumo savybės, nustatytos 12</w:t>
      </w:r>
      <w:r w:rsidRPr="00CA7033">
        <w:rPr>
          <w:szCs w:val="22"/>
        </w:rPr>
        <w:noBreakHyphen/>
        <w:t>17 metų paaugliams, buvo panašios į nustatytas suaugusiesiems. Klinikinio tyrimo, kuriame dalyvavo 166 paaugliai, metu vienintelė nepageidaujama reakcija, pasireiškusi daugiau kaip vienam pacientui, buvo pilvo skausmas. Papildomos nepageidaujamos reakcijos, kurių kiekviena atsirado tik vienam pacientui, buvo viduriavimas, dilgėlinė, burnos džiūvimas ir galvos skausmas.</w:t>
      </w:r>
    </w:p>
    <w:p w14:paraId="6C76DBF3" w14:textId="77777777" w:rsidR="00311D0F" w:rsidRPr="00CA7033" w:rsidRDefault="00311D0F" w:rsidP="00311D0F">
      <w:pPr>
        <w:rPr>
          <w:i/>
          <w:szCs w:val="22"/>
        </w:rPr>
      </w:pPr>
    </w:p>
    <w:p w14:paraId="26E0D837" w14:textId="77777777" w:rsidR="00311D0F" w:rsidRPr="00CA7033" w:rsidRDefault="00311D0F" w:rsidP="00311D0F">
      <w:pPr>
        <w:autoSpaceDE w:val="0"/>
        <w:autoSpaceDN w:val="0"/>
        <w:adjustRightInd w:val="0"/>
        <w:jc w:val="both"/>
        <w:rPr>
          <w:szCs w:val="22"/>
          <w:u w:val="single"/>
        </w:rPr>
      </w:pPr>
      <w:r w:rsidRPr="00CA7033">
        <w:rPr>
          <w:szCs w:val="22"/>
          <w:u w:val="single"/>
        </w:rPr>
        <w:t>Pranešimas apie įtariamas nepageidaujamas reakcijas</w:t>
      </w:r>
    </w:p>
    <w:p w14:paraId="6DD047E9" w14:textId="4B0AC8F4" w:rsidR="007365F6" w:rsidRPr="00CA7033" w:rsidRDefault="0060103E" w:rsidP="0053696E">
      <w:pPr>
        <w:tabs>
          <w:tab w:val="left" w:pos="567"/>
        </w:tabs>
        <w:autoSpaceDE w:val="0"/>
        <w:autoSpaceDN w:val="0"/>
        <w:adjustRightInd w:val="0"/>
        <w:spacing w:line="260" w:lineRule="exact"/>
        <w:rPr>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r w:rsidR="007365F6" w:rsidRPr="00CA7033">
        <w:rPr>
          <w:snapToGrid w:val="0"/>
        </w:rPr>
        <w:t>.</w:t>
      </w:r>
    </w:p>
    <w:p w14:paraId="3C5075DD" w14:textId="77777777" w:rsidR="00311D0F" w:rsidRPr="00CA7033" w:rsidRDefault="00311D0F" w:rsidP="00311D0F">
      <w:pPr>
        <w:autoSpaceDE w:val="0"/>
        <w:autoSpaceDN w:val="0"/>
        <w:adjustRightInd w:val="0"/>
        <w:jc w:val="both"/>
        <w:rPr>
          <w:i/>
          <w:szCs w:val="22"/>
        </w:rPr>
      </w:pPr>
    </w:p>
    <w:p w14:paraId="75C682DD" w14:textId="77777777" w:rsidR="00311D0F" w:rsidRPr="00CA7033" w:rsidRDefault="00311D0F" w:rsidP="00311D0F">
      <w:pPr>
        <w:ind w:left="567" w:hanging="567"/>
        <w:rPr>
          <w:b/>
          <w:szCs w:val="22"/>
        </w:rPr>
      </w:pPr>
      <w:r w:rsidRPr="00CA7033">
        <w:rPr>
          <w:b/>
          <w:szCs w:val="22"/>
        </w:rPr>
        <w:t>4.9</w:t>
      </w:r>
      <w:r w:rsidRPr="00CA7033">
        <w:rPr>
          <w:b/>
          <w:szCs w:val="22"/>
        </w:rPr>
        <w:tab/>
        <w:t>Perdozavimas</w:t>
      </w:r>
    </w:p>
    <w:p w14:paraId="5B97417C" w14:textId="77777777" w:rsidR="00311D0F" w:rsidRPr="00CA7033" w:rsidRDefault="00311D0F" w:rsidP="00311D0F">
      <w:pPr>
        <w:ind w:left="567" w:hanging="567"/>
        <w:rPr>
          <w:szCs w:val="22"/>
        </w:rPr>
      </w:pPr>
    </w:p>
    <w:p w14:paraId="54B80CC9" w14:textId="77777777" w:rsidR="00311D0F" w:rsidRPr="00CA7033" w:rsidRDefault="00311D0F" w:rsidP="00311D0F">
      <w:pPr>
        <w:rPr>
          <w:szCs w:val="22"/>
        </w:rPr>
      </w:pPr>
      <w:r w:rsidRPr="00CA7033">
        <w:rPr>
          <w:szCs w:val="22"/>
        </w:rPr>
        <w:t>Žmonėms sukeliamas dekslansoprazolo perdozavimo poveikis nėra žinomas (vis dėlto tikėtina, kad ūminis toksinis poveikis yra silpnas), todėl su gydymu susijusių nurodymų pateikti negalima.</w:t>
      </w:r>
    </w:p>
    <w:p w14:paraId="33CF5396" w14:textId="77777777" w:rsidR="00311D0F" w:rsidRPr="00CA7033" w:rsidRDefault="00311D0F" w:rsidP="00311D0F">
      <w:pPr>
        <w:rPr>
          <w:szCs w:val="22"/>
        </w:rPr>
      </w:pPr>
    </w:p>
    <w:p w14:paraId="33C66FCB" w14:textId="77777777" w:rsidR="00311D0F" w:rsidRPr="00CA7033" w:rsidRDefault="00311D0F" w:rsidP="00311D0F">
      <w:pPr>
        <w:rPr>
          <w:szCs w:val="22"/>
        </w:rPr>
      </w:pPr>
      <w:r w:rsidRPr="00CA7033">
        <w:rPr>
          <w:szCs w:val="22"/>
        </w:rPr>
        <w:t xml:space="preserve">Pranešimų apie reikšmingą Dexilant perdozavimą nėra. Kartotinės Dexilant 120 mg dozės ir vienkartinė Dexilant 300 mg dozė mirties ar kitokių sunkių nepageidaujamų reiškinių nesukėlė. Sunkios nepageidaujamos reakcijos, pastebėtos du kartus per parą vartojant Dexilant 60 mg dozę, buvo hipertenzijos atvejai. Nesunkios nepageidaujamos reakcijos, pastebėtos du kartus per parą vartojant Dexilant 60 mg dozę, yra kraujo samplūdis į veidą, kontūzija, burnos ir ryklės skausmas bei kūno svorio mažėjimas. </w:t>
      </w:r>
    </w:p>
    <w:p w14:paraId="5EBB9177" w14:textId="77777777" w:rsidR="00311D0F" w:rsidRPr="00CA7033" w:rsidRDefault="00311D0F" w:rsidP="00311D0F">
      <w:pPr>
        <w:rPr>
          <w:szCs w:val="22"/>
        </w:rPr>
      </w:pPr>
    </w:p>
    <w:p w14:paraId="5CC87073" w14:textId="77777777" w:rsidR="00311D0F" w:rsidRPr="00CA7033" w:rsidRDefault="00311D0F" w:rsidP="00311D0F">
      <w:pPr>
        <w:rPr>
          <w:szCs w:val="22"/>
        </w:rPr>
      </w:pPr>
      <w:r w:rsidRPr="00CA7033">
        <w:rPr>
          <w:szCs w:val="22"/>
        </w:rPr>
        <w:t>Jei įtariama, kad pacientas perdozavo, būtina stebėti jo būklę. Dekslansoprazolas reikšmingais kiekiais hemodializės metu nešalinamas. Jei reikia, rekomenduojama plauti skrandį, vartoti aktyvintosios anglies bei pradėti simptominį gydymą.</w:t>
      </w:r>
    </w:p>
    <w:p w14:paraId="108ECD0A" w14:textId="77777777" w:rsidR="00311D0F" w:rsidRPr="00CA7033" w:rsidRDefault="00311D0F" w:rsidP="00311D0F">
      <w:pPr>
        <w:ind w:left="567" w:hanging="567"/>
        <w:rPr>
          <w:szCs w:val="22"/>
        </w:rPr>
      </w:pPr>
    </w:p>
    <w:p w14:paraId="515CA344" w14:textId="77777777" w:rsidR="00311D0F" w:rsidRPr="00CA7033" w:rsidRDefault="00311D0F" w:rsidP="00311D0F">
      <w:pPr>
        <w:ind w:left="567" w:hanging="567"/>
        <w:rPr>
          <w:szCs w:val="22"/>
        </w:rPr>
      </w:pPr>
    </w:p>
    <w:p w14:paraId="69F04F1A" w14:textId="77777777" w:rsidR="00311D0F" w:rsidRPr="00CA7033" w:rsidRDefault="00311D0F" w:rsidP="00311D0F">
      <w:pPr>
        <w:ind w:left="567" w:hanging="567"/>
        <w:rPr>
          <w:b/>
          <w:caps/>
          <w:szCs w:val="22"/>
        </w:rPr>
      </w:pPr>
      <w:r w:rsidRPr="00CA7033">
        <w:rPr>
          <w:b/>
          <w:caps/>
          <w:szCs w:val="22"/>
        </w:rPr>
        <w:t>5.</w:t>
      </w:r>
      <w:r w:rsidRPr="00CA7033">
        <w:rPr>
          <w:b/>
          <w:caps/>
          <w:szCs w:val="22"/>
        </w:rPr>
        <w:tab/>
      </w:r>
      <w:r w:rsidRPr="00CA7033">
        <w:rPr>
          <w:b/>
          <w:szCs w:val="22"/>
        </w:rPr>
        <w:t xml:space="preserve">FARMAKOLOGINĖS </w:t>
      </w:r>
      <w:r w:rsidRPr="00CA7033">
        <w:rPr>
          <w:b/>
          <w:caps/>
          <w:szCs w:val="22"/>
        </w:rPr>
        <w:t>savybės</w:t>
      </w:r>
    </w:p>
    <w:p w14:paraId="43178BC3" w14:textId="77777777" w:rsidR="00311D0F" w:rsidRPr="00CA7033" w:rsidRDefault="00311D0F" w:rsidP="00311D0F">
      <w:pPr>
        <w:ind w:left="567" w:hanging="567"/>
        <w:rPr>
          <w:szCs w:val="22"/>
        </w:rPr>
      </w:pPr>
    </w:p>
    <w:p w14:paraId="79598038" w14:textId="77777777" w:rsidR="00311D0F" w:rsidRPr="00CA7033" w:rsidRDefault="00311D0F" w:rsidP="00311D0F">
      <w:pPr>
        <w:ind w:left="567" w:hanging="567"/>
        <w:rPr>
          <w:b/>
          <w:szCs w:val="22"/>
        </w:rPr>
      </w:pPr>
      <w:r w:rsidRPr="00CA7033">
        <w:rPr>
          <w:b/>
          <w:szCs w:val="22"/>
        </w:rPr>
        <w:t>5.1</w:t>
      </w:r>
      <w:r w:rsidRPr="00CA7033">
        <w:rPr>
          <w:b/>
          <w:szCs w:val="22"/>
        </w:rPr>
        <w:tab/>
        <w:t xml:space="preserve">Farmakodinaminės savybės </w:t>
      </w:r>
    </w:p>
    <w:p w14:paraId="7998D003" w14:textId="77777777" w:rsidR="00311D0F" w:rsidRPr="00CA7033" w:rsidRDefault="00311D0F" w:rsidP="00311D0F">
      <w:pPr>
        <w:ind w:left="567" w:hanging="567"/>
        <w:rPr>
          <w:szCs w:val="22"/>
        </w:rPr>
      </w:pPr>
    </w:p>
    <w:p w14:paraId="7671040A" w14:textId="77777777" w:rsidR="00311D0F" w:rsidRPr="00CA7033" w:rsidRDefault="00311D0F" w:rsidP="00311D0F">
      <w:pPr>
        <w:ind w:left="567" w:hanging="567"/>
        <w:rPr>
          <w:szCs w:val="22"/>
        </w:rPr>
      </w:pPr>
      <w:r w:rsidRPr="00CA7033">
        <w:rPr>
          <w:szCs w:val="22"/>
        </w:rPr>
        <w:t>Farmakoterapinė grupė – protonų siurblio inhibitoriai, ATC kodas – A02BC06</w:t>
      </w:r>
    </w:p>
    <w:p w14:paraId="68B4E4B3" w14:textId="77777777" w:rsidR="00311D0F" w:rsidRPr="00CA7033" w:rsidRDefault="00311D0F" w:rsidP="00311D0F">
      <w:pPr>
        <w:ind w:left="567" w:hanging="567"/>
        <w:rPr>
          <w:szCs w:val="22"/>
        </w:rPr>
      </w:pPr>
    </w:p>
    <w:p w14:paraId="7EB6849C" w14:textId="77777777" w:rsidR="00311D0F" w:rsidRPr="00CA7033" w:rsidRDefault="00311D0F" w:rsidP="00311D0F">
      <w:pPr>
        <w:rPr>
          <w:szCs w:val="22"/>
        </w:rPr>
      </w:pPr>
      <w:r w:rsidRPr="00CA7033">
        <w:rPr>
          <w:szCs w:val="22"/>
          <w:u w:val="single"/>
        </w:rPr>
        <w:t>Veikimo mechanizmas</w:t>
      </w:r>
    </w:p>
    <w:p w14:paraId="3B0A4FDB" w14:textId="77777777" w:rsidR="00311D0F" w:rsidRPr="00CA7033" w:rsidRDefault="00311D0F" w:rsidP="00311D0F">
      <w:pPr>
        <w:rPr>
          <w:szCs w:val="22"/>
        </w:rPr>
      </w:pPr>
    </w:p>
    <w:p w14:paraId="15A64FB7" w14:textId="77777777" w:rsidR="00311D0F" w:rsidRPr="00CA7033" w:rsidRDefault="00311D0F" w:rsidP="00311D0F">
      <w:pPr>
        <w:autoSpaceDE w:val="0"/>
        <w:autoSpaceDN w:val="0"/>
        <w:adjustRightInd w:val="0"/>
        <w:rPr>
          <w:szCs w:val="22"/>
        </w:rPr>
      </w:pPr>
      <w:r w:rsidRPr="00CA7033">
        <w:rPr>
          <w:szCs w:val="22"/>
        </w:rPr>
        <w:t>Dekslansoprazolas yra lansoprazolo R-enantiomeras. Jis yra skrandžio PSI. Jis, slopindamas skrandžio pasieninių ląstelių H+/K+ ATF-azės aktyvumą, slopina galutinę skrandžio rūgšties gamybos stadiją. Slopinimas priklauso nuo dozės ir yra laikinas, poveikis pasireiškia tiek bazinei, tiek ir stimuliacijos sukeltai skrandžio rūgšties sekrecijai. Dekslansoprazolas kaupiasi pasieninėse ląstelėse, tampa aktyvus rūgštinėje aplinkoje, reaguoja su H+/K+ ATF-azės sulfhidrilo grupe ir taip slopina fermento aktyvumą.</w:t>
      </w:r>
    </w:p>
    <w:p w14:paraId="284CDA13" w14:textId="77777777" w:rsidR="00311D0F" w:rsidRPr="00CA7033" w:rsidRDefault="00311D0F" w:rsidP="00311D0F">
      <w:pPr>
        <w:rPr>
          <w:szCs w:val="22"/>
        </w:rPr>
      </w:pPr>
    </w:p>
    <w:p w14:paraId="2756E664" w14:textId="77777777" w:rsidR="00311D0F" w:rsidRPr="00CA7033" w:rsidRDefault="00311D0F" w:rsidP="00572B1E">
      <w:pPr>
        <w:keepNext/>
        <w:rPr>
          <w:szCs w:val="22"/>
        </w:rPr>
      </w:pPr>
      <w:r w:rsidRPr="00CA7033">
        <w:rPr>
          <w:szCs w:val="22"/>
          <w:u w:val="single"/>
        </w:rPr>
        <w:t>Farmakodinaminis poveikis</w:t>
      </w:r>
    </w:p>
    <w:p w14:paraId="4BD15BDA" w14:textId="77777777" w:rsidR="00311D0F" w:rsidRPr="00CA7033" w:rsidRDefault="00311D0F" w:rsidP="00572B1E">
      <w:pPr>
        <w:keepNext/>
        <w:rPr>
          <w:i/>
          <w:szCs w:val="22"/>
        </w:rPr>
      </w:pPr>
    </w:p>
    <w:p w14:paraId="39BD85A6" w14:textId="77777777" w:rsidR="00311D0F" w:rsidRPr="00CA7033" w:rsidRDefault="00311D0F" w:rsidP="00572B1E">
      <w:pPr>
        <w:keepNext/>
        <w:rPr>
          <w:i/>
          <w:szCs w:val="22"/>
        </w:rPr>
      </w:pPr>
      <w:r w:rsidRPr="00CA7033">
        <w:rPr>
          <w:i/>
          <w:szCs w:val="22"/>
        </w:rPr>
        <w:t>Sekreciją slopinantis poveikis</w:t>
      </w:r>
    </w:p>
    <w:p w14:paraId="36BD07C6" w14:textId="77777777" w:rsidR="00311D0F" w:rsidRPr="00CA7033" w:rsidRDefault="00311D0F" w:rsidP="00311D0F">
      <w:pPr>
        <w:rPr>
          <w:szCs w:val="22"/>
        </w:rPr>
      </w:pPr>
    </w:p>
    <w:p w14:paraId="0CE001F0" w14:textId="77777777" w:rsidR="00311D0F" w:rsidRPr="00CA7033" w:rsidRDefault="00311D0F" w:rsidP="00311D0F">
      <w:pPr>
        <w:rPr>
          <w:szCs w:val="22"/>
        </w:rPr>
      </w:pPr>
      <w:r w:rsidRPr="00CA7033">
        <w:rPr>
          <w:szCs w:val="22"/>
        </w:rPr>
        <w:lastRenderedPageBreak/>
        <w:t>Sekreciją slopinantis Dexilant poveikis analizuotas tiriant sveikus savanorius, kurie kartą per parą penkias dienas vartojo 60 mg dekslansoprazolo arba 30 mg lansoprazolo dozę. Vidutinis intragastrinis pH buvo 4,55, vartojant Dexilant, ir 4,13, vartojant lansoprazolo. Vidutinė procentinė paros laiko dalis, kai intragastrinis pH buvo palaikomas didesnis kaip 4, buvo 71% (17 val.), vartojant Dexilant, ir 60% (14 val.), vartojant lansoprazolo.</w:t>
      </w:r>
    </w:p>
    <w:p w14:paraId="08B700D9" w14:textId="77777777" w:rsidR="00311D0F" w:rsidRPr="00CA7033" w:rsidRDefault="00311D0F" w:rsidP="00311D0F">
      <w:pPr>
        <w:rPr>
          <w:szCs w:val="22"/>
        </w:rPr>
      </w:pPr>
    </w:p>
    <w:p w14:paraId="6FA84232" w14:textId="77777777" w:rsidR="00311D0F" w:rsidRPr="00CA7033" w:rsidRDefault="00311D0F" w:rsidP="00311D0F">
      <w:pPr>
        <w:rPr>
          <w:i/>
          <w:szCs w:val="22"/>
        </w:rPr>
      </w:pPr>
      <w:r w:rsidRPr="00CA7033">
        <w:rPr>
          <w:i/>
          <w:szCs w:val="22"/>
        </w:rPr>
        <w:t>Poveikis gastrino kiekiui serume</w:t>
      </w:r>
    </w:p>
    <w:p w14:paraId="25006F4D" w14:textId="77777777" w:rsidR="00311D0F" w:rsidRPr="00CA7033" w:rsidRDefault="00311D0F" w:rsidP="00311D0F">
      <w:pPr>
        <w:rPr>
          <w:szCs w:val="22"/>
        </w:rPr>
      </w:pPr>
    </w:p>
    <w:p w14:paraId="1CBAAF9F" w14:textId="77777777" w:rsidR="00311D0F" w:rsidRPr="00CA7033" w:rsidRDefault="00311D0F" w:rsidP="00311D0F">
      <w:pPr>
        <w:rPr>
          <w:szCs w:val="22"/>
        </w:rPr>
      </w:pPr>
      <w:r w:rsidRPr="00CA7033">
        <w:rPr>
          <w:szCs w:val="22"/>
        </w:rPr>
        <w:t>Dexilant poveikis pacientų gastrino koncentracijai serume tirtas klinikinių tyrimų, trukusių iki 12 mėnesių, metu. Gydymo Dexilant 30 mg ir 60 mg dozėmis metu vidutinė gastrino koncentracija nevalgius, palyginti su pradiniu rodmeniu, padidėjo. Ilgiau kaip 6 mėnesius gydytiems pacientams vidutinis gastrino kiekis serume didėjo maždaug pirmus 3 gydymo mėnesius ir likusį gydymo laikotarpį buvo stabilus. Vidutinis gastrino kiekis serume toks, koks buvo prieš gydymą, tapo per vieną mėnesį nuo gydymo nutraukimo.</w:t>
      </w:r>
    </w:p>
    <w:p w14:paraId="40F027A6" w14:textId="77777777" w:rsidR="00311D0F" w:rsidRPr="00CA7033" w:rsidRDefault="00311D0F" w:rsidP="00311D0F">
      <w:pPr>
        <w:rPr>
          <w:szCs w:val="22"/>
        </w:rPr>
      </w:pPr>
    </w:p>
    <w:p w14:paraId="582DF0AE" w14:textId="77777777" w:rsidR="00311D0F" w:rsidRPr="00CA7033" w:rsidRDefault="00311D0F" w:rsidP="00311D0F">
      <w:pPr>
        <w:rPr>
          <w:szCs w:val="22"/>
        </w:rPr>
      </w:pPr>
      <w:r w:rsidRPr="00CA7033">
        <w:rPr>
          <w:szCs w:val="22"/>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75773A32" w14:textId="77777777" w:rsidR="00311D0F" w:rsidRPr="00CA7033" w:rsidRDefault="00311D0F" w:rsidP="00311D0F">
      <w:pPr>
        <w:rPr>
          <w:szCs w:val="22"/>
        </w:rPr>
      </w:pPr>
    </w:p>
    <w:p w14:paraId="7A007B15" w14:textId="77777777" w:rsidR="00311D0F" w:rsidRPr="00CA7033" w:rsidRDefault="00311D0F" w:rsidP="00311D0F">
      <w:pPr>
        <w:rPr>
          <w:szCs w:val="22"/>
        </w:rPr>
      </w:pPr>
      <w:r w:rsidRPr="00CA7033">
        <w:rPr>
          <w:szCs w:val="22"/>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7F7EDC9F" w14:textId="77777777" w:rsidR="00311D0F" w:rsidRPr="00CA7033" w:rsidRDefault="00311D0F" w:rsidP="00311D0F">
      <w:pPr>
        <w:rPr>
          <w:szCs w:val="22"/>
        </w:rPr>
      </w:pPr>
    </w:p>
    <w:p w14:paraId="40E2B3AD" w14:textId="77777777" w:rsidR="00311D0F" w:rsidRPr="00CA7033" w:rsidRDefault="00311D0F" w:rsidP="002C5BC6">
      <w:pPr>
        <w:keepNext/>
        <w:rPr>
          <w:i/>
          <w:szCs w:val="22"/>
        </w:rPr>
      </w:pPr>
      <w:r w:rsidRPr="00CA7033">
        <w:rPr>
          <w:i/>
          <w:szCs w:val="22"/>
        </w:rPr>
        <w:t>Poveikis į enterochromafiną panašioms ląstelėms (EPL)</w:t>
      </w:r>
    </w:p>
    <w:p w14:paraId="5413CDB0" w14:textId="77777777" w:rsidR="00311D0F" w:rsidRPr="00CA7033" w:rsidRDefault="00311D0F" w:rsidP="002C5BC6">
      <w:pPr>
        <w:keepNext/>
        <w:rPr>
          <w:szCs w:val="22"/>
        </w:rPr>
      </w:pPr>
    </w:p>
    <w:p w14:paraId="16C6AA9D" w14:textId="77777777" w:rsidR="00311D0F" w:rsidRPr="00CA7033" w:rsidRDefault="00311D0F" w:rsidP="002C5BC6">
      <w:pPr>
        <w:keepNext/>
        <w:rPr>
          <w:szCs w:val="22"/>
        </w:rPr>
      </w:pPr>
      <w:r w:rsidRPr="00CA7033">
        <w:rPr>
          <w:szCs w:val="22"/>
        </w:rPr>
        <w:t>Pranešimų apie EPL ląstelių hiperplaziją, tiriant pacientų, vartojusių 30 mg, 60 mg ar 90 mg Dexilant dozę iki 12 mėnesių, skrandžio biopsijos medžiagą, negauta.</w:t>
      </w:r>
    </w:p>
    <w:p w14:paraId="5E8BFC0F" w14:textId="77777777" w:rsidR="00311D0F" w:rsidRPr="00CA7033" w:rsidRDefault="00311D0F" w:rsidP="00311D0F">
      <w:pPr>
        <w:rPr>
          <w:szCs w:val="22"/>
        </w:rPr>
      </w:pPr>
    </w:p>
    <w:p w14:paraId="3B51C00A" w14:textId="77777777" w:rsidR="00311D0F" w:rsidRPr="00CA7033" w:rsidRDefault="00311D0F" w:rsidP="00311D0F">
      <w:pPr>
        <w:rPr>
          <w:i/>
          <w:szCs w:val="22"/>
        </w:rPr>
      </w:pPr>
      <w:r w:rsidRPr="00CA7033">
        <w:rPr>
          <w:i/>
          <w:szCs w:val="22"/>
        </w:rPr>
        <w:t>Poveikis širdies repoliarizacijai</w:t>
      </w:r>
    </w:p>
    <w:p w14:paraId="4A410B63" w14:textId="77777777" w:rsidR="00311D0F" w:rsidRPr="00CA7033" w:rsidRDefault="00311D0F" w:rsidP="00311D0F">
      <w:pPr>
        <w:rPr>
          <w:szCs w:val="22"/>
        </w:rPr>
      </w:pPr>
    </w:p>
    <w:p w14:paraId="3C5EA0F1" w14:textId="77777777" w:rsidR="00311D0F" w:rsidRPr="00CA7033" w:rsidRDefault="00311D0F" w:rsidP="00311D0F">
      <w:pPr>
        <w:rPr>
          <w:szCs w:val="22"/>
        </w:rPr>
      </w:pPr>
      <w:r w:rsidRPr="00CA7033">
        <w:rPr>
          <w:szCs w:val="22"/>
        </w:rPr>
        <w:t>Buvo atliktas tyrimas, siekiant įvertinti Dexilant potencialą ilginti QT/QTc intervalą sveikiems suaugusiems žmonėms. 90 mg ar 300 mg Dexilant dozės, palyginti su placebu, širdies repoliarizacijos nevėlino. Vartojant tokį poveikį sukeliančio kontrolinio preparato (moksifloksacino), vidutinis maksimalus ir laiko atžvilgiu vidutinis QT/QTc intervalas, palyginti su būnančiu vartojant placebo, buvo statistiškai reikšmingai ilgesnis.</w:t>
      </w:r>
    </w:p>
    <w:p w14:paraId="15511E70" w14:textId="77777777" w:rsidR="00311D0F" w:rsidRPr="00CA7033" w:rsidRDefault="00311D0F" w:rsidP="00311D0F">
      <w:pPr>
        <w:rPr>
          <w:szCs w:val="22"/>
        </w:rPr>
      </w:pPr>
    </w:p>
    <w:p w14:paraId="64095CD7" w14:textId="77777777" w:rsidR="00311D0F" w:rsidRPr="00CA7033" w:rsidRDefault="00311D0F" w:rsidP="00311D0F">
      <w:pPr>
        <w:rPr>
          <w:szCs w:val="22"/>
        </w:rPr>
      </w:pPr>
      <w:r w:rsidRPr="00CA7033">
        <w:rPr>
          <w:szCs w:val="22"/>
          <w:u w:val="single"/>
        </w:rPr>
        <w:t>Klinikinis veiksmingumas ir saugumas</w:t>
      </w:r>
    </w:p>
    <w:p w14:paraId="563BA01C" w14:textId="77777777" w:rsidR="00311D0F" w:rsidRPr="00CA7033" w:rsidRDefault="00311D0F" w:rsidP="00311D0F">
      <w:pPr>
        <w:rPr>
          <w:szCs w:val="22"/>
        </w:rPr>
      </w:pPr>
    </w:p>
    <w:p w14:paraId="487A439D" w14:textId="77777777" w:rsidR="00311D0F" w:rsidRPr="00CA7033" w:rsidRDefault="00311D0F" w:rsidP="00311D0F">
      <w:pPr>
        <w:rPr>
          <w:i/>
          <w:szCs w:val="22"/>
        </w:rPr>
      </w:pPr>
      <w:r w:rsidRPr="00CA7033">
        <w:rPr>
          <w:i/>
          <w:szCs w:val="22"/>
        </w:rPr>
        <w:t>Refliukso sukelto ezofagito gydymas</w:t>
      </w:r>
    </w:p>
    <w:p w14:paraId="1580B807" w14:textId="77777777" w:rsidR="00311D0F" w:rsidRPr="00CA7033" w:rsidRDefault="00311D0F" w:rsidP="00311D0F">
      <w:pPr>
        <w:rPr>
          <w:szCs w:val="22"/>
        </w:rPr>
      </w:pPr>
    </w:p>
    <w:p w14:paraId="06209DCB" w14:textId="77777777" w:rsidR="00311D0F" w:rsidRPr="00CA7033" w:rsidRDefault="00311D0F" w:rsidP="00311D0F">
      <w:pPr>
        <w:rPr>
          <w:szCs w:val="22"/>
        </w:rPr>
      </w:pPr>
      <w:r w:rsidRPr="00CA7033">
        <w:rPr>
          <w:szCs w:val="22"/>
        </w:rPr>
        <w:t xml:space="preserve">Buvo atlikti du daugiacentriai, dvigubai koduoti, aktyviai kontroliuoti, atsitiktinių imčių 8 savaičių klinikiniai tyrimai, kuriuose dalyvavo pacientai, sergantys endoskopiniu tyrimu patvirtintu refliukso sukeltu ezofagitu. Ligos sunkumas buvo klasifikuojamas remiantis Los Andželo klasifikavimo laipsnių sistema (A-D laipsniai). Pacientai atsitiktine tvarka buvo priskirti vienai iš trijų gydymo grupių ir vartojo 60 mg Dexilant, 90 mg Dexilant ar 30 mg lansoprazolo paros dozę. Iš viso į tyrimą buvo įtraukti 4092 pacientai, jų amžius buvo nuo 18 iki 90 metų (amžiaus mediana 48 metai), 54% tiriamųjų buvo vyrai. Remiantis Los Andželo klasifikacija, prieš gydymą 71% pacientų sirgo A ir B laipsnio (lengvu), 29% - C ir D laipsnio (vidutinio sunkumo ar sunkiu) refliukso sukeltu ezofagitu. </w:t>
      </w:r>
    </w:p>
    <w:p w14:paraId="2C521F88" w14:textId="77777777" w:rsidR="00311D0F" w:rsidRPr="00CA7033" w:rsidRDefault="00311D0F" w:rsidP="00311D0F">
      <w:pPr>
        <w:rPr>
          <w:szCs w:val="22"/>
        </w:rPr>
      </w:pPr>
    </w:p>
    <w:p w14:paraId="65907361" w14:textId="77777777" w:rsidR="00311D0F" w:rsidRPr="00CA7033" w:rsidRDefault="00311D0F" w:rsidP="00311D0F">
      <w:pPr>
        <w:rPr>
          <w:szCs w:val="22"/>
        </w:rPr>
      </w:pPr>
      <w:r w:rsidRPr="00CA7033">
        <w:rPr>
          <w:szCs w:val="22"/>
        </w:rPr>
        <w:t xml:space="preserve">Naudojant gyvenimo lentelės (angl. </w:t>
      </w:r>
      <w:r w:rsidRPr="00CA7033">
        <w:rPr>
          <w:i/>
          <w:iCs/>
          <w:szCs w:val="22"/>
        </w:rPr>
        <w:t>life-table</w:t>
      </w:r>
      <w:r w:rsidRPr="00CA7033">
        <w:rPr>
          <w:szCs w:val="22"/>
        </w:rPr>
        <w:t>) analizės metodą, apskaičiuota, kad po 8 gydymo savaičių (pagrindinė vertinamoji baigtis) išgijo 92,3</w:t>
      </w:r>
      <w:r w:rsidRPr="00CA7033">
        <w:rPr>
          <w:szCs w:val="22"/>
        </w:rPr>
        <w:noBreakHyphen/>
        <w:t>93,1% 60 mg Dexilant vartojusių pacientų ir 86,1</w:t>
      </w:r>
      <w:r w:rsidRPr="00CA7033">
        <w:rPr>
          <w:szCs w:val="22"/>
        </w:rPr>
        <w:noBreakHyphen/>
        <w:t xml:space="preserve">91,5% 30 mg lansoprazolo dozę vartojusių pacientų. Nenusileidimas (angl. </w:t>
      </w:r>
      <w:r w:rsidRPr="00CA7033">
        <w:rPr>
          <w:i/>
          <w:iCs/>
          <w:szCs w:val="22"/>
        </w:rPr>
        <w:t>non-inferiority</w:t>
      </w:r>
      <w:r w:rsidRPr="00CA7033">
        <w:rPr>
          <w:szCs w:val="22"/>
        </w:rPr>
        <w:t xml:space="preserve">) buvo patvirtintas abiejų tyrimų metu. Naudojant </w:t>
      </w:r>
      <w:r w:rsidRPr="00CA7033">
        <w:rPr>
          <w:i/>
          <w:iCs/>
          <w:szCs w:val="22"/>
        </w:rPr>
        <w:t>log-rank</w:t>
      </w:r>
      <w:r w:rsidRPr="00CA7033">
        <w:rPr>
          <w:szCs w:val="22"/>
        </w:rPr>
        <w:t xml:space="preserve"> testus, statistinis pranašumas nustatytas nebuvo.</w:t>
      </w:r>
    </w:p>
    <w:p w14:paraId="71A73B4F" w14:textId="77777777" w:rsidR="00311D0F" w:rsidRPr="00CA7033" w:rsidRDefault="00311D0F" w:rsidP="00311D0F">
      <w:pPr>
        <w:rPr>
          <w:szCs w:val="22"/>
        </w:rPr>
      </w:pPr>
    </w:p>
    <w:p w14:paraId="379B3531" w14:textId="77777777" w:rsidR="00311D0F" w:rsidRPr="00CA7033" w:rsidRDefault="00311D0F" w:rsidP="00311D0F">
      <w:pPr>
        <w:rPr>
          <w:szCs w:val="22"/>
        </w:rPr>
      </w:pPr>
      <w:r w:rsidRPr="00CA7033">
        <w:rPr>
          <w:szCs w:val="22"/>
        </w:rPr>
        <w:lastRenderedPageBreak/>
        <w:t>Po 4 gydymo savaičių (antrinė vertinamoji baigtis) išgijimo dažnis, apskaičiuotas naudojant gyvenimo lentelės analizės metodą, buvo 77,0</w:t>
      </w:r>
      <w:r w:rsidRPr="00CA7033">
        <w:rPr>
          <w:szCs w:val="22"/>
        </w:rPr>
        <w:noBreakHyphen/>
        <w:t>80,1% (vartojant 30 mg lansoprazolo dozę – 76,5</w:t>
      </w:r>
      <w:r w:rsidRPr="00CA7033">
        <w:rPr>
          <w:szCs w:val="22"/>
        </w:rPr>
        <w:noBreakHyphen/>
        <w:t xml:space="preserve">77,0%). </w:t>
      </w:r>
    </w:p>
    <w:p w14:paraId="58547D6E" w14:textId="77777777" w:rsidR="00311D0F" w:rsidRPr="00CA7033" w:rsidRDefault="00311D0F" w:rsidP="00311D0F">
      <w:pPr>
        <w:rPr>
          <w:szCs w:val="22"/>
        </w:rPr>
      </w:pPr>
    </w:p>
    <w:p w14:paraId="3C5CBCA1" w14:textId="77777777" w:rsidR="00311D0F" w:rsidRPr="00CA7033" w:rsidRDefault="00311D0F" w:rsidP="00311D0F">
      <w:pPr>
        <w:rPr>
          <w:szCs w:val="22"/>
        </w:rPr>
      </w:pPr>
      <w:r w:rsidRPr="00CA7033">
        <w:rPr>
          <w:szCs w:val="22"/>
        </w:rPr>
        <w:t xml:space="preserve">Pirmojo tyrimo metu išgijimo dažnis, apskaičiuotas naudojant gyvenimo lentelės analizės metodą, 8 savaitę pacientams, sirgusiems vidutinio sunkumo ar sunkiu refliukso sukeltu ezofagitu (antrinė vertinamoji baigtis), buvo 88,9% ir 74,5%, vartojant atitinkamai 60 mg Dexilant ir 30 mg lansoprazolo dozę. Skirtumas buvo statistiškai reikšmingas (p=0,011). Antrojo tyrimo metu išgijimo dažnis, apskaičiuotas naudojant gyvenimo lentelės analizės metodą, 8 savaitę buvo 87,6% ir 87,7%, vartojant atitinkamai 60 mg Dexilant ir 30 mg lansoprazolo dozę, skirtumas nebuvo statistiškai reikšmingas. </w:t>
      </w:r>
    </w:p>
    <w:p w14:paraId="4CBD33E5" w14:textId="77777777" w:rsidR="00311D0F" w:rsidRPr="00CA7033" w:rsidRDefault="00311D0F" w:rsidP="00311D0F">
      <w:pPr>
        <w:rPr>
          <w:szCs w:val="22"/>
        </w:rPr>
      </w:pPr>
    </w:p>
    <w:p w14:paraId="117CB601" w14:textId="77777777" w:rsidR="00311D0F" w:rsidRPr="00CA7033" w:rsidRDefault="00311D0F" w:rsidP="00311D0F">
      <w:pPr>
        <w:rPr>
          <w:szCs w:val="22"/>
        </w:rPr>
      </w:pPr>
      <w:r w:rsidRPr="00CA7033">
        <w:rPr>
          <w:szCs w:val="22"/>
        </w:rPr>
        <w:t>Buvo tirta ir 90 mg Dexilant dozė, tačiau papildomo palankaus klinikinio poveikio, palyginti su sukeliamu 60 mg Dexilant dozės, nenustatyta.</w:t>
      </w:r>
    </w:p>
    <w:p w14:paraId="785F07B9" w14:textId="77777777" w:rsidR="00311D0F" w:rsidRPr="00CA7033" w:rsidRDefault="00311D0F" w:rsidP="00311D0F">
      <w:pPr>
        <w:rPr>
          <w:szCs w:val="22"/>
        </w:rPr>
      </w:pPr>
    </w:p>
    <w:p w14:paraId="70B8295C" w14:textId="77777777" w:rsidR="00311D0F" w:rsidRPr="00CA7033" w:rsidRDefault="00311D0F" w:rsidP="00311D0F">
      <w:pPr>
        <w:rPr>
          <w:i/>
          <w:iCs/>
          <w:szCs w:val="22"/>
        </w:rPr>
      </w:pPr>
      <w:r w:rsidRPr="00CA7033">
        <w:rPr>
          <w:i/>
          <w:iCs/>
          <w:szCs w:val="22"/>
        </w:rPr>
        <w:t>Užgijusio refliukso sukelto ezofagito palaikymas</w:t>
      </w:r>
    </w:p>
    <w:p w14:paraId="641790A7" w14:textId="77777777" w:rsidR="00311D0F" w:rsidRPr="00CA7033" w:rsidRDefault="00311D0F" w:rsidP="00311D0F">
      <w:pPr>
        <w:rPr>
          <w:szCs w:val="22"/>
        </w:rPr>
      </w:pPr>
    </w:p>
    <w:p w14:paraId="77153599" w14:textId="77777777" w:rsidR="00311D0F" w:rsidRPr="00CA7033" w:rsidRDefault="00311D0F" w:rsidP="00311D0F">
      <w:pPr>
        <w:rPr>
          <w:szCs w:val="22"/>
        </w:rPr>
      </w:pPr>
      <w:r w:rsidRPr="00CA7033">
        <w:rPr>
          <w:szCs w:val="22"/>
        </w:rPr>
        <w:t xml:space="preserve">Buvo atliktas daugiacentris, dvigubai koduotas, placebu kontroliuotas, atsitiktinių imčių tyrimas, kuriame dalyvavo sėkmingai dalyvavimą refliukso sukelto ezofagito tyrime užbaigę pacientai, kuriems endoskopijos tyrimu buvo patvirtintas refliukso sukelto ezofagito užgijimas. Buvo vertinamas kartą per parą vartojamos 30 mg ar 60 mg Dexilant dozės bei placebo išgijimą ir simptomų nebuvimą palaikantis poveikis šešerių mėnesių laikotarpiu. Iš viso į tyrimą buvo įtraukti 445 pacientai, jų amžius buvo nuo 18 iki 85 metų (amžiaus mediana 49 metai), 52% tiriamųjų buvo moterys. </w:t>
      </w:r>
    </w:p>
    <w:p w14:paraId="03B6341C" w14:textId="77777777" w:rsidR="00311D0F" w:rsidRPr="00CA7033" w:rsidRDefault="00311D0F" w:rsidP="00311D0F">
      <w:pPr>
        <w:rPr>
          <w:szCs w:val="22"/>
        </w:rPr>
      </w:pPr>
    </w:p>
    <w:p w14:paraId="7FF9BDA8" w14:textId="77777777" w:rsidR="00311D0F" w:rsidRPr="00CA7033" w:rsidRDefault="00311D0F" w:rsidP="00311D0F">
      <w:pPr>
        <w:rPr>
          <w:szCs w:val="22"/>
        </w:rPr>
      </w:pPr>
      <w:r w:rsidRPr="00CA7033">
        <w:rPr>
          <w:szCs w:val="22"/>
        </w:rPr>
        <w:t xml:space="preserve">Naudojant gyvenimo lentelės analizės metodą, nustatyta, kad vartojant 30 mg ir 60 mg Dexilant dozę, 6 mėnesį refliukso sukelto ezofagito užgijimas buvo palaikomas statistiškai reikšmingai dažniau (atitinkamai 74,9% ir 82,5%), palyginti su placebo poveikiu (27,2%) (p&lt;0,00001). </w:t>
      </w:r>
    </w:p>
    <w:p w14:paraId="2AEDCBAC" w14:textId="77777777" w:rsidR="00311D0F" w:rsidRPr="00CA7033" w:rsidRDefault="00311D0F" w:rsidP="00311D0F">
      <w:pPr>
        <w:rPr>
          <w:szCs w:val="22"/>
        </w:rPr>
      </w:pPr>
    </w:p>
    <w:p w14:paraId="7FAB3FDA" w14:textId="77777777" w:rsidR="00311D0F" w:rsidRPr="00CA7033" w:rsidRDefault="00311D0F" w:rsidP="00311D0F">
      <w:pPr>
        <w:rPr>
          <w:szCs w:val="22"/>
        </w:rPr>
      </w:pPr>
      <w:r w:rsidRPr="00CA7033">
        <w:rPr>
          <w:szCs w:val="22"/>
        </w:rPr>
        <w:t>Pacientams, prieš išgijimą sirgusiems sunkesnio laipsnio (C ar D laipsnio) refliukso sukeltu ezofagitu, 30 mg ir 60 mg Dexilant dozė taip pat statistiškai reikšmingai dažniau palaikė išgijimą 6 mėnesių laikotarpiu, palyginti su placebo poveikiu (naudotas gyvenimo lentelės analizės metodas).</w:t>
      </w:r>
    </w:p>
    <w:p w14:paraId="67BD7B24" w14:textId="77777777" w:rsidR="00311D0F" w:rsidRPr="00CA7033" w:rsidRDefault="00311D0F" w:rsidP="00311D0F">
      <w:pPr>
        <w:rPr>
          <w:szCs w:val="22"/>
        </w:rPr>
      </w:pPr>
    </w:p>
    <w:p w14:paraId="6B29F21C" w14:textId="77777777" w:rsidR="00311D0F" w:rsidRPr="00CA7033" w:rsidRDefault="00311D0F" w:rsidP="00311D0F">
      <w:pPr>
        <w:rPr>
          <w:szCs w:val="22"/>
        </w:rPr>
      </w:pPr>
      <w:r w:rsidRPr="00CA7033">
        <w:rPr>
          <w:szCs w:val="22"/>
        </w:rPr>
        <w:t>Vartojant 30 mg ir 60 mg Dexilant dozę, rėmuo tyrimo gydymo laikotarpiu sumažėjo statistiškai reikšmingai (p&lt;0,00001) didesnei procentinei pacientų daliai. Procentinės dienų, kai rėmens nebuvo 24 valandų laikotarpiu, dalies mediana buvo 96,1%, 90,9% ir 28,6%, vartojant atitinkamai 30 mg ir 60 mg Dexilant dozę bei placebo. Procentinė naktų, kai nebuvo rėmens, mediana buvo 98,9%, 96,2% ir 71,7% vartojant atitinkamai 30 mg ir 60 mg Dexilant dozę bei placebo.</w:t>
      </w:r>
    </w:p>
    <w:p w14:paraId="433A1ACD" w14:textId="77777777" w:rsidR="00311D0F" w:rsidRPr="00CA7033" w:rsidRDefault="00311D0F" w:rsidP="00311D0F">
      <w:pPr>
        <w:rPr>
          <w:szCs w:val="22"/>
        </w:rPr>
      </w:pPr>
    </w:p>
    <w:p w14:paraId="2723036A" w14:textId="77777777" w:rsidR="00311D0F" w:rsidRPr="00CA7033" w:rsidRDefault="00311D0F" w:rsidP="00311D0F">
      <w:pPr>
        <w:rPr>
          <w:szCs w:val="22"/>
        </w:rPr>
      </w:pPr>
      <w:r w:rsidRPr="00CA7033">
        <w:rPr>
          <w:szCs w:val="22"/>
        </w:rPr>
        <w:t>Atrojo tyrimo metu (N=451) lygintas 60 mg ir 90 mg Dexilant dozių bei placebo poveikis ir nustatyta, kad 60 mg Dexilant dozė sukėlė panašų refliukso sukelto ezofagito užgijimą ir rėmens sumažėjimą palaikantį poveikį, kaip ir pirmojo tyrimo metu. Papildomo palankaus 90 mg Dexilant dozės klinikinio poveikio, palyginti su sukeliamu 60 mg Dexilant dozės, nenustatyta.</w:t>
      </w:r>
    </w:p>
    <w:p w14:paraId="0546C44A" w14:textId="77777777" w:rsidR="00311D0F" w:rsidRPr="00CA7033" w:rsidRDefault="00311D0F" w:rsidP="00311D0F">
      <w:pPr>
        <w:rPr>
          <w:szCs w:val="22"/>
        </w:rPr>
      </w:pPr>
    </w:p>
    <w:p w14:paraId="06E50901" w14:textId="01403ED3" w:rsidR="00311D0F" w:rsidRPr="00CA7033" w:rsidRDefault="00311D0F" w:rsidP="00311D0F">
      <w:pPr>
        <w:rPr>
          <w:i/>
          <w:szCs w:val="22"/>
        </w:rPr>
      </w:pPr>
      <w:r w:rsidRPr="00CA7033">
        <w:rPr>
          <w:i/>
          <w:szCs w:val="22"/>
        </w:rPr>
        <w:t xml:space="preserve">Simptominė GERL be </w:t>
      </w:r>
      <w:r w:rsidR="00827E57" w:rsidRPr="00CA7033">
        <w:rPr>
          <w:i/>
          <w:szCs w:val="22"/>
        </w:rPr>
        <w:t xml:space="preserve">erozinio </w:t>
      </w:r>
      <w:r w:rsidRPr="00CA7033">
        <w:rPr>
          <w:i/>
          <w:szCs w:val="22"/>
        </w:rPr>
        <w:t>ezofagito</w:t>
      </w:r>
    </w:p>
    <w:p w14:paraId="1B970EBB" w14:textId="77777777" w:rsidR="00311D0F" w:rsidRPr="00CA7033" w:rsidRDefault="00311D0F" w:rsidP="00311D0F">
      <w:pPr>
        <w:rPr>
          <w:szCs w:val="22"/>
        </w:rPr>
      </w:pPr>
    </w:p>
    <w:p w14:paraId="0D1CEB96" w14:textId="77777777" w:rsidR="00311D0F" w:rsidRPr="00CA7033" w:rsidRDefault="00311D0F" w:rsidP="00311D0F">
      <w:pPr>
        <w:rPr>
          <w:szCs w:val="22"/>
        </w:rPr>
      </w:pPr>
      <w:r w:rsidRPr="00CA7033">
        <w:rPr>
          <w:szCs w:val="22"/>
        </w:rPr>
        <w:t>Buvo atliktas daugiacentris, dvigubai koduotas, placebu kontroliuotas, atsitiktinių imčių 4 savaičių tyrimas, kuriame dalyvavusiems pacientams simptominės GERL diagnozė buvo nustatyta daugiausia remiantis simptomais. Pagrindinis šių pacientų simptomas buvo rėmuo, jis tęsėsi 6 mėnesius ar ilgiau, buvo mažiausiai 4</w:t>
      </w:r>
      <w:r w:rsidRPr="00CA7033">
        <w:rPr>
          <w:szCs w:val="22"/>
        </w:rPr>
        <w:noBreakHyphen/>
        <w:t xml:space="preserve">7 dienas prieš pat priskyrimą atsitiktinei imčiai, be to, endoskopijos tyrimu buvo patvirtinta, kad nėra stemplės erozijų. Vis dėlto, remiantis šiais įtraukimo kriterijais, į tyrimą galėjo būti įtraukiami pacientai, kurių simptomai nebuvo susiję su rūgštimi. Pacientai atsitiktine tvarka buvo priskirti vienai iš trijų gydymo grupių ir vartojo 30 mg ar 60 mg Dexilant paros dozę arba placebo. Iš viso į tyrimą buvo įtraukti 947 pacientai, jų amžius buvo nuo 18 iki 86 metų (amžiaus mediana 48 metai), 71% tiriamųjų buvo moterys. </w:t>
      </w:r>
    </w:p>
    <w:p w14:paraId="29869031" w14:textId="77777777" w:rsidR="00311D0F" w:rsidRPr="00CA7033" w:rsidRDefault="00311D0F" w:rsidP="00311D0F">
      <w:pPr>
        <w:rPr>
          <w:szCs w:val="22"/>
        </w:rPr>
      </w:pPr>
    </w:p>
    <w:p w14:paraId="2A567235" w14:textId="77777777" w:rsidR="00311D0F" w:rsidRPr="00CA7033" w:rsidRDefault="00311D0F" w:rsidP="00311D0F">
      <w:pPr>
        <w:rPr>
          <w:szCs w:val="22"/>
        </w:rPr>
      </w:pPr>
      <w:r w:rsidRPr="00CA7033">
        <w:rPr>
          <w:szCs w:val="22"/>
        </w:rPr>
        <w:t xml:space="preserve">Vertinant pacientų 4 savaites kasdien pildytų dienynų duomenis, nustatyta, kad vartojant 30 mg Dexilant dozę, statistiškai reikšmingai didesnę procentinę dienų dalį rėmens nebuvo 24 valandų laikotarpiu bei rėmens nebuvo naktį (atitinkamai 54,9% ir 80,8%), palyginti su placebo poveikiu (atitinkamai 18,5% ir 51,7%). Didesnei procentinei 30 mg Dexilant dozę vartojusių pacientų daliai, </w:t>
      </w:r>
      <w:r w:rsidRPr="00CA7033">
        <w:rPr>
          <w:szCs w:val="22"/>
        </w:rPr>
        <w:lastRenderedPageBreak/>
        <w:t xml:space="preserve">palyginti su vartojusiais placebo, 4 savaičių gydymo metu rėmens nebuvo 24 valandų laikotarpiu. Buvo tirta ir 60 mg Dexilant dozė, tačiau papildomo palankaus klinikinio poveikio, palyginti su sukeliamu 30 mg Dexilant dozės, nenustatyta. </w:t>
      </w:r>
    </w:p>
    <w:p w14:paraId="51681CE4" w14:textId="77777777" w:rsidR="00311D0F" w:rsidRPr="00CA7033" w:rsidRDefault="00311D0F" w:rsidP="00311D0F">
      <w:pPr>
        <w:rPr>
          <w:szCs w:val="22"/>
        </w:rPr>
      </w:pPr>
    </w:p>
    <w:p w14:paraId="2229352A" w14:textId="77777777" w:rsidR="00311D0F" w:rsidRPr="00CA7033" w:rsidRDefault="00311D0F" w:rsidP="00311D0F">
      <w:pPr>
        <w:rPr>
          <w:szCs w:val="22"/>
        </w:rPr>
      </w:pPr>
      <w:r w:rsidRPr="00CA7033">
        <w:rPr>
          <w:szCs w:val="22"/>
        </w:rPr>
        <w:t>Antrame daugiacentriame, dvigubai koduotame, placebu kontroliuotame, atsitiktinių imčių 4 savaičių tyrime dalyvavo pacientai, kuriems mažiausiai 3</w:t>
      </w:r>
      <w:r w:rsidRPr="00CA7033">
        <w:rPr>
          <w:szCs w:val="22"/>
        </w:rPr>
        <w:noBreakHyphen/>
        <w:t xml:space="preserve">7 naktis prieš pat priskyrimą atsitiktinei imčiai buvo naktinis rėmuo ir su GERL susijusių miego sutrikimų. Pacientai buvo suskirstyti į atsitiktines imtis ir vartojo 30 mg Dexilant arba placebo paros dozę. Iš viso į tyrimą buvo įtraukti 305 pacientai, jų amžius buvo nuo 18 iki 66 metų (amžiaus mediana 45 metai), 63,9% tiriamųjų buvo moterys. Vertinant pacientų 4 savaites kasdien pildytų dienynų duomenis, nustatyta, kad vartojant 30 mg Dexilant dozę, rėmens nebuvo statistiškai reikšmingai didesnę procentinę naktų dalį (73,1%), palyginti su placebo poveikiu (35,7%). </w:t>
      </w:r>
    </w:p>
    <w:p w14:paraId="21E95A09" w14:textId="77777777" w:rsidR="00311D0F" w:rsidRPr="00CA7033" w:rsidRDefault="00311D0F" w:rsidP="00311D0F">
      <w:pPr>
        <w:rPr>
          <w:szCs w:val="22"/>
        </w:rPr>
      </w:pPr>
    </w:p>
    <w:p w14:paraId="102FD394" w14:textId="77777777" w:rsidR="00311D0F" w:rsidRPr="00CA7033" w:rsidRDefault="00311D0F" w:rsidP="00311D0F">
      <w:pPr>
        <w:rPr>
          <w:szCs w:val="22"/>
        </w:rPr>
      </w:pPr>
      <w:r w:rsidRPr="00CA7033">
        <w:rPr>
          <w:szCs w:val="22"/>
        </w:rPr>
        <w:t>Į trečią daugiacentrį, viengubai koduotą tyrimą buvo įtraukti 178 pacientai, sirgę simptomine GERL. Pacientai, kurių simptomai buvo gerai kontroliuojami įtraukimo laikotarpiu vartojant kitokį PSI nei Dexilant, po to du kartus per parą 6 savaites vartojo 30 mg koduoto Dexilant preparato dozę (ryte) ir placebo (vakare). Gera kontrole buvo laikomas vidutinis savaitės rėmens epizodų skaičius ≤1 per paskutines 4 savaites ir 6 savaičių įtraukimo, ir gydymo laikotarpiais. Iš viso į analizę buvo įtraukti 142 pacientų duomenys. Tiriamųjų amžius buvo 22</w:t>
      </w:r>
      <w:r w:rsidRPr="00CA7033">
        <w:rPr>
          <w:szCs w:val="22"/>
        </w:rPr>
        <w:noBreakHyphen/>
        <w:t>90 metai (amžiaus mediana 53 metai), 56% tiriamųjų buvo moterys. Vietoj du kartus per parą vartojamo PSI pradėjus kartą per parą vartoti 30 mg Dexilant dozę, 88% pacientų rėmuo išliko gerai kontroliuojamas.</w:t>
      </w:r>
    </w:p>
    <w:p w14:paraId="15D4931C" w14:textId="77777777" w:rsidR="00311D0F" w:rsidRPr="00CA7033" w:rsidRDefault="00311D0F" w:rsidP="00311D0F">
      <w:pPr>
        <w:rPr>
          <w:rFonts w:eastAsia="Calibri"/>
          <w:u w:val="single"/>
        </w:rPr>
      </w:pPr>
    </w:p>
    <w:p w14:paraId="171C5172" w14:textId="77777777" w:rsidR="00311D0F" w:rsidRPr="00CA7033" w:rsidRDefault="00311D0F" w:rsidP="00311D0F">
      <w:pPr>
        <w:rPr>
          <w:rFonts w:eastAsia="Calibri"/>
          <w:szCs w:val="22"/>
          <w:u w:val="single"/>
          <w:lang w:eastAsia="ja-JP"/>
        </w:rPr>
      </w:pPr>
      <w:r w:rsidRPr="00CA7033">
        <w:rPr>
          <w:rFonts w:eastAsia="Calibri"/>
          <w:szCs w:val="22"/>
          <w:u w:val="single"/>
          <w:lang w:eastAsia="ja-JP"/>
        </w:rPr>
        <w:t>Vaikų populiacija</w:t>
      </w:r>
    </w:p>
    <w:p w14:paraId="3571051D" w14:textId="77777777" w:rsidR="00262F84" w:rsidRPr="00CA7033" w:rsidRDefault="00262F84" w:rsidP="00311D0F">
      <w:pPr>
        <w:rPr>
          <w:rFonts w:eastAsia="MS Mincho"/>
          <w:szCs w:val="22"/>
          <w:lang w:eastAsia="ja-JP"/>
        </w:rPr>
      </w:pPr>
    </w:p>
    <w:p w14:paraId="346D45B3" w14:textId="77777777" w:rsidR="00311D0F" w:rsidRPr="00CA7033" w:rsidRDefault="00311D0F" w:rsidP="00311D0F">
      <w:r w:rsidRPr="00CA7033">
        <w:rPr>
          <w:i/>
          <w:szCs w:val="22"/>
        </w:rPr>
        <w:t>Refliukso sukelto ezofagito gydymas, refliukso sukelto erozinio ezofagito užgijimo ir rėmens malšinimo palaikymas</w:t>
      </w:r>
      <w:r w:rsidRPr="00CA7033">
        <w:rPr>
          <w:i/>
          <w:iCs/>
          <w:szCs w:val="22"/>
        </w:rPr>
        <w:t xml:space="preserve"> </w:t>
      </w:r>
    </w:p>
    <w:p w14:paraId="5F17C236" w14:textId="77777777" w:rsidR="00311D0F" w:rsidRPr="00CA7033" w:rsidRDefault="00311D0F" w:rsidP="00311D0F">
      <w:pPr>
        <w:tabs>
          <w:tab w:val="left" w:pos="567"/>
        </w:tabs>
        <w:rPr>
          <w:rFonts w:eastAsia="MS Mincho"/>
          <w:i/>
          <w:szCs w:val="22"/>
          <w:lang w:eastAsia="ja-JP"/>
        </w:rPr>
      </w:pPr>
      <w:r w:rsidRPr="00CA7033">
        <w:rPr>
          <w:rFonts w:eastAsia="MS Mincho"/>
          <w:szCs w:val="22"/>
          <w:lang w:eastAsia="ja-JP"/>
        </w:rPr>
        <w:t xml:space="preserve">Daugiacentrio </w:t>
      </w:r>
      <w:r w:rsidRPr="00CA7033">
        <w:rPr>
          <w:rFonts w:eastAsia="MS Mincho"/>
          <w:szCs w:val="22"/>
        </w:rPr>
        <w:t xml:space="preserve">24 savaičių trukmės tyrimo, kuriame dalyvavo </w:t>
      </w:r>
      <w:r w:rsidRPr="00CA7033">
        <w:rPr>
          <w:rFonts w:eastAsia="MS Mincho"/>
          <w:szCs w:val="22"/>
          <w:lang w:eastAsia="ja-JP"/>
        </w:rPr>
        <w:t xml:space="preserve">62 paaugliai, kuriems buvo dokumentuotas mažiausiai 3 mėnesių trukmės GERL ir endoskopiniu tyrimu patvirtintas refliukso sukeltas ezofagitas, metu buvo vertinamas 8 savaičių gydymo kartą per parą vartojama </w:t>
      </w:r>
      <w:r w:rsidRPr="00CA7033">
        <w:rPr>
          <w:rFonts w:eastAsia="MS Mincho"/>
          <w:szCs w:val="22"/>
        </w:rPr>
        <w:t xml:space="preserve">60 mg </w:t>
      </w:r>
      <w:r w:rsidRPr="00CA7033">
        <w:rPr>
          <w:rFonts w:eastAsia="MS Mincho"/>
          <w:szCs w:val="22"/>
          <w:lang w:eastAsia="ja-JP"/>
        </w:rPr>
        <w:t xml:space="preserve">Dexilant doze saugumas ir veiksmingumas. Pacientai buvo </w:t>
      </w:r>
      <w:r w:rsidRPr="00CA7033">
        <w:rPr>
          <w:rFonts w:eastAsia="MS Mincho"/>
          <w:szCs w:val="22"/>
        </w:rPr>
        <w:t>12</w:t>
      </w:r>
      <w:r w:rsidRPr="00CA7033">
        <w:rPr>
          <w:rFonts w:eastAsia="MS Mincho"/>
          <w:szCs w:val="22"/>
        </w:rPr>
        <w:noBreakHyphen/>
        <w:t xml:space="preserve">17 metų amžiaus (amžiaus mediana </w:t>
      </w:r>
      <w:r w:rsidRPr="00CA7033">
        <w:rPr>
          <w:rFonts w:eastAsia="MS Mincho"/>
          <w:szCs w:val="22"/>
          <w:lang w:eastAsia="ja-JP"/>
        </w:rPr>
        <w:t>15</w:t>
      </w:r>
      <w:r w:rsidRPr="00CA7033">
        <w:rPr>
          <w:rFonts w:eastAsia="MS Mincho"/>
          <w:szCs w:val="22"/>
        </w:rPr>
        <w:t xml:space="preserve"> metų), </w:t>
      </w:r>
      <w:r w:rsidRPr="00CA7033">
        <w:rPr>
          <w:rFonts w:eastAsia="MS Mincho"/>
          <w:szCs w:val="22"/>
          <w:lang w:eastAsia="ja-JP"/>
        </w:rPr>
        <w:t>61% buvo vaikinai.</w:t>
      </w:r>
      <w:r w:rsidRPr="00CA7033">
        <w:rPr>
          <w:rFonts w:eastAsia="MS Mincho"/>
          <w:szCs w:val="22"/>
        </w:rPr>
        <w:t xml:space="preserve"> </w:t>
      </w:r>
      <w:r w:rsidRPr="00CA7033">
        <w:rPr>
          <w:szCs w:val="22"/>
        </w:rPr>
        <w:t>Remiantis Los Andželo klasifikavimo laipsnių sistema</w:t>
      </w:r>
      <w:r w:rsidRPr="00CA7033">
        <w:rPr>
          <w:rFonts w:eastAsia="MS Mincho"/>
          <w:szCs w:val="22"/>
        </w:rPr>
        <w:t xml:space="preserve">, </w:t>
      </w:r>
      <w:r w:rsidRPr="00CA7033">
        <w:rPr>
          <w:rFonts w:eastAsia="MS Mincho"/>
          <w:szCs w:val="22"/>
          <w:lang w:eastAsia="ja-JP"/>
        </w:rPr>
        <w:t>96,8</w:t>
      </w:r>
      <w:r w:rsidRPr="00CA7033">
        <w:rPr>
          <w:rFonts w:eastAsia="MS Mincho"/>
          <w:szCs w:val="22"/>
        </w:rPr>
        <w:t xml:space="preserve">% </w:t>
      </w:r>
      <w:r w:rsidRPr="00CA7033">
        <w:rPr>
          <w:szCs w:val="22"/>
        </w:rPr>
        <w:t xml:space="preserve">refliukso sukeltu ezofagitu sergančių pacientų </w:t>
      </w:r>
      <w:r w:rsidRPr="00CA7033">
        <w:rPr>
          <w:rFonts w:eastAsia="MS Mincho"/>
          <w:szCs w:val="22"/>
        </w:rPr>
        <w:t>sutrikimas prieš gydymą buvo lengvas (A ir B laipsnių),</w:t>
      </w:r>
      <w:r w:rsidRPr="00CA7033">
        <w:rPr>
          <w:rFonts w:eastAsia="MS Mincho"/>
          <w:szCs w:val="22"/>
          <w:lang w:eastAsia="ja-JP"/>
        </w:rPr>
        <w:t xml:space="preserve"> 3,2</w:t>
      </w:r>
      <w:r w:rsidRPr="00CA7033">
        <w:rPr>
          <w:rFonts w:eastAsia="MS Mincho"/>
          <w:szCs w:val="22"/>
        </w:rPr>
        <w:t xml:space="preserve">% − vidutinio sunkumo arba sunkus (C ir D laipsnių). Taikant iki 8 savaičių trukmės gydymą, refliukso sukelto ezofagito užgijimo dažnis paaugliams buvo </w:t>
      </w:r>
      <w:r w:rsidRPr="00CA7033">
        <w:rPr>
          <w:rFonts w:eastAsia="MS Mincho"/>
          <w:szCs w:val="22"/>
          <w:lang w:eastAsia="ja-JP"/>
        </w:rPr>
        <w:t>87,9</w:t>
      </w:r>
      <w:r w:rsidRPr="00CA7033">
        <w:rPr>
          <w:rFonts w:eastAsia="MS Mincho"/>
          <w:szCs w:val="22"/>
        </w:rPr>
        <w:t>%</w:t>
      </w:r>
      <w:r w:rsidRPr="00CA7033">
        <w:rPr>
          <w:rFonts w:eastAsia="MS Mincho"/>
          <w:szCs w:val="22"/>
          <w:lang w:eastAsia="ja-JP"/>
        </w:rPr>
        <w:t>, t. y. panašus į nustatytą suaugusiesiems</w:t>
      </w:r>
      <w:r w:rsidRPr="00CA7033">
        <w:rPr>
          <w:rFonts w:eastAsia="MS Mincho"/>
          <w:i/>
          <w:szCs w:val="22"/>
          <w:lang w:eastAsia="ja-JP"/>
        </w:rPr>
        <w:t>.</w:t>
      </w:r>
    </w:p>
    <w:p w14:paraId="2D8277D2" w14:textId="77777777" w:rsidR="00311D0F" w:rsidRPr="00CA7033" w:rsidRDefault="00311D0F" w:rsidP="00311D0F">
      <w:pPr>
        <w:tabs>
          <w:tab w:val="left" w:pos="567"/>
        </w:tabs>
        <w:rPr>
          <w:rFonts w:eastAsia="MS Mincho"/>
          <w:i/>
          <w:szCs w:val="22"/>
          <w:lang w:eastAsia="ja-JP"/>
        </w:rPr>
      </w:pPr>
    </w:p>
    <w:p w14:paraId="013B83D7" w14:textId="77777777" w:rsidR="00311D0F" w:rsidRPr="00CA7033" w:rsidRDefault="00311D0F" w:rsidP="00311D0F">
      <w:pPr>
        <w:tabs>
          <w:tab w:val="left" w:pos="567"/>
        </w:tabs>
        <w:rPr>
          <w:rFonts w:eastAsia="MS Mincho"/>
          <w:szCs w:val="22"/>
        </w:rPr>
      </w:pPr>
      <w:r w:rsidRPr="00CA7033">
        <w:rPr>
          <w:rFonts w:eastAsia="MS Mincho"/>
          <w:szCs w:val="22"/>
        </w:rPr>
        <w:t>Po pradinių</w:t>
      </w:r>
      <w:r w:rsidRPr="00CA7033">
        <w:rPr>
          <w:rFonts w:eastAsia="MS Mincho"/>
          <w:szCs w:val="22"/>
          <w:lang w:eastAsia="ja-JP"/>
        </w:rPr>
        <w:t xml:space="preserve"> </w:t>
      </w:r>
      <w:r w:rsidRPr="00CA7033">
        <w:rPr>
          <w:rFonts w:eastAsia="MS Mincho"/>
          <w:szCs w:val="22"/>
        </w:rPr>
        <w:t xml:space="preserve">8 gydymo savaičių gydymo pacientai, </w:t>
      </w:r>
      <w:r w:rsidRPr="00CA7033">
        <w:rPr>
          <w:szCs w:val="22"/>
        </w:rPr>
        <w:t xml:space="preserve">kuriems endoskopijos tyrimu buvo patvirtintas refliukso sukelto ezofagito užgijimas, buvo atsitiktinai priskirti papildomas 16 savaičių kartą per parą vartoti arba </w:t>
      </w:r>
      <w:r w:rsidRPr="00CA7033">
        <w:rPr>
          <w:rFonts w:eastAsia="MS Mincho"/>
          <w:szCs w:val="22"/>
        </w:rPr>
        <w:t>30 mg Dexilant dozę, arba placebą.</w:t>
      </w:r>
      <w:r w:rsidRPr="00CA7033">
        <w:rPr>
          <w:rFonts w:eastAsia="MS Mincho"/>
          <w:szCs w:val="22"/>
          <w:lang w:eastAsia="ja-JP"/>
        </w:rPr>
        <w:t xml:space="preserve"> Aštuoniasdešimt dviem procentams pacientų, gydytų </w:t>
      </w:r>
      <w:r w:rsidRPr="00CA7033">
        <w:rPr>
          <w:rFonts w:eastAsia="MS Mincho"/>
          <w:szCs w:val="22"/>
        </w:rPr>
        <w:t>30 mg Dexilant doze, endoskopijos tyrimu patvirtintas užgijimas išliko keturių mėnesių gydymo laikotarpiu (placebo grupėje − 58% pacientų).</w:t>
      </w:r>
    </w:p>
    <w:p w14:paraId="633D8CB2" w14:textId="77777777" w:rsidR="00311D0F" w:rsidRPr="00CA7033" w:rsidRDefault="00311D0F" w:rsidP="00311D0F">
      <w:pPr>
        <w:tabs>
          <w:tab w:val="left" w:pos="567"/>
        </w:tabs>
        <w:rPr>
          <w:rFonts w:eastAsia="MS Mincho"/>
          <w:szCs w:val="22"/>
          <w:lang w:eastAsia="ja-JP"/>
        </w:rPr>
      </w:pPr>
    </w:p>
    <w:p w14:paraId="4B4B6E58" w14:textId="77777777" w:rsidR="00311D0F" w:rsidRPr="00CA7033" w:rsidRDefault="00311D0F" w:rsidP="00311D0F">
      <w:pPr>
        <w:tabs>
          <w:tab w:val="left" w:pos="567"/>
        </w:tabs>
        <w:rPr>
          <w:rFonts w:eastAsia="MS Mincho"/>
          <w:szCs w:val="22"/>
          <w:lang w:eastAsia="ja-JP"/>
        </w:rPr>
      </w:pPr>
      <w:r w:rsidRPr="00CA7033">
        <w:rPr>
          <w:rFonts w:eastAsia="MS Mincho"/>
          <w:szCs w:val="22"/>
        </w:rPr>
        <w:t xml:space="preserve">16 savaičių </w:t>
      </w:r>
      <w:r w:rsidRPr="00CA7033">
        <w:rPr>
          <w:rFonts w:eastAsia="MS Mincho"/>
          <w:szCs w:val="22"/>
          <w:lang w:eastAsia="ja-JP"/>
        </w:rPr>
        <w:t xml:space="preserve">palaikomuoju laikotarpiu </w:t>
      </w:r>
      <w:r w:rsidRPr="00CA7033">
        <w:rPr>
          <w:szCs w:val="22"/>
        </w:rPr>
        <w:t xml:space="preserve">procentinės dienų, kai rėmens nebuvo 24 valandų laikotarpiu, dalies mediana buvo </w:t>
      </w:r>
      <w:r w:rsidRPr="00CA7033">
        <w:rPr>
          <w:rFonts w:eastAsia="MS Mincho"/>
          <w:szCs w:val="22"/>
          <w:lang w:eastAsia="ja-JP"/>
        </w:rPr>
        <w:t>86,6%</w:t>
      </w:r>
      <w:r w:rsidRPr="00CA7033">
        <w:rPr>
          <w:rFonts w:eastAsia="MS Mincho"/>
          <w:szCs w:val="22"/>
        </w:rPr>
        <w:t xml:space="preserve"> pacientų, vartojusių 30 mg Dexilant dozę, grupėje, ir 68,1% − placebo grupėje.</w:t>
      </w:r>
      <w:r w:rsidRPr="00CA7033">
        <w:rPr>
          <w:rFonts w:eastAsia="MS Mincho"/>
          <w:szCs w:val="22"/>
          <w:lang w:eastAsia="ja-JP"/>
        </w:rPr>
        <w:t xml:space="preserve"> </w:t>
      </w:r>
    </w:p>
    <w:p w14:paraId="27D4F791" w14:textId="77777777" w:rsidR="00311D0F" w:rsidRPr="00CA7033" w:rsidRDefault="00311D0F" w:rsidP="00311D0F">
      <w:pPr>
        <w:tabs>
          <w:tab w:val="left" w:pos="567"/>
        </w:tabs>
        <w:rPr>
          <w:szCs w:val="22"/>
        </w:rPr>
      </w:pPr>
    </w:p>
    <w:p w14:paraId="302A4819" w14:textId="77777777" w:rsidR="00311D0F" w:rsidRPr="00CA7033" w:rsidRDefault="00311D0F" w:rsidP="00311D0F">
      <w:pPr>
        <w:tabs>
          <w:tab w:val="left" w:pos="567"/>
        </w:tabs>
        <w:rPr>
          <w:rFonts w:eastAsia="MS Mincho"/>
          <w:szCs w:val="22"/>
          <w:lang w:eastAsia="ja-JP"/>
        </w:rPr>
      </w:pPr>
      <w:r w:rsidRPr="00CA7033">
        <w:rPr>
          <w:szCs w:val="22"/>
        </w:rPr>
        <w:t>Užgijimo ir rėmens malšinimo palaikymo rezultatai buvo panašūs į gautus gydant suaugusiuosius</w:t>
      </w:r>
      <w:r w:rsidRPr="00CA7033">
        <w:rPr>
          <w:rFonts w:eastAsia="MS Mincho"/>
          <w:szCs w:val="22"/>
          <w:lang w:eastAsia="ja-JP"/>
        </w:rPr>
        <w:t>.</w:t>
      </w:r>
    </w:p>
    <w:p w14:paraId="611CB96D" w14:textId="77777777" w:rsidR="00311D0F" w:rsidRPr="00CA7033" w:rsidRDefault="00311D0F" w:rsidP="00311D0F">
      <w:pPr>
        <w:tabs>
          <w:tab w:val="left" w:pos="567"/>
        </w:tabs>
        <w:rPr>
          <w:rFonts w:eastAsia="MS Mincho"/>
          <w:szCs w:val="22"/>
          <w:lang w:eastAsia="ja-JP"/>
        </w:rPr>
      </w:pPr>
    </w:p>
    <w:p w14:paraId="26027C57" w14:textId="77777777" w:rsidR="00311D0F" w:rsidRPr="00CA7033" w:rsidRDefault="00311D0F" w:rsidP="00311D0F">
      <w:pPr>
        <w:rPr>
          <w:rFonts w:eastAsia="Calibri"/>
          <w:i/>
          <w:szCs w:val="22"/>
          <w:lang w:eastAsia="ja-JP"/>
        </w:rPr>
      </w:pPr>
      <w:r w:rsidRPr="00CA7033">
        <w:rPr>
          <w:rFonts w:eastAsia="Calibri"/>
          <w:i/>
          <w:szCs w:val="22"/>
          <w:lang w:eastAsia="ja-JP"/>
        </w:rPr>
        <w:t>Simptominė GERL be erozinio ezofagito</w:t>
      </w:r>
    </w:p>
    <w:p w14:paraId="014D2B42" w14:textId="77777777" w:rsidR="00262F84" w:rsidRPr="00572B1E" w:rsidRDefault="00262F84" w:rsidP="00311D0F">
      <w:pPr>
        <w:rPr>
          <w:rFonts w:eastAsia="Calibri"/>
          <w:b/>
          <w:szCs w:val="22"/>
          <w:lang w:eastAsia="ja-JP"/>
        </w:rPr>
      </w:pPr>
    </w:p>
    <w:p w14:paraId="4868E51B" w14:textId="77777777" w:rsidR="00311D0F" w:rsidRPr="00CA7033" w:rsidRDefault="00311D0F" w:rsidP="00311D0F">
      <w:pPr>
        <w:rPr>
          <w:rFonts w:eastAsia="MS Mincho"/>
          <w:szCs w:val="22"/>
          <w:lang w:eastAsia="ja-JP"/>
        </w:rPr>
      </w:pPr>
      <w:r w:rsidRPr="00CA7033">
        <w:rPr>
          <w:rFonts w:eastAsia="Calibri"/>
          <w:szCs w:val="22"/>
          <w:lang w:eastAsia="ja-JP"/>
        </w:rPr>
        <w:t xml:space="preserve">Atvirame daugiacentriame tyrime be kontrolinės grupės dalyvavę 104 paaugliai, kuriems buvo simptominė GERL be erozinio ezofagito, 4 savaites </w:t>
      </w:r>
      <w:r w:rsidRPr="00CA7033">
        <w:rPr>
          <w:rFonts w:eastAsia="MS Mincho"/>
          <w:szCs w:val="22"/>
          <w:lang w:eastAsia="ja-JP"/>
        </w:rPr>
        <w:t>kartą per parą vartojo 3</w:t>
      </w:r>
      <w:r w:rsidRPr="00CA7033">
        <w:rPr>
          <w:rFonts w:eastAsia="MS Mincho"/>
          <w:szCs w:val="22"/>
        </w:rPr>
        <w:t xml:space="preserve">0 mg </w:t>
      </w:r>
      <w:r w:rsidRPr="00CA7033">
        <w:rPr>
          <w:rFonts w:eastAsia="MS Mincho"/>
          <w:szCs w:val="22"/>
          <w:lang w:eastAsia="ja-JP"/>
        </w:rPr>
        <w:t>Dexilant dozę, siekiant nustatyti tokio gydymo saugumą ir veiksmingumą. Į tyrimą įtraukti pacientai, kuriems buvo dokumentuotų GERL simptomų mažiausiai 3 mėnesių laikotarpiu iki atrankos, kurie pranešė apie atrankos laikotarpiu mažiausiai tris iš septynių dienų pasireiškusį rėmenį ir kuriems endoskopijos tyrimu buvo patvirtintas stemplės erozijų nebuvimas</w:t>
      </w:r>
      <w:r w:rsidRPr="00CA7033">
        <w:rPr>
          <w:rFonts w:eastAsia="Calibri"/>
          <w:szCs w:val="22"/>
          <w:lang w:eastAsia="ja-JP"/>
        </w:rPr>
        <w:t xml:space="preserve">. </w:t>
      </w:r>
      <w:r w:rsidRPr="00CA7033">
        <w:rPr>
          <w:rFonts w:eastAsia="MS Mincho"/>
          <w:szCs w:val="22"/>
          <w:lang w:eastAsia="ja-JP"/>
        </w:rPr>
        <w:t xml:space="preserve">Pacientai buvo </w:t>
      </w:r>
      <w:r w:rsidRPr="00CA7033">
        <w:rPr>
          <w:rFonts w:eastAsia="MS Mincho"/>
          <w:szCs w:val="22"/>
        </w:rPr>
        <w:t>12</w:t>
      </w:r>
      <w:r w:rsidRPr="00CA7033">
        <w:rPr>
          <w:rFonts w:eastAsia="MS Mincho"/>
          <w:szCs w:val="22"/>
        </w:rPr>
        <w:noBreakHyphen/>
        <w:t xml:space="preserve">17 metų amžiaus (amžiaus mediana </w:t>
      </w:r>
      <w:r w:rsidRPr="00CA7033">
        <w:rPr>
          <w:rFonts w:eastAsia="MS Mincho"/>
          <w:szCs w:val="22"/>
          <w:lang w:eastAsia="ja-JP"/>
        </w:rPr>
        <w:t>15</w:t>
      </w:r>
      <w:r w:rsidRPr="00CA7033">
        <w:rPr>
          <w:rFonts w:eastAsia="MS Mincho"/>
          <w:szCs w:val="22"/>
        </w:rPr>
        <w:t xml:space="preserve"> metų), </w:t>
      </w:r>
      <w:r w:rsidRPr="00CA7033">
        <w:rPr>
          <w:rFonts w:eastAsia="MS Mincho"/>
          <w:szCs w:val="22"/>
          <w:lang w:eastAsia="ja-JP"/>
        </w:rPr>
        <w:t>70% buvo merginos</w:t>
      </w:r>
      <w:r w:rsidRPr="00CA7033">
        <w:rPr>
          <w:rFonts w:eastAsia="Calibri"/>
          <w:szCs w:val="22"/>
          <w:lang w:eastAsia="ja-JP"/>
        </w:rPr>
        <w:t xml:space="preserve">. 4 savaičių gydymo laikotarpiu </w:t>
      </w:r>
      <w:r w:rsidRPr="00CA7033">
        <w:rPr>
          <w:szCs w:val="22"/>
        </w:rPr>
        <w:t xml:space="preserve">procentinės dienų, kai rėmens </w:t>
      </w:r>
      <w:r w:rsidRPr="00CA7033">
        <w:rPr>
          <w:szCs w:val="22"/>
        </w:rPr>
        <w:lastRenderedPageBreak/>
        <w:t xml:space="preserve">nebuvo 24 valandų laikotarpiu, dalies mediana buvo </w:t>
      </w:r>
      <w:r w:rsidRPr="00CA7033">
        <w:rPr>
          <w:rFonts w:eastAsia="Calibri"/>
          <w:szCs w:val="22"/>
          <w:lang w:eastAsia="ja-JP"/>
        </w:rPr>
        <w:t>47,</w:t>
      </w:r>
      <w:r w:rsidRPr="00CA7033">
        <w:rPr>
          <w:rFonts w:eastAsia="MS Mincho"/>
          <w:szCs w:val="22"/>
          <w:lang w:eastAsia="ja-JP"/>
        </w:rPr>
        <w:t>3</w:t>
      </w:r>
      <w:r w:rsidRPr="00CA7033">
        <w:rPr>
          <w:rFonts w:eastAsia="Calibri"/>
          <w:szCs w:val="22"/>
          <w:lang w:eastAsia="ja-JP"/>
        </w:rPr>
        <w:t xml:space="preserve">%, t. y. </w:t>
      </w:r>
      <w:r w:rsidRPr="00CA7033">
        <w:rPr>
          <w:szCs w:val="22"/>
        </w:rPr>
        <w:t>rezultatai buvo panašūs į gautus gydant suaugusiuosius</w:t>
      </w:r>
      <w:r w:rsidRPr="00CA7033">
        <w:rPr>
          <w:rFonts w:eastAsia="MS Mincho"/>
          <w:szCs w:val="22"/>
          <w:lang w:eastAsia="ja-JP"/>
        </w:rPr>
        <w:t>.</w:t>
      </w:r>
    </w:p>
    <w:p w14:paraId="7B2A0BEE" w14:textId="77777777" w:rsidR="00311D0F" w:rsidRPr="00CA7033" w:rsidRDefault="00311D0F" w:rsidP="00311D0F">
      <w:pPr>
        <w:ind w:left="567" w:hanging="567"/>
        <w:rPr>
          <w:szCs w:val="22"/>
        </w:rPr>
      </w:pPr>
    </w:p>
    <w:p w14:paraId="1718A279" w14:textId="77777777" w:rsidR="00311D0F" w:rsidRPr="00CA7033" w:rsidRDefault="00311D0F" w:rsidP="00311D0F">
      <w:pPr>
        <w:ind w:left="567" w:hanging="567"/>
        <w:rPr>
          <w:b/>
          <w:szCs w:val="22"/>
        </w:rPr>
      </w:pPr>
      <w:r w:rsidRPr="00CA7033">
        <w:rPr>
          <w:b/>
          <w:szCs w:val="22"/>
        </w:rPr>
        <w:t>5.2</w:t>
      </w:r>
      <w:r w:rsidRPr="00CA7033">
        <w:rPr>
          <w:b/>
          <w:szCs w:val="22"/>
        </w:rPr>
        <w:tab/>
        <w:t xml:space="preserve">Farmakokinetinės savybės </w:t>
      </w:r>
    </w:p>
    <w:p w14:paraId="271DBCEC" w14:textId="77777777" w:rsidR="00311D0F" w:rsidRPr="00CA7033" w:rsidRDefault="00311D0F" w:rsidP="00311D0F">
      <w:pPr>
        <w:ind w:left="567" w:hanging="567"/>
        <w:rPr>
          <w:b/>
          <w:szCs w:val="22"/>
        </w:rPr>
      </w:pPr>
    </w:p>
    <w:p w14:paraId="3AE56FB8" w14:textId="77777777" w:rsidR="00311D0F" w:rsidRPr="00CA7033" w:rsidRDefault="00311D0F" w:rsidP="00311D0F">
      <w:pPr>
        <w:rPr>
          <w:szCs w:val="22"/>
        </w:rPr>
      </w:pPr>
      <w:r w:rsidRPr="00CA7033">
        <w:rPr>
          <w:szCs w:val="22"/>
        </w:rPr>
        <w:t>Dexilant farmacinė forma buvo sukurta naudojant dvigubą vėlyvo išsiskyrimo technologiją, todėl dekslansoprazolo koncentracijos plazmoje laiko atžvilgiu kreivė turi du aiškius pikus: pirmasis atsiranda po vaistinio preparato pavartojimo praėjus 1</w:t>
      </w:r>
      <w:r w:rsidRPr="00CA7033">
        <w:rPr>
          <w:szCs w:val="22"/>
        </w:rPr>
        <w:noBreakHyphen/>
        <w:t>2 valandoms, antrasis - po 4</w:t>
      </w:r>
      <w:r w:rsidRPr="00CA7033">
        <w:rPr>
          <w:szCs w:val="22"/>
        </w:rPr>
        <w:noBreakHyphen/>
        <w:t>5 valandų.</w:t>
      </w:r>
    </w:p>
    <w:p w14:paraId="0EFBB259" w14:textId="77777777" w:rsidR="00311D0F" w:rsidRPr="00CA7033" w:rsidRDefault="00311D0F" w:rsidP="00311D0F">
      <w:pPr>
        <w:autoSpaceDE w:val="0"/>
        <w:autoSpaceDN w:val="0"/>
        <w:adjustRightInd w:val="0"/>
        <w:rPr>
          <w:szCs w:val="22"/>
        </w:rPr>
      </w:pPr>
    </w:p>
    <w:p w14:paraId="68F5C544" w14:textId="77777777" w:rsidR="00311D0F" w:rsidRPr="00CA7033" w:rsidRDefault="00311D0F" w:rsidP="00311D0F">
      <w:pPr>
        <w:autoSpaceDE w:val="0"/>
        <w:autoSpaceDN w:val="0"/>
        <w:adjustRightInd w:val="0"/>
        <w:rPr>
          <w:szCs w:val="22"/>
          <w:u w:val="single"/>
        </w:rPr>
      </w:pPr>
      <w:r w:rsidRPr="00CA7033">
        <w:rPr>
          <w:szCs w:val="22"/>
          <w:u w:val="single"/>
        </w:rPr>
        <w:t>Absorbcija</w:t>
      </w:r>
    </w:p>
    <w:p w14:paraId="379D9FBD" w14:textId="77777777" w:rsidR="00311D0F" w:rsidRPr="00CA7033" w:rsidRDefault="00311D0F" w:rsidP="00311D0F">
      <w:pPr>
        <w:autoSpaceDE w:val="0"/>
        <w:autoSpaceDN w:val="0"/>
        <w:adjustRightInd w:val="0"/>
        <w:rPr>
          <w:szCs w:val="22"/>
        </w:rPr>
      </w:pPr>
    </w:p>
    <w:p w14:paraId="3505EDED" w14:textId="77777777" w:rsidR="00311D0F" w:rsidRPr="00CA7033" w:rsidRDefault="00311D0F" w:rsidP="00311D0F">
      <w:pPr>
        <w:rPr>
          <w:szCs w:val="22"/>
        </w:rPr>
      </w:pPr>
      <w:r w:rsidRPr="00CA7033">
        <w:rPr>
          <w:szCs w:val="22"/>
        </w:rPr>
        <w:t>Sveikiems žmonėms išgėrus 30 mg ar 60 mg Dexilant dozę, vidutiniai dekslansoprazolo C</w:t>
      </w:r>
      <w:r w:rsidRPr="00CA7033">
        <w:rPr>
          <w:szCs w:val="22"/>
          <w:vertAlign w:val="subscript"/>
        </w:rPr>
        <w:t>max</w:t>
      </w:r>
      <w:r w:rsidRPr="00CA7033">
        <w:rPr>
          <w:szCs w:val="22"/>
        </w:rPr>
        <w:t xml:space="preserve"> ir AUC rodmenys didėja maždaug proporcingai dozei. Didžiausias kiekis plazmoje atsiranda per 4</w:t>
      </w:r>
      <w:r w:rsidRPr="00CA7033">
        <w:rPr>
          <w:szCs w:val="22"/>
        </w:rPr>
        <w:noBreakHyphen/>
        <w:t>6 valandas.</w:t>
      </w:r>
    </w:p>
    <w:p w14:paraId="3F8575E3" w14:textId="77777777" w:rsidR="00311D0F" w:rsidRPr="00CA7033" w:rsidRDefault="00311D0F" w:rsidP="00311D0F">
      <w:pPr>
        <w:rPr>
          <w:szCs w:val="22"/>
        </w:rPr>
      </w:pPr>
    </w:p>
    <w:p w14:paraId="7E0868AB" w14:textId="77777777" w:rsidR="00311D0F" w:rsidRPr="00CA7033" w:rsidRDefault="00311D0F" w:rsidP="00311D0F">
      <w:pPr>
        <w:autoSpaceDE w:val="0"/>
        <w:autoSpaceDN w:val="0"/>
        <w:adjustRightInd w:val="0"/>
        <w:rPr>
          <w:szCs w:val="22"/>
          <w:u w:val="single"/>
        </w:rPr>
      </w:pPr>
      <w:r w:rsidRPr="00CA7033">
        <w:rPr>
          <w:szCs w:val="22"/>
          <w:u w:val="single"/>
        </w:rPr>
        <w:t>Pasiskirstymas</w:t>
      </w:r>
    </w:p>
    <w:p w14:paraId="23A454D8" w14:textId="77777777" w:rsidR="00311D0F" w:rsidRPr="00CA7033" w:rsidRDefault="00311D0F" w:rsidP="00311D0F">
      <w:pPr>
        <w:autoSpaceDE w:val="0"/>
        <w:autoSpaceDN w:val="0"/>
        <w:adjustRightInd w:val="0"/>
        <w:rPr>
          <w:szCs w:val="22"/>
        </w:rPr>
      </w:pPr>
    </w:p>
    <w:p w14:paraId="7257AB85" w14:textId="77777777" w:rsidR="00311D0F" w:rsidRPr="00CA7033" w:rsidRDefault="00311D0F" w:rsidP="00311D0F">
      <w:pPr>
        <w:autoSpaceDE w:val="0"/>
        <w:autoSpaceDN w:val="0"/>
        <w:adjustRightInd w:val="0"/>
        <w:rPr>
          <w:szCs w:val="22"/>
        </w:rPr>
      </w:pPr>
      <w:r w:rsidRPr="00CA7033">
        <w:rPr>
          <w:szCs w:val="22"/>
        </w:rPr>
        <w:t>Sveikų savanorių plazmoje prie baltymų jungiasi 96,1</w:t>
      </w:r>
      <w:r w:rsidRPr="00CA7033">
        <w:rPr>
          <w:szCs w:val="22"/>
        </w:rPr>
        <w:noBreakHyphen/>
        <w:t>98,8% dekslansoprazolo, jungimasis nepriklauso nuo koncentracijos, kai ji yra 0,01</w:t>
      </w:r>
      <w:r w:rsidRPr="00CA7033">
        <w:rPr>
          <w:szCs w:val="22"/>
        </w:rPr>
        <w:noBreakHyphen/>
        <w:t>20 mikrogramų/ml. GERL sergantiems pacientams, vartojant kartotines dozes, tariamasis pasiskirstymo tūris buvo 40,3 l.</w:t>
      </w:r>
    </w:p>
    <w:p w14:paraId="285C1158" w14:textId="77777777" w:rsidR="00311D0F" w:rsidRPr="00CA7033" w:rsidRDefault="00311D0F" w:rsidP="00311D0F">
      <w:pPr>
        <w:autoSpaceDE w:val="0"/>
        <w:autoSpaceDN w:val="0"/>
        <w:adjustRightInd w:val="0"/>
        <w:rPr>
          <w:szCs w:val="22"/>
        </w:rPr>
      </w:pPr>
    </w:p>
    <w:p w14:paraId="6F12128A" w14:textId="77777777" w:rsidR="00311D0F" w:rsidRPr="00CA7033" w:rsidRDefault="00311D0F" w:rsidP="00311D0F">
      <w:pPr>
        <w:autoSpaceDE w:val="0"/>
        <w:autoSpaceDN w:val="0"/>
        <w:adjustRightInd w:val="0"/>
        <w:rPr>
          <w:szCs w:val="22"/>
          <w:u w:val="single"/>
        </w:rPr>
      </w:pPr>
      <w:r w:rsidRPr="00CA7033">
        <w:rPr>
          <w:szCs w:val="22"/>
          <w:u w:val="single"/>
        </w:rPr>
        <w:t>Biotransformacija</w:t>
      </w:r>
    </w:p>
    <w:p w14:paraId="235E3378" w14:textId="77777777" w:rsidR="00311D0F" w:rsidRPr="00CA7033" w:rsidRDefault="00311D0F" w:rsidP="00311D0F">
      <w:pPr>
        <w:autoSpaceDE w:val="0"/>
        <w:autoSpaceDN w:val="0"/>
        <w:adjustRightInd w:val="0"/>
        <w:rPr>
          <w:szCs w:val="22"/>
        </w:rPr>
      </w:pPr>
    </w:p>
    <w:p w14:paraId="541DE19F" w14:textId="77777777" w:rsidR="00262F84" w:rsidRPr="00CA7033" w:rsidRDefault="00311D0F" w:rsidP="00311D0F">
      <w:pPr>
        <w:autoSpaceDE w:val="0"/>
        <w:autoSpaceDN w:val="0"/>
        <w:adjustRightInd w:val="0"/>
        <w:rPr>
          <w:szCs w:val="22"/>
        </w:rPr>
      </w:pPr>
      <w:r w:rsidRPr="00CA7033">
        <w:rPr>
          <w:szCs w:val="22"/>
        </w:rPr>
        <w:t xml:space="preserve">Dekslansoprazolas ekstensyviai metabolizuojamas kepenyse iki neaktyvių metabolitų vykstant oksidacijai, redukcijai bei tolesniam sulfatų, gliukuronidų ir gliukuronidų konjugatų susidarymui. Vykstant oksidacijai, metabolitai susidaro veikiant cytochromo P450 (CYP) fermentų sistemai, įskaitant hidroksilinimą daugiausia dalyvaujant CYP2C19 ir oksidavimą į sulfono darinius dalyvaujant CYP3A4. CYP2C19 yra polimorfinis kepenų fermentas, kuris, vertinant CYP2C19 substratų metabolizmą, būna trijų fenotipų: ekstensyvaus metabolizmo (*1/*1), vidutinio intensyvumo metabolizmo (*1/mutacinis) ir silpno metabolizmo (mutacinis/mutacinis). Jei metabolizmas yra ekstensyvus ar vidutinio intensyvumo, sisteminė dekslansoprazolo ekspozicija paprastai būna didesnė. </w:t>
      </w:r>
    </w:p>
    <w:p w14:paraId="7CCCB10C" w14:textId="77777777" w:rsidR="00262F84" w:rsidRPr="00CA7033" w:rsidRDefault="00262F84" w:rsidP="00311D0F">
      <w:pPr>
        <w:autoSpaceDE w:val="0"/>
        <w:autoSpaceDN w:val="0"/>
        <w:adjustRightInd w:val="0"/>
        <w:rPr>
          <w:szCs w:val="22"/>
        </w:rPr>
      </w:pPr>
    </w:p>
    <w:p w14:paraId="6FE93578" w14:textId="075C58F0" w:rsidR="00311D0F" w:rsidRPr="00CA7033" w:rsidRDefault="00311D0F" w:rsidP="00311D0F">
      <w:pPr>
        <w:autoSpaceDE w:val="0"/>
        <w:autoSpaceDN w:val="0"/>
        <w:adjustRightInd w:val="0"/>
        <w:rPr>
          <w:szCs w:val="22"/>
        </w:rPr>
      </w:pPr>
      <w:r w:rsidRPr="00CA7033">
        <w:rPr>
          <w:szCs w:val="22"/>
        </w:rPr>
        <w:t>Dekslansoprazolas yra pagrindinė plazmoje esanti medžiaga ir tai nepriklauso nuo CYP2C19 metabolizmo būklės. Pacientų, kurių organizme CYP2C19 metabolizmas yra ekstensyvus ar vidutinio intensyvumo, plazmoje pagrindinis metabolitas yra 5</w:t>
      </w:r>
      <w:r w:rsidRPr="00CA7033">
        <w:rPr>
          <w:szCs w:val="22"/>
        </w:rPr>
        <w:noBreakHyphen/>
        <w:t>hidroksidekslansoprazolas ir jo gliukuronido konjugatas, o pacientų, kurių organizme CYP2C19 metabolizmas yra silpnas, plazmoje pagrindinis metabolitas yra dekslansoprazolo sulfonas.</w:t>
      </w:r>
    </w:p>
    <w:p w14:paraId="60B5233E" w14:textId="77777777" w:rsidR="00311D0F" w:rsidRPr="00CA7033" w:rsidRDefault="00311D0F" w:rsidP="00311D0F">
      <w:pPr>
        <w:autoSpaceDE w:val="0"/>
        <w:autoSpaceDN w:val="0"/>
        <w:adjustRightInd w:val="0"/>
        <w:rPr>
          <w:szCs w:val="22"/>
        </w:rPr>
      </w:pPr>
    </w:p>
    <w:p w14:paraId="2015FC09" w14:textId="77777777" w:rsidR="00311D0F" w:rsidRPr="00CA7033" w:rsidRDefault="00311D0F" w:rsidP="00311D0F">
      <w:pPr>
        <w:autoSpaceDE w:val="0"/>
        <w:autoSpaceDN w:val="0"/>
        <w:adjustRightInd w:val="0"/>
        <w:rPr>
          <w:szCs w:val="22"/>
          <w:u w:val="single"/>
        </w:rPr>
      </w:pPr>
      <w:r w:rsidRPr="00CA7033">
        <w:rPr>
          <w:szCs w:val="22"/>
          <w:u w:val="single"/>
        </w:rPr>
        <w:t>Eliminacija</w:t>
      </w:r>
    </w:p>
    <w:p w14:paraId="06729813" w14:textId="77777777" w:rsidR="00311D0F" w:rsidRPr="00CA7033" w:rsidRDefault="00311D0F" w:rsidP="00311D0F">
      <w:pPr>
        <w:autoSpaceDE w:val="0"/>
        <w:autoSpaceDN w:val="0"/>
        <w:adjustRightInd w:val="0"/>
        <w:rPr>
          <w:szCs w:val="22"/>
        </w:rPr>
      </w:pPr>
    </w:p>
    <w:p w14:paraId="7540CA38" w14:textId="77777777" w:rsidR="00311D0F" w:rsidRPr="00CA7033" w:rsidRDefault="00311D0F" w:rsidP="00311D0F">
      <w:pPr>
        <w:autoSpaceDE w:val="0"/>
        <w:autoSpaceDN w:val="0"/>
        <w:adjustRightInd w:val="0"/>
        <w:rPr>
          <w:szCs w:val="22"/>
        </w:rPr>
      </w:pPr>
      <w:r w:rsidRPr="00CA7033">
        <w:rPr>
          <w:szCs w:val="22"/>
        </w:rPr>
        <w:t>Po Dexilant pavartojimo nepakitusio dekslansoprazolo su šlapimu neišskiriama.</w:t>
      </w:r>
    </w:p>
    <w:p w14:paraId="519AC4D2" w14:textId="77777777" w:rsidR="00311D0F" w:rsidRPr="00CA7033" w:rsidRDefault="00311D0F" w:rsidP="00311D0F">
      <w:pPr>
        <w:autoSpaceDE w:val="0"/>
        <w:autoSpaceDN w:val="0"/>
        <w:adjustRightInd w:val="0"/>
        <w:rPr>
          <w:szCs w:val="22"/>
        </w:rPr>
      </w:pPr>
      <w:r w:rsidRPr="00CA7033">
        <w:rPr>
          <w:szCs w:val="22"/>
        </w:rPr>
        <w:t>Sveikiems vyrams pavartojus radioaktyviu [</w:t>
      </w:r>
      <w:r w:rsidRPr="00CA7033">
        <w:rPr>
          <w:szCs w:val="22"/>
          <w:vertAlign w:val="superscript"/>
        </w:rPr>
        <w:t>14</w:t>
      </w:r>
      <w:r w:rsidRPr="00CA7033">
        <w:rPr>
          <w:szCs w:val="22"/>
        </w:rPr>
        <w:t>C] atomu pažymėto dekslansoprazolo, maždaug 50,7% radioaktyvumo išsiskyrė su šlapimu ir 47,6% - su išmatomis. Sveikų žmonių organizme tariamasis klirensas buvo nuo 11,4 iki 11,6 l/val. atitinkamai po 30 ar 60 mg dozės vartojimo kartą per parą 5 dienas.</w:t>
      </w:r>
    </w:p>
    <w:p w14:paraId="397D9D82" w14:textId="77777777" w:rsidR="00311D0F" w:rsidRPr="00CA7033" w:rsidRDefault="00311D0F" w:rsidP="00311D0F">
      <w:pPr>
        <w:ind w:left="567" w:hanging="567"/>
        <w:rPr>
          <w:szCs w:val="22"/>
        </w:rPr>
      </w:pPr>
    </w:p>
    <w:p w14:paraId="23104950" w14:textId="77777777" w:rsidR="00311D0F" w:rsidRPr="00CA7033" w:rsidRDefault="00311D0F" w:rsidP="00311D0F">
      <w:pPr>
        <w:pStyle w:val="Pagrindinistekstas"/>
        <w:keepNext/>
        <w:rPr>
          <w:i w:val="0"/>
          <w:color w:val="auto"/>
          <w:szCs w:val="22"/>
          <w:u w:val="single"/>
          <w:lang w:val="lt-LT"/>
        </w:rPr>
      </w:pPr>
      <w:r w:rsidRPr="00CA7033">
        <w:rPr>
          <w:i w:val="0"/>
          <w:color w:val="auto"/>
          <w:szCs w:val="22"/>
          <w:u w:val="single"/>
          <w:lang w:val="lt-LT"/>
        </w:rPr>
        <w:t>Tiesinis / netiesinis pobūdis</w:t>
      </w:r>
    </w:p>
    <w:p w14:paraId="42D947AC" w14:textId="77777777" w:rsidR="00311D0F" w:rsidRPr="00CA7033" w:rsidRDefault="00311D0F" w:rsidP="00311D0F">
      <w:pPr>
        <w:pStyle w:val="Pagrindinistekstas"/>
        <w:rPr>
          <w:i w:val="0"/>
          <w:color w:val="auto"/>
          <w:szCs w:val="22"/>
          <w:lang w:val="lt-LT"/>
        </w:rPr>
      </w:pPr>
    </w:p>
    <w:p w14:paraId="249F6183" w14:textId="77777777" w:rsidR="00311D0F" w:rsidRPr="00CA7033" w:rsidRDefault="00311D0F" w:rsidP="00311D0F">
      <w:pPr>
        <w:pStyle w:val="Pagrindinistekstas"/>
        <w:rPr>
          <w:i w:val="0"/>
          <w:color w:val="auto"/>
          <w:szCs w:val="22"/>
          <w:lang w:val="lt-LT"/>
        </w:rPr>
      </w:pPr>
      <w:r w:rsidRPr="00CA7033">
        <w:rPr>
          <w:i w:val="0"/>
          <w:color w:val="auto"/>
          <w:szCs w:val="22"/>
          <w:lang w:val="lt-LT"/>
        </w:rPr>
        <w:t>Sveikiems savanoriams vartojant vienkartinę ar kartotines 30</w:t>
      </w:r>
      <w:r w:rsidRPr="00CA7033">
        <w:rPr>
          <w:i w:val="0"/>
          <w:color w:val="auto"/>
          <w:szCs w:val="22"/>
          <w:lang w:val="lt-LT"/>
        </w:rPr>
        <w:noBreakHyphen/>
        <w:t>120 mg dekslansoprazolo dozes, vidutiniai dekslansoprazolo C</w:t>
      </w:r>
      <w:r w:rsidRPr="00CA7033">
        <w:rPr>
          <w:i w:val="0"/>
          <w:color w:val="auto"/>
          <w:szCs w:val="22"/>
          <w:vertAlign w:val="subscript"/>
          <w:lang w:val="lt-LT"/>
        </w:rPr>
        <w:t>max</w:t>
      </w:r>
      <w:r w:rsidRPr="00CA7033">
        <w:rPr>
          <w:i w:val="0"/>
          <w:color w:val="auto"/>
          <w:szCs w:val="22"/>
          <w:lang w:val="lt-LT"/>
        </w:rPr>
        <w:t xml:space="preserve"> ir AUC rodmenys didėjo maždaug proporcingai dozei visų tirtų dozių ribose. Dekslansoprazolo farmakokinetika nuo dozės ir laiko nepriklausė, apskaičiuotas pusinis galutinės eliminacijos laikas buvo maždaug 1</w:t>
      </w:r>
      <w:r w:rsidRPr="00CA7033">
        <w:rPr>
          <w:i w:val="0"/>
          <w:color w:val="auto"/>
          <w:szCs w:val="22"/>
          <w:lang w:val="lt-LT"/>
        </w:rPr>
        <w:noBreakHyphen/>
        <w:t>2 val. vadinasi, dekslansoprazolo vartojant kartą per parą, veikliosios medžiagos beveik arba visiškai nesikaupė ir tai patvirtina panašūs C</w:t>
      </w:r>
      <w:r w:rsidRPr="00CA7033">
        <w:rPr>
          <w:i w:val="0"/>
          <w:color w:val="auto"/>
          <w:szCs w:val="22"/>
          <w:vertAlign w:val="subscript"/>
          <w:lang w:val="lt-LT"/>
        </w:rPr>
        <w:t>max</w:t>
      </w:r>
      <w:r w:rsidRPr="00CA7033">
        <w:rPr>
          <w:i w:val="0"/>
          <w:color w:val="auto"/>
          <w:szCs w:val="22"/>
          <w:lang w:val="lt-LT"/>
        </w:rPr>
        <w:t xml:space="preserve"> ir AUC rodmenys po vienkartinių ir kartotinių dozių vartojimo, kai nusistovi pusiausvyrinė apykaita.</w:t>
      </w:r>
    </w:p>
    <w:p w14:paraId="116C91C5" w14:textId="77777777" w:rsidR="00311D0F" w:rsidRPr="00CA7033" w:rsidRDefault="00311D0F" w:rsidP="00311D0F">
      <w:pPr>
        <w:ind w:left="567" w:hanging="567"/>
        <w:rPr>
          <w:szCs w:val="22"/>
        </w:rPr>
      </w:pPr>
    </w:p>
    <w:p w14:paraId="0D20E85E" w14:textId="77777777" w:rsidR="00311D0F" w:rsidRPr="00CA7033" w:rsidRDefault="00311D0F" w:rsidP="00311D0F">
      <w:pPr>
        <w:autoSpaceDE w:val="0"/>
        <w:autoSpaceDN w:val="0"/>
        <w:adjustRightInd w:val="0"/>
        <w:rPr>
          <w:szCs w:val="22"/>
          <w:u w:val="single"/>
        </w:rPr>
      </w:pPr>
      <w:r w:rsidRPr="00CA7033">
        <w:rPr>
          <w:szCs w:val="22"/>
          <w:u w:val="single"/>
        </w:rPr>
        <w:t>Maisto įtaka</w:t>
      </w:r>
    </w:p>
    <w:p w14:paraId="427F21A9" w14:textId="77777777" w:rsidR="00311D0F" w:rsidRPr="00CA7033" w:rsidRDefault="00311D0F" w:rsidP="00311D0F">
      <w:pPr>
        <w:autoSpaceDE w:val="0"/>
        <w:autoSpaceDN w:val="0"/>
        <w:adjustRightInd w:val="0"/>
        <w:rPr>
          <w:szCs w:val="22"/>
        </w:rPr>
      </w:pPr>
    </w:p>
    <w:p w14:paraId="223B1D20" w14:textId="77777777" w:rsidR="00311D0F" w:rsidRPr="00CA7033" w:rsidRDefault="00311D0F" w:rsidP="00311D0F">
      <w:pPr>
        <w:autoSpaceDE w:val="0"/>
        <w:autoSpaceDN w:val="0"/>
        <w:adjustRightInd w:val="0"/>
        <w:rPr>
          <w:szCs w:val="22"/>
        </w:rPr>
      </w:pPr>
      <w:r w:rsidRPr="00CA7033">
        <w:rPr>
          <w:szCs w:val="22"/>
        </w:rPr>
        <w:lastRenderedPageBreak/>
        <w:t>Dexilant galima vartoti neatsižvelgiant į maistą ir valgymo laiką. Maisto poveikio tyrimų metu sveikiems savanoriams vartojant Dexilant, įvairus maistas, palyginti su būkle nevalgius, C</w:t>
      </w:r>
      <w:r w:rsidRPr="00CA7033">
        <w:rPr>
          <w:szCs w:val="22"/>
          <w:vertAlign w:val="subscript"/>
        </w:rPr>
        <w:t>max</w:t>
      </w:r>
      <w:r w:rsidRPr="00CA7033">
        <w:rPr>
          <w:szCs w:val="22"/>
        </w:rPr>
        <w:t xml:space="preserve"> padidino nuo 12% iki 55%, AUC - nuo 9% iki 37%. Vis dėlto reikšmingų intragastrinio pH pokyčių nebuvo. Papildomi tyrimai parodė, kad 60 mg Dexilant dozės vartojimas prieš pusryčius, pietus, vakarienę ar vakarinius užkandžius neturėjo poveikio dekslansoprazolo ekspozicijai ar kliniškai reikšmingo poveikio 24 val. intragastrinio pH kontrolei.</w:t>
      </w:r>
    </w:p>
    <w:p w14:paraId="50D9081A" w14:textId="77777777" w:rsidR="00311D0F" w:rsidRPr="00CA7033" w:rsidRDefault="00311D0F" w:rsidP="00311D0F">
      <w:pPr>
        <w:autoSpaceDE w:val="0"/>
        <w:autoSpaceDN w:val="0"/>
        <w:adjustRightInd w:val="0"/>
        <w:rPr>
          <w:szCs w:val="22"/>
        </w:rPr>
      </w:pPr>
    </w:p>
    <w:p w14:paraId="31189F1E" w14:textId="77777777" w:rsidR="00311D0F" w:rsidRPr="00CA7033" w:rsidRDefault="00311D0F" w:rsidP="00311D0F">
      <w:pPr>
        <w:autoSpaceDE w:val="0"/>
        <w:autoSpaceDN w:val="0"/>
        <w:adjustRightInd w:val="0"/>
        <w:rPr>
          <w:szCs w:val="22"/>
          <w:u w:val="single"/>
        </w:rPr>
      </w:pPr>
      <w:r w:rsidRPr="00CA7033">
        <w:rPr>
          <w:szCs w:val="22"/>
          <w:u w:val="single"/>
        </w:rPr>
        <w:t>Ypatingos populiacijos</w:t>
      </w:r>
    </w:p>
    <w:p w14:paraId="189D1B4A" w14:textId="77777777" w:rsidR="00311D0F" w:rsidRPr="00CA7033" w:rsidRDefault="00311D0F" w:rsidP="00311D0F">
      <w:pPr>
        <w:autoSpaceDE w:val="0"/>
        <w:autoSpaceDN w:val="0"/>
        <w:adjustRightInd w:val="0"/>
        <w:rPr>
          <w:szCs w:val="22"/>
        </w:rPr>
      </w:pPr>
    </w:p>
    <w:p w14:paraId="5E2CB41B" w14:textId="77777777" w:rsidR="00311D0F" w:rsidRPr="00CA7033" w:rsidRDefault="00311D0F" w:rsidP="00311D0F">
      <w:pPr>
        <w:autoSpaceDE w:val="0"/>
        <w:autoSpaceDN w:val="0"/>
        <w:adjustRightInd w:val="0"/>
        <w:rPr>
          <w:i/>
          <w:szCs w:val="22"/>
        </w:rPr>
      </w:pPr>
      <w:r w:rsidRPr="00CA7033">
        <w:rPr>
          <w:i/>
          <w:szCs w:val="22"/>
        </w:rPr>
        <w:t>Senyvi pacientai</w:t>
      </w:r>
    </w:p>
    <w:p w14:paraId="740661EC" w14:textId="77777777" w:rsidR="00311D0F" w:rsidRPr="00CA7033" w:rsidRDefault="00311D0F" w:rsidP="00311D0F">
      <w:pPr>
        <w:autoSpaceDE w:val="0"/>
        <w:autoSpaceDN w:val="0"/>
        <w:adjustRightInd w:val="0"/>
        <w:rPr>
          <w:szCs w:val="22"/>
        </w:rPr>
      </w:pPr>
    </w:p>
    <w:p w14:paraId="33E78D13" w14:textId="77777777" w:rsidR="00311D0F" w:rsidRPr="00CA7033" w:rsidRDefault="00311D0F" w:rsidP="00311D0F">
      <w:pPr>
        <w:autoSpaceDE w:val="0"/>
        <w:autoSpaceDN w:val="0"/>
        <w:adjustRightInd w:val="0"/>
        <w:rPr>
          <w:szCs w:val="22"/>
        </w:rPr>
      </w:pPr>
      <w:r w:rsidRPr="00CA7033">
        <w:rPr>
          <w:szCs w:val="22"/>
        </w:rPr>
        <w:t>Tyrimo metu nustatyta, kad sveikiems vyrams ir moterims vartojant vienkartinę 60 mg geriamojo Dexilant dozę, dekslansoprazolo pusinis galutinės eliminacijos laikas senyvų žmonių organizme buvo statistiškai reikšmingai ilgesnis, palyginti su jaunesnių ligonių rodmeniu (atitinkamai 2,23 ir 1,5 val.). Be to, senyvų žmonių organizme sisteminė ekspozicija (AUC) būna didesnė (34,5% didesnė) nei jaunesnių žmonių organizme. Šie skirtumai nėra kliniškai reikšmingi. Senyviems žmonėms didesnės kaip 60 mg paros dozės vartoti negalima, nebent yra įtikinamų klinikinių indikacijų.</w:t>
      </w:r>
    </w:p>
    <w:p w14:paraId="551BF2EF" w14:textId="77777777" w:rsidR="00311D0F" w:rsidRPr="00CA7033" w:rsidRDefault="00311D0F" w:rsidP="00311D0F">
      <w:pPr>
        <w:autoSpaceDE w:val="0"/>
        <w:autoSpaceDN w:val="0"/>
        <w:adjustRightInd w:val="0"/>
        <w:rPr>
          <w:szCs w:val="22"/>
        </w:rPr>
      </w:pPr>
    </w:p>
    <w:p w14:paraId="2C439D48" w14:textId="77777777" w:rsidR="00311D0F" w:rsidRPr="00CA7033" w:rsidRDefault="00311D0F" w:rsidP="00311D0F">
      <w:pPr>
        <w:autoSpaceDE w:val="0"/>
        <w:autoSpaceDN w:val="0"/>
        <w:adjustRightInd w:val="0"/>
        <w:rPr>
          <w:i/>
          <w:szCs w:val="22"/>
        </w:rPr>
      </w:pPr>
      <w:r w:rsidRPr="00CA7033">
        <w:rPr>
          <w:i/>
          <w:szCs w:val="22"/>
        </w:rPr>
        <w:t>Sutrikusi inkstų funkcija</w:t>
      </w:r>
    </w:p>
    <w:p w14:paraId="38F5A08F" w14:textId="77777777" w:rsidR="00311D0F" w:rsidRPr="00CA7033" w:rsidRDefault="00311D0F" w:rsidP="00311D0F">
      <w:pPr>
        <w:rPr>
          <w:szCs w:val="22"/>
        </w:rPr>
      </w:pPr>
    </w:p>
    <w:p w14:paraId="421D59C7" w14:textId="77777777" w:rsidR="00311D0F" w:rsidRPr="00CA7033" w:rsidRDefault="00311D0F" w:rsidP="00311D0F">
      <w:pPr>
        <w:rPr>
          <w:szCs w:val="22"/>
        </w:rPr>
      </w:pPr>
      <w:r w:rsidRPr="00CA7033">
        <w:rPr>
          <w:szCs w:val="22"/>
        </w:rPr>
        <w:t>Pavartojus geriamojo dekslansoprazolo dozę, jis ekstensyviai metabolizuojamas kepenyse, susidaro neaktyvūs metabolitai, pirminės veikliosios medžiagos šlapime nebūna. Vadinasi, nėra tikėtina, kad dekslansoprazolo farmakokinetika pacientų, kurių inkstų funkcija sutrikusi, organizme pakis, ir tyrimų su pacientais, kuriems yra inkstų funkcijos sutrikimas, neatlikta (žr. 4.4 skyrių).</w:t>
      </w:r>
    </w:p>
    <w:p w14:paraId="7B09FA3C" w14:textId="77777777" w:rsidR="00311D0F" w:rsidRPr="00CA7033" w:rsidRDefault="00311D0F" w:rsidP="00311D0F">
      <w:pPr>
        <w:autoSpaceDE w:val="0"/>
        <w:autoSpaceDN w:val="0"/>
        <w:adjustRightInd w:val="0"/>
        <w:rPr>
          <w:szCs w:val="22"/>
        </w:rPr>
      </w:pPr>
    </w:p>
    <w:p w14:paraId="48D1D2EC" w14:textId="77777777" w:rsidR="00311D0F" w:rsidRPr="00CA7033" w:rsidRDefault="00311D0F" w:rsidP="00311D0F">
      <w:pPr>
        <w:autoSpaceDE w:val="0"/>
        <w:autoSpaceDN w:val="0"/>
        <w:adjustRightInd w:val="0"/>
        <w:rPr>
          <w:i/>
          <w:szCs w:val="22"/>
        </w:rPr>
      </w:pPr>
      <w:r w:rsidRPr="00CA7033">
        <w:rPr>
          <w:i/>
          <w:szCs w:val="22"/>
        </w:rPr>
        <w:t>Sutrikusi kepenų funkcija</w:t>
      </w:r>
    </w:p>
    <w:p w14:paraId="34957CC7" w14:textId="77777777" w:rsidR="00311D0F" w:rsidRPr="00CA7033" w:rsidRDefault="00311D0F" w:rsidP="00311D0F">
      <w:pPr>
        <w:autoSpaceDE w:val="0"/>
        <w:autoSpaceDN w:val="0"/>
        <w:adjustRightInd w:val="0"/>
        <w:rPr>
          <w:szCs w:val="22"/>
        </w:rPr>
      </w:pPr>
    </w:p>
    <w:p w14:paraId="65E0BE59" w14:textId="77777777" w:rsidR="00311D0F" w:rsidRPr="00CA7033" w:rsidRDefault="00311D0F" w:rsidP="00311D0F">
      <w:pPr>
        <w:tabs>
          <w:tab w:val="left" w:pos="0"/>
        </w:tabs>
        <w:rPr>
          <w:szCs w:val="22"/>
        </w:rPr>
      </w:pPr>
      <w:r w:rsidRPr="00CA7033">
        <w:rPr>
          <w:szCs w:val="22"/>
        </w:rPr>
        <w:t>Tyrimo metu nustatyta, kad pacientams, kuriems yra vidutinio sunkumo kepenų funkcijos sutrikimas, pavartojus vienkartinę 60 mg geriamojo Dexilant dozę, sujungto ir laisvo dekslansoprazolo ekspozicija plazmoje (AUC) buvo maždaug 2 kartus didesnė, palyginti su ligonių, kurių kepenų funkcija normali, rodmeniu. Toks ekspozicijos skirtumas nebuvo susijęs su skirtingu jungimusi prie baltymų pacientams, kurių kepenų funkcija sutrikusi ar nesutrikusi. Pacientams, kuriems yra lengvas kepenų funkcijos sutrikimas, Dexilant dozės koreguoti nereikia. Pacientams, kuriems yra vidutinis kepenų funkcijos sutrikimas, reikia apsvarstyti 30 mg Dexilant dozės vartojimą. Tyrimų su pacientais, kuriems yra sunkus kepenų funkcijos sutrikimas, neatlikta, todėl tokiems pacientams dekslansoprazolo vartoti nerekomenduojama (žr. 4.4 skyrių).</w:t>
      </w:r>
    </w:p>
    <w:p w14:paraId="79F35749" w14:textId="77777777" w:rsidR="00311D0F" w:rsidRPr="00CA7033" w:rsidRDefault="00311D0F" w:rsidP="00311D0F">
      <w:pPr>
        <w:ind w:left="567" w:hanging="567"/>
        <w:rPr>
          <w:szCs w:val="22"/>
        </w:rPr>
      </w:pPr>
    </w:p>
    <w:p w14:paraId="07688E7F" w14:textId="77777777" w:rsidR="00311D0F" w:rsidRPr="00CA7033" w:rsidRDefault="00311D0F" w:rsidP="00311D0F">
      <w:pPr>
        <w:autoSpaceDE w:val="0"/>
        <w:autoSpaceDN w:val="0"/>
        <w:adjustRightInd w:val="0"/>
        <w:rPr>
          <w:rFonts w:eastAsia="MS Mincho"/>
          <w:i/>
          <w:szCs w:val="22"/>
          <w:lang w:eastAsia="ja-JP"/>
        </w:rPr>
      </w:pPr>
      <w:r w:rsidRPr="00CA7033">
        <w:rPr>
          <w:rFonts w:eastAsia="MS Mincho"/>
          <w:i/>
          <w:szCs w:val="22"/>
          <w:lang w:eastAsia="ja-JP"/>
        </w:rPr>
        <w:t>Vaikų populiacija</w:t>
      </w:r>
    </w:p>
    <w:p w14:paraId="5232BF09" w14:textId="77777777" w:rsidR="00262F84" w:rsidRPr="00CA7033" w:rsidRDefault="00262F84" w:rsidP="00311D0F">
      <w:pPr>
        <w:autoSpaceDE w:val="0"/>
        <w:autoSpaceDN w:val="0"/>
        <w:adjustRightInd w:val="0"/>
        <w:rPr>
          <w:rFonts w:eastAsia="MS Mincho"/>
          <w:i/>
          <w:szCs w:val="22"/>
          <w:lang w:eastAsia="ja-JP"/>
        </w:rPr>
      </w:pPr>
    </w:p>
    <w:p w14:paraId="512F6518" w14:textId="77777777" w:rsidR="00311D0F" w:rsidRPr="00CA7033" w:rsidRDefault="00311D0F" w:rsidP="00311D0F">
      <w:pPr>
        <w:keepNext/>
        <w:tabs>
          <w:tab w:val="left" w:pos="567"/>
        </w:tabs>
        <w:rPr>
          <w:rFonts w:eastAsia="MS Mincho"/>
          <w:szCs w:val="22"/>
          <w:lang w:eastAsia="ja-JP"/>
        </w:rPr>
      </w:pPr>
      <w:r w:rsidRPr="00CA7033">
        <w:rPr>
          <w:rFonts w:eastAsia="MS Mincho"/>
          <w:szCs w:val="22"/>
          <w:lang w:eastAsia="ja-JP"/>
        </w:rPr>
        <w:t>Dekslansoprazolo farmakokinetika tirta daugiacentriame tyrime, kuriame dalyvavo 36 pacientai (12</w:t>
      </w:r>
      <w:r w:rsidRPr="00CA7033">
        <w:rPr>
          <w:rFonts w:eastAsia="MS Mincho"/>
          <w:szCs w:val="22"/>
          <w:lang w:eastAsia="ja-JP"/>
        </w:rPr>
        <w:noBreakHyphen/>
        <w:t>17 metų), sergantys simptomine GERL. Pacientai atsitiktinai parinkus 7 dienas kartą per parą vartojo 30 mg arba 60 mg Dexilant dozę. Paauglių organizme dekslansoprazolo vidutinė C</w:t>
      </w:r>
      <w:r w:rsidRPr="00CA7033">
        <w:rPr>
          <w:rFonts w:eastAsia="MS Mincho"/>
          <w:szCs w:val="22"/>
          <w:vertAlign w:val="subscript"/>
          <w:lang w:eastAsia="ja-JP"/>
        </w:rPr>
        <w:t>max</w:t>
      </w:r>
      <w:r w:rsidRPr="00CA7033">
        <w:rPr>
          <w:rFonts w:eastAsia="MS Mincho"/>
          <w:szCs w:val="22"/>
          <w:lang w:eastAsia="ja-JP"/>
        </w:rPr>
        <w:t xml:space="preserve"> sudarė 81</w:t>
      </w:r>
      <w:r w:rsidRPr="00CA7033">
        <w:rPr>
          <w:rFonts w:eastAsia="MS Mincho"/>
          <w:szCs w:val="22"/>
          <w:lang w:eastAsia="ja-JP"/>
        </w:rPr>
        <w:noBreakHyphen/>
        <w:t>105% vidutinio C</w:t>
      </w:r>
      <w:r w:rsidRPr="00CA7033">
        <w:rPr>
          <w:rFonts w:eastAsia="MS Mincho"/>
          <w:szCs w:val="22"/>
          <w:vertAlign w:val="subscript"/>
          <w:lang w:eastAsia="ja-JP"/>
        </w:rPr>
        <w:t>max</w:t>
      </w:r>
      <w:r w:rsidRPr="00CA7033">
        <w:rPr>
          <w:rFonts w:eastAsia="MS Mincho"/>
          <w:szCs w:val="22"/>
          <w:lang w:eastAsia="ja-JP"/>
        </w:rPr>
        <w:t xml:space="preserve"> rodmens suaugusiųjų organizme, vidutinis AUC − 78-88% vidutinio AUC rodmens suaugusiųjų organizme ir vidutinis CL/F − 112</w:t>
      </w:r>
      <w:r w:rsidRPr="00CA7033">
        <w:rPr>
          <w:rFonts w:eastAsia="MS Mincho"/>
          <w:szCs w:val="22"/>
          <w:lang w:eastAsia="ja-JP"/>
        </w:rPr>
        <w:noBreakHyphen/>
        <w:t>132% vidutinio CL/F rodmens suaugusiųjų organizme. Apskritai dekslansoprazolo farmakokinetika 12</w:t>
      </w:r>
      <w:r w:rsidRPr="00CA7033">
        <w:rPr>
          <w:rFonts w:eastAsia="MS Mincho"/>
          <w:szCs w:val="22"/>
          <w:lang w:eastAsia="ja-JP"/>
        </w:rPr>
        <w:noBreakHyphen/>
        <w:t>17 metų vaikų organizme buvo panaši į nustatytą suaugusiųjų organizme.</w:t>
      </w:r>
    </w:p>
    <w:p w14:paraId="22462416" w14:textId="77777777" w:rsidR="00311D0F" w:rsidRPr="00CA7033" w:rsidRDefault="00311D0F" w:rsidP="00311D0F">
      <w:pPr>
        <w:autoSpaceDE w:val="0"/>
        <w:autoSpaceDN w:val="0"/>
        <w:adjustRightInd w:val="0"/>
        <w:rPr>
          <w:i/>
          <w:szCs w:val="22"/>
        </w:rPr>
      </w:pPr>
    </w:p>
    <w:p w14:paraId="77E315B6" w14:textId="77777777" w:rsidR="00311D0F" w:rsidRPr="00CA7033" w:rsidRDefault="00311D0F" w:rsidP="00311D0F">
      <w:pPr>
        <w:autoSpaceDE w:val="0"/>
        <w:autoSpaceDN w:val="0"/>
        <w:adjustRightInd w:val="0"/>
        <w:rPr>
          <w:i/>
          <w:szCs w:val="22"/>
        </w:rPr>
      </w:pPr>
      <w:r w:rsidRPr="00CA7033">
        <w:rPr>
          <w:i/>
          <w:szCs w:val="22"/>
        </w:rPr>
        <w:t>Lytis</w:t>
      </w:r>
    </w:p>
    <w:p w14:paraId="5DC4F062" w14:textId="77777777" w:rsidR="00311D0F" w:rsidRPr="00CA7033" w:rsidRDefault="00311D0F" w:rsidP="00311D0F">
      <w:pPr>
        <w:autoSpaceDE w:val="0"/>
        <w:autoSpaceDN w:val="0"/>
        <w:adjustRightInd w:val="0"/>
        <w:rPr>
          <w:szCs w:val="22"/>
        </w:rPr>
      </w:pPr>
    </w:p>
    <w:p w14:paraId="6746D6CF" w14:textId="77777777" w:rsidR="00311D0F" w:rsidRPr="00CA7033" w:rsidRDefault="00311D0F" w:rsidP="00311D0F">
      <w:pPr>
        <w:autoSpaceDE w:val="0"/>
        <w:autoSpaceDN w:val="0"/>
        <w:adjustRightInd w:val="0"/>
        <w:rPr>
          <w:szCs w:val="22"/>
        </w:rPr>
      </w:pPr>
      <w:r w:rsidRPr="00CA7033">
        <w:rPr>
          <w:szCs w:val="22"/>
        </w:rPr>
        <w:t>Tyrimo, kuriame dalyvavę sveiki vyrai ir moterys vartojo vienkartinę 60 mg geriamojo Dexilant dozę, metu nustatyta, kad sisteminė ekspozicija (AUC) moterų organizme būna didesnė (42,8%) nei vyrų. Dozės koreguoti atsižvelgiant į amžių nereikia.</w:t>
      </w:r>
    </w:p>
    <w:p w14:paraId="23ABC307" w14:textId="77777777" w:rsidR="00311D0F" w:rsidRPr="00CA7033" w:rsidRDefault="00311D0F" w:rsidP="00311D0F">
      <w:pPr>
        <w:ind w:left="567" w:hanging="567"/>
        <w:rPr>
          <w:b/>
          <w:szCs w:val="22"/>
        </w:rPr>
      </w:pPr>
    </w:p>
    <w:p w14:paraId="0F65B8BD" w14:textId="77777777" w:rsidR="00311D0F" w:rsidRPr="00CA7033" w:rsidRDefault="00311D0F" w:rsidP="00572B1E">
      <w:pPr>
        <w:keepNext/>
        <w:ind w:left="567" w:hanging="567"/>
        <w:rPr>
          <w:b/>
          <w:szCs w:val="22"/>
        </w:rPr>
      </w:pPr>
      <w:r w:rsidRPr="00CA7033">
        <w:rPr>
          <w:b/>
          <w:szCs w:val="22"/>
        </w:rPr>
        <w:lastRenderedPageBreak/>
        <w:t>5.3</w:t>
      </w:r>
      <w:r w:rsidRPr="00CA7033">
        <w:rPr>
          <w:b/>
          <w:szCs w:val="22"/>
        </w:rPr>
        <w:tab/>
        <w:t>Ikiklinikinių saugumo tyrimų duomenys</w:t>
      </w:r>
    </w:p>
    <w:p w14:paraId="4C6CF24B" w14:textId="77777777" w:rsidR="00311D0F" w:rsidRPr="00CA7033" w:rsidRDefault="00311D0F" w:rsidP="00572B1E">
      <w:pPr>
        <w:keepNext/>
        <w:ind w:left="567" w:hanging="567"/>
        <w:rPr>
          <w:szCs w:val="22"/>
        </w:rPr>
      </w:pPr>
    </w:p>
    <w:p w14:paraId="0A97F39A" w14:textId="77777777" w:rsidR="00311D0F" w:rsidRPr="00CA7033" w:rsidRDefault="00311D0F" w:rsidP="00572B1E">
      <w:pPr>
        <w:keepNext/>
        <w:rPr>
          <w:szCs w:val="22"/>
        </w:rPr>
      </w:pPr>
      <w:r w:rsidRPr="00CA7033">
        <w:rPr>
          <w:szCs w:val="22"/>
        </w:rPr>
        <w:t>Įprastų farmakologinio saugumo, kartotinių dozių toksiškumo, genotoksiškumo, toksinio poveikio reprodukcijai ir vystymuisi ikiklinikinių tyrimų duomenys specifinio pavojaus žmogui nerodo.</w:t>
      </w:r>
    </w:p>
    <w:p w14:paraId="026911F2" w14:textId="77777777" w:rsidR="00311D0F" w:rsidRPr="00CA7033" w:rsidRDefault="00311D0F" w:rsidP="00311D0F">
      <w:pPr>
        <w:rPr>
          <w:szCs w:val="22"/>
        </w:rPr>
      </w:pPr>
    </w:p>
    <w:p w14:paraId="13E230D5" w14:textId="77777777" w:rsidR="00311D0F" w:rsidRPr="00CA7033" w:rsidRDefault="00311D0F" w:rsidP="00311D0F">
      <w:pPr>
        <w:rPr>
          <w:szCs w:val="22"/>
        </w:rPr>
      </w:pPr>
      <w:r w:rsidRPr="00CA7033">
        <w:rPr>
          <w:szCs w:val="22"/>
        </w:rPr>
        <w:t>Lansoprazolas yra receminis R- ir S</w:t>
      </w:r>
      <w:r w:rsidRPr="00CA7033">
        <w:rPr>
          <w:szCs w:val="22"/>
        </w:rPr>
        <w:noBreakHyphen/>
        <w:t>enantiomerų mišinys. Lansoprazolo pavartojus žmonėms ir gyvūnams, pagrindinė plazmoje cirkuliuojanti medžiaga yra dekslansoprazolas (lansoprazolo R-enantiomeras). Vadinasi, galimas kancerogeninis dekslansoprazolo poveikis buvo įvertintas ankstesnių lansoprazolo tyrimų metu.</w:t>
      </w:r>
    </w:p>
    <w:p w14:paraId="67780C88" w14:textId="77777777" w:rsidR="00311D0F" w:rsidRPr="00CA7033" w:rsidRDefault="00311D0F" w:rsidP="00311D0F">
      <w:pPr>
        <w:rPr>
          <w:szCs w:val="22"/>
        </w:rPr>
      </w:pPr>
    </w:p>
    <w:p w14:paraId="0385B43F" w14:textId="77777777" w:rsidR="00311D0F" w:rsidRPr="00CA7033" w:rsidRDefault="00311D0F" w:rsidP="00311D0F">
      <w:pPr>
        <w:rPr>
          <w:szCs w:val="22"/>
        </w:rPr>
      </w:pPr>
      <w:r w:rsidRPr="00CA7033">
        <w:rPr>
          <w:szCs w:val="22"/>
        </w:rPr>
        <w:t xml:space="preserve">Kancerogeninio poveikio tyrimų su žiurkėmis metu, vartojant lansoprazolo, atsirado nuo dozės priklausoma skrandžio EPL ląstelių hiperplazija ir EPL ląstelių karcinoidų, susijusių su dėl rūgšties slopinimo atsirandančia hipergastrinemija. Buvo žarnyno metaplazijos, </w:t>
      </w:r>
      <w:r w:rsidRPr="00CA7033">
        <w:rPr>
          <w:i/>
          <w:szCs w:val="22"/>
        </w:rPr>
        <w:t>Leydig</w:t>
      </w:r>
      <w:r w:rsidRPr="00CA7033">
        <w:rPr>
          <w:szCs w:val="22"/>
        </w:rPr>
        <w:t xml:space="preserve"> ląstelių hiperplazijos ir gerybinių </w:t>
      </w:r>
      <w:r w:rsidRPr="00CA7033">
        <w:rPr>
          <w:i/>
          <w:szCs w:val="22"/>
        </w:rPr>
        <w:t>Leydig</w:t>
      </w:r>
      <w:r w:rsidRPr="00CA7033">
        <w:rPr>
          <w:szCs w:val="22"/>
        </w:rPr>
        <w:t xml:space="preserve"> ląstelių navikų atsiradimo atvejų. Po 18 gydymo mėnesių pasireiškė tinklainės atrofija. Beždžionėms, šunims ir pelėms tokio poveikio neatsirado.</w:t>
      </w:r>
    </w:p>
    <w:p w14:paraId="3B608B83" w14:textId="77777777" w:rsidR="00311D0F" w:rsidRPr="00CA7033" w:rsidRDefault="00311D0F" w:rsidP="00311D0F">
      <w:pPr>
        <w:rPr>
          <w:szCs w:val="22"/>
        </w:rPr>
      </w:pPr>
    </w:p>
    <w:p w14:paraId="01D4E408" w14:textId="77777777" w:rsidR="00311D0F" w:rsidRPr="00CA7033" w:rsidRDefault="00311D0F" w:rsidP="00311D0F">
      <w:pPr>
        <w:rPr>
          <w:szCs w:val="22"/>
        </w:rPr>
      </w:pPr>
      <w:r w:rsidRPr="00CA7033">
        <w:rPr>
          <w:szCs w:val="22"/>
        </w:rPr>
        <w:t>Kancerogeninio poveikio tyrimų su pelėmis metu atsirado nuo dozės priklausoma skrandžio EPL ląstelių hiperplazija, kepenų navikų bei sėklidžių (</w:t>
      </w:r>
      <w:r w:rsidRPr="00CA7033">
        <w:rPr>
          <w:i/>
          <w:szCs w:val="22"/>
        </w:rPr>
        <w:t>rete testis</w:t>
      </w:r>
      <w:r w:rsidRPr="00CA7033">
        <w:rPr>
          <w:szCs w:val="22"/>
        </w:rPr>
        <w:t xml:space="preserve">) adenoma. </w:t>
      </w:r>
    </w:p>
    <w:p w14:paraId="5F3CA64D" w14:textId="77777777" w:rsidR="00311D0F" w:rsidRPr="00CA7033" w:rsidRDefault="00311D0F" w:rsidP="00311D0F">
      <w:pPr>
        <w:rPr>
          <w:szCs w:val="22"/>
        </w:rPr>
      </w:pPr>
    </w:p>
    <w:p w14:paraId="34C4B5F0" w14:textId="77777777" w:rsidR="00311D0F" w:rsidRPr="00CA7033" w:rsidRDefault="00311D0F" w:rsidP="00311D0F">
      <w:pPr>
        <w:rPr>
          <w:szCs w:val="22"/>
        </w:rPr>
      </w:pPr>
      <w:r w:rsidRPr="00CA7033">
        <w:rPr>
          <w:szCs w:val="22"/>
        </w:rPr>
        <w:t>Klinikinė tokio poveikio reikšmė nėra žinoma.</w:t>
      </w:r>
    </w:p>
    <w:p w14:paraId="79847A1F" w14:textId="77777777" w:rsidR="00311D0F" w:rsidRPr="00CA7033" w:rsidRDefault="00311D0F" w:rsidP="00311D0F">
      <w:pPr>
        <w:rPr>
          <w:szCs w:val="22"/>
        </w:rPr>
      </w:pPr>
    </w:p>
    <w:p w14:paraId="6A4DF178" w14:textId="77777777" w:rsidR="00311D0F" w:rsidRPr="00CA7033" w:rsidRDefault="00311D0F" w:rsidP="00311D0F">
      <w:pPr>
        <w:rPr>
          <w:szCs w:val="22"/>
        </w:rPr>
      </w:pPr>
      <w:r w:rsidRPr="00CA7033">
        <w:rPr>
          <w:szCs w:val="22"/>
        </w:rPr>
        <w:t xml:space="preserve">Lansoprazolo </w:t>
      </w:r>
      <w:r w:rsidRPr="00CA7033">
        <w:rPr>
          <w:i/>
          <w:iCs/>
          <w:szCs w:val="22"/>
        </w:rPr>
        <w:t>Ames</w:t>
      </w:r>
      <w:r w:rsidRPr="00CA7033">
        <w:rPr>
          <w:szCs w:val="22"/>
        </w:rPr>
        <w:t xml:space="preserve"> testo ir </w:t>
      </w:r>
      <w:r w:rsidRPr="00CA7033">
        <w:rPr>
          <w:i/>
          <w:szCs w:val="22"/>
        </w:rPr>
        <w:t>in vitro</w:t>
      </w:r>
      <w:r w:rsidRPr="00CA7033">
        <w:rPr>
          <w:szCs w:val="22"/>
        </w:rPr>
        <w:t xml:space="preserve"> žmogaus limfocitų chromosomų aberacijos tyrimo rezultatai buvo teigiami. Lansoprazolas nesukėlė genotoksinio poveikio </w:t>
      </w:r>
      <w:r w:rsidRPr="00CA7033">
        <w:rPr>
          <w:i/>
          <w:szCs w:val="22"/>
        </w:rPr>
        <w:t>ex vivo</w:t>
      </w:r>
      <w:r w:rsidRPr="00CA7033">
        <w:rPr>
          <w:szCs w:val="22"/>
        </w:rPr>
        <w:t xml:space="preserve"> žiurkių hepatocitų neplanuotos DNR sintezės (NDS) testo, </w:t>
      </w:r>
      <w:r w:rsidRPr="00CA7033">
        <w:rPr>
          <w:i/>
          <w:iCs/>
          <w:szCs w:val="22"/>
        </w:rPr>
        <w:t>in vivo</w:t>
      </w:r>
      <w:r w:rsidRPr="00CA7033">
        <w:rPr>
          <w:szCs w:val="22"/>
        </w:rPr>
        <w:t xml:space="preserve"> pelių mikrobranduolių testo ar žiurkių kaulų čiulpų ląstelių chromosomų aberacijos tyrimo metu.</w:t>
      </w:r>
    </w:p>
    <w:p w14:paraId="4B356C53" w14:textId="77777777" w:rsidR="00311D0F" w:rsidRPr="00CA7033" w:rsidRDefault="00311D0F" w:rsidP="00311D0F">
      <w:pPr>
        <w:rPr>
          <w:szCs w:val="22"/>
        </w:rPr>
      </w:pPr>
    </w:p>
    <w:p w14:paraId="5B897CEC" w14:textId="77777777" w:rsidR="00311D0F" w:rsidRPr="00CA7033" w:rsidRDefault="00311D0F" w:rsidP="00311D0F">
      <w:pPr>
        <w:rPr>
          <w:szCs w:val="22"/>
        </w:rPr>
      </w:pPr>
      <w:r w:rsidRPr="00CA7033">
        <w:rPr>
          <w:szCs w:val="22"/>
        </w:rPr>
        <w:t>Dekslansoprazolo</w:t>
      </w:r>
      <w:r w:rsidRPr="00CA7033">
        <w:rPr>
          <w:i/>
          <w:iCs/>
          <w:szCs w:val="22"/>
        </w:rPr>
        <w:t xml:space="preserve"> Ames</w:t>
      </w:r>
      <w:r w:rsidRPr="00CA7033">
        <w:rPr>
          <w:szCs w:val="22"/>
        </w:rPr>
        <w:t xml:space="preserve"> testo ir </w:t>
      </w:r>
      <w:r w:rsidRPr="00CA7033">
        <w:rPr>
          <w:i/>
          <w:szCs w:val="22"/>
        </w:rPr>
        <w:t>in vitro</w:t>
      </w:r>
      <w:r w:rsidRPr="00CA7033">
        <w:rPr>
          <w:szCs w:val="22"/>
        </w:rPr>
        <w:t xml:space="preserve"> kininio žiurkėno chromosomų aberacijos tyrimo rezultatai buvo teigiami. Dekslansoprazolo </w:t>
      </w:r>
      <w:r w:rsidRPr="00CA7033">
        <w:rPr>
          <w:i/>
          <w:iCs/>
          <w:szCs w:val="22"/>
        </w:rPr>
        <w:t>in vivo</w:t>
      </w:r>
      <w:r w:rsidRPr="00CA7033">
        <w:rPr>
          <w:szCs w:val="22"/>
        </w:rPr>
        <w:t xml:space="preserve"> pelių mikrobranduolių testas buvo neigiamas.</w:t>
      </w:r>
    </w:p>
    <w:p w14:paraId="448A6298" w14:textId="77777777" w:rsidR="00311D0F" w:rsidRPr="00CA7033" w:rsidRDefault="00311D0F" w:rsidP="00311D0F">
      <w:pPr>
        <w:rPr>
          <w:szCs w:val="22"/>
        </w:rPr>
      </w:pPr>
    </w:p>
    <w:p w14:paraId="0BF53A89" w14:textId="77777777" w:rsidR="00311D0F" w:rsidRPr="00CA7033" w:rsidRDefault="00311D0F" w:rsidP="00311D0F">
      <w:pPr>
        <w:rPr>
          <w:szCs w:val="22"/>
        </w:rPr>
      </w:pPr>
      <w:r w:rsidRPr="00CA7033">
        <w:rPr>
          <w:szCs w:val="22"/>
        </w:rPr>
        <w:t>Poveikio reprodukcijai tyrimas buvo atliktas su triušiais, per burną vartoto dekslansoprazolo dozė buvo iki maždaug 9 kartų didesnė nei maksimali žmonėms rekomenduojama dekslansoprazolo dozė (60 mg per parą), remiantis kūno paviršiaus plotu (KPP), jokių duomenų apie žalingą dekslansoprazolo poveikį vaisiui negauta. Be to, poveikio reprodukcijai tyrimų metu vaikingų žiurkių vartota geriamojo lansoprazolo dozė, iki 40 kartų didesnė nei maksimali žmonėms rekomenduojama lansoprazolo dozė (remiantis KPP), ir vaikingų triušių patelių vartota geriamojo lansoprazolo dozė, iki 16 kartų didesnė nei maksimali žmonėms rekomenduojama lansoprazolo dozė (remiantis KPP), jokio vislumą mažinančio ar žalos vaisiui sukeliančio lansoprazolo poveikio neparodė.</w:t>
      </w:r>
    </w:p>
    <w:p w14:paraId="59D36106" w14:textId="77777777" w:rsidR="00311D0F" w:rsidRPr="00CA7033" w:rsidRDefault="00311D0F" w:rsidP="002C5BC6">
      <w:pPr>
        <w:rPr>
          <w:szCs w:val="22"/>
        </w:rPr>
      </w:pPr>
    </w:p>
    <w:p w14:paraId="18B6CB05" w14:textId="77777777" w:rsidR="00E34104" w:rsidRPr="00CA7033" w:rsidRDefault="00E34104" w:rsidP="00311D0F">
      <w:pPr>
        <w:rPr>
          <w:szCs w:val="22"/>
          <w:u w:val="single"/>
        </w:rPr>
      </w:pPr>
      <w:r w:rsidRPr="00CA7033">
        <w:rPr>
          <w:szCs w:val="22"/>
          <w:u w:val="single"/>
        </w:rPr>
        <w:t>Tyrimai su gyvūnų jaunikliais</w:t>
      </w:r>
    </w:p>
    <w:p w14:paraId="3797324B" w14:textId="77777777" w:rsidR="00E34104" w:rsidRPr="00CA7033" w:rsidRDefault="00E34104" w:rsidP="00311D0F">
      <w:pPr>
        <w:rPr>
          <w:szCs w:val="22"/>
        </w:rPr>
      </w:pPr>
    </w:p>
    <w:p w14:paraId="3E71446B" w14:textId="77777777" w:rsidR="00E34104" w:rsidRPr="00CA7033" w:rsidRDefault="00E34104" w:rsidP="0059782B">
      <w:pPr>
        <w:rPr>
          <w:szCs w:val="22"/>
        </w:rPr>
      </w:pPr>
      <w:r w:rsidRPr="00CA7033">
        <w:rPr>
          <w:szCs w:val="22"/>
        </w:rPr>
        <w:t>Lansoprazolo tyrimai su jaunomis žiurkėmis (8 savaičių tyrimas, 6 savaičių toksikokinetinės dozės titravimo tyrimas, vystymosi jautrumo tyrimas), atitinkantys jaunesnių nei 12 metų vaikų populiaciją, parodė</w:t>
      </w:r>
      <w:r w:rsidR="00DC7666" w:rsidRPr="00CA7033">
        <w:rPr>
          <w:szCs w:val="22"/>
        </w:rPr>
        <w:t xml:space="preserve"> dažnesnius</w:t>
      </w:r>
      <w:r w:rsidRPr="00CA7033">
        <w:rPr>
          <w:szCs w:val="22"/>
        </w:rPr>
        <w:t xml:space="preserve"> širdies vožtuvų sustorėjim</w:t>
      </w:r>
      <w:r w:rsidR="00DC7666" w:rsidRPr="00CA7033">
        <w:rPr>
          <w:szCs w:val="22"/>
        </w:rPr>
        <w:t>o atvejus</w:t>
      </w:r>
      <w:r w:rsidRPr="00CA7033">
        <w:rPr>
          <w:szCs w:val="22"/>
        </w:rPr>
        <w:t xml:space="preserve">. Rezultatai </w:t>
      </w:r>
      <w:r w:rsidR="00DC7666" w:rsidRPr="00CA7033">
        <w:rPr>
          <w:szCs w:val="22"/>
        </w:rPr>
        <w:t>buvo gr</w:t>
      </w:r>
      <w:r w:rsidR="004E373F" w:rsidRPr="00CA7033">
        <w:rPr>
          <w:szCs w:val="22"/>
        </w:rPr>
        <w:t>į</w:t>
      </w:r>
      <w:r w:rsidR="00DC7666" w:rsidRPr="00CA7033">
        <w:rPr>
          <w:szCs w:val="22"/>
        </w:rPr>
        <w:t>žtami</w:t>
      </w:r>
      <w:r w:rsidRPr="00CA7033">
        <w:rPr>
          <w:szCs w:val="22"/>
        </w:rPr>
        <w:t xml:space="preserve"> arba </w:t>
      </w:r>
      <w:r w:rsidR="00DC7666" w:rsidRPr="00CA7033">
        <w:rPr>
          <w:szCs w:val="22"/>
        </w:rPr>
        <w:t>turėjo polinkį</w:t>
      </w:r>
      <w:r w:rsidRPr="00CA7033">
        <w:rPr>
          <w:szCs w:val="22"/>
        </w:rPr>
        <w:t xml:space="preserve"> į grįžtamumą po 4 savaičių </w:t>
      </w:r>
      <w:r w:rsidR="00DC7666" w:rsidRPr="00CA7033">
        <w:rPr>
          <w:szCs w:val="22"/>
        </w:rPr>
        <w:t>atsistatymo laikotarpio</w:t>
      </w:r>
      <w:r w:rsidRPr="00CA7033">
        <w:rPr>
          <w:szCs w:val="22"/>
        </w:rPr>
        <w:t xml:space="preserve">. </w:t>
      </w:r>
      <w:r w:rsidR="00DC7666" w:rsidRPr="00CA7033">
        <w:rPr>
          <w:szCs w:val="22"/>
        </w:rPr>
        <w:t>Ž</w:t>
      </w:r>
      <w:r w:rsidRPr="00CA7033">
        <w:rPr>
          <w:szCs w:val="22"/>
        </w:rPr>
        <w:t>iurk</w:t>
      </w:r>
      <w:r w:rsidR="00DC7666" w:rsidRPr="00CA7033">
        <w:rPr>
          <w:szCs w:val="22"/>
        </w:rPr>
        <w:t>ių jauniklia</w:t>
      </w:r>
      <w:r w:rsidR="004E373F" w:rsidRPr="00CA7033">
        <w:rPr>
          <w:szCs w:val="22"/>
        </w:rPr>
        <w:t>i</w:t>
      </w:r>
      <w:r w:rsidRPr="00CA7033">
        <w:rPr>
          <w:szCs w:val="22"/>
        </w:rPr>
        <w:t>, jaunesn</w:t>
      </w:r>
      <w:r w:rsidR="00DC7666" w:rsidRPr="00CA7033">
        <w:rPr>
          <w:szCs w:val="22"/>
        </w:rPr>
        <w:t>i</w:t>
      </w:r>
      <w:r w:rsidRPr="00CA7033">
        <w:rPr>
          <w:szCs w:val="22"/>
        </w:rPr>
        <w:t xml:space="preserve"> nei 21 diena po gim</w:t>
      </w:r>
      <w:r w:rsidR="00DC7666" w:rsidRPr="00CA7033">
        <w:rPr>
          <w:szCs w:val="22"/>
        </w:rPr>
        <w:t>im</w:t>
      </w:r>
      <w:r w:rsidRPr="00CA7033">
        <w:rPr>
          <w:szCs w:val="22"/>
        </w:rPr>
        <w:t>o (</w:t>
      </w:r>
      <w:r w:rsidR="00DC7666" w:rsidRPr="00CA7033">
        <w:rPr>
          <w:szCs w:val="22"/>
        </w:rPr>
        <w:t xml:space="preserve">atitinka </w:t>
      </w:r>
      <w:r w:rsidRPr="00CA7033">
        <w:rPr>
          <w:szCs w:val="22"/>
        </w:rPr>
        <w:t>maždaug 2</w:t>
      </w:r>
      <w:r w:rsidR="00DC7666" w:rsidRPr="00CA7033">
        <w:rPr>
          <w:szCs w:val="22"/>
        </w:rPr>
        <w:t> </w:t>
      </w:r>
      <w:r w:rsidRPr="00CA7033">
        <w:rPr>
          <w:szCs w:val="22"/>
        </w:rPr>
        <w:t>met</w:t>
      </w:r>
      <w:r w:rsidR="00DC7666" w:rsidRPr="00CA7033">
        <w:rPr>
          <w:szCs w:val="22"/>
        </w:rPr>
        <w:t>us žmogaus amžiaus</w:t>
      </w:r>
      <w:r w:rsidRPr="00CA7033">
        <w:rPr>
          <w:szCs w:val="22"/>
        </w:rPr>
        <w:t xml:space="preserve">), </w:t>
      </w:r>
      <w:r w:rsidR="004E373F" w:rsidRPr="00CA7033">
        <w:rPr>
          <w:szCs w:val="22"/>
        </w:rPr>
        <w:t>buvo labiau linkę</w:t>
      </w:r>
      <w:r w:rsidRPr="00CA7033">
        <w:rPr>
          <w:szCs w:val="22"/>
        </w:rPr>
        <w:t xml:space="preserve"> </w:t>
      </w:r>
      <w:r w:rsidR="004E373F" w:rsidRPr="00CA7033">
        <w:rPr>
          <w:szCs w:val="22"/>
        </w:rPr>
        <w:t>į</w:t>
      </w:r>
      <w:r w:rsidRPr="00CA7033">
        <w:rPr>
          <w:szCs w:val="22"/>
        </w:rPr>
        <w:t xml:space="preserve"> širdies vožtuvų sustorėjimą. Numatomos dekslansoprazolo ekspozicijos žmonėms saugumo ribos yra 2–3 kartus didesnės už </w:t>
      </w:r>
      <w:r w:rsidR="004E373F" w:rsidRPr="00CA7033">
        <w:rPr>
          <w:szCs w:val="22"/>
        </w:rPr>
        <w:t xml:space="preserve">tyrimuose su gyvūnų jaunikliais taikytą </w:t>
      </w:r>
      <w:r w:rsidRPr="00CA7033">
        <w:rPr>
          <w:szCs w:val="22"/>
        </w:rPr>
        <w:t xml:space="preserve">ekspoziciją, pagrįstą AUC, </w:t>
      </w:r>
      <w:r w:rsidR="004E373F" w:rsidRPr="00CA7033">
        <w:rPr>
          <w:szCs w:val="22"/>
        </w:rPr>
        <w:t xml:space="preserve">esant neigiamo poveikio nesukeliančiai dozei (angl. </w:t>
      </w:r>
      <w:r w:rsidR="004E373F" w:rsidRPr="00CA7033">
        <w:rPr>
          <w:i/>
          <w:iCs/>
          <w:szCs w:val="22"/>
        </w:rPr>
        <w:t>no</w:t>
      </w:r>
      <w:r w:rsidR="00472B1E" w:rsidRPr="00CA7033">
        <w:rPr>
          <w:i/>
          <w:iCs/>
          <w:szCs w:val="22"/>
        </w:rPr>
        <w:t>-</w:t>
      </w:r>
      <w:r w:rsidR="004E373F" w:rsidRPr="00CA7033">
        <w:rPr>
          <w:i/>
          <w:iCs/>
          <w:szCs w:val="22"/>
        </w:rPr>
        <w:t>observed</w:t>
      </w:r>
      <w:r w:rsidR="00472B1E" w:rsidRPr="00CA7033">
        <w:rPr>
          <w:i/>
          <w:iCs/>
          <w:szCs w:val="22"/>
        </w:rPr>
        <w:t>-</w:t>
      </w:r>
      <w:r w:rsidR="004E373F" w:rsidRPr="00CA7033">
        <w:rPr>
          <w:i/>
          <w:iCs/>
          <w:szCs w:val="22"/>
        </w:rPr>
        <w:t>effect level</w:t>
      </w:r>
      <w:r w:rsidR="004E373F" w:rsidRPr="00CA7033">
        <w:rPr>
          <w:szCs w:val="22"/>
        </w:rPr>
        <w:t xml:space="preserve">, NOEL) </w:t>
      </w:r>
      <w:r w:rsidRPr="00CA7033">
        <w:rPr>
          <w:szCs w:val="22"/>
        </w:rPr>
        <w:t xml:space="preserve">(8 savaičių tyrimas, 6 savaičių toksikokinetinės dozės titravimo tyrimas) </w:t>
      </w:r>
      <w:r w:rsidR="004E373F" w:rsidRPr="00CA7033">
        <w:rPr>
          <w:szCs w:val="22"/>
        </w:rPr>
        <w:t xml:space="preserve">arba </w:t>
      </w:r>
      <w:r w:rsidR="00101EB7" w:rsidRPr="00CA7033">
        <w:rPr>
          <w:szCs w:val="22"/>
        </w:rPr>
        <w:t xml:space="preserve">mažiausiai pastebimą poveikį sukeliančiai dozei (angl. </w:t>
      </w:r>
      <w:r w:rsidR="00101EB7" w:rsidRPr="00CA7033">
        <w:rPr>
          <w:i/>
          <w:szCs w:val="22"/>
        </w:rPr>
        <w:t>lowest</w:t>
      </w:r>
      <w:r w:rsidR="00101EB7" w:rsidRPr="00CA7033">
        <w:rPr>
          <w:i/>
          <w:szCs w:val="22"/>
        </w:rPr>
        <w:noBreakHyphen/>
        <w:t>observed</w:t>
      </w:r>
      <w:r w:rsidR="00101EB7" w:rsidRPr="00CA7033">
        <w:rPr>
          <w:i/>
          <w:szCs w:val="22"/>
        </w:rPr>
        <w:noBreakHyphen/>
        <w:t xml:space="preserve">effect level, </w:t>
      </w:r>
      <w:r w:rsidR="00101EB7" w:rsidRPr="00CA7033">
        <w:rPr>
          <w:iCs/>
          <w:szCs w:val="22"/>
        </w:rPr>
        <w:t>LOE</w:t>
      </w:r>
      <w:r w:rsidR="00472B1E" w:rsidRPr="00CA7033">
        <w:rPr>
          <w:iCs/>
          <w:szCs w:val="22"/>
        </w:rPr>
        <w:t>L</w:t>
      </w:r>
      <w:r w:rsidR="00101EB7" w:rsidRPr="00CA7033">
        <w:rPr>
          <w:szCs w:val="22"/>
        </w:rPr>
        <w:t xml:space="preserve">) </w:t>
      </w:r>
      <w:r w:rsidRPr="00CA7033">
        <w:rPr>
          <w:szCs w:val="22"/>
        </w:rPr>
        <w:t>(</w:t>
      </w:r>
      <w:r w:rsidR="00101EB7" w:rsidRPr="00CA7033">
        <w:rPr>
          <w:szCs w:val="22"/>
        </w:rPr>
        <w:t xml:space="preserve">vystymosi </w:t>
      </w:r>
      <w:r w:rsidRPr="00CA7033">
        <w:rPr>
          <w:szCs w:val="22"/>
        </w:rPr>
        <w:t>jautrumo tyrimas).</w:t>
      </w:r>
    </w:p>
    <w:p w14:paraId="310525BC" w14:textId="77777777" w:rsidR="00262F84" w:rsidRPr="00CA7033" w:rsidRDefault="00262F84" w:rsidP="0059782B">
      <w:pPr>
        <w:rPr>
          <w:szCs w:val="22"/>
        </w:rPr>
      </w:pPr>
    </w:p>
    <w:p w14:paraId="1A5AA4E0" w14:textId="223D9EE3" w:rsidR="00311D0F" w:rsidRPr="00CA7033" w:rsidRDefault="00E34104" w:rsidP="0059782B">
      <w:pPr>
        <w:rPr>
          <w:szCs w:val="22"/>
        </w:rPr>
      </w:pPr>
      <w:r w:rsidRPr="00CA7033">
        <w:rPr>
          <w:szCs w:val="22"/>
        </w:rPr>
        <w:t xml:space="preserve">Šių </w:t>
      </w:r>
      <w:r w:rsidR="00101EB7" w:rsidRPr="00CA7033">
        <w:rPr>
          <w:szCs w:val="22"/>
        </w:rPr>
        <w:t>duomen</w:t>
      </w:r>
      <w:r w:rsidRPr="00CA7033">
        <w:rPr>
          <w:szCs w:val="22"/>
        </w:rPr>
        <w:t xml:space="preserve">ų </w:t>
      </w:r>
      <w:r w:rsidR="00101EB7" w:rsidRPr="00CA7033">
        <w:rPr>
          <w:szCs w:val="22"/>
        </w:rPr>
        <w:t>reikšmė</w:t>
      </w:r>
      <w:r w:rsidRPr="00CA7033">
        <w:rPr>
          <w:szCs w:val="22"/>
        </w:rPr>
        <w:t xml:space="preserve"> jaunesniems nei 12</w:t>
      </w:r>
      <w:r w:rsidR="00101EB7" w:rsidRPr="00CA7033">
        <w:rPr>
          <w:szCs w:val="22"/>
        </w:rPr>
        <w:t> </w:t>
      </w:r>
      <w:r w:rsidRPr="00CA7033">
        <w:rPr>
          <w:szCs w:val="22"/>
        </w:rPr>
        <w:t>metų vaikams nėra žinoma.</w:t>
      </w:r>
    </w:p>
    <w:p w14:paraId="2273DD59" w14:textId="77777777" w:rsidR="00E34104" w:rsidRPr="00CA7033" w:rsidRDefault="00E34104" w:rsidP="0059782B">
      <w:pPr>
        <w:rPr>
          <w:szCs w:val="22"/>
        </w:rPr>
      </w:pPr>
    </w:p>
    <w:p w14:paraId="1D3E196B" w14:textId="77777777" w:rsidR="00311D0F" w:rsidRPr="00CA7033" w:rsidRDefault="00311D0F" w:rsidP="002C5BC6">
      <w:pPr>
        <w:rPr>
          <w:szCs w:val="22"/>
        </w:rPr>
      </w:pPr>
    </w:p>
    <w:p w14:paraId="7261E979" w14:textId="77777777" w:rsidR="00311D0F" w:rsidRPr="00CA7033" w:rsidRDefault="00311D0F" w:rsidP="00572B1E">
      <w:pPr>
        <w:keepNext/>
        <w:ind w:left="567" w:hanging="567"/>
        <w:rPr>
          <w:b/>
          <w:caps/>
          <w:szCs w:val="22"/>
        </w:rPr>
      </w:pPr>
      <w:r w:rsidRPr="00CA7033">
        <w:rPr>
          <w:b/>
          <w:caps/>
          <w:szCs w:val="22"/>
        </w:rPr>
        <w:lastRenderedPageBreak/>
        <w:t>6.</w:t>
      </w:r>
      <w:r w:rsidRPr="00CA7033">
        <w:rPr>
          <w:b/>
          <w:caps/>
          <w:szCs w:val="22"/>
        </w:rPr>
        <w:tab/>
        <w:t>farmacinė informacija</w:t>
      </w:r>
    </w:p>
    <w:p w14:paraId="3146AB5D" w14:textId="77777777" w:rsidR="00311D0F" w:rsidRPr="00CA7033" w:rsidRDefault="00311D0F" w:rsidP="00572B1E">
      <w:pPr>
        <w:keepNext/>
        <w:ind w:left="567" w:hanging="567"/>
        <w:rPr>
          <w:szCs w:val="22"/>
        </w:rPr>
      </w:pPr>
    </w:p>
    <w:p w14:paraId="7F28D18B" w14:textId="77777777" w:rsidR="00311D0F" w:rsidRPr="00CA7033" w:rsidRDefault="00311D0F" w:rsidP="00572B1E">
      <w:pPr>
        <w:keepNext/>
        <w:ind w:left="567" w:hanging="567"/>
        <w:rPr>
          <w:b/>
          <w:szCs w:val="22"/>
        </w:rPr>
      </w:pPr>
      <w:r w:rsidRPr="00CA7033">
        <w:rPr>
          <w:b/>
          <w:szCs w:val="22"/>
        </w:rPr>
        <w:t>6.1</w:t>
      </w:r>
      <w:r w:rsidRPr="00CA7033">
        <w:rPr>
          <w:b/>
          <w:szCs w:val="22"/>
        </w:rPr>
        <w:tab/>
        <w:t>Pagalbinių medžiagų sąrašas</w:t>
      </w:r>
    </w:p>
    <w:p w14:paraId="5BFBBBA1" w14:textId="77777777" w:rsidR="00311D0F" w:rsidRPr="00CA7033" w:rsidRDefault="00311D0F" w:rsidP="00572B1E">
      <w:pPr>
        <w:keepNext/>
        <w:rPr>
          <w:szCs w:val="22"/>
        </w:rPr>
      </w:pPr>
    </w:p>
    <w:p w14:paraId="6359EC53" w14:textId="77777777" w:rsidR="00311D0F" w:rsidRPr="00CA7033" w:rsidRDefault="00311D0F" w:rsidP="00262F84">
      <w:pPr>
        <w:keepNext/>
        <w:rPr>
          <w:szCs w:val="22"/>
          <w:u w:val="single"/>
        </w:rPr>
      </w:pPr>
      <w:r w:rsidRPr="00CA7033">
        <w:rPr>
          <w:szCs w:val="22"/>
          <w:u w:val="single"/>
        </w:rPr>
        <w:t>Kapsulės turinys</w:t>
      </w:r>
    </w:p>
    <w:p w14:paraId="3B314F34" w14:textId="77777777" w:rsidR="00262F84" w:rsidRPr="00CA7033" w:rsidRDefault="00262F84" w:rsidP="00572B1E">
      <w:pPr>
        <w:keepNext/>
        <w:rPr>
          <w:szCs w:val="22"/>
          <w:u w:val="single"/>
        </w:rPr>
      </w:pPr>
    </w:p>
    <w:p w14:paraId="0BCC0805" w14:textId="77777777" w:rsidR="00311D0F" w:rsidRPr="00CA7033" w:rsidRDefault="00311D0F" w:rsidP="00572B1E">
      <w:pPr>
        <w:keepNext/>
        <w:rPr>
          <w:szCs w:val="22"/>
        </w:rPr>
      </w:pPr>
      <w:r w:rsidRPr="00CA7033">
        <w:rPr>
          <w:szCs w:val="22"/>
        </w:rPr>
        <w:t>Koloidinis bevandenis silicio dioksidas</w:t>
      </w:r>
    </w:p>
    <w:p w14:paraId="2D5C4F74" w14:textId="77777777" w:rsidR="00311D0F" w:rsidRPr="00CA7033" w:rsidRDefault="00311D0F" w:rsidP="00311D0F">
      <w:pPr>
        <w:rPr>
          <w:szCs w:val="22"/>
        </w:rPr>
      </w:pPr>
      <w:r w:rsidRPr="00CA7033">
        <w:rPr>
          <w:szCs w:val="22"/>
        </w:rPr>
        <w:t xml:space="preserve">Hidroksipropilceliuliozė </w:t>
      </w:r>
    </w:p>
    <w:p w14:paraId="4960F25A" w14:textId="77777777" w:rsidR="00311D0F" w:rsidRPr="00CA7033" w:rsidRDefault="00311D0F" w:rsidP="00311D0F">
      <w:pPr>
        <w:rPr>
          <w:szCs w:val="22"/>
        </w:rPr>
      </w:pPr>
      <w:r w:rsidRPr="00CA7033">
        <w:rPr>
          <w:szCs w:val="22"/>
        </w:rPr>
        <w:t xml:space="preserve">Hipromeliozė </w:t>
      </w:r>
    </w:p>
    <w:p w14:paraId="273E3F0A" w14:textId="77777777" w:rsidR="00311D0F" w:rsidRPr="00CA7033" w:rsidRDefault="00311D0F" w:rsidP="00311D0F">
      <w:pPr>
        <w:rPr>
          <w:szCs w:val="22"/>
        </w:rPr>
      </w:pPr>
      <w:r w:rsidRPr="00CA7033">
        <w:rPr>
          <w:szCs w:val="22"/>
        </w:rPr>
        <w:t>Mažai pakeista hidroksipropilceliuliozė</w:t>
      </w:r>
    </w:p>
    <w:p w14:paraId="1A051C08" w14:textId="77777777" w:rsidR="00311D0F" w:rsidRPr="00CA7033" w:rsidRDefault="00311D0F" w:rsidP="00311D0F">
      <w:pPr>
        <w:rPr>
          <w:szCs w:val="22"/>
        </w:rPr>
      </w:pPr>
      <w:r w:rsidRPr="00CA7033">
        <w:rPr>
          <w:szCs w:val="22"/>
        </w:rPr>
        <w:t>Sunkusis magnio subkarbonatas</w:t>
      </w:r>
    </w:p>
    <w:p w14:paraId="511117A0" w14:textId="77777777" w:rsidR="00311D0F" w:rsidRPr="00CA7033" w:rsidRDefault="00311D0F" w:rsidP="00311D0F">
      <w:pPr>
        <w:rPr>
          <w:szCs w:val="22"/>
        </w:rPr>
      </w:pPr>
      <w:r w:rsidRPr="00CA7033">
        <w:rPr>
          <w:szCs w:val="22"/>
        </w:rPr>
        <w:t>Metakrilo rūgšties ir etilakrilato 1:1 kopolimero 30 % dispersija (metakrilo rūgšties vienetai, etilakrilato vienetai, natrio laurilsulfatas, polisorbatas 80)</w:t>
      </w:r>
    </w:p>
    <w:p w14:paraId="17C44239" w14:textId="77777777" w:rsidR="00311D0F" w:rsidRPr="00CA7033" w:rsidRDefault="00311D0F" w:rsidP="00311D0F">
      <w:pPr>
        <w:rPr>
          <w:szCs w:val="22"/>
        </w:rPr>
      </w:pPr>
      <w:r w:rsidRPr="00CA7033">
        <w:rPr>
          <w:szCs w:val="22"/>
        </w:rPr>
        <w:t xml:space="preserve">Metakrilo rūgšties ir metilmetakrilato 1:1 kopolimeras </w:t>
      </w:r>
    </w:p>
    <w:p w14:paraId="5F2D4A2A" w14:textId="77777777" w:rsidR="00311D0F" w:rsidRPr="00CA7033" w:rsidRDefault="00311D0F" w:rsidP="00311D0F">
      <w:pPr>
        <w:rPr>
          <w:szCs w:val="22"/>
        </w:rPr>
      </w:pPr>
      <w:r w:rsidRPr="00CA7033">
        <w:rPr>
          <w:szCs w:val="22"/>
        </w:rPr>
        <w:t xml:space="preserve">Metakrilo rūgšties ir metilmetakrilato 1:2 kopolimeras </w:t>
      </w:r>
    </w:p>
    <w:p w14:paraId="678315B5" w14:textId="77777777" w:rsidR="00311D0F" w:rsidRPr="00CA7033" w:rsidRDefault="00311D0F" w:rsidP="00311D0F">
      <w:pPr>
        <w:rPr>
          <w:szCs w:val="22"/>
        </w:rPr>
      </w:pPr>
      <w:r w:rsidRPr="00CA7033">
        <w:rPr>
          <w:szCs w:val="22"/>
        </w:rPr>
        <w:t>Makrogolis 8000</w:t>
      </w:r>
    </w:p>
    <w:p w14:paraId="2AE4A289" w14:textId="77777777" w:rsidR="00311D0F" w:rsidRPr="00CA7033" w:rsidRDefault="00311D0F" w:rsidP="00311D0F">
      <w:pPr>
        <w:rPr>
          <w:szCs w:val="22"/>
        </w:rPr>
      </w:pPr>
      <w:r w:rsidRPr="00CA7033">
        <w:rPr>
          <w:szCs w:val="22"/>
        </w:rPr>
        <w:t>Polisorbatas 80</w:t>
      </w:r>
    </w:p>
    <w:p w14:paraId="203C3D2F" w14:textId="77777777" w:rsidR="00311D0F" w:rsidRPr="00CA7033" w:rsidRDefault="00311D0F" w:rsidP="00311D0F">
      <w:pPr>
        <w:rPr>
          <w:szCs w:val="22"/>
        </w:rPr>
      </w:pPr>
      <w:r w:rsidRPr="00CA7033">
        <w:rPr>
          <w:szCs w:val="22"/>
        </w:rPr>
        <w:t>Sacharozė</w:t>
      </w:r>
    </w:p>
    <w:p w14:paraId="4203FEA1" w14:textId="77777777" w:rsidR="00311D0F" w:rsidRPr="00CA7033" w:rsidRDefault="00311D0F" w:rsidP="00311D0F">
      <w:pPr>
        <w:rPr>
          <w:szCs w:val="22"/>
        </w:rPr>
      </w:pPr>
      <w:r w:rsidRPr="00CA7033">
        <w:rPr>
          <w:szCs w:val="22"/>
        </w:rPr>
        <w:t>Cukriniai branduoliai (sacharozė, kukurūzų krakmolas)</w:t>
      </w:r>
    </w:p>
    <w:p w14:paraId="2E4C3610" w14:textId="77777777" w:rsidR="00311D0F" w:rsidRPr="00CA7033" w:rsidRDefault="00311D0F" w:rsidP="00311D0F">
      <w:pPr>
        <w:rPr>
          <w:szCs w:val="22"/>
        </w:rPr>
      </w:pPr>
      <w:r w:rsidRPr="00CA7033">
        <w:rPr>
          <w:szCs w:val="22"/>
        </w:rPr>
        <w:t>Talkas</w:t>
      </w:r>
    </w:p>
    <w:p w14:paraId="3CC2D9E8" w14:textId="77777777" w:rsidR="00311D0F" w:rsidRPr="00CA7033" w:rsidRDefault="00311D0F" w:rsidP="00311D0F">
      <w:pPr>
        <w:rPr>
          <w:szCs w:val="22"/>
        </w:rPr>
      </w:pPr>
      <w:r w:rsidRPr="00CA7033">
        <w:rPr>
          <w:szCs w:val="22"/>
        </w:rPr>
        <w:t>Titano dioksidas (E171)</w:t>
      </w:r>
    </w:p>
    <w:p w14:paraId="1A2E67CF" w14:textId="77777777" w:rsidR="00311D0F" w:rsidRPr="00CA7033" w:rsidRDefault="00311D0F" w:rsidP="00311D0F">
      <w:pPr>
        <w:rPr>
          <w:szCs w:val="22"/>
        </w:rPr>
      </w:pPr>
      <w:r w:rsidRPr="00CA7033">
        <w:rPr>
          <w:szCs w:val="22"/>
        </w:rPr>
        <w:t xml:space="preserve">Trietilo citratas </w:t>
      </w:r>
    </w:p>
    <w:p w14:paraId="01513177" w14:textId="77777777" w:rsidR="00311D0F" w:rsidRPr="00CA7033" w:rsidRDefault="00311D0F" w:rsidP="00311D0F">
      <w:pPr>
        <w:rPr>
          <w:szCs w:val="22"/>
        </w:rPr>
      </w:pPr>
    </w:p>
    <w:p w14:paraId="22E35DBA" w14:textId="4E99920C" w:rsidR="00311D0F" w:rsidRPr="00CA7033" w:rsidRDefault="00311D0F" w:rsidP="00311D0F">
      <w:pPr>
        <w:rPr>
          <w:szCs w:val="22"/>
          <w:u w:val="single"/>
        </w:rPr>
      </w:pPr>
      <w:r w:rsidRPr="00CA7033">
        <w:rPr>
          <w:szCs w:val="22"/>
          <w:u w:val="single"/>
        </w:rPr>
        <w:t>30 mg kapsulės apvalkalas</w:t>
      </w:r>
    </w:p>
    <w:p w14:paraId="40BF7A8E" w14:textId="77777777" w:rsidR="00262F84" w:rsidRPr="00CA7033" w:rsidRDefault="00262F84" w:rsidP="00311D0F">
      <w:pPr>
        <w:rPr>
          <w:szCs w:val="22"/>
          <w:u w:val="single"/>
        </w:rPr>
      </w:pPr>
    </w:p>
    <w:p w14:paraId="078F6498" w14:textId="77777777" w:rsidR="00311D0F" w:rsidRPr="00CA7033" w:rsidRDefault="00311D0F" w:rsidP="00311D0F">
      <w:pPr>
        <w:rPr>
          <w:szCs w:val="22"/>
        </w:rPr>
      </w:pPr>
      <w:r w:rsidRPr="00CA7033">
        <w:rPr>
          <w:szCs w:val="22"/>
        </w:rPr>
        <w:t>Karagenanas (E407)</w:t>
      </w:r>
    </w:p>
    <w:p w14:paraId="2312C6CB" w14:textId="77777777" w:rsidR="00311D0F" w:rsidRPr="00CA7033" w:rsidRDefault="00311D0F" w:rsidP="00311D0F">
      <w:pPr>
        <w:rPr>
          <w:szCs w:val="22"/>
        </w:rPr>
      </w:pPr>
      <w:r w:rsidRPr="00CA7033">
        <w:rPr>
          <w:szCs w:val="22"/>
        </w:rPr>
        <w:t>Titano dioksidas (E171)</w:t>
      </w:r>
    </w:p>
    <w:p w14:paraId="226111FB" w14:textId="77777777" w:rsidR="00311D0F" w:rsidRPr="00CA7033" w:rsidRDefault="00311D0F" w:rsidP="00311D0F">
      <w:pPr>
        <w:rPr>
          <w:szCs w:val="22"/>
        </w:rPr>
      </w:pPr>
      <w:r w:rsidRPr="00CA7033">
        <w:rPr>
          <w:szCs w:val="22"/>
        </w:rPr>
        <w:t xml:space="preserve">Hipromeliozė </w:t>
      </w:r>
    </w:p>
    <w:p w14:paraId="00FB9D2C" w14:textId="77777777" w:rsidR="00311D0F" w:rsidRPr="00CA7033" w:rsidRDefault="00311D0F" w:rsidP="00311D0F">
      <w:pPr>
        <w:rPr>
          <w:szCs w:val="22"/>
        </w:rPr>
      </w:pPr>
      <w:r w:rsidRPr="00CA7033">
        <w:rPr>
          <w:szCs w:val="22"/>
        </w:rPr>
        <w:t>Kalio chloridas</w:t>
      </w:r>
    </w:p>
    <w:p w14:paraId="4FC947AF" w14:textId="77777777" w:rsidR="00311D0F" w:rsidRPr="00CA7033" w:rsidRDefault="00311D0F" w:rsidP="00311D0F">
      <w:pPr>
        <w:rPr>
          <w:szCs w:val="22"/>
        </w:rPr>
      </w:pPr>
      <w:r w:rsidRPr="00CA7033">
        <w:rPr>
          <w:szCs w:val="22"/>
        </w:rPr>
        <w:t>Išgrynintas vanduo</w:t>
      </w:r>
    </w:p>
    <w:p w14:paraId="77CFEA96" w14:textId="77777777" w:rsidR="00311D0F" w:rsidRPr="00CA7033" w:rsidRDefault="00311D0F" w:rsidP="00311D0F">
      <w:pPr>
        <w:rPr>
          <w:szCs w:val="22"/>
        </w:rPr>
      </w:pPr>
      <w:r w:rsidRPr="00CA7033">
        <w:rPr>
          <w:szCs w:val="22"/>
        </w:rPr>
        <w:t>Indigotinas (E132)</w:t>
      </w:r>
    </w:p>
    <w:p w14:paraId="7E6780AA" w14:textId="77777777" w:rsidR="00311D0F" w:rsidRPr="00CA7033" w:rsidRDefault="00311D0F" w:rsidP="00311D0F">
      <w:pPr>
        <w:rPr>
          <w:szCs w:val="22"/>
        </w:rPr>
      </w:pPr>
      <w:r w:rsidRPr="00CA7033">
        <w:rPr>
          <w:szCs w:val="22"/>
        </w:rPr>
        <w:t>Juodasis geležies oksidas (E172)</w:t>
      </w:r>
    </w:p>
    <w:p w14:paraId="63BFE37B" w14:textId="77777777" w:rsidR="00311D0F" w:rsidRPr="00CA7033" w:rsidRDefault="00311D0F" w:rsidP="00311D0F">
      <w:pPr>
        <w:rPr>
          <w:szCs w:val="22"/>
        </w:rPr>
      </w:pPr>
    </w:p>
    <w:p w14:paraId="5386CAE9" w14:textId="77777777" w:rsidR="00311D0F" w:rsidRPr="00CA7033" w:rsidRDefault="00311D0F" w:rsidP="00311D0F">
      <w:pPr>
        <w:rPr>
          <w:szCs w:val="22"/>
          <w:u w:val="single"/>
        </w:rPr>
      </w:pPr>
      <w:r w:rsidRPr="00CA7033">
        <w:rPr>
          <w:szCs w:val="22"/>
          <w:u w:val="single"/>
        </w:rPr>
        <w:t>60 mg kapsulės apvalkalas</w:t>
      </w:r>
    </w:p>
    <w:p w14:paraId="583F9E6E" w14:textId="77777777" w:rsidR="00262F84" w:rsidRPr="00CA7033" w:rsidRDefault="00262F84" w:rsidP="00311D0F">
      <w:pPr>
        <w:rPr>
          <w:szCs w:val="22"/>
          <w:u w:val="single"/>
        </w:rPr>
      </w:pPr>
    </w:p>
    <w:p w14:paraId="752335B1" w14:textId="77777777" w:rsidR="00311D0F" w:rsidRPr="00CA7033" w:rsidRDefault="00311D0F" w:rsidP="00311D0F">
      <w:pPr>
        <w:rPr>
          <w:szCs w:val="22"/>
        </w:rPr>
      </w:pPr>
      <w:r w:rsidRPr="00CA7033">
        <w:rPr>
          <w:szCs w:val="22"/>
        </w:rPr>
        <w:t>Karagenanas (E407)</w:t>
      </w:r>
    </w:p>
    <w:p w14:paraId="62CFBA77" w14:textId="77777777" w:rsidR="00311D0F" w:rsidRPr="00CA7033" w:rsidRDefault="00311D0F" w:rsidP="00311D0F">
      <w:pPr>
        <w:rPr>
          <w:szCs w:val="22"/>
        </w:rPr>
      </w:pPr>
      <w:r w:rsidRPr="00CA7033">
        <w:rPr>
          <w:szCs w:val="22"/>
        </w:rPr>
        <w:t>Titano dioksidas (E171)</w:t>
      </w:r>
    </w:p>
    <w:p w14:paraId="5631481D" w14:textId="77777777" w:rsidR="00311D0F" w:rsidRPr="00CA7033" w:rsidRDefault="00311D0F" w:rsidP="00311D0F">
      <w:pPr>
        <w:rPr>
          <w:szCs w:val="22"/>
        </w:rPr>
      </w:pPr>
      <w:r w:rsidRPr="00CA7033">
        <w:rPr>
          <w:szCs w:val="22"/>
        </w:rPr>
        <w:t xml:space="preserve">Hipromeliozė </w:t>
      </w:r>
    </w:p>
    <w:p w14:paraId="3BA8550E" w14:textId="77777777" w:rsidR="00311D0F" w:rsidRPr="00CA7033" w:rsidRDefault="00311D0F" w:rsidP="00311D0F">
      <w:pPr>
        <w:rPr>
          <w:szCs w:val="22"/>
        </w:rPr>
      </w:pPr>
      <w:r w:rsidRPr="00CA7033">
        <w:rPr>
          <w:szCs w:val="22"/>
        </w:rPr>
        <w:t>Kalio chloridas</w:t>
      </w:r>
    </w:p>
    <w:p w14:paraId="43D3CFBB" w14:textId="77777777" w:rsidR="00311D0F" w:rsidRPr="00CA7033" w:rsidRDefault="00311D0F" w:rsidP="00311D0F">
      <w:pPr>
        <w:rPr>
          <w:szCs w:val="22"/>
        </w:rPr>
      </w:pPr>
      <w:r w:rsidRPr="00CA7033">
        <w:rPr>
          <w:szCs w:val="22"/>
        </w:rPr>
        <w:t>Išgrynintas vanduo</w:t>
      </w:r>
    </w:p>
    <w:p w14:paraId="2FD50403" w14:textId="77777777" w:rsidR="00311D0F" w:rsidRPr="00CA7033" w:rsidRDefault="00311D0F" w:rsidP="00311D0F">
      <w:pPr>
        <w:rPr>
          <w:szCs w:val="22"/>
        </w:rPr>
      </w:pPr>
      <w:r w:rsidRPr="00CA7033">
        <w:rPr>
          <w:szCs w:val="22"/>
        </w:rPr>
        <w:t>Indigotinas (E132)</w:t>
      </w:r>
    </w:p>
    <w:p w14:paraId="1A07C115" w14:textId="77777777" w:rsidR="00311D0F" w:rsidRPr="00CA7033" w:rsidRDefault="00311D0F" w:rsidP="00311D0F">
      <w:pPr>
        <w:rPr>
          <w:szCs w:val="22"/>
        </w:rPr>
      </w:pPr>
    </w:p>
    <w:p w14:paraId="3686FBE0" w14:textId="4872B73B" w:rsidR="00311D0F" w:rsidRPr="00CA7033" w:rsidRDefault="00311D0F" w:rsidP="00311D0F">
      <w:pPr>
        <w:rPr>
          <w:szCs w:val="22"/>
          <w:u w:val="single"/>
        </w:rPr>
      </w:pPr>
      <w:r w:rsidRPr="00CA7033">
        <w:rPr>
          <w:szCs w:val="22"/>
          <w:u w:val="single"/>
        </w:rPr>
        <w:t>Spausdinimo rašalas</w:t>
      </w:r>
      <w:r w:rsidR="000B1860" w:rsidRPr="00CA7033">
        <w:rPr>
          <w:szCs w:val="22"/>
          <w:u w:val="single"/>
        </w:rPr>
        <w:t xml:space="preserve"> </w:t>
      </w:r>
      <w:r w:rsidR="00A05D88" w:rsidRPr="00CA7033">
        <w:rPr>
          <w:szCs w:val="22"/>
          <w:u w:val="single"/>
        </w:rPr>
        <w:t>(Gray No. 3K)</w:t>
      </w:r>
    </w:p>
    <w:p w14:paraId="1FAA5CA8" w14:textId="77777777" w:rsidR="00262F84" w:rsidRPr="00CA7033" w:rsidRDefault="00262F84" w:rsidP="00311D0F">
      <w:pPr>
        <w:rPr>
          <w:szCs w:val="22"/>
          <w:u w:val="single"/>
        </w:rPr>
      </w:pPr>
    </w:p>
    <w:p w14:paraId="73799185" w14:textId="77777777" w:rsidR="00311D0F" w:rsidRPr="00CA7033" w:rsidRDefault="00311D0F" w:rsidP="00311D0F">
      <w:pPr>
        <w:rPr>
          <w:szCs w:val="22"/>
        </w:rPr>
      </w:pPr>
      <w:r w:rsidRPr="00CA7033">
        <w:rPr>
          <w:szCs w:val="22"/>
        </w:rPr>
        <w:t>Raudonasis geležies oksidas (E172)</w:t>
      </w:r>
    </w:p>
    <w:p w14:paraId="19D090A8" w14:textId="7A9CE3E3" w:rsidR="00311D0F" w:rsidRPr="00CA7033" w:rsidRDefault="00311D0F" w:rsidP="00311D0F">
      <w:pPr>
        <w:rPr>
          <w:szCs w:val="22"/>
        </w:rPr>
      </w:pPr>
      <w:r w:rsidRPr="00CA7033">
        <w:rPr>
          <w:szCs w:val="22"/>
        </w:rPr>
        <w:t>Geltonasis geležies oksidas (E172)</w:t>
      </w:r>
    </w:p>
    <w:p w14:paraId="714A41E3" w14:textId="77777777" w:rsidR="00311D0F" w:rsidRPr="00CA7033" w:rsidRDefault="00311D0F" w:rsidP="00311D0F">
      <w:pPr>
        <w:rPr>
          <w:szCs w:val="22"/>
        </w:rPr>
      </w:pPr>
      <w:r w:rsidRPr="00CA7033">
        <w:rPr>
          <w:szCs w:val="22"/>
        </w:rPr>
        <w:t>Indigotinas (E132)</w:t>
      </w:r>
    </w:p>
    <w:p w14:paraId="48CE9EE5" w14:textId="77777777" w:rsidR="00311D0F" w:rsidRPr="00CA7033" w:rsidRDefault="00311D0F" w:rsidP="00311D0F">
      <w:pPr>
        <w:rPr>
          <w:szCs w:val="22"/>
        </w:rPr>
      </w:pPr>
      <w:r w:rsidRPr="00CA7033">
        <w:rPr>
          <w:szCs w:val="22"/>
        </w:rPr>
        <w:t>Karnaubo vaškas</w:t>
      </w:r>
    </w:p>
    <w:p w14:paraId="39B293BB" w14:textId="77777777" w:rsidR="00311D0F" w:rsidRPr="00CA7033" w:rsidRDefault="00311D0F" w:rsidP="00311D0F">
      <w:pPr>
        <w:rPr>
          <w:szCs w:val="22"/>
        </w:rPr>
      </w:pPr>
      <w:r w:rsidRPr="00CA7033">
        <w:rPr>
          <w:szCs w:val="22"/>
        </w:rPr>
        <w:t>Šelakas</w:t>
      </w:r>
    </w:p>
    <w:p w14:paraId="12DA2CED" w14:textId="77777777" w:rsidR="00311D0F" w:rsidRPr="00CA7033" w:rsidRDefault="00311D0F" w:rsidP="00311D0F">
      <w:pPr>
        <w:rPr>
          <w:szCs w:val="22"/>
        </w:rPr>
      </w:pPr>
      <w:r w:rsidRPr="00CA7033">
        <w:rPr>
          <w:szCs w:val="22"/>
        </w:rPr>
        <w:t>Glicerolio monooleatas</w:t>
      </w:r>
    </w:p>
    <w:p w14:paraId="56FA3838" w14:textId="56EBDC2F" w:rsidR="00311D0F" w:rsidRPr="00CA7033" w:rsidRDefault="00311D0F" w:rsidP="00311D0F">
      <w:pPr>
        <w:ind w:left="567" w:hanging="567"/>
        <w:rPr>
          <w:szCs w:val="22"/>
        </w:rPr>
      </w:pPr>
    </w:p>
    <w:p w14:paraId="316AE8E4" w14:textId="3820A069" w:rsidR="00A05D88" w:rsidRPr="00CA7033" w:rsidRDefault="00A05D88" w:rsidP="00311D0F">
      <w:pPr>
        <w:ind w:left="567" w:hanging="567"/>
        <w:rPr>
          <w:szCs w:val="22"/>
        </w:rPr>
      </w:pPr>
      <w:r w:rsidRPr="00CA7033">
        <w:rPr>
          <w:szCs w:val="22"/>
        </w:rPr>
        <w:t>arba</w:t>
      </w:r>
    </w:p>
    <w:p w14:paraId="0799F49A" w14:textId="72FA64B0" w:rsidR="00A05D88" w:rsidRPr="00CA7033" w:rsidRDefault="00A05D88" w:rsidP="00311D0F">
      <w:pPr>
        <w:ind w:left="567" w:hanging="567"/>
        <w:rPr>
          <w:szCs w:val="22"/>
        </w:rPr>
      </w:pPr>
    </w:p>
    <w:p w14:paraId="2D607591" w14:textId="77777777" w:rsidR="00A05D88" w:rsidRPr="00CA7033" w:rsidRDefault="00A05D88" w:rsidP="00A05D88">
      <w:pPr>
        <w:ind w:left="567" w:hanging="567"/>
        <w:rPr>
          <w:szCs w:val="22"/>
          <w:u w:val="single"/>
        </w:rPr>
      </w:pPr>
      <w:r w:rsidRPr="00CA7033">
        <w:rPr>
          <w:szCs w:val="22"/>
          <w:u w:val="single"/>
        </w:rPr>
        <w:t>Spausdinimo rašalas (SB-5015)</w:t>
      </w:r>
    </w:p>
    <w:p w14:paraId="55ABA7DE" w14:textId="77777777" w:rsidR="00262F84" w:rsidRPr="00CA7033" w:rsidRDefault="00262F84" w:rsidP="00A05D88">
      <w:pPr>
        <w:ind w:left="567" w:hanging="567"/>
        <w:rPr>
          <w:szCs w:val="22"/>
          <w:u w:val="single"/>
        </w:rPr>
      </w:pPr>
    </w:p>
    <w:p w14:paraId="688B0028" w14:textId="77777777" w:rsidR="00A05D88" w:rsidRPr="00CA7033" w:rsidRDefault="00A05D88" w:rsidP="00A05D88">
      <w:pPr>
        <w:ind w:left="567" w:hanging="567"/>
        <w:rPr>
          <w:szCs w:val="22"/>
        </w:rPr>
      </w:pPr>
      <w:r w:rsidRPr="00CA7033">
        <w:rPr>
          <w:szCs w:val="22"/>
        </w:rPr>
        <w:t>Raudonasis geležies oksidas (E172)</w:t>
      </w:r>
    </w:p>
    <w:p w14:paraId="3791FF7C" w14:textId="1614073D" w:rsidR="00A05D88" w:rsidRPr="00CA7033" w:rsidRDefault="00A05D88" w:rsidP="00A05D88">
      <w:pPr>
        <w:ind w:left="567" w:hanging="567"/>
        <w:rPr>
          <w:szCs w:val="22"/>
        </w:rPr>
      </w:pPr>
      <w:r w:rsidRPr="00CA7033">
        <w:rPr>
          <w:szCs w:val="22"/>
        </w:rPr>
        <w:t xml:space="preserve">Geltonasis geležies oksidas </w:t>
      </w:r>
      <w:r w:rsidR="00F2116E" w:rsidRPr="00CA7033">
        <w:rPr>
          <w:szCs w:val="22"/>
        </w:rPr>
        <w:t>(E172)</w:t>
      </w:r>
    </w:p>
    <w:p w14:paraId="770302AC" w14:textId="77777777" w:rsidR="00A05D88" w:rsidRPr="00CA7033" w:rsidRDefault="00A05D88" w:rsidP="00A05D88">
      <w:pPr>
        <w:ind w:left="567" w:hanging="567"/>
        <w:rPr>
          <w:szCs w:val="22"/>
        </w:rPr>
      </w:pPr>
      <w:r w:rsidRPr="00CA7033">
        <w:rPr>
          <w:szCs w:val="22"/>
        </w:rPr>
        <w:lastRenderedPageBreak/>
        <w:t>Indigotinas (E132)</w:t>
      </w:r>
    </w:p>
    <w:p w14:paraId="498A7D64" w14:textId="77777777" w:rsidR="00A05D88" w:rsidRPr="00CA7033" w:rsidRDefault="00A05D88" w:rsidP="00A05D88">
      <w:pPr>
        <w:ind w:left="567" w:hanging="567"/>
        <w:rPr>
          <w:szCs w:val="22"/>
        </w:rPr>
      </w:pPr>
      <w:r w:rsidRPr="00CA7033">
        <w:rPr>
          <w:szCs w:val="22"/>
        </w:rPr>
        <w:t>Stiprus amoniako tirpalas</w:t>
      </w:r>
    </w:p>
    <w:p w14:paraId="60F9375F" w14:textId="77777777" w:rsidR="00A05D88" w:rsidRPr="00CA7033" w:rsidRDefault="00A05D88" w:rsidP="00A05D88">
      <w:pPr>
        <w:ind w:left="567" w:hanging="567"/>
        <w:rPr>
          <w:szCs w:val="22"/>
        </w:rPr>
      </w:pPr>
      <w:r w:rsidRPr="00CA7033">
        <w:rPr>
          <w:szCs w:val="22"/>
        </w:rPr>
        <w:t>Balintas šelakas</w:t>
      </w:r>
    </w:p>
    <w:p w14:paraId="53CE33BE" w14:textId="77777777" w:rsidR="00A05D88" w:rsidRPr="00CA7033" w:rsidRDefault="00A05D88" w:rsidP="00A05D88">
      <w:pPr>
        <w:ind w:left="567" w:hanging="567"/>
        <w:rPr>
          <w:szCs w:val="22"/>
        </w:rPr>
      </w:pPr>
      <w:r w:rsidRPr="00CA7033">
        <w:rPr>
          <w:szCs w:val="22"/>
        </w:rPr>
        <w:t>Propilenglikolis</w:t>
      </w:r>
    </w:p>
    <w:p w14:paraId="0AF5A695" w14:textId="77777777" w:rsidR="00A05D88" w:rsidRPr="00CA7033" w:rsidRDefault="00A05D88" w:rsidP="00311D0F">
      <w:pPr>
        <w:ind w:left="567" w:hanging="567"/>
        <w:rPr>
          <w:szCs w:val="22"/>
        </w:rPr>
      </w:pPr>
    </w:p>
    <w:p w14:paraId="584B980E" w14:textId="77777777" w:rsidR="00311D0F" w:rsidRPr="00CA7033" w:rsidRDefault="00311D0F" w:rsidP="00311D0F">
      <w:pPr>
        <w:ind w:left="567" w:hanging="567"/>
        <w:rPr>
          <w:b/>
          <w:szCs w:val="22"/>
        </w:rPr>
      </w:pPr>
      <w:r w:rsidRPr="00CA7033">
        <w:rPr>
          <w:b/>
          <w:szCs w:val="22"/>
        </w:rPr>
        <w:t>6.2</w:t>
      </w:r>
      <w:r w:rsidRPr="00CA7033">
        <w:rPr>
          <w:b/>
          <w:szCs w:val="22"/>
        </w:rPr>
        <w:tab/>
        <w:t>Nesuderinamumas</w:t>
      </w:r>
    </w:p>
    <w:p w14:paraId="67153783" w14:textId="77777777" w:rsidR="00311D0F" w:rsidRPr="00CA7033" w:rsidRDefault="00311D0F" w:rsidP="00311D0F">
      <w:pPr>
        <w:ind w:left="567" w:hanging="567"/>
        <w:rPr>
          <w:szCs w:val="22"/>
        </w:rPr>
      </w:pPr>
    </w:p>
    <w:p w14:paraId="33FF820B" w14:textId="77777777" w:rsidR="00311D0F" w:rsidRPr="00CA7033" w:rsidRDefault="00311D0F" w:rsidP="00311D0F">
      <w:pPr>
        <w:ind w:left="567" w:hanging="567"/>
        <w:rPr>
          <w:szCs w:val="22"/>
        </w:rPr>
      </w:pPr>
      <w:r w:rsidRPr="00CA7033">
        <w:rPr>
          <w:szCs w:val="22"/>
        </w:rPr>
        <w:t>Duomenys nebūtini.</w:t>
      </w:r>
    </w:p>
    <w:p w14:paraId="6C2CB796" w14:textId="77777777" w:rsidR="00311D0F" w:rsidRPr="00CA7033" w:rsidRDefault="00311D0F" w:rsidP="00311D0F">
      <w:pPr>
        <w:ind w:left="567" w:hanging="567"/>
        <w:rPr>
          <w:szCs w:val="22"/>
        </w:rPr>
      </w:pPr>
    </w:p>
    <w:p w14:paraId="0A8BDC4C" w14:textId="77777777" w:rsidR="00311D0F" w:rsidRPr="00CA7033" w:rsidRDefault="00311D0F" w:rsidP="00311D0F">
      <w:pPr>
        <w:ind w:left="567" w:hanging="567"/>
        <w:rPr>
          <w:b/>
          <w:szCs w:val="22"/>
        </w:rPr>
      </w:pPr>
      <w:r w:rsidRPr="00CA7033">
        <w:rPr>
          <w:b/>
          <w:szCs w:val="22"/>
        </w:rPr>
        <w:t>6.3</w:t>
      </w:r>
      <w:r w:rsidRPr="00CA7033">
        <w:rPr>
          <w:b/>
          <w:szCs w:val="22"/>
        </w:rPr>
        <w:tab/>
        <w:t>Tinkamumo laikas</w:t>
      </w:r>
    </w:p>
    <w:p w14:paraId="328F0B2E" w14:textId="77777777" w:rsidR="00311D0F" w:rsidRPr="00CA7033" w:rsidRDefault="00311D0F" w:rsidP="00311D0F">
      <w:pPr>
        <w:ind w:left="567" w:hanging="567"/>
        <w:rPr>
          <w:szCs w:val="22"/>
        </w:rPr>
      </w:pPr>
    </w:p>
    <w:p w14:paraId="34ACA6B3" w14:textId="11C285A5" w:rsidR="00311D0F" w:rsidRPr="00CA7033" w:rsidRDefault="00B649D0" w:rsidP="00311D0F">
      <w:pPr>
        <w:ind w:left="567" w:hanging="567"/>
        <w:rPr>
          <w:szCs w:val="22"/>
        </w:rPr>
      </w:pPr>
      <w:r w:rsidRPr="00CA7033">
        <w:rPr>
          <w:szCs w:val="22"/>
        </w:rPr>
        <w:t>3</w:t>
      </w:r>
      <w:r w:rsidR="00311D0F" w:rsidRPr="00CA7033">
        <w:rPr>
          <w:szCs w:val="22"/>
        </w:rPr>
        <w:t> metai</w:t>
      </w:r>
    </w:p>
    <w:p w14:paraId="5E83E356" w14:textId="77777777" w:rsidR="00311D0F" w:rsidRPr="00CA7033" w:rsidRDefault="00311D0F" w:rsidP="00311D0F">
      <w:pPr>
        <w:rPr>
          <w:szCs w:val="22"/>
        </w:rPr>
      </w:pPr>
    </w:p>
    <w:p w14:paraId="04B550EF" w14:textId="77777777" w:rsidR="00311D0F" w:rsidRPr="00CA7033" w:rsidRDefault="00311D0F" w:rsidP="00311D0F">
      <w:pPr>
        <w:ind w:left="567" w:hanging="567"/>
        <w:rPr>
          <w:b/>
          <w:szCs w:val="22"/>
        </w:rPr>
      </w:pPr>
      <w:r w:rsidRPr="00CA7033">
        <w:rPr>
          <w:b/>
          <w:szCs w:val="22"/>
        </w:rPr>
        <w:t>6.4</w:t>
      </w:r>
      <w:r w:rsidRPr="00CA7033">
        <w:rPr>
          <w:b/>
          <w:szCs w:val="22"/>
        </w:rPr>
        <w:tab/>
        <w:t>Specialios laikymo sąlygos</w:t>
      </w:r>
    </w:p>
    <w:p w14:paraId="3AEE8983" w14:textId="77777777" w:rsidR="00311D0F" w:rsidRPr="00CA7033" w:rsidRDefault="00311D0F" w:rsidP="00311D0F">
      <w:pPr>
        <w:rPr>
          <w:i/>
          <w:iCs/>
          <w:szCs w:val="22"/>
        </w:rPr>
      </w:pPr>
    </w:p>
    <w:p w14:paraId="6C1E3244" w14:textId="77777777" w:rsidR="00311D0F" w:rsidRPr="00CA7033" w:rsidRDefault="00311D0F" w:rsidP="00311D0F">
      <w:pPr>
        <w:pStyle w:val="Pagrindinistekstas"/>
        <w:rPr>
          <w:i w:val="0"/>
          <w:color w:val="000000"/>
          <w:szCs w:val="22"/>
          <w:lang w:val="lt-LT"/>
        </w:rPr>
      </w:pPr>
      <w:r w:rsidRPr="00CA7033">
        <w:rPr>
          <w:i w:val="0"/>
          <w:color w:val="000000"/>
          <w:szCs w:val="22"/>
          <w:lang w:val="lt-LT"/>
        </w:rPr>
        <w:t>Laikyti ne aukštesnėje kaip 25°C temperatūroje.</w:t>
      </w:r>
    </w:p>
    <w:p w14:paraId="5D7B4613" w14:textId="77777777" w:rsidR="00311D0F" w:rsidRPr="00CA7033" w:rsidRDefault="00311D0F" w:rsidP="00311D0F">
      <w:pPr>
        <w:rPr>
          <w:i/>
          <w:iCs/>
          <w:szCs w:val="22"/>
        </w:rPr>
      </w:pPr>
    </w:p>
    <w:p w14:paraId="5D3C2BFB" w14:textId="77777777" w:rsidR="00311D0F" w:rsidRPr="00CA7033" w:rsidRDefault="00311D0F" w:rsidP="00311D0F">
      <w:pPr>
        <w:ind w:left="567" w:hanging="567"/>
        <w:rPr>
          <w:b/>
          <w:szCs w:val="22"/>
        </w:rPr>
      </w:pPr>
      <w:r w:rsidRPr="00CA7033">
        <w:rPr>
          <w:b/>
          <w:szCs w:val="22"/>
        </w:rPr>
        <w:t>6.5</w:t>
      </w:r>
      <w:r w:rsidRPr="00CA7033">
        <w:rPr>
          <w:b/>
          <w:szCs w:val="22"/>
        </w:rPr>
        <w:tab/>
        <w:t>Talpyklės pobūdis ir jos turinys</w:t>
      </w:r>
    </w:p>
    <w:p w14:paraId="6870174B" w14:textId="77777777" w:rsidR="00311D0F" w:rsidRPr="00CA7033" w:rsidRDefault="00311D0F" w:rsidP="00311D0F">
      <w:pPr>
        <w:ind w:left="567" w:hanging="567"/>
        <w:rPr>
          <w:szCs w:val="22"/>
        </w:rPr>
      </w:pPr>
    </w:p>
    <w:p w14:paraId="2F3A93A8" w14:textId="77777777" w:rsidR="00311D0F" w:rsidRPr="00CA7033" w:rsidRDefault="00311D0F" w:rsidP="00311D0F">
      <w:pPr>
        <w:rPr>
          <w:szCs w:val="22"/>
        </w:rPr>
      </w:pPr>
      <w:r w:rsidRPr="00CA7033">
        <w:rPr>
          <w:szCs w:val="22"/>
        </w:rPr>
        <w:t>Dexilant 30 mg: PVC/PE/polichlorotrifluoroetileno (PCTFE) – aliuminio lizdinės plokštelės, kuriose yra 14, 28, 56 ar 98 kapsulės.</w:t>
      </w:r>
    </w:p>
    <w:p w14:paraId="753F4DB9" w14:textId="77777777" w:rsidR="00311D0F" w:rsidRPr="00CA7033" w:rsidRDefault="00311D0F" w:rsidP="00311D0F">
      <w:pPr>
        <w:rPr>
          <w:szCs w:val="22"/>
        </w:rPr>
      </w:pPr>
    </w:p>
    <w:p w14:paraId="1895AD2B" w14:textId="77777777" w:rsidR="00311D0F" w:rsidRPr="00CA7033" w:rsidRDefault="00311D0F" w:rsidP="00311D0F">
      <w:pPr>
        <w:rPr>
          <w:szCs w:val="22"/>
        </w:rPr>
      </w:pPr>
      <w:r w:rsidRPr="00CA7033">
        <w:rPr>
          <w:szCs w:val="22"/>
        </w:rPr>
        <w:t>Dexilant 60 mg: PVC/PE/polichlorotrifluoroetileno (PCTFE) – aliuminio lizdinės plokštelės, kuriose yra 14 ar 28 kapsulės.</w:t>
      </w:r>
    </w:p>
    <w:p w14:paraId="412100F2" w14:textId="77777777" w:rsidR="00311D0F" w:rsidRPr="00CA7033" w:rsidRDefault="00311D0F" w:rsidP="00311D0F">
      <w:pPr>
        <w:ind w:left="567" w:hanging="567"/>
        <w:rPr>
          <w:szCs w:val="22"/>
        </w:rPr>
      </w:pPr>
    </w:p>
    <w:p w14:paraId="2A2E11D7" w14:textId="77777777" w:rsidR="00311D0F" w:rsidRPr="00CA7033" w:rsidRDefault="00311D0F" w:rsidP="00311D0F">
      <w:pPr>
        <w:ind w:left="567" w:hanging="567"/>
        <w:rPr>
          <w:szCs w:val="22"/>
        </w:rPr>
      </w:pPr>
      <w:r w:rsidRPr="00CA7033">
        <w:rPr>
          <w:szCs w:val="22"/>
        </w:rPr>
        <w:t>Gali būti tiekiamos ne visų dydžių pakuotės.</w:t>
      </w:r>
    </w:p>
    <w:p w14:paraId="446F3B59" w14:textId="77777777" w:rsidR="00311D0F" w:rsidRPr="00CA7033" w:rsidRDefault="00311D0F" w:rsidP="00311D0F">
      <w:pPr>
        <w:ind w:left="567" w:hanging="567"/>
        <w:rPr>
          <w:szCs w:val="22"/>
        </w:rPr>
      </w:pPr>
    </w:p>
    <w:p w14:paraId="7A44A1CA" w14:textId="77777777" w:rsidR="00311D0F" w:rsidRPr="00CA7033" w:rsidRDefault="00311D0F" w:rsidP="00311D0F">
      <w:pPr>
        <w:ind w:left="567" w:hanging="567"/>
        <w:outlineLvl w:val="0"/>
        <w:rPr>
          <w:szCs w:val="22"/>
        </w:rPr>
      </w:pPr>
      <w:r w:rsidRPr="00CA7033">
        <w:rPr>
          <w:b/>
          <w:szCs w:val="22"/>
        </w:rPr>
        <w:t>6.6</w:t>
      </w:r>
      <w:r w:rsidRPr="00CA7033">
        <w:rPr>
          <w:b/>
          <w:szCs w:val="22"/>
        </w:rPr>
        <w:tab/>
      </w:r>
      <w:r w:rsidRPr="00CA7033">
        <w:rPr>
          <w:rStyle w:val="Grietas"/>
          <w:color w:val="000000"/>
          <w:szCs w:val="22"/>
        </w:rPr>
        <w:t>Specialūs reikalavimai atliekoms tvarkyti ir vaistiniam preparatui ruošti</w:t>
      </w:r>
    </w:p>
    <w:p w14:paraId="35FFC821" w14:textId="77777777" w:rsidR="00311D0F" w:rsidRPr="00CA7033" w:rsidRDefault="00311D0F" w:rsidP="00311D0F">
      <w:pPr>
        <w:ind w:left="567" w:hanging="567"/>
        <w:rPr>
          <w:b/>
          <w:szCs w:val="22"/>
        </w:rPr>
      </w:pPr>
    </w:p>
    <w:p w14:paraId="30AD7CAC" w14:textId="77777777" w:rsidR="00311D0F" w:rsidRPr="00CA7033" w:rsidRDefault="00311D0F" w:rsidP="00311D0F">
      <w:pPr>
        <w:ind w:left="567" w:hanging="567"/>
        <w:rPr>
          <w:szCs w:val="22"/>
        </w:rPr>
      </w:pPr>
      <w:r w:rsidRPr="00CA7033">
        <w:rPr>
          <w:szCs w:val="22"/>
        </w:rPr>
        <w:t>Specialių reikalavimų nėra.</w:t>
      </w:r>
    </w:p>
    <w:p w14:paraId="0A948E6E" w14:textId="77777777" w:rsidR="00311D0F" w:rsidRPr="00CA7033" w:rsidRDefault="00311D0F" w:rsidP="00311D0F">
      <w:pPr>
        <w:ind w:left="567" w:hanging="567"/>
        <w:rPr>
          <w:szCs w:val="22"/>
        </w:rPr>
      </w:pPr>
    </w:p>
    <w:p w14:paraId="4E96481C" w14:textId="60ACBBA5" w:rsidR="000B1860" w:rsidRPr="00CA7033" w:rsidRDefault="000B1860" w:rsidP="000B1860">
      <w:pPr>
        <w:ind w:left="567" w:hanging="567"/>
        <w:rPr>
          <w:szCs w:val="22"/>
        </w:rPr>
      </w:pPr>
      <w:r w:rsidRPr="00CA7033">
        <w:rPr>
          <w:szCs w:val="22"/>
        </w:rPr>
        <w:t>Nesuvartotą vaistinį preparatą ar atliekas reikia tvarkyti laikantis vietinių reikalavimų.</w:t>
      </w:r>
    </w:p>
    <w:p w14:paraId="5DA793DD" w14:textId="77777777" w:rsidR="00036801" w:rsidRPr="00CA7033" w:rsidRDefault="00036801" w:rsidP="000B1860">
      <w:pPr>
        <w:ind w:left="567" w:hanging="567"/>
        <w:rPr>
          <w:szCs w:val="22"/>
        </w:rPr>
      </w:pPr>
    </w:p>
    <w:p w14:paraId="0028D16E" w14:textId="77777777" w:rsidR="00311D0F" w:rsidRPr="00CA7033" w:rsidRDefault="00311D0F" w:rsidP="00311D0F">
      <w:pPr>
        <w:ind w:left="567" w:hanging="567"/>
        <w:rPr>
          <w:szCs w:val="22"/>
        </w:rPr>
      </w:pPr>
    </w:p>
    <w:p w14:paraId="38F716AB" w14:textId="77777777" w:rsidR="00311D0F" w:rsidRPr="00CA7033" w:rsidRDefault="00311D0F" w:rsidP="00311D0F">
      <w:pPr>
        <w:ind w:left="567" w:hanging="567"/>
        <w:rPr>
          <w:b/>
          <w:caps/>
          <w:szCs w:val="22"/>
        </w:rPr>
      </w:pPr>
      <w:r w:rsidRPr="00CA7033">
        <w:rPr>
          <w:b/>
          <w:caps/>
          <w:szCs w:val="22"/>
        </w:rPr>
        <w:t>7.</w:t>
      </w:r>
      <w:r w:rsidRPr="00CA7033">
        <w:rPr>
          <w:b/>
          <w:caps/>
          <w:szCs w:val="22"/>
        </w:rPr>
        <w:tab/>
        <w:t>REGISTRUOTOJAS</w:t>
      </w:r>
    </w:p>
    <w:p w14:paraId="7A2D7051" w14:textId="77777777" w:rsidR="00311D0F" w:rsidRPr="00CA7033" w:rsidRDefault="00311D0F" w:rsidP="00311D0F">
      <w:pPr>
        <w:rPr>
          <w:szCs w:val="22"/>
        </w:rPr>
      </w:pPr>
    </w:p>
    <w:p w14:paraId="3C3AC59E" w14:textId="77777777" w:rsidR="00311D0F" w:rsidRPr="00CA7033" w:rsidRDefault="00311D0F" w:rsidP="00311D0F">
      <w:pPr>
        <w:rPr>
          <w:szCs w:val="22"/>
        </w:rPr>
      </w:pPr>
      <w:r w:rsidRPr="00CA7033">
        <w:rPr>
          <w:szCs w:val="22"/>
        </w:rPr>
        <w:t>Takeda Pharma A/S</w:t>
      </w:r>
    </w:p>
    <w:p w14:paraId="5F0161D9" w14:textId="77777777" w:rsidR="00AC0A1A" w:rsidRPr="00CA7033" w:rsidRDefault="00AC0A1A" w:rsidP="00AC0A1A">
      <w:pPr>
        <w:rPr>
          <w:szCs w:val="22"/>
        </w:rPr>
      </w:pPr>
      <w:r w:rsidRPr="00CA7033">
        <w:rPr>
          <w:szCs w:val="22"/>
        </w:rPr>
        <w:t xml:space="preserve">Delta Park 45 </w:t>
      </w:r>
    </w:p>
    <w:p w14:paraId="5313A795" w14:textId="77777777" w:rsidR="00AC0A1A" w:rsidRPr="00CA7033" w:rsidRDefault="00AC0A1A" w:rsidP="00AC0A1A">
      <w:pPr>
        <w:rPr>
          <w:szCs w:val="22"/>
        </w:rPr>
      </w:pPr>
      <w:r w:rsidRPr="00CA7033">
        <w:rPr>
          <w:szCs w:val="22"/>
        </w:rPr>
        <w:t>2665 Vallensbæk Strand</w:t>
      </w:r>
    </w:p>
    <w:p w14:paraId="099D8FD5" w14:textId="77777777" w:rsidR="00311D0F" w:rsidRPr="00CA7033" w:rsidRDefault="00311D0F" w:rsidP="00311D0F">
      <w:pPr>
        <w:rPr>
          <w:szCs w:val="22"/>
        </w:rPr>
      </w:pPr>
      <w:r w:rsidRPr="00CA7033">
        <w:t>Danija</w:t>
      </w:r>
    </w:p>
    <w:p w14:paraId="7CA38A22" w14:textId="77777777" w:rsidR="00311D0F" w:rsidRPr="00CA7033" w:rsidRDefault="00311D0F" w:rsidP="00311D0F">
      <w:pPr>
        <w:rPr>
          <w:szCs w:val="22"/>
        </w:rPr>
      </w:pPr>
    </w:p>
    <w:p w14:paraId="28F73D8E" w14:textId="77777777" w:rsidR="00311D0F" w:rsidRPr="00CA7033" w:rsidRDefault="00311D0F" w:rsidP="00311D0F">
      <w:pPr>
        <w:ind w:left="567" w:hanging="567"/>
        <w:rPr>
          <w:szCs w:val="22"/>
        </w:rPr>
      </w:pPr>
    </w:p>
    <w:p w14:paraId="30012629" w14:textId="77777777" w:rsidR="00311D0F" w:rsidRPr="00CA7033" w:rsidRDefault="00311D0F" w:rsidP="00311D0F">
      <w:pPr>
        <w:ind w:left="567" w:hanging="567"/>
        <w:rPr>
          <w:b/>
          <w:caps/>
          <w:szCs w:val="22"/>
        </w:rPr>
      </w:pPr>
      <w:r w:rsidRPr="00CA7033">
        <w:rPr>
          <w:b/>
          <w:caps/>
          <w:szCs w:val="22"/>
        </w:rPr>
        <w:t>8.</w:t>
      </w:r>
      <w:r w:rsidRPr="00CA7033">
        <w:rPr>
          <w:b/>
          <w:caps/>
          <w:szCs w:val="22"/>
        </w:rPr>
        <w:tab/>
        <w:t>REGISTRACIJOS PAŽYMĖJIMO numeris (-IAI)</w:t>
      </w:r>
    </w:p>
    <w:p w14:paraId="3721C7DD" w14:textId="77777777" w:rsidR="00311D0F" w:rsidRPr="00CA7033" w:rsidRDefault="00311D0F" w:rsidP="00311D0F">
      <w:pPr>
        <w:rPr>
          <w:i/>
          <w:szCs w:val="22"/>
        </w:rPr>
      </w:pPr>
    </w:p>
    <w:p w14:paraId="25FD4260" w14:textId="77777777" w:rsidR="00311D0F" w:rsidRPr="00CA7033" w:rsidRDefault="00311D0F" w:rsidP="00311D0F">
      <w:pPr>
        <w:pStyle w:val="Default"/>
        <w:rPr>
          <w:iCs/>
          <w:sz w:val="22"/>
          <w:szCs w:val="22"/>
          <w:lang w:val="lt-LT"/>
        </w:rPr>
      </w:pPr>
      <w:r w:rsidRPr="00CA7033">
        <w:rPr>
          <w:iCs/>
          <w:sz w:val="22"/>
          <w:szCs w:val="22"/>
          <w:lang w:val="lt-LT"/>
        </w:rPr>
        <w:t xml:space="preserve">Dexilant 30 mg </w:t>
      </w:r>
    </w:p>
    <w:p w14:paraId="430A6525" w14:textId="77777777" w:rsidR="00646998" w:rsidRPr="00646998" w:rsidRDefault="00646998" w:rsidP="00646998">
      <w:pPr>
        <w:ind w:left="567" w:hanging="567"/>
        <w:rPr>
          <w:iCs/>
          <w:color w:val="000000"/>
          <w:szCs w:val="22"/>
          <w:lang w:eastAsia="zh-CN" w:bidi="lo-LA"/>
        </w:rPr>
      </w:pPr>
      <w:r w:rsidRPr="00646998">
        <w:rPr>
          <w:iCs/>
          <w:color w:val="000000"/>
          <w:szCs w:val="22"/>
          <w:lang w:eastAsia="zh-CN" w:bidi="lo-LA"/>
        </w:rPr>
        <w:t>LT/1/13/3415/001 – N14</w:t>
      </w:r>
    </w:p>
    <w:p w14:paraId="00D7233F" w14:textId="77777777" w:rsidR="00646998" w:rsidRPr="00646998" w:rsidRDefault="00646998" w:rsidP="00646998">
      <w:pPr>
        <w:ind w:left="567" w:hanging="567"/>
        <w:rPr>
          <w:iCs/>
          <w:color w:val="000000"/>
          <w:szCs w:val="22"/>
          <w:lang w:eastAsia="zh-CN" w:bidi="lo-LA"/>
        </w:rPr>
      </w:pPr>
      <w:r w:rsidRPr="00646998">
        <w:rPr>
          <w:iCs/>
          <w:color w:val="000000"/>
          <w:szCs w:val="22"/>
          <w:lang w:eastAsia="zh-CN" w:bidi="lo-LA"/>
        </w:rPr>
        <w:t>LT/1/13/3415/002 – N28</w:t>
      </w:r>
    </w:p>
    <w:p w14:paraId="586FE374" w14:textId="77777777" w:rsidR="00646998" w:rsidRPr="00646998" w:rsidRDefault="00646998" w:rsidP="00646998">
      <w:pPr>
        <w:ind w:left="567" w:hanging="567"/>
        <w:rPr>
          <w:iCs/>
          <w:color w:val="000000"/>
          <w:szCs w:val="22"/>
          <w:lang w:eastAsia="zh-CN" w:bidi="lo-LA"/>
        </w:rPr>
      </w:pPr>
      <w:r w:rsidRPr="00646998">
        <w:rPr>
          <w:iCs/>
          <w:color w:val="000000"/>
          <w:szCs w:val="22"/>
          <w:lang w:eastAsia="zh-CN" w:bidi="lo-LA"/>
        </w:rPr>
        <w:t>LT/1/13/3415/005 – N56</w:t>
      </w:r>
    </w:p>
    <w:p w14:paraId="60266674" w14:textId="5775C27D" w:rsidR="00311D0F" w:rsidRPr="00CA7033" w:rsidRDefault="00646998" w:rsidP="00646998">
      <w:pPr>
        <w:ind w:left="567" w:hanging="567"/>
        <w:rPr>
          <w:szCs w:val="22"/>
        </w:rPr>
      </w:pPr>
      <w:r w:rsidRPr="00646998">
        <w:rPr>
          <w:iCs/>
          <w:color w:val="000000"/>
          <w:szCs w:val="22"/>
          <w:lang w:eastAsia="zh-CN" w:bidi="lo-LA"/>
        </w:rPr>
        <w:t>LT/1/13/3415/006 – N98</w:t>
      </w:r>
    </w:p>
    <w:p w14:paraId="3C356508" w14:textId="77777777" w:rsidR="00311D0F" w:rsidRPr="00CA7033" w:rsidRDefault="00311D0F" w:rsidP="00311D0F">
      <w:pPr>
        <w:pStyle w:val="Default"/>
        <w:rPr>
          <w:iCs/>
          <w:sz w:val="22"/>
          <w:szCs w:val="22"/>
          <w:lang w:val="lt-LT"/>
        </w:rPr>
      </w:pPr>
      <w:r w:rsidRPr="00CA7033">
        <w:rPr>
          <w:iCs/>
          <w:sz w:val="22"/>
          <w:szCs w:val="22"/>
          <w:lang w:val="lt-LT"/>
        </w:rPr>
        <w:t xml:space="preserve">Dexilant 60 mg </w:t>
      </w:r>
    </w:p>
    <w:p w14:paraId="6115534C" w14:textId="77777777" w:rsidR="00646998" w:rsidRPr="00646998" w:rsidRDefault="00646998" w:rsidP="00646998">
      <w:pPr>
        <w:ind w:left="567" w:hanging="567"/>
        <w:rPr>
          <w:iCs/>
          <w:color w:val="000000"/>
          <w:szCs w:val="22"/>
          <w:lang w:eastAsia="zh-CN" w:bidi="lo-LA"/>
        </w:rPr>
      </w:pPr>
      <w:r w:rsidRPr="00646998">
        <w:rPr>
          <w:iCs/>
          <w:color w:val="000000"/>
          <w:szCs w:val="22"/>
          <w:lang w:eastAsia="zh-CN" w:bidi="lo-LA"/>
        </w:rPr>
        <w:t>LT/1/13/3415/003 – N14</w:t>
      </w:r>
    </w:p>
    <w:p w14:paraId="0981DEB4" w14:textId="0A296E58" w:rsidR="00311D0F" w:rsidRPr="00CA7033" w:rsidRDefault="00646998" w:rsidP="00646998">
      <w:pPr>
        <w:ind w:left="567" w:hanging="567"/>
        <w:rPr>
          <w:szCs w:val="22"/>
        </w:rPr>
      </w:pPr>
      <w:r w:rsidRPr="00646998">
        <w:rPr>
          <w:iCs/>
          <w:color w:val="000000"/>
          <w:szCs w:val="22"/>
          <w:lang w:eastAsia="zh-CN" w:bidi="lo-LA"/>
        </w:rPr>
        <w:t>LT/1/13/3415/004 – N28</w:t>
      </w:r>
    </w:p>
    <w:p w14:paraId="564965D2" w14:textId="77777777" w:rsidR="00311D0F" w:rsidRPr="00CA7033" w:rsidRDefault="00311D0F" w:rsidP="00311D0F">
      <w:pPr>
        <w:ind w:left="567" w:hanging="567"/>
        <w:rPr>
          <w:szCs w:val="22"/>
        </w:rPr>
      </w:pPr>
    </w:p>
    <w:p w14:paraId="58D41F9A" w14:textId="77777777" w:rsidR="00311D0F" w:rsidRPr="00CA7033" w:rsidRDefault="00311D0F" w:rsidP="00572B1E">
      <w:pPr>
        <w:keepNext/>
        <w:ind w:left="567" w:hanging="567"/>
        <w:rPr>
          <w:b/>
          <w:caps/>
          <w:szCs w:val="22"/>
        </w:rPr>
      </w:pPr>
      <w:r w:rsidRPr="00CA7033">
        <w:rPr>
          <w:b/>
          <w:caps/>
          <w:szCs w:val="22"/>
        </w:rPr>
        <w:lastRenderedPageBreak/>
        <w:t>9.</w:t>
      </w:r>
      <w:r w:rsidRPr="00CA7033">
        <w:rPr>
          <w:b/>
          <w:caps/>
          <w:szCs w:val="22"/>
        </w:rPr>
        <w:tab/>
        <w:t>REGISTRAVIMO / PERREGISTRAVIMO data</w:t>
      </w:r>
    </w:p>
    <w:p w14:paraId="5CCD2984" w14:textId="77777777" w:rsidR="00311D0F" w:rsidRPr="00CA7033" w:rsidRDefault="00311D0F" w:rsidP="00572B1E">
      <w:pPr>
        <w:keepNext/>
        <w:ind w:left="567" w:hanging="567"/>
        <w:rPr>
          <w:b/>
          <w:caps/>
          <w:szCs w:val="22"/>
        </w:rPr>
      </w:pPr>
    </w:p>
    <w:p w14:paraId="45BE8D3C" w14:textId="399C8B85" w:rsidR="00311D0F" w:rsidRPr="00CA7033" w:rsidRDefault="00311D0F" w:rsidP="00572B1E">
      <w:pPr>
        <w:keepNext/>
        <w:rPr>
          <w:szCs w:val="22"/>
        </w:rPr>
      </w:pPr>
      <w:r w:rsidRPr="00CA7033">
        <w:rPr>
          <w:szCs w:val="22"/>
        </w:rPr>
        <w:t>Registravimo data 2013 m. spalio 31 d.</w:t>
      </w:r>
    </w:p>
    <w:p w14:paraId="13C6E346" w14:textId="44F286A2" w:rsidR="000B1860" w:rsidRPr="00CA7033" w:rsidRDefault="000B1860" w:rsidP="00572B1E">
      <w:pPr>
        <w:keepNext/>
        <w:rPr>
          <w:szCs w:val="22"/>
        </w:rPr>
      </w:pPr>
      <w:r w:rsidRPr="00CA7033">
        <w:rPr>
          <w:szCs w:val="22"/>
        </w:rPr>
        <w:t xml:space="preserve">Paskutinio perregistravimo data </w:t>
      </w:r>
      <w:r w:rsidR="0057336B">
        <w:rPr>
          <w:szCs w:val="22"/>
        </w:rPr>
        <w:t>2023 m. rugsėjo 19 d.</w:t>
      </w:r>
    </w:p>
    <w:p w14:paraId="3A3D204C" w14:textId="77777777" w:rsidR="00311D0F" w:rsidRPr="00CA7033" w:rsidRDefault="00311D0F" w:rsidP="00311D0F">
      <w:pPr>
        <w:ind w:left="567" w:hanging="567"/>
        <w:rPr>
          <w:b/>
          <w:caps/>
          <w:szCs w:val="22"/>
        </w:rPr>
      </w:pPr>
    </w:p>
    <w:p w14:paraId="560CD3DB" w14:textId="77777777" w:rsidR="00311D0F" w:rsidRPr="00CA7033" w:rsidRDefault="00311D0F" w:rsidP="00311D0F">
      <w:pPr>
        <w:rPr>
          <w:szCs w:val="22"/>
        </w:rPr>
      </w:pPr>
    </w:p>
    <w:p w14:paraId="45286701" w14:textId="77777777" w:rsidR="00311D0F" w:rsidRPr="00CA7033" w:rsidRDefault="00311D0F" w:rsidP="00311D0F">
      <w:pPr>
        <w:ind w:left="567" w:hanging="567"/>
        <w:rPr>
          <w:b/>
          <w:caps/>
          <w:szCs w:val="22"/>
        </w:rPr>
      </w:pPr>
      <w:r w:rsidRPr="00CA7033">
        <w:rPr>
          <w:b/>
          <w:caps/>
          <w:szCs w:val="22"/>
        </w:rPr>
        <w:t>10.</w:t>
      </w:r>
      <w:r w:rsidRPr="00CA7033">
        <w:rPr>
          <w:b/>
          <w:caps/>
          <w:szCs w:val="22"/>
        </w:rPr>
        <w:tab/>
        <w:t>teksto peržiūros data</w:t>
      </w:r>
    </w:p>
    <w:p w14:paraId="3A04612A" w14:textId="77777777" w:rsidR="00311D0F" w:rsidRPr="00CA7033" w:rsidRDefault="00311D0F" w:rsidP="00311D0F">
      <w:pPr>
        <w:ind w:left="567" w:hanging="567"/>
        <w:rPr>
          <w:b/>
          <w:caps/>
          <w:szCs w:val="22"/>
        </w:rPr>
      </w:pPr>
    </w:p>
    <w:p w14:paraId="23DFAC6C" w14:textId="69E27661" w:rsidR="0057336B" w:rsidRDefault="000349C6" w:rsidP="00311D0F">
      <w:pPr>
        <w:ind w:left="567" w:hanging="567"/>
        <w:rPr>
          <w:szCs w:val="22"/>
        </w:rPr>
      </w:pPr>
      <w:r>
        <w:rPr>
          <w:szCs w:val="22"/>
        </w:rPr>
        <w:t>2024 m. rugsėjo 2 d.</w:t>
      </w:r>
    </w:p>
    <w:p w14:paraId="4E22F590" w14:textId="77777777" w:rsidR="00681358" w:rsidRPr="00CA7033" w:rsidRDefault="00681358" w:rsidP="00311D0F">
      <w:pPr>
        <w:ind w:left="567" w:hanging="567"/>
        <w:rPr>
          <w:szCs w:val="22"/>
        </w:rPr>
      </w:pPr>
    </w:p>
    <w:p w14:paraId="7DEDF871" w14:textId="2FE466B1" w:rsidR="00311D0F" w:rsidRPr="00CA7033" w:rsidRDefault="00311D0F" w:rsidP="00311D0F">
      <w:pPr>
        <w:pStyle w:val="Paprastasistekstas"/>
        <w:tabs>
          <w:tab w:val="left" w:pos="5954"/>
          <w:tab w:val="left" w:pos="6237"/>
          <w:tab w:val="left" w:pos="6663"/>
          <w:tab w:val="left" w:pos="6946"/>
        </w:tabs>
        <w:rPr>
          <w:lang w:val="lt-LT"/>
        </w:rPr>
      </w:pPr>
      <w:r w:rsidRPr="00CA703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CA7033">
        <w:rPr>
          <w:rFonts w:ascii="Times New Roman" w:hAnsi="Times New Roman"/>
          <w:i/>
          <w:sz w:val="22"/>
          <w:szCs w:val="22"/>
          <w:lang w:val="lt-LT"/>
        </w:rPr>
        <w:t xml:space="preserve"> </w:t>
      </w:r>
      <w:hyperlink r:id="rId7" w:history="1">
        <w:r w:rsidR="00040B65" w:rsidRPr="00040B65">
          <w:rPr>
            <w:rFonts w:ascii="Times New Roman" w:eastAsia="Times New Roman" w:hAnsi="Times New Roman"/>
            <w:color w:val="0000FF"/>
            <w:sz w:val="22"/>
            <w:szCs w:val="22"/>
            <w:u w:val="single"/>
            <w:lang w:val="lt-LT" w:eastAsia="lt-LT"/>
          </w:rPr>
          <w:t>https://vvkt.lrv.lt/lt/</w:t>
        </w:r>
      </w:hyperlink>
      <w:r w:rsidR="00040B65">
        <w:rPr>
          <w:rFonts w:ascii="Times New Roman" w:eastAsia="Times New Roman" w:hAnsi="Times New Roman"/>
          <w:color w:val="0000FF"/>
          <w:sz w:val="22"/>
          <w:szCs w:val="22"/>
          <w:u w:val="single"/>
          <w:lang w:val="lt-LT" w:eastAsia="lt-LT"/>
        </w:rPr>
        <w:t>.</w:t>
      </w:r>
    </w:p>
    <w:p w14:paraId="2D6104DB" w14:textId="5DB6045C" w:rsidR="00874222" w:rsidRPr="00CA7033" w:rsidRDefault="00874222">
      <w:pPr>
        <w:spacing w:after="200" w:line="276" w:lineRule="auto"/>
        <w:rPr>
          <w:szCs w:val="22"/>
        </w:rPr>
      </w:pPr>
      <w:r w:rsidRPr="00CA7033">
        <w:rPr>
          <w:szCs w:val="22"/>
        </w:rPr>
        <w:br w:type="page"/>
      </w:r>
    </w:p>
    <w:p w14:paraId="2AD23310" w14:textId="77777777" w:rsidR="00311D0F" w:rsidRPr="00CA7033" w:rsidRDefault="00311D0F" w:rsidP="00311D0F">
      <w:pPr>
        <w:ind w:left="567" w:hanging="567"/>
        <w:rPr>
          <w:szCs w:val="22"/>
        </w:rPr>
      </w:pPr>
    </w:p>
    <w:p w14:paraId="22360745" w14:textId="77777777" w:rsidR="007A1F74" w:rsidRPr="00CA7033" w:rsidRDefault="007A1F74" w:rsidP="00311D0F">
      <w:pPr>
        <w:tabs>
          <w:tab w:val="left" w:pos="567"/>
        </w:tabs>
        <w:spacing w:line="260" w:lineRule="exact"/>
        <w:jc w:val="center"/>
        <w:rPr>
          <w:b/>
          <w:snapToGrid w:val="0"/>
          <w:szCs w:val="22"/>
        </w:rPr>
      </w:pPr>
    </w:p>
    <w:p w14:paraId="63F5578F" w14:textId="77777777" w:rsidR="007A1F74" w:rsidRPr="00CA7033" w:rsidRDefault="007A1F74" w:rsidP="00311D0F">
      <w:pPr>
        <w:tabs>
          <w:tab w:val="left" w:pos="567"/>
        </w:tabs>
        <w:spacing w:line="260" w:lineRule="exact"/>
        <w:jc w:val="center"/>
        <w:rPr>
          <w:b/>
          <w:snapToGrid w:val="0"/>
          <w:szCs w:val="22"/>
        </w:rPr>
      </w:pPr>
    </w:p>
    <w:p w14:paraId="7336C6FA" w14:textId="77777777" w:rsidR="007A1F74" w:rsidRPr="00CA7033" w:rsidRDefault="007A1F74" w:rsidP="00311D0F">
      <w:pPr>
        <w:tabs>
          <w:tab w:val="left" w:pos="567"/>
        </w:tabs>
        <w:spacing w:line="260" w:lineRule="exact"/>
        <w:jc w:val="center"/>
        <w:rPr>
          <w:b/>
          <w:snapToGrid w:val="0"/>
          <w:szCs w:val="22"/>
        </w:rPr>
      </w:pPr>
    </w:p>
    <w:p w14:paraId="0D568E41" w14:textId="77777777" w:rsidR="007A1F74" w:rsidRPr="00CA7033" w:rsidRDefault="007A1F74" w:rsidP="00311D0F">
      <w:pPr>
        <w:tabs>
          <w:tab w:val="left" w:pos="567"/>
        </w:tabs>
        <w:spacing w:line="260" w:lineRule="exact"/>
        <w:jc w:val="center"/>
        <w:rPr>
          <w:b/>
          <w:snapToGrid w:val="0"/>
          <w:szCs w:val="22"/>
        </w:rPr>
      </w:pPr>
    </w:p>
    <w:p w14:paraId="3F4685D7" w14:textId="77777777" w:rsidR="007A1F74" w:rsidRPr="00CA7033" w:rsidRDefault="007A1F74" w:rsidP="00311D0F">
      <w:pPr>
        <w:tabs>
          <w:tab w:val="left" w:pos="567"/>
        </w:tabs>
        <w:spacing w:line="260" w:lineRule="exact"/>
        <w:jc w:val="center"/>
        <w:rPr>
          <w:b/>
          <w:snapToGrid w:val="0"/>
          <w:szCs w:val="22"/>
        </w:rPr>
      </w:pPr>
    </w:p>
    <w:p w14:paraId="03295916" w14:textId="77777777" w:rsidR="007A1F74" w:rsidRPr="00CA7033" w:rsidRDefault="007A1F74" w:rsidP="00311D0F">
      <w:pPr>
        <w:tabs>
          <w:tab w:val="left" w:pos="567"/>
        </w:tabs>
        <w:spacing w:line="260" w:lineRule="exact"/>
        <w:jc w:val="center"/>
        <w:rPr>
          <w:b/>
          <w:snapToGrid w:val="0"/>
          <w:szCs w:val="22"/>
        </w:rPr>
      </w:pPr>
    </w:p>
    <w:p w14:paraId="46A08346" w14:textId="77777777" w:rsidR="007A1F74" w:rsidRPr="00CA7033" w:rsidRDefault="007A1F74" w:rsidP="00311D0F">
      <w:pPr>
        <w:tabs>
          <w:tab w:val="left" w:pos="567"/>
        </w:tabs>
        <w:spacing w:line="260" w:lineRule="exact"/>
        <w:jc w:val="center"/>
        <w:rPr>
          <w:b/>
          <w:snapToGrid w:val="0"/>
          <w:szCs w:val="22"/>
        </w:rPr>
      </w:pPr>
    </w:p>
    <w:p w14:paraId="6BBA6965" w14:textId="77777777" w:rsidR="007A1F74" w:rsidRPr="00CA7033" w:rsidRDefault="007A1F74" w:rsidP="00311D0F">
      <w:pPr>
        <w:tabs>
          <w:tab w:val="left" w:pos="567"/>
        </w:tabs>
        <w:spacing w:line="260" w:lineRule="exact"/>
        <w:jc w:val="center"/>
        <w:rPr>
          <w:b/>
          <w:snapToGrid w:val="0"/>
          <w:szCs w:val="22"/>
        </w:rPr>
      </w:pPr>
    </w:p>
    <w:p w14:paraId="3A756FCC" w14:textId="77777777" w:rsidR="007A1F74" w:rsidRPr="00CA7033" w:rsidRDefault="007A1F74" w:rsidP="00311D0F">
      <w:pPr>
        <w:tabs>
          <w:tab w:val="left" w:pos="567"/>
        </w:tabs>
        <w:spacing w:line="260" w:lineRule="exact"/>
        <w:jc w:val="center"/>
        <w:rPr>
          <w:b/>
          <w:snapToGrid w:val="0"/>
          <w:szCs w:val="22"/>
        </w:rPr>
      </w:pPr>
    </w:p>
    <w:p w14:paraId="310CA9C4" w14:textId="77777777" w:rsidR="007A1F74" w:rsidRPr="00CA7033" w:rsidRDefault="007A1F74" w:rsidP="00311D0F">
      <w:pPr>
        <w:tabs>
          <w:tab w:val="left" w:pos="567"/>
        </w:tabs>
        <w:spacing w:line="260" w:lineRule="exact"/>
        <w:jc w:val="center"/>
        <w:rPr>
          <w:b/>
          <w:snapToGrid w:val="0"/>
          <w:szCs w:val="22"/>
        </w:rPr>
      </w:pPr>
    </w:p>
    <w:p w14:paraId="1980C4EF" w14:textId="77777777" w:rsidR="007A1F74" w:rsidRPr="00CA7033" w:rsidRDefault="007A1F74" w:rsidP="00311D0F">
      <w:pPr>
        <w:tabs>
          <w:tab w:val="left" w:pos="567"/>
        </w:tabs>
        <w:spacing w:line="260" w:lineRule="exact"/>
        <w:jc w:val="center"/>
        <w:rPr>
          <w:b/>
          <w:snapToGrid w:val="0"/>
          <w:szCs w:val="22"/>
        </w:rPr>
      </w:pPr>
    </w:p>
    <w:p w14:paraId="08792F35" w14:textId="77777777" w:rsidR="007A1F74" w:rsidRPr="00CA7033" w:rsidRDefault="007A1F74" w:rsidP="00311D0F">
      <w:pPr>
        <w:tabs>
          <w:tab w:val="left" w:pos="567"/>
        </w:tabs>
        <w:spacing w:line="260" w:lineRule="exact"/>
        <w:jc w:val="center"/>
        <w:rPr>
          <w:b/>
          <w:snapToGrid w:val="0"/>
          <w:szCs w:val="22"/>
        </w:rPr>
      </w:pPr>
    </w:p>
    <w:p w14:paraId="734F9AC1" w14:textId="77777777" w:rsidR="007A1F74" w:rsidRPr="00CA7033" w:rsidRDefault="007A1F74" w:rsidP="00311D0F">
      <w:pPr>
        <w:tabs>
          <w:tab w:val="left" w:pos="567"/>
        </w:tabs>
        <w:spacing w:line="260" w:lineRule="exact"/>
        <w:jc w:val="center"/>
        <w:rPr>
          <w:b/>
          <w:snapToGrid w:val="0"/>
          <w:szCs w:val="22"/>
        </w:rPr>
      </w:pPr>
    </w:p>
    <w:p w14:paraId="421BFF14" w14:textId="77777777" w:rsidR="007A1F74" w:rsidRPr="00CA7033" w:rsidRDefault="007A1F74" w:rsidP="00311D0F">
      <w:pPr>
        <w:tabs>
          <w:tab w:val="left" w:pos="567"/>
        </w:tabs>
        <w:spacing w:line="260" w:lineRule="exact"/>
        <w:jc w:val="center"/>
        <w:rPr>
          <w:b/>
          <w:snapToGrid w:val="0"/>
          <w:szCs w:val="22"/>
        </w:rPr>
      </w:pPr>
    </w:p>
    <w:p w14:paraId="38EBD99C" w14:textId="77777777" w:rsidR="007A1F74" w:rsidRPr="00CA7033" w:rsidRDefault="007A1F74" w:rsidP="00311D0F">
      <w:pPr>
        <w:tabs>
          <w:tab w:val="left" w:pos="567"/>
        </w:tabs>
        <w:spacing w:line="260" w:lineRule="exact"/>
        <w:jc w:val="center"/>
        <w:rPr>
          <w:b/>
          <w:snapToGrid w:val="0"/>
          <w:szCs w:val="22"/>
        </w:rPr>
      </w:pPr>
    </w:p>
    <w:p w14:paraId="37F88A48" w14:textId="77777777" w:rsidR="007A1F74" w:rsidRPr="00CA7033" w:rsidRDefault="007A1F74" w:rsidP="00311D0F">
      <w:pPr>
        <w:tabs>
          <w:tab w:val="left" w:pos="567"/>
        </w:tabs>
        <w:spacing w:line="260" w:lineRule="exact"/>
        <w:jc w:val="center"/>
        <w:rPr>
          <w:b/>
          <w:snapToGrid w:val="0"/>
          <w:szCs w:val="22"/>
        </w:rPr>
      </w:pPr>
    </w:p>
    <w:p w14:paraId="15B3C37B" w14:textId="77777777" w:rsidR="007A1F74" w:rsidRPr="00CA7033" w:rsidRDefault="007A1F74" w:rsidP="00311D0F">
      <w:pPr>
        <w:tabs>
          <w:tab w:val="left" w:pos="567"/>
        </w:tabs>
        <w:spacing w:line="260" w:lineRule="exact"/>
        <w:jc w:val="center"/>
        <w:rPr>
          <w:b/>
          <w:snapToGrid w:val="0"/>
          <w:szCs w:val="22"/>
        </w:rPr>
      </w:pPr>
    </w:p>
    <w:p w14:paraId="692F2641" w14:textId="77777777" w:rsidR="007A1F74" w:rsidRPr="00CA7033" w:rsidRDefault="007A1F74" w:rsidP="00311D0F">
      <w:pPr>
        <w:tabs>
          <w:tab w:val="left" w:pos="567"/>
        </w:tabs>
        <w:spacing w:line="260" w:lineRule="exact"/>
        <w:jc w:val="center"/>
        <w:rPr>
          <w:b/>
          <w:snapToGrid w:val="0"/>
          <w:szCs w:val="22"/>
        </w:rPr>
      </w:pPr>
    </w:p>
    <w:p w14:paraId="10A59247" w14:textId="77777777" w:rsidR="007A1F74" w:rsidRPr="00CA7033" w:rsidRDefault="007A1F74" w:rsidP="00311D0F">
      <w:pPr>
        <w:tabs>
          <w:tab w:val="left" w:pos="567"/>
        </w:tabs>
        <w:spacing w:line="260" w:lineRule="exact"/>
        <w:jc w:val="center"/>
        <w:rPr>
          <w:b/>
          <w:snapToGrid w:val="0"/>
          <w:szCs w:val="22"/>
        </w:rPr>
      </w:pPr>
    </w:p>
    <w:p w14:paraId="38996665" w14:textId="77777777" w:rsidR="007A1F74" w:rsidRPr="00CA7033" w:rsidRDefault="007A1F74" w:rsidP="00311D0F">
      <w:pPr>
        <w:tabs>
          <w:tab w:val="left" w:pos="567"/>
        </w:tabs>
        <w:spacing w:line="260" w:lineRule="exact"/>
        <w:jc w:val="center"/>
        <w:rPr>
          <w:b/>
          <w:snapToGrid w:val="0"/>
          <w:szCs w:val="22"/>
        </w:rPr>
      </w:pPr>
    </w:p>
    <w:p w14:paraId="07723EA6" w14:textId="77777777" w:rsidR="007A1F74" w:rsidRPr="00CA7033" w:rsidRDefault="007A1F74" w:rsidP="00311D0F">
      <w:pPr>
        <w:tabs>
          <w:tab w:val="left" w:pos="567"/>
        </w:tabs>
        <w:spacing w:line="260" w:lineRule="exact"/>
        <w:jc w:val="center"/>
        <w:rPr>
          <w:b/>
          <w:snapToGrid w:val="0"/>
          <w:szCs w:val="22"/>
        </w:rPr>
      </w:pPr>
    </w:p>
    <w:p w14:paraId="2328B5DC" w14:textId="77777777" w:rsidR="007A1F74" w:rsidRPr="00CA7033" w:rsidRDefault="007A1F74" w:rsidP="00311D0F">
      <w:pPr>
        <w:tabs>
          <w:tab w:val="left" w:pos="567"/>
        </w:tabs>
        <w:spacing w:line="260" w:lineRule="exact"/>
        <w:jc w:val="center"/>
        <w:rPr>
          <w:b/>
          <w:snapToGrid w:val="0"/>
          <w:szCs w:val="22"/>
        </w:rPr>
      </w:pPr>
    </w:p>
    <w:p w14:paraId="475714AF" w14:textId="77777777" w:rsidR="007A1F74" w:rsidRPr="00CA7033" w:rsidRDefault="007A1F74" w:rsidP="00311D0F">
      <w:pPr>
        <w:tabs>
          <w:tab w:val="left" w:pos="567"/>
        </w:tabs>
        <w:spacing w:line="260" w:lineRule="exact"/>
        <w:jc w:val="center"/>
        <w:rPr>
          <w:b/>
          <w:snapToGrid w:val="0"/>
          <w:szCs w:val="22"/>
        </w:rPr>
      </w:pPr>
    </w:p>
    <w:p w14:paraId="3AEA425E" w14:textId="712C30BF" w:rsidR="00311D0F" w:rsidRPr="00CA7033" w:rsidRDefault="00311D0F" w:rsidP="00311D0F">
      <w:pPr>
        <w:tabs>
          <w:tab w:val="left" w:pos="567"/>
        </w:tabs>
        <w:spacing w:line="260" w:lineRule="exact"/>
        <w:jc w:val="center"/>
        <w:rPr>
          <w:b/>
          <w:snapToGrid w:val="0"/>
          <w:szCs w:val="22"/>
        </w:rPr>
      </w:pPr>
      <w:r w:rsidRPr="00CA7033">
        <w:rPr>
          <w:b/>
          <w:snapToGrid w:val="0"/>
          <w:szCs w:val="22"/>
        </w:rPr>
        <w:t>II PRIEDAS</w:t>
      </w:r>
    </w:p>
    <w:p w14:paraId="4800D4B5" w14:textId="77777777" w:rsidR="00311D0F" w:rsidRPr="00CA7033" w:rsidRDefault="00311D0F" w:rsidP="00311D0F">
      <w:pPr>
        <w:tabs>
          <w:tab w:val="left" w:pos="567"/>
        </w:tabs>
        <w:spacing w:line="260" w:lineRule="exact"/>
        <w:ind w:left="1701" w:right="1416" w:hanging="567"/>
        <w:rPr>
          <w:snapToGrid w:val="0"/>
          <w:szCs w:val="22"/>
        </w:rPr>
      </w:pPr>
    </w:p>
    <w:p w14:paraId="62ED054F" w14:textId="77777777" w:rsidR="00311D0F" w:rsidRPr="00CA7033" w:rsidRDefault="00311D0F" w:rsidP="00311D0F">
      <w:pPr>
        <w:tabs>
          <w:tab w:val="left" w:pos="567"/>
        </w:tabs>
        <w:spacing w:line="260" w:lineRule="exact"/>
        <w:jc w:val="center"/>
        <w:rPr>
          <w:i/>
          <w:snapToGrid w:val="0"/>
          <w:szCs w:val="22"/>
        </w:rPr>
      </w:pPr>
      <w:r w:rsidRPr="00CA7033">
        <w:rPr>
          <w:b/>
          <w:snapToGrid w:val="0"/>
          <w:szCs w:val="22"/>
        </w:rPr>
        <w:t>REGISTRACIJOS SĄLYGOS</w:t>
      </w:r>
    </w:p>
    <w:p w14:paraId="39F19492" w14:textId="77777777" w:rsidR="00311D0F" w:rsidRPr="00CA7033" w:rsidRDefault="00311D0F" w:rsidP="00311D0F">
      <w:pPr>
        <w:tabs>
          <w:tab w:val="left" w:pos="567"/>
        </w:tabs>
        <w:spacing w:line="260" w:lineRule="exact"/>
        <w:rPr>
          <w:snapToGrid w:val="0"/>
          <w:szCs w:val="22"/>
        </w:rPr>
      </w:pPr>
    </w:p>
    <w:p w14:paraId="03DD7BF6" w14:textId="77777777" w:rsidR="00311D0F" w:rsidRPr="00CA7033" w:rsidRDefault="00311D0F" w:rsidP="00311D0F">
      <w:pPr>
        <w:tabs>
          <w:tab w:val="left" w:pos="1701"/>
        </w:tabs>
        <w:spacing w:line="260" w:lineRule="exact"/>
        <w:ind w:left="1701" w:right="567" w:hanging="567"/>
        <w:rPr>
          <w:b/>
          <w:snapToGrid w:val="0"/>
          <w:szCs w:val="22"/>
        </w:rPr>
      </w:pPr>
      <w:r w:rsidRPr="00CA7033">
        <w:rPr>
          <w:b/>
          <w:snapToGrid w:val="0"/>
          <w:szCs w:val="22"/>
        </w:rPr>
        <w:t>A.</w:t>
      </w:r>
      <w:r w:rsidRPr="00CA7033">
        <w:rPr>
          <w:b/>
          <w:snapToGrid w:val="0"/>
          <w:szCs w:val="22"/>
        </w:rPr>
        <w:tab/>
        <w:t>GAMINTOJAS (-AI), ATSAKINGAS (-I) UŽ SERIJŲ IŠLEIDIMĄ</w:t>
      </w:r>
    </w:p>
    <w:p w14:paraId="62E93474" w14:textId="77777777" w:rsidR="00311D0F" w:rsidRPr="00CA7033" w:rsidRDefault="00311D0F" w:rsidP="00311D0F">
      <w:pPr>
        <w:tabs>
          <w:tab w:val="left" w:pos="1701"/>
        </w:tabs>
        <w:spacing w:line="260" w:lineRule="exact"/>
        <w:ind w:left="567" w:right="567" w:hanging="567"/>
        <w:rPr>
          <w:snapToGrid w:val="0"/>
          <w:szCs w:val="22"/>
        </w:rPr>
      </w:pPr>
    </w:p>
    <w:p w14:paraId="278E26CD" w14:textId="77777777" w:rsidR="00311D0F" w:rsidRPr="00CA7033" w:rsidRDefault="00311D0F" w:rsidP="00311D0F">
      <w:pPr>
        <w:tabs>
          <w:tab w:val="left" w:pos="1701"/>
        </w:tabs>
        <w:spacing w:line="260" w:lineRule="exact"/>
        <w:ind w:left="1701" w:right="567" w:hanging="567"/>
        <w:rPr>
          <w:b/>
          <w:snapToGrid w:val="0"/>
          <w:szCs w:val="22"/>
        </w:rPr>
      </w:pPr>
      <w:r w:rsidRPr="00CA7033">
        <w:rPr>
          <w:b/>
          <w:snapToGrid w:val="0"/>
          <w:szCs w:val="22"/>
        </w:rPr>
        <w:t>B.</w:t>
      </w:r>
      <w:r w:rsidRPr="00CA7033">
        <w:rPr>
          <w:b/>
          <w:snapToGrid w:val="0"/>
          <w:szCs w:val="22"/>
        </w:rPr>
        <w:tab/>
        <w:t>TIEKIMO IR VARTOJIMO SĄLYGOS AR APRIBOJIMAI</w:t>
      </w:r>
    </w:p>
    <w:p w14:paraId="13734617" w14:textId="77777777" w:rsidR="00311D0F" w:rsidRPr="00CA7033" w:rsidRDefault="00311D0F" w:rsidP="00311D0F">
      <w:pPr>
        <w:tabs>
          <w:tab w:val="left" w:pos="1701"/>
        </w:tabs>
        <w:spacing w:line="260" w:lineRule="exact"/>
        <w:ind w:left="567" w:right="567" w:hanging="567"/>
        <w:rPr>
          <w:snapToGrid w:val="0"/>
          <w:szCs w:val="22"/>
        </w:rPr>
      </w:pPr>
    </w:p>
    <w:p w14:paraId="48549C00" w14:textId="77777777" w:rsidR="00311D0F" w:rsidRPr="00CA7033" w:rsidRDefault="00311D0F" w:rsidP="00311D0F">
      <w:pPr>
        <w:tabs>
          <w:tab w:val="left" w:pos="567"/>
        </w:tabs>
        <w:spacing w:line="260" w:lineRule="exact"/>
        <w:ind w:right="-1"/>
        <w:rPr>
          <w:snapToGrid w:val="0"/>
          <w:szCs w:val="22"/>
        </w:rPr>
      </w:pPr>
    </w:p>
    <w:p w14:paraId="70F175F4" w14:textId="77777777" w:rsidR="00311D0F" w:rsidRPr="00CA7033" w:rsidRDefault="00311D0F" w:rsidP="00311D0F">
      <w:pPr>
        <w:tabs>
          <w:tab w:val="left" w:pos="567"/>
        </w:tabs>
        <w:spacing w:line="260" w:lineRule="exact"/>
        <w:ind w:left="567" w:hanging="567"/>
        <w:rPr>
          <w:b/>
          <w:snapToGrid w:val="0"/>
          <w:szCs w:val="22"/>
        </w:rPr>
      </w:pPr>
      <w:r w:rsidRPr="00CA7033">
        <w:rPr>
          <w:snapToGrid w:val="0"/>
          <w:szCs w:val="22"/>
        </w:rPr>
        <w:br w:type="page"/>
      </w:r>
      <w:r w:rsidRPr="00CA7033">
        <w:rPr>
          <w:b/>
          <w:snapToGrid w:val="0"/>
          <w:szCs w:val="22"/>
        </w:rPr>
        <w:lastRenderedPageBreak/>
        <w:t>A.</w:t>
      </w:r>
      <w:r w:rsidRPr="00CA7033">
        <w:rPr>
          <w:b/>
          <w:snapToGrid w:val="0"/>
          <w:szCs w:val="22"/>
        </w:rPr>
        <w:tab/>
        <w:t>GAMINTOJAS (-AI), ATSAKINGAS (-I) UŽ SERIJŲ IŠLEIDIMĄ</w:t>
      </w:r>
    </w:p>
    <w:p w14:paraId="7A46F631" w14:textId="77777777" w:rsidR="00311D0F" w:rsidRPr="00CA7033" w:rsidRDefault="00311D0F" w:rsidP="00311D0F">
      <w:pPr>
        <w:tabs>
          <w:tab w:val="left" w:pos="567"/>
        </w:tabs>
        <w:spacing w:line="260" w:lineRule="exact"/>
        <w:rPr>
          <w:snapToGrid w:val="0"/>
          <w:szCs w:val="22"/>
        </w:rPr>
      </w:pPr>
    </w:p>
    <w:p w14:paraId="0F5FAD04" w14:textId="77777777" w:rsidR="00311D0F" w:rsidRPr="00CA7033" w:rsidRDefault="00311D0F" w:rsidP="00311D0F">
      <w:pPr>
        <w:tabs>
          <w:tab w:val="left" w:pos="567"/>
        </w:tabs>
        <w:jc w:val="both"/>
        <w:rPr>
          <w:snapToGrid w:val="0"/>
          <w:szCs w:val="22"/>
        </w:rPr>
      </w:pPr>
      <w:r w:rsidRPr="00CA7033">
        <w:rPr>
          <w:snapToGrid w:val="0"/>
          <w:szCs w:val="22"/>
          <w:u w:val="single"/>
        </w:rPr>
        <w:t>Gamintojo (-ų), atsakingo (-ų) už serijų išleidimą, pavadinimas (-ai) ir adresas (-ai)</w:t>
      </w:r>
    </w:p>
    <w:p w14:paraId="647D25A1" w14:textId="77777777" w:rsidR="00311D0F" w:rsidRPr="00CA7033" w:rsidRDefault="00311D0F" w:rsidP="00311D0F">
      <w:pPr>
        <w:tabs>
          <w:tab w:val="left" w:pos="567"/>
        </w:tabs>
        <w:spacing w:line="260" w:lineRule="exact"/>
        <w:rPr>
          <w:snapToGrid w:val="0"/>
          <w:szCs w:val="22"/>
        </w:rPr>
      </w:pPr>
    </w:p>
    <w:p w14:paraId="30196DA7" w14:textId="77777777" w:rsidR="00311D0F" w:rsidRPr="00CA7033" w:rsidRDefault="00311D0F" w:rsidP="00311D0F">
      <w:pPr>
        <w:numPr>
          <w:ilvl w:val="12"/>
          <w:numId w:val="0"/>
        </w:numPr>
        <w:ind w:right="-2"/>
        <w:rPr>
          <w:szCs w:val="22"/>
        </w:rPr>
      </w:pPr>
      <w:r w:rsidRPr="00CA7033">
        <w:rPr>
          <w:szCs w:val="22"/>
        </w:rPr>
        <w:t>Delpharm Novara S.r.l.</w:t>
      </w:r>
      <w:r w:rsidRPr="00CA7033">
        <w:rPr>
          <w:szCs w:val="22"/>
        </w:rPr>
        <w:br/>
        <w:t>Via Crosa, 86</w:t>
      </w:r>
      <w:r w:rsidRPr="00CA7033">
        <w:rPr>
          <w:szCs w:val="22"/>
        </w:rPr>
        <w:br/>
        <w:t>28065 - Cerano (NO)</w:t>
      </w:r>
      <w:r w:rsidRPr="00CA7033">
        <w:rPr>
          <w:szCs w:val="22"/>
        </w:rPr>
        <w:br/>
        <w:t>Italija</w:t>
      </w:r>
    </w:p>
    <w:p w14:paraId="5A90632D" w14:textId="77777777" w:rsidR="00CF505F" w:rsidRPr="00CA7033" w:rsidRDefault="00CF505F" w:rsidP="009A1CE0">
      <w:pPr>
        <w:numPr>
          <w:ilvl w:val="12"/>
          <w:numId w:val="0"/>
        </w:numPr>
        <w:ind w:right="-2"/>
        <w:rPr>
          <w:szCs w:val="22"/>
        </w:rPr>
      </w:pPr>
    </w:p>
    <w:p w14:paraId="7039A86F" w14:textId="77777777" w:rsidR="00CF505F" w:rsidRPr="00CA7033" w:rsidRDefault="00CF505F" w:rsidP="00CF505F">
      <w:pPr>
        <w:numPr>
          <w:ilvl w:val="12"/>
          <w:numId w:val="0"/>
        </w:numPr>
        <w:ind w:right="-2"/>
        <w:rPr>
          <w:szCs w:val="22"/>
        </w:rPr>
      </w:pPr>
      <w:r w:rsidRPr="00CA7033">
        <w:rPr>
          <w:szCs w:val="22"/>
        </w:rPr>
        <w:t>arba</w:t>
      </w:r>
    </w:p>
    <w:p w14:paraId="6EFFAA86" w14:textId="77777777" w:rsidR="00CF505F" w:rsidRPr="00CA7033" w:rsidRDefault="00CF505F" w:rsidP="00CF505F">
      <w:pPr>
        <w:numPr>
          <w:ilvl w:val="12"/>
          <w:numId w:val="0"/>
        </w:numPr>
        <w:ind w:right="-2"/>
        <w:rPr>
          <w:szCs w:val="22"/>
        </w:rPr>
      </w:pPr>
    </w:p>
    <w:p w14:paraId="613DCECA" w14:textId="77777777" w:rsidR="00CF505F" w:rsidRPr="00CA7033" w:rsidRDefault="00CF505F" w:rsidP="00CF505F">
      <w:pPr>
        <w:pStyle w:val="Pagrindinistekstas"/>
        <w:kinsoku w:val="0"/>
        <w:overflowPunct w:val="0"/>
        <w:spacing w:before="8"/>
        <w:rPr>
          <w:i w:val="0"/>
          <w:color w:val="auto"/>
          <w:spacing w:val="-1"/>
          <w:lang w:val="lt-LT"/>
        </w:rPr>
      </w:pPr>
      <w:r w:rsidRPr="00CA7033">
        <w:rPr>
          <w:i w:val="0"/>
          <w:color w:val="auto"/>
          <w:spacing w:val="-1"/>
          <w:lang w:val="lt-LT"/>
        </w:rPr>
        <w:t>Takeda Oranienburg GmbH</w:t>
      </w:r>
    </w:p>
    <w:p w14:paraId="1B32FBD1" w14:textId="77777777" w:rsidR="00CF505F" w:rsidRPr="00CA7033" w:rsidRDefault="00CF505F" w:rsidP="00CF505F">
      <w:pPr>
        <w:pStyle w:val="Pagrindinistekstas"/>
        <w:kinsoku w:val="0"/>
        <w:overflowPunct w:val="0"/>
        <w:spacing w:before="8"/>
        <w:rPr>
          <w:i w:val="0"/>
          <w:color w:val="auto"/>
          <w:spacing w:val="-1"/>
          <w:lang w:val="lt-LT"/>
        </w:rPr>
      </w:pPr>
      <w:r w:rsidRPr="00CA7033">
        <w:rPr>
          <w:i w:val="0"/>
          <w:color w:val="auto"/>
          <w:spacing w:val="-1"/>
          <w:lang w:val="lt-LT"/>
        </w:rPr>
        <w:t>Lehnitzstrasse 70-98</w:t>
      </w:r>
    </w:p>
    <w:p w14:paraId="0DF35200" w14:textId="1AACAF37" w:rsidR="00CF505F" w:rsidRPr="00CA7033" w:rsidRDefault="00CF505F" w:rsidP="00CF505F">
      <w:pPr>
        <w:pStyle w:val="Pagrindinistekstas"/>
        <w:kinsoku w:val="0"/>
        <w:overflowPunct w:val="0"/>
        <w:spacing w:before="8"/>
        <w:rPr>
          <w:i w:val="0"/>
          <w:color w:val="auto"/>
          <w:spacing w:val="-1"/>
          <w:lang w:val="lt-LT"/>
        </w:rPr>
      </w:pPr>
      <w:r w:rsidRPr="00CA7033">
        <w:rPr>
          <w:i w:val="0"/>
          <w:color w:val="auto"/>
          <w:spacing w:val="-1"/>
          <w:lang w:val="lt-LT"/>
        </w:rPr>
        <w:t>16515 – Oranienburg, Brande</w:t>
      </w:r>
      <w:r w:rsidR="001965FF" w:rsidRPr="00CA7033">
        <w:rPr>
          <w:i w:val="0"/>
          <w:color w:val="auto"/>
          <w:spacing w:val="-1"/>
          <w:lang w:val="lt-LT"/>
        </w:rPr>
        <w:t>n</w:t>
      </w:r>
      <w:r w:rsidRPr="00CA7033">
        <w:rPr>
          <w:i w:val="0"/>
          <w:color w:val="auto"/>
          <w:spacing w:val="-1"/>
          <w:lang w:val="lt-LT"/>
        </w:rPr>
        <w:t>burg</w:t>
      </w:r>
    </w:p>
    <w:p w14:paraId="4A9D9201" w14:textId="77777777" w:rsidR="00CF505F" w:rsidRPr="00CA7033" w:rsidRDefault="00CF505F" w:rsidP="00CF505F">
      <w:pPr>
        <w:pStyle w:val="Pagrindinistekstas"/>
        <w:kinsoku w:val="0"/>
        <w:overflowPunct w:val="0"/>
        <w:spacing w:before="8"/>
        <w:rPr>
          <w:i w:val="0"/>
          <w:color w:val="auto"/>
          <w:spacing w:val="-1"/>
          <w:lang w:val="lt-LT"/>
        </w:rPr>
      </w:pPr>
      <w:r w:rsidRPr="00CA7033">
        <w:rPr>
          <w:i w:val="0"/>
          <w:color w:val="auto"/>
          <w:spacing w:val="-1"/>
          <w:lang w:val="lt-LT"/>
        </w:rPr>
        <w:t>Vokietija</w:t>
      </w:r>
    </w:p>
    <w:p w14:paraId="19F71F8F" w14:textId="77777777" w:rsidR="00CF505F" w:rsidRPr="00CA7033" w:rsidRDefault="00CF505F" w:rsidP="00311D0F">
      <w:pPr>
        <w:numPr>
          <w:ilvl w:val="12"/>
          <w:numId w:val="0"/>
        </w:numPr>
        <w:ind w:right="-2"/>
        <w:rPr>
          <w:szCs w:val="22"/>
        </w:rPr>
      </w:pPr>
    </w:p>
    <w:p w14:paraId="388279B5" w14:textId="77777777" w:rsidR="00CF505F" w:rsidRPr="00CA7033" w:rsidRDefault="00CF505F" w:rsidP="00311D0F">
      <w:pPr>
        <w:numPr>
          <w:ilvl w:val="12"/>
          <w:numId w:val="0"/>
        </w:numPr>
        <w:ind w:right="-2"/>
        <w:rPr>
          <w:szCs w:val="22"/>
        </w:rPr>
      </w:pPr>
      <w:r w:rsidRPr="00CA7033">
        <w:rPr>
          <w:szCs w:val="22"/>
        </w:rPr>
        <w:t>Su pakuote pateikiamame lapelyje nurodomas gamintojo, atsakingo už konkrečios serijos išleidimą, pavadinimas ir adresas.</w:t>
      </w:r>
    </w:p>
    <w:p w14:paraId="0083D68C" w14:textId="77777777" w:rsidR="00311D0F" w:rsidRPr="00CA7033" w:rsidRDefault="00311D0F" w:rsidP="00311D0F">
      <w:pPr>
        <w:tabs>
          <w:tab w:val="left" w:pos="567"/>
        </w:tabs>
        <w:spacing w:line="260" w:lineRule="exact"/>
        <w:rPr>
          <w:snapToGrid w:val="0"/>
          <w:szCs w:val="22"/>
        </w:rPr>
      </w:pPr>
    </w:p>
    <w:p w14:paraId="5CCA5867" w14:textId="77777777" w:rsidR="00311D0F" w:rsidRPr="00CA7033" w:rsidRDefault="00311D0F" w:rsidP="00311D0F">
      <w:pPr>
        <w:tabs>
          <w:tab w:val="left" w:pos="567"/>
        </w:tabs>
        <w:spacing w:line="260" w:lineRule="exact"/>
        <w:rPr>
          <w:snapToGrid w:val="0"/>
          <w:szCs w:val="22"/>
        </w:rPr>
      </w:pPr>
    </w:p>
    <w:p w14:paraId="59AE5351" w14:textId="77777777" w:rsidR="00311D0F" w:rsidRPr="00CA7033" w:rsidRDefault="00311D0F" w:rsidP="00311D0F">
      <w:pPr>
        <w:tabs>
          <w:tab w:val="left" w:pos="567"/>
        </w:tabs>
        <w:ind w:left="567" w:hanging="567"/>
        <w:rPr>
          <w:snapToGrid w:val="0"/>
          <w:szCs w:val="22"/>
        </w:rPr>
      </w:pPr>
      <w:r w:rsidRPr="00CA7033">
        <w:rPr>
          <w:b/>
          <w:snapToGrid w:val="0"/>
          <w:szCs w:val="22"/>
        </w:rPr>
        <w:t>B.</w:t>
      </w:r>
      <w:r w:rsidRPr="00CA7033">
        <w:rPr>
          <w:b/>
          <w:snapToGrid w:val="0"/>
          <w:szCs w:val="22"/>
        </w:rPr>
        <w:tab/>
        <w:t>TIEKIMO IR VARTOJIMO SĄLYGOS AR APRIBOJIMAI</w:t>
      </w:r>
    </w:p>
    <w:p w14:paraId="0FBF1EF3" w14:textId="77777777" w:rsidR="00311D0F" w:rsidRPr="00CA7033" w:rsidRDefault="00311D0F" w:rsidP="00311D0F">
      <w:pPr>
        <w:tabs>
          <w:tab w:val="left" w:pos="567"/>
        </w:tabs>
        <w:spacing w:line="260" w:lineRule="exact"/>
        <w:rPr>
          <w:snapToGrid w:val="0"/>
          <w:szCs w:val="22"/>
        </w:rPr>
      </w:pPr>
    </w:p>
    <w:p w14:paraId="3212FF8F" w14:textId="77777777" w:rsidR="00311D0F" w:rsidRPr="00CA7033" w:rsidRDefault="00311D0F" w:rsidP="00311D0F">
      <w:pPr>
        <w:tabs>
          <w:tab w:val="left" w:pos="567"/>
        </w:tabs>
        <w:spacing w:line="260" w:lineRule="exact"/>
        <w:rPr>
          <w:snapToGrid w:val="0"/>
          <w:szCs w:val="22"/>
        </w:rPr>
      </w:pPr>
      <w:r w:rsidRPr="00CA7033">
        <w:rPr>
          <w:snapToGrid w:val="0"/>
          <w:szCs w:val="22"/>
        </w:rPr>
        <w:t>Receptinis vaistinis preparatas.</w:t>
      </w:r>
    </w:p>
    <w:p w14:paraId="1DE2DC08" w14:textId="77777777" w:rsidR="00311D0F" w:rsidRPr="00CA7033" w:rsidRDefault="00311D0F" w:rsidP="00311D0F">
      <w:pPr>
        <w:tabs>
          <w:tab w:val="left" w:pos="567"/>
        </w:tabs>
        <w:spacing w:line="260" w:lineRule="exact"/>
        <w:rPr>
          <w:snapToGrid w:val="0"/>
          <w:szCs w:val="22"/>
        </w:rPr>
      </w:pPr>
    </w:p>
    <w:p w14:paraId="231FD289" w14:textId="77777777" w:rsidR="00311D0F" w:rsidRPr="00CA7033" w:rsidRDefault="00311D0F" w:rsidP="00311D0F">
      <w:pPr>
        <w:tabs>
          <w:tab w:val="left" w:pos="567"/>
        </w:tabs>
        <w:spacing w:line="260" w:lineRule="exact"/>
        <w:rPr>
          <w:snapToGrid w:val="0"/>
          <w:szCs w:val="22"/>
        </w:rPr>
      </w:pPr>
    </w:p>
    <w:p w14:paraId="16DC8B05" w14:textId="77777777" w:rsidR="00311D0F" w:rsidRPr="00CA7033" w:rsidRDefault="00311D0F" w:rsidP="00311D0F">
      <w:pPr>
        <w:tabs>
          <w:tab w:val="left" w:pos="5954"/>
          <w:tab w:val="left" w:pos="6237"/>
          <w:tab w:val="left" w:pos="6663"/>
          <w:tab w:val="left" w:pos="6946"/>
        </w:tabs>
        <w:jc w:val="center"/>
        <w:rPr>
          <w:snapToGrid w:val="0"/>
          <w:szCs w:val="22"/>
        </w:rPr>
      </w:pPr>
      <w:r w:rsidRPr="00CA7033">
        <w:rPr>
          <w:rFonts w:eastAsia="SimSun"/>
          <w:b/>
          <w:szCs w:val="22"/>
        </w:rPr>
        <w:br w:type="page"/>
      </w:r>
    </w:p>
    <w:p w14:paraId="25CDE99A" w14:textId="77777777" w:rsidR="00311D0F" w:rsidRPr="00CA7033" w:rsidRDefault="00311D0F" w:rsidP="00311D0F">
      <w:pPr>
        <w:tabs>
          <w:tab w:val="left" w:pos="567"/>
        </w:tabs>
        <w:spacing w:line="260" w:lineRule="exact"/>
        <w:rPr>
          <w:snapToGrid w:val="0"/>
          <w:szCs w:val="22"/>
        </w:rPr>
      </w:pPr>
    </w:p>
    <w:p w14:paraId="678787EB" w14:textId="77777777" w:rsidR="00311D0F" w:rsidRPr="00CA7033" w:rsidRDefault="00311D0F" w:rsidP="00311D0F">
      <w:pPr>
        <w:tabs>
          <w:tab w:val="left" w:pos="567"/>
        </w:tabs>
        <w:spacing w:line="260" w:lineRule="exact"/>
        <w:rPr>
          <w:snapToGrid w:val="0"/>
          <w:szCs w:val="22"/>
        </w:rPr>
      </w:pPr>
    </w:p>
    <w:p w14:paraId="55762D71" w14:textId="77777777" w:rsidR="00311D0F" w:rsidRPr="00CA7033" w:rsidRDefault="00311D0F" w:rsidP="00311D0F">
      <w:pPr>
        <w:tabs>
          <w:tab w:val="left" w:pos="567"/>
        </w:tabs>
        <w:spacing w:line="260" w:lineRule="exact"/>
        <w:rPr>
          <w:snapToGrid w:val="0"/>
          <w:szCs w:val="22"/>
        </w:rPr>
      </w:pPr>
    </w:p>
    <w:p w14:paraId="31BA378C" w14:textId="77777777" w:rsidR="00311D0F" w:rsidRPr="00CA7033" w:rsidRDefault="00311D0F" w:rsidP="00311D0F">
      <w:pPr>
        <w:tabs>
          <w:tab w:val="left" w:pos="567"/>
        </w:tabs>
        <w:spacing w:line="260" w:lineRule="exact"/>
        <w:rPr>
          <w:snapToGrid w:val="0"/>
          <w:szCs w:val="22"/>
        </w:rPr>
      </w:pPr>
    </w:p>
    <w:p w14:paraId="4FF1B420" w14:textId="77777777" w:rsidR="00311D0F" w:rsidRPr="00CA7033" w:rsidRDefault="00311D0F" w:rsidP="00311D0F">
      <w:pPr>
        <w:tabs>
          <w:tab w:val="left" w:pos="567"/>
        </w:tabs>
        <w:spacing w:line="260" w:lineRule="exact"/>
        <w:rPr>
          <w:snapToGrid w:val="0"/>
          <w:szCs w:val="22"/>
        </w:rPr>
      </w:pPr>
    </w:p>
    <w:p w14:paraId="0698074C" w14:textId="77777777" w:rsidR="00311D0F" w:rsidRPr="00CA7033" w:rsidRDefault="00311D0F" w:rsidP="00311D0F">
      <w:pPr>
        <w:tabs>
          <w:tab w:val="left" w:pos="567"/>
        </w:tabs>
        <w:spacing w:line="260" w:lineRule="exact"/>
        <w:rPr>
          <w:snapToGrid w:val="0"/>
          <w:szCs w:val="22"/>
        </w:rPr>
      </w:pPr>
    </w:p>
    <w:p w14:paraId="115C8FA8" w14:textId="77777777" w:rsidR="00311D0F" w:rsidRPr="00CA7033" w:rsidRDefault="00311D0F" w:rsidP="00311D0F">
      <w:pPr>
        <w:tabs>
          <w:tab w:val="left" w:pos="567"/>
        </w:tabs>
        <w:spacing w:line="260" w:lineRule="exact"/>
        <w:rPr>
          <w:snapToGrid w:val="0"/>
          <w:szCs w:val="22"/>
        </w:rPr>
      </w:pPr>
    </w:p>
    <w:p w14:paraId="26FFD77B" w14:textId="77777777" w:rsidR="00311D0F" w:rsidRPr="00CA7033" w:rsidRDefault="00311D0F" w:rsidP="00311D0F">
      <w:pPr>
        <w:tabs>
          <w:tab w:val="left" w:pos="567"/>
        </w:tabs>
        <w:spacing w:line="260" w:lineRule="exact"/>
        <w:rPr>
          <w:snapToGrid w:val="0"/>
          <w:szCs w:val="22"/>
        </w:rPr>
      </w:pPr>
    </w:p>
    <w:p w14:paraId="3FFA4D0B" w14:textId="77777777" w:rsidR="00311D0F" w:rsidRPr="00CA7033" w:rsidRDefault="00311D0F" w:rsidP="00311D0F">
      <w:pPr>
        <w:tabs>
          <w:tab w:val="left" w:pos="567"/>
        </w:tabs>
        <w:spacing w:line="260" w:lineRule="exact"/>
        <w:rPr>
          <w:snapToGrid w:val="0"/>
          <w:szCs w:val="22"/>
        </w:rPr>
      </w:pPr>
    </w:p>
    <w:p w14:paraId="006A8427" w14:textId="77777777" w:rsidR="00311D0F" w:rsidRPr="00CA7033" w:rsidRDefault="00311D0F" w:rsidP="00311D0F">
      <w:pPr>
        <w:tabs>
          <w:tab w:val="left" w:pos="567"/>
        </w:tabs>
        <w:spacing w:line="260" w:lineRule="exact"/>
        <w:rPr>
          <w:snapToGrid w:val="0"/>
          <w:szCs w:val="22"/>
        </w:rPr>
      </w:pPr>
    </w:p>
    <w:p w14:paraId="115C87E4" w14:textId="77777777" w:rsidR="00311D0F" w:rsidRPr="00CA7033" w:rsidRDefault="00311D0F" w:rsidP="00311D0F">
      <w:pPr>
        <w:tabs>
          <w:tab w:val="left" w:pos="567"/>
        </w:tabs>
        <w:spacing w:line="260" w:lineRule="exact"/>
        <w:rPr>
          <w:snapToGrid w:val="0"/>
          <w:szCs w:val="22"/>
        </w:rPr>
      </w:pPr>
    </w:p>
    <w:p w14:paraId="25D5E064" w14:textId="77777777" w:rsidR="00311D0F" w:rsidRPr="00CA7033" w:rsidRDefault="00311D0F" w:rsidP="00311D0F">
      <w:pPr>
        <w:tabs>
          <w:tab w:val="left" w:pos="567"/>
        </w:tabs>
        <w:spacing w:line="260" w:lineRule="exact"/>
        <w:rPr>
          <w:snapToGrid w:val="0"/>
          <w:szCs w:val="22"/>
        </w:rPr>
      </w:pPr>
    </w:p>
    <w:p w14:paraId="190E21E7" w14:textId="77777777" w:rsidR="00311D0F" w:rsidRPr="00CA7033" w:rsidRDefault="00311D0F" w:rsidP="00311D0F">
      <w:pPr>
        <w:tabs>
          <w:tab w:val="left" w:pos="567"/>
        </w:tabs>
        <w:spacing w:line="260" w:lineRule="exact"/>
        <w:rPr>
          <w:snapToGrid w:val="0"/>
          <w:szCs w:val="22"/>
        </w:rPr>
      </w:pPr>
    </w:p>
    <w:p w14:paraId="4E375446" w14:textId="77777777" w:rsidR="00311D0F" w:rsidRPr="00CA7033" w:rsidRDefault="00311D0F" w:rsidP="00311D0F">
      <w:pPr>
        <w:tabs>
          <w:tab w:val="left" w:pos="567"/>
        </w:tabs>
        <w:spacing w:line="260" w:lineRule="exact"/>
        <w:rPr>
          <w:snapToGrid w:val="0"/>
          <w:szCs w:val="22"/>
        </w:rPr>
      </w:pPr>
    </w:p>
    <w:p w14:paraId="3BA8F036" w14:textId="77777777" w:rsidR="00311D0F" w:rsidRPr="00CA7033" w:rsidRDefault="00311D0F" w:rsidP="00311D0F">
      <w:pPr>
        <w:tabs>
          <w:tab w:val="left" w:pos="567"/>
        </w:tabs>
        <w:spacing w:line="260" w:lineRule="exact"/>
        <w:rPr>
          <w:snapToGrid w:val="0"/>
          <w:szCs w:val="22"/>
        </w:rPr>
      </w:pPr>
    </w:p>
    <w:p w14:paraId="5B1423A1" w14:textId="77777777" w:rsidR="00311D0F" w:rsidRPr="00CA7033" w:rsidRDefault="00311D0F" w:rsidP="00311D0F">
      <w:pPr>
        <w:tabs>
          <w:tab w:val="left" w:pos="567"/>
        </w:tabs>
        <w:spacing w:line="260" w:lineRule="exact"/>
        <w:rPr>
          <w:snapToGrid w:val="0"/>
          <w:szCs w:val="22"/>
        </w:rPr>
      </w:pPr>
    </w:p>
    <w:p w14:paraId="2EA7B36D" w14:textId="77777777" w:rsidR="00311D0F" w:rsidRPr="00CA7033" w:rsidRDefault="00311D0F" w:rsidP="00311D0F">
      <w:pPr>
        <w:tabs>
          <w:tab w:val="left" w:pos="567"/>
        </w:tabs>
        <w:spacing w:line="260" w:lineRule="exact"/>
        <w:outlineLvl w:val="0"/>
        <w:rPr>
          <w:b/>
          <w:snapToGrid w:val="0"/>
          <w:szCs w:val="22"/>
        </w:rPr>
      </w:pPr>
    </w:p>
    <w:p w14:paraId="729B3190" w14:textId="77777777" w:rsidR="00311D0F" w:rsidRPr="00CA7033" w:rsidRDefault="00311D0F" w:rsidP="00311D0F">
      <w:pPr>
        <w:tabs>
          <w:tab w:val="left" w:pos="567"/>
        </w:tabs>
        <w:spacing w:line="260" w:lineRule="exact"/>
        <w:outlineLvl w:val="0"/>
        <w:rPr>
          <w:b/>
          <w:snapToGrid w:val="0"/>
          <w:szCs w:val="22"/>
        </w:rPr>
      </w:pPr>
    </w:p>
    <w:p w14:paraId="46C960C4" w14:textId="77777777" w:rsidR="00311D0F" w:rsidRPr="00CA7033" w:rsidRDefault="00311D0F" w:rsidP="00311D0F">
      <w:pPr>
        <w:tabs>
          <w:tab w:val="left" w:pos="567"/>
        </w:tabs>
        <w:spacing w:line="260" w:lineRule="exact"/>
        <w:outlineLvl w:val="0"/>
        <w:rPr>
          <w:b/>
          <w:snapToGrid w:val="0"/>
          <w:szCs w:val="22"/>
        </w:rPr>
      </w:pPr>
    </w:p>
    <w:p w14:paraId="369217FE" w14:textId="77777777" w:rsidR="00311D0F" w:rsidRPr="00CA7033" w:rsidRDefault="00311D0F" w:rsidP="00311D0F">
      <w:pPr>
        <w:tabs>
          <w:tab w:val="left" w:pos="567"/>
        </w:tabs>
        <w:spacing w:line="260" w:lineRule="exact"/>
        <w:outlineLvl w:val="0"/>
        <w:rPr>
          <w:b/>
          <w:snapToGrid w:val="0"/>
          <w:szCs w:val="22"/>
        </w:rPr>
      </w:pPr>
    </w:p>
    <w:p w14:paraId="1DAF4E7B" w14:textId="77777777" w:rsidR="00311D0F" w:rsidRPr="00CA7033" w:rsidRDefault="00311D0F" w:rsidP="00311D0F">
      <w:pPr>
        <w:tabs>
          <w:tab w:val="left" w:pos="567"/>
        </w:tabs>
        <w:spacing w:line="260" w:lineRule="exact"/>
        <w:outlineLvl w:val="0"/>
        <w:rPr>
          <w:b/>
          <w:snapToGrid w:val="0"/>
          <w:szCs w:val="22"/>
        </w:rPr>
      </w:pPr>
    </w:p>
    <w:p w14:paraId="69628B0A" w14:textId="77777777" w:rsidR="00311D0F" w:rsidRPr="00CA7033" w:rsidRDefault="00311D0F" w:rsidP="00311D0F">
      <w:pPr>
        <w:tabs>
          <w:tab w:val="left" w:pos="567"/>
        </w:tabs>
        <w:spacing w:line="260" w:lineRule="exact"/>
        <w:outlineLvl w:val="0"/>
        <w:rPr>
          <w:b/>
          <w:snapToGrid w:val="0"/>
          <w:szCs w:val="22"/>
        </w:rPr>
      </w:pPr>
    </w:p>
    <w:p w14:paraId="047CEDFB" w14:textId="77777777" w:rsidR="00311D0F" w:rsidRPr="00CA7033" w:rsidRDefault="00311D0F" w:rsidP="00311D0F">
      <w:pPr>
        <w:keepNext/>
        <w:tabs>
          <w:tab w:val="left" w:pos="567"/>
        </w:tabs>
        <w:jc w:val="center"/>
        <w:outlineLvl w:val="1"/>
        <w:rPr>
          <w:b/>
          <w:snapToGrid w:val="0"/>
          <w:szCs w:val="22"/>
          <w:lang w:eastAsia="x-none"/>
        </w:rPr>
      </w:pPr>
      <w:r w:rsidRPr="00CA7033">
        <w:rPr>
          <w:b/>
          <w:bCs/>
          <w:iCs/>
          <w:snapToGrid w:val="0"/>
          <w:szCs w:val="22"/>
          <w:lang w:eastAsia="x-none"/>
        </w:rPr>
        <w:t>III PRIEDAS</w:t>
      </w:r>
    </w:p>
    <w:p w14:paraId="47C26683" w14:textId="77777777" w:rsidR="00311D0F" w:rsidRPr="00CA7033" w:rsidRDefault="00311D0F" w:rsidP="00311D0F">
      <w:pPr>
        <w:tabs>
          <w:tab w:val="left" w:pos="567"/>
        </w:tabs>
        <w:spacing w:line="260" w:lineRule="exact"/>
        <w:rPr>
          <w:snapToGrid w:val="0"/>
          <w:szCs w:val="22"/>
        </w:rPr>
      </w:pPr>
    </w:p>
    <w:p w14:paraId="07E38F80" w14:textId="77777777" w:rsidR="00311D0F" w:rsidRPr="00CA7033" w:rsidRDefault="00311D0F" w:rsidP="00311D0F">
      <w:pPr>
        <w:keepNext/>
        <w:tabs>
          <w:tab w:val="left" w:pos="567"/>
        </w:tabs>
        <w:jc w:val="center"/>
        <w:outlineLvl w:val="1"/>
        <w:rPr>
          <w:b/>
          <w:snapToGrid w:val="0"/>
          <w:szCs w:val="22"/>
          <w:lang w:eastAsia="x-none"/>
        </w:rPr>
      </w:pPr>
      <w:r w:rsidRPr="00CA7033">
        <w:rPr>
          <w:b/>
          <w:bCs/>
          <w:iCs/>
          <w:snapToGrid w:val="0"/>
          <w:szCs w:val="22"/>
          <w:lang w:eastAsia="x-none"/>
        </w:rPr>
        <w:t>ŽENKLINIMAS IR PAKUOTĖS LAPELIS</w:t>
      </w:r>
    </w:p>
    <w:p w14:paraId="4004E828" w14:textId="77777777" w:rsidR="00311D0F" w:rsidRPr="00CA7033" w:rsidRDefault="00311D0F" w:rsidP="00311D0F">
      <w:pPr>
        <w:tabs>
          <w:tab w:val="left" w:pos="567"/>
        </w:tabs>
        <w:spacing w:line="260" w:lineRule="exact"/>
        <w:rPr>
          <w:snapToGrid w:val="0"/>
          <w:szCs w:val="22"/>
        </w:rPr>
      </w:pPr>
      <w:r w:rsidRPr="00CA7033">
        <w:rPr>
          <w:snapToGrid w:val="0"/>
          <w:szCs w:val="22"/>
        </w:rPr>
        <w:br w:type="page"/>
      </w:r>
    </w:p>
    <w:p w14:paraId="174B2B63" w14:textId="77777777" w:rsidR="00311D0F" w:rsidRPr="00CA7033" w:rsidRDefault="00311D0F" w:rsidP="00311D0F">
      <w:pPr>
        <w:tabs>
          <w:tab w:val="left" w:pos="567"/>
        </w:tabs>
        <w:spacing w:line="260" w:lineRule="exact"/>
        <w:rPr>
          <w:snapToGrid w:val="0"/>
          <w:szCs w:val="22"/>
        </w:rPr>
      </w:pPr>
    </w:p>
    <w:p w14:paraId="39CC3B2C" w14:textId="77777777" w:rsidR="00311D0F" w:rsidRPr="00CA7033" w:rsidRDefault="00311D0F" w:rsidP="00311D0F">
      <w:pPr>
        <w:tabs>
          <w:tab w:val="left" w:pos="567"/>
        </w:tabs>
        <w:spacing w:line="260" w:lineRule="exact"/>
        <w:rPr>
          <w:snapToGrid w:val="0"/>
          <w:szCs w:val="22"/>
        </w:rPr>
      </w:pPr>
    </w:p>
    <w:p w14:paraId="6B06E864" w14:textId="77777777" w:rsidR="00311D0F" w:rsidRPr="00CA7033" w:rsidRDefault="00311D0F" w:rsidP="00311D0F">
      <w:pPr>
        <w:tabs>
          <w:tab w:val="left" w:pos="567"/>
        </w:tabs>
        <w:spacing w:line="260" w:lineRule="exact"/>
        <w:rPr>
          <w:snapToGrid w:val="0"/>
          <w:szCs w:val="22"/>
        </w:rPr>
      </w:pPr>
    </w:p>
    <w:p w14:paraId="030E2344" w14:textId="77777777" w:rsidR="00311D0F" w:rsidRPr="00CA7033" w:rsidRDefault="00311D0F" w:rsidP="00311D0F">
      <w:pPr>
        <w:tabs>
          <w:tab w:val="left" w:pos="567"/>
        </w:tabs>
        <w:spacing w:line="260" w:lineRule="exact"/>
        <w:rPr>
          <w:snapToGrid w:val="0"/>
          <w:szCs w:val="22"/>
        </w:rPr>
      </w:pPr>
    </w:p>
    <w:p w14:paraId="506BA093" w14:textId="77777777" w:rsidR="00311D0F" w:rsidRPr="00CA7033" w:rsidRDefault="00311D0F" w:rsidP="00311D0F">
      <w:pPr>
        <w:tabs>
          <w:tab w:val="left" w:pos="567"/>
        </w:tabs>
        <w:spacing w:line="260" w:lineRule="exact"/>
        <w:rPr>
          <w:snapToGrid w:val="0"/>
          <w:szCs w:val="22"/>
        </w:rPr>
      </w:pPr>
    </w:p>
    <w:p w14:paraId="4BFBFC13" w14:textId="77777777" w:rsidR="00311D0F" w:rsidRPr="00CA7033" w:rsidRDefault="00311D0F" w:rsidP="00311D0F">
      <w:pPr>
        <w:tabs>
          <w:tab w:val="left" w:pos="567"/>
        </w:tabs>
        <w:spacing w:line="260" w:lineRule="exact"/>
        <w:rPr>
          <w:snapToGrid w:val="0"/>
          <w:szCs w:val="22"/>
        </w:rPr>
      </w:pPr>
    </w:p>
    <w:p w14:paraId="1D023920" w14:textId="77777777" w:rsidR="00311D0F" w:rsidRPr="00CA7033" w:rsidRDefault="00311D0F" w:rsidP="00311D0F">
      <w:pPr>
        <w:tabs>
          <w:tab w:val="left" w:pos="567"/>
        </w:tabs>
        <w:spacing w:line="260" w:lineRule="exact"/>
        <w:rPr>
          <w:snapToGrid w:val="0"/>
          <w:szCs w:val="22"/>
        </w:rPr>
      </w:pPr>
    </w:p>
    <w:p w14:paraId="79563A64" w14:textId="77777777" w:rsidR="00311D0F" w:rsidRPr="00CA7033" w:rsidRDefault="00311D0F" w:rsidP="00311D0F">
      <w:pPr>
        <w:tabs>
          <w:tab w:val="left" w:pos="567"/>
        </w:tabs>
        <w:spacing w:line="260" w:lineRule="exact"/>
        <w:rPr>
          <w:snapToGrid w:val="0"/>
          <w:szCs w:val="22"/>
        </w:rPr>
      </w:pPr>
    </w:p>
    <w:p w14:paraId="7C0B1040" w14:textId="77777777" w:rsidR="00311D0F" w:rsidRPr="00CA7033" w:rsidRDefault="00311D0F" w:rsidP="00311D0F">
      <w:pPr>
        <w:tabs>
          <w:tab w:val="left" w:pos="567"/>
        </w:tabs>
        <w:spacing w:line="260" w:lineRule="exact"/>
        <w:rPr>
          <w:snapToGrid w:val="0"/>
          <w:szCs w:val="22"/>
        </w:rPr>
      </w:pPr>
    </w:p>
    <w:p w14:paraId="4F7B6641" w14:textId="77777777" w:rsidR="00311D0F" w:rsidRPr="00CA7033" w:rsidRDefault="00311D0F" w:rsidP="00311D0F">
      <w:pPr>
        <w:tabs>
          <w:tab w:val="left" w:pos="567"/>
        </w:tabs>
        <w:spacing w:line="260" w:lineRule="exact"/>
        <w:rPr>
          <w:snapToGrid w:val="0"/>
          <w:szCs w:val="22"/>
        </w:rPr>
      </w:pPr>
    </w:p>
    <w:p w14:paraId="4C0EA0F5" w14:textId="77777777" w:rsidR="00311D0F" w:rsidRPr="00CA7033" w:rsidRDefault="00311D0F" w:rsidP="00311D0F">
      <w:pPr>
        <w:tabs>
          <w:tab w:val="left" w:pos="567"/>
        </w:tabs>
        <w:spacing w:line="260" w:lineRule="exact"/>
        <w:rPr>
          <w:snapToGrid w:val="0"/>
          <w:szCs w:val="22"/>
        </w:rPr>
      </w:pPr>
    </w:p>
    <w:p w14:paraId="6841AC92" w14:textId="77777777" w:rsidR="00311D0F" w:rsidRPr="00CA7033" w:rsidRDefault="00311D0F" w:rsidP="00311D0F">
      <w:pPr>
        <w:tabs>
          <w:tab w:val="left" w:pos="567"/>
        </w:tabs>
        <w:spacing w:line="260" w:lineRule="exact"/>
        <w:rPr>
          <w:snapToGrid w:val="0"/>
          <w:szCs w:val="22"/>
        </w:rPr>
      </w:pPr>
    </w:p>
    <w:p w14:paraId="3A864783" w14:textId="77777777" w:rsidR="00311D0F" w:rsidRPr="00CA7033" w:rsidRDefault="00311D0F" w:rsidP="00311D0F">
      <w:pPr>
        <w:tabs>
          <w:tab w:val="left" w:pos="567"/>
        </w:tabs>
        <w:spacing w:line="260" w:lineRule="exact"/>
        <w:rPr>
          <w:snapToGrid w:val="0"/>
          <w:szCs w:val="22"/>
        </w:rPr>
      </w:pPr>
    </w:p>
    <w:p w14:paraId="4C724AB3" w14:textId="77777777" w:rsidR="00311D0F" w:rsidRPr="00CA7033" w:rsidRDefault="00311D0F" w:rsidP="00311D0F">
      <w:pPr>
        <w:tabs>
          <w:tab w:val="left" w:pos="567"/>
        </w:tabs>
        <w:spacing w:line="260" w:lineRule="exact"/>
        <w:rPr>
          <w:snapToGrid w:val="0"/>
          <w:szCs w:val="22"/>
        </w:rPr>
      </w:pPr>
    </w:p>
    <w:p w14:paraId="57A89443" w14:textId="77777777" w:rsidR="00311D0F" w:rsidRPr="00CA7033" w:rsidRDefault="00311D0F" w:rsidP="00311D0F">
      <w:pPr>
        <w:tabs>
          <w:tab w:val="left" w:pos="567"/>
        </w:tabs>
        <w:spacing w:line="260" w:lineRule="exact"/>
        <w:rPr>
          <w:snapToGrid w:val="0"/>
          <w:szCs w:val="22"/>
        </w:rPr>
      </w:pPr>
    </w:p>
    <w:p w14:paraId="794CA301" w14:textId="77777777" w:rsidR="00311D0F" w:rsidRPr="00CA7033" w:rsidRDefault="00311D0F" w:rsidP="00311D0F">
      <w:pPr>
        <w:tabs>
          <w:tab w:val="left" w:pos="567"/>
        </w:tabs>
        <w:spacing w:line="260" w:lineRule="exact"/>
        <w:rPr>
          <w:snapToGrid w:val="0"/>
          <w:szCs w:val="22"/>
        </w:rPr>
      </w:pPr>
    </w:p>
    <w:p w14:paraId="0C16674F" w14:textId="77777777" w:rsidR="00311D0F" w:rsidRPr="00CA7033" w:rsidRDefault="00311D0F" w:rsidP="00311D0F">
      <w:pPr>
        <w:tabs>
          <w:tab w:val="left" w:pos="567"/>
        </w:tabs>
        <w:spacing w:line="260" w:lineRule="exact"/>
        <w:rPr>
          <w:snapToGrid w:val="0"/>
          <w:szCs w:val="22"/>
        </w:rPr>
      </w:pPr>
    </w:p>
    <w:p w14:paraId="5286049C" w14:textId="77777777" w:rsidR="00311D0F" w:rsidRPr="00CA7033" w:rsidRDefault="00311D0F" w:rsidP="00311D0F">
      <w:pPr>
        <w:tabs>
          <w:tab w:val="left" w:pos="567"/>
        </w:tabs>
        <w:spacing w:line="260" w:lineRule="exact"/>
        <w:rPr>
          <w:snapToGrid w:val="0"/>
          <w:szCs w:val="22"/>
        </w:rPr>
      </w:pPr>
    </w:p>
    <w:p w14:paraId="7A6BB660" w14:textId="77777777" w:rsidR="00311D0F" w:rsidRPr="00CA7033" w:rsidRDefault="00311D0F" w:rsidP="00311D0F">
      <w:pPr>
        <w:tabs>
          <w:tab w:val="left" w:pos="567"/>
        </w:tabs>
        <w:spacing w:line="260" w:lineRule="exact"/>
        <w:rPr>
          <w:snapToGrid w:val="0"/>
          <w:szCs w:val="22"/>
        </w:rPr>
      </w:pPr>
    </w:p>
    <w:p w14:paraId="11407BB0" w14:textId="77777777" w:rsidR="00311D0F" w:rsidRPr="00CA7033" w:rsidRDefault="00311D0F" w:rsidP="00311D0F">
      <w:pPr>
        <w:tabs>
          <w:tab w:val="left" w:pos="567"/>
        </w:tabs>
        <w:spacing w:line="260" w:lineRule="exact"/>
        <w:rPr>
          <w:snapToGrid w:val="0"/>
          <w:szCs w:val="22"/>
        </w:rPr>
      </w:pPr>
    </w:p>
    <w:p w14:paraId="71D5B752" w14:textId="77777777" w:rsidR="00311D0F" w:rsidRPr="00CA7033" w:rsidRDefault="00311D0F" w:rsidP="00311D0F">
      <w:pPr>
        <w:tabs>
          <w:tab w:val="left" w:pos="567"/>
        </w:tabs>
        <w:spacing w:line="260" w:lineRule="exact"/>
        <w:rPr>
          <w:snapToGrid w:val="0"/>
          <w:szCs w:val="22"/>
        </w:rPr>
      </w:pPr>
    </w:p>
    <w:p w14:paraId="2EE6C152" w14:textId="77777777" w:rsidR="00311D0F" w:rsidRPr="00CA7033" w:rsidRDefault="00311D0F" w:rsidP="00311D0F">
      <w:pPr>
        <w:tabs>
          <w:tab w:val="left" w:pos="567"/>
        </w:tabs>
        <w:spacing w:line="260" w:lineRule="exact"/>
        <w:rPr>
          <w:snapToGrid w:val="0"/>
          <w:szCs w:val="22"/>
        </w:rPr>
      </w:pPr>
    </w:p>
    <w:p w14:paraId="65933C6E" w14:textId="77777777" w:rsidR="00311D0F" w:rsidRPr="00CA7033" w:rsidRDefault="00311D0F" w:rsidP="00311D0F">
      <w:pPr>
        <w:keepNext/>
        <w:tabs>
          <w:tab w:val="left" w:pos="567"/>
        </w:tabs>
        <w:jc w:val="center"/>
        <w:outlineLvl w:val="1"/>
        <w:rPr>
          <w:b/>
          <w:snapToGrid w:val="0"/>
          <w:szCs w:val="22"/>
          <w:lang w:eastAsia="x-none"/>
        </w:rPr>
      </w:pPr>
      <w:r w:rsidRPr="00CA7033">
        <w:rPr>
          <w:b/>
          <w:bCs/>
          <w:iCs/>
          <w:snapToGrid w:val="0"/>
          <w:szCs w:val="22"/>
          <w:lang w:eastAsia="x-none"/>
        </w:rPr>
        <w:t>A. ŽENKLINIMAS</w:t>
      </w:r>
    </w:p>
    <w:p w14:paraId="5C823967" w14:textId="77777777" w:rsidR="00311D0F" w:rsidRPr="00CA7033" w:rsidRDefault="00311D0F" w:rsidP="00311D0F">
      <w:pPr>
        <w:shd w:val="clear" w:color="auto" w:fill="FFFFFF"/>
        <w:rPr>
          <w:szCs w:val="22"/>
        </w:rPr>
      </w:pPr>
      <w:r w:rsidRPr="00CA7033">
        <w:rPr>
          <w:szCs w:val="22"/>
        </w:rPr>
        <w:br w:type="page"/>
      </w:r>
    </w:p>
    <w:p w14:paraId="0AE0FE69" w14:textId="77777777" w:rsidR="00311D0F" w:rsidRPr="00CA7033" w:rsidRDefault="00311D0F" w:rsidP="00311D0F">
      <w:pPr>
        <w:pBdr>
          <w:top w:val="single" w:sz="4" w:space="1" w:color="auto"/>
          <w:left w:val="single" w:sz="4" w:space="4" w:color="auto"/>
          <w:bottom w:val="single" w:sz="4" w:space="1" w:color="auto"/>
          <w:right w:val="single" w:sz="4" w:space="4" w:color="auto"/>
        </w:pBdr>
        <w:rPr>
          <w:b/>
          <w:szCs w:val="22"/>
        </w:rPr>
      </w:pPr>
      <w:r w:rsidRPr="00CA7033">
        <w:rPr>
          <w:b/>
          <w:szCs w:val="22"/>
        </w:rPr>
        <w:lastRenderedPageBreak/>
        <w:t>INFORMACIJA ANT IŠORINĖS PAKUOTĖS</w:t>
      </w:r>
    </w:p>
    <w:p w14:paraId="748CBB63"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rPr>
          <w:bCs/>
          <w:szCs w:val="22"/>
        </w:rPr>
      </w:pPr>
    </w:p>
    <w:p w14:paraId="55FDBC79" w14:textId="77777777" w:rsidR="00311D0F" w:rsidRPr="00CA7033" w:rsidRDefault="00311D0F" w:rsidP="00311D0F">
      <w:pPr>
        <w:pBdr>
          <w:top w:val="single" w:sz="4" w:space="1" w:color="auto"/>
          <w:left w:val="single" w:sz="4" w:space="4" w:color="auto"/>
          <w:bottom w:val="single" w:sz="4" w:space="1" w:color="auto"/>
          <w:right w:val="single" w:sz="4" w:space="4" w:color="auto"/>
        </w:pBdr>
        <w:rPr>
          <w:bCs/>
          <w:szCs w:val="22"/>
        </w:rPr>
      </w:pPr>
      <w:r w:rsidRPr="00CA7033">
        <w:rPr>
          <w:b/>
          <w:szCs w:val="22"/>
        </w:rPr>
        <w:t xml:space="preserve">KARTONO DĖŽUTĖ </w:t>
      </w:r>
    </w:p>
    <w:p w14:paraId="02346360" w14:textId="77777777" w:rsidR="00311D0F" w:rsidRPr="00CA7033" w:rsidRDefault="00311D0F" w:rsidP="00311D0F">
      <w:pPr>
        <w:rPr>
          <w:szCs w:val="22"/>
        </w:rPr>
      </w:pPr>
    </w:p>
    <w:p w14:paraId="2ED4FF31" w14:textId="77777777" w:rsidR="00311D0F" w:rsidRPr="00CA7033" w:rsidRDefault="00311D0F" w:rsidP="00311D0F">
      <w:pPr>
        <w:rPr>
          <w:szCs w:val="22"/>
        </w:rPr>
      </w:pPr>
    </w:p>
    <w:p w14:paraId="3C4EBFD0"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1.</w:t>
      </w:r>
      <w:r w:rsidRPr="00CA7033">
        <w:rPr>
          <w:b/>
          <w:szCs w:val="22"/>
        </w:rPr>
        <w:tab/>
        <w:t>VAISTINIO PREPARATO PAVADINIMAS</w:t>
      </w:r>
    </w:p>
    <w:p w14:paraId="34216435" w14:textId="77777777" w:rsidR="00311D0F" w:rsidRPr="00CA7033" w:rsidRDefault="00311D0F" w:rsidP="00311D0F">
      <w:pPr>
        <w:rPr>
          <w:szCs w:val="22"/>
        </w:rPr>
      </w:pPr>
    </w:p>
    <w:p w14:paraId="000E1056" w14:textId="77777777" w:rsidR="00311D0F" w:rsidRPr="00CA7033" w:rsidRDefault="00311D0F" w:rsidP="00311D0F">
      <w:pPr>
        <w:pStyle w:val="Default"/>
        <w:rPr>
          <w:sz w:val="22"/>
          <w:szCs w:val="22"/>
          <w:lang w:val="lt-LT"/>
        </w:rPr>
      </w:pPr>
      <w:r w:rsidRPr="00CA7033">
        <w:rPr>
          <w:iCs/>
          <w:sz w:val="22"/>
          <w:szCs w:val="22"/>
          <w:lang w:val="lt-LT"/>
        </w:rPr>
        <w:t xml:space="preserve">Dexilant 30 mg </w:t>
      </w:r>
      <w:r w:rsidRPr="00CA7033">
        <w:rPr>
          <w:sz w:val="22"/>
          <w:szCs w:val="22"/>
          <w:lang w:val="lt-LT"/>
        </w:rPr>
        <w:t>modifikuoto atpalaidavimo kietosios kapsulės</w:t>
      </w:r>
    </w:p>
    <w:p w14:paraId="1C983243" w14:textId="323720BA" w:rsidR="00311D0F" w:rsidRPr="00CA7033" w:rsidRDefault="00A94DE4" w:rsidP="00311D0F">
      <w:pPr>
        <w:pStyle w:val="Default"/>
        <w:rPr>
          <w:sz w:val="22"/>
          <w:szCs w:val="22"/>
          <w:lang w:val="lt-LT"/>
        </w:rPr>
      </w:pPr>
      <w:r w:rsidRPr="00CA7033">
        <w:rPr>
          <w:sz w:val="22"/>
          <w:szCs w:val="22"/>
          <w:lang w:val="lt-LT"/>
        </w:rPr>
        <w:t>d</w:t>
      </w:r>
      <w:r w:rsidR="00311D0F" w:rsidRPr="00CA7033">
        <w:rPr>
          <w:sz w:val="22"/>
          <w:szCs w:val="22"/>
          <w:lang w:val="lt-LT"/>
        </w:rPr>
        <w:t>ekslansoprazolas</w:t>
      </w:r>
    </w:p>
    <w:p w14:paraId="15CCECC4" w14:textId="77777777" w:rsidR="00311D0F" w:rsidRPr="00CA7033" w:rsidRDefault="00311D0F" w:rsidP="00311D0F">
      <w:pPr>
        <w:rPr>
          <w:szCs w:val="22"/>
        </w:rPr>
      </w:pPr>
    </w:p>
    <w:p w14:paraId="71A3C60F" w14:textId="77777777" w:rsidR="00311D0F" w:rsidRPr="00CA7033" w:rsidRDefault="00311D0F" w:rsidP="00311D0F">
      <w:pPr>
        <w:rPr>
          <w:szCs w:val="22"/>
        </w:rPr>
      </w:pPr>
    </w:p>
    <w:p w14:paraId="32F229C2"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b/>
          <w:szCs w:val="22"/>
        </w:rPr>
      </w:pPr>
      <w:r w:rsidRPr="00CA7033">
        <w:rPr>
          <w:b/>
          <w:szCs w:val="22"/>
        </w:rPr>
        <w:t>2.</w:t>
      </w:r>
      <w:r w:rsidRPr="00CA7033">
        <w:rPr>
          <w:b/>
          <w:szCs w:val="22"/>
        </w:rPr>
        <w:tab/>
        <w:t>VEIKLIOJI (-IOS) MEDŽIAGA (-OS) IR JOS (-Ų) KIEKIS (-IAI)</w:t>
      </w:r>
    </w:p>
    <w:p w14:paraId="0F38B825" w14:textId="77777777" w:rsidR="00311D0F" w:rsidRPr="00CA7033" w:rsidRDefault="00311D0F" w:rsidP="00311D0F">
      <w:pPr>
        <w:rPr>
          <w:szCs w:val="22"/>
        </w:rPr>
      </w:pPr>
    </w:p>
    <w:p w14:paraId="0DFD0D8E" w14:textId="77777777" w:rsidR="00311D0F" w:rsidRPr="00CA7033" w:rsidRDefault="00311D0F" w:rsidP="00311D0F">
      <w:pPr>
        <w:pStyle w:val="Default"/>
        <w:rPr>
          <w:sz w:val="22"/>
          <w:szCs w:val="22"/>
          <w:lang w:val="lt-LT"/>
        </w:rPr>
      </w:pPr>
      <w:r w:rsidRPr="00CA7033">
        <w:rPr>
          <w:sz w:val="22"/>
          <w:szCs w:val="22"/>
          <w:lang w:val="lt-LT"/>
        </w:rPr>
        <w:t>Kiekvienoje modifikuoto atpalaidavimo kapsulėje yra 30 mg dekslansoprazolo.</w:t>
      </w:r>
    </w:p>
    <w:p w14:paraId="3FFDB736" w14:textId="77777777" w:rsidR="00311D0F" w:rsidRPr="00CA7033" w:rsidRDefault="00311D0F" w:rsidP="00311D0F">
      <w:pPr>
        <w:pStyle w:val="Default"/>
        <w:rPr>
          <w:sz w:val="22"/>
          <w:szCs w:val="22"/>
          <w:lang w:val="lt-LT"/>
        </w:rPr>
      </w:pPr>
    </w:p>
    <w:p w14:paraId="036A560F" w14:textId="77777777" w:rsidR="00311D0F" w:rsidRPr="00CA7033" w:rsidRDefault="00311D0F" w:rsidP="00311D0F">
      <w:pPr>
        <w:rPr>
          <w:szCs w:val="22"/>
        </w:rPr>
      </w:pPr>
    </w:p>
    <w:p w14:paraId="21741CD9"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3.</w:t>
      </w:r>
      <w:r w:rsidRPr="00CA7033">
        <w:rPr>
          <w:b/>
          <w:szCs w:val="22"/>
        </w:rPr>
        <w:tab/>
        <w:t>PAGALBINIŲ MEDŽIAGŲ SĄRAŠAS</w:t>
      </w:r>
    </w:p>
    <w:p w14:paraId="7E83686D" w14:textId="77777777" w:rsidR="00311D0F" w:rsidRPr="00CA7033" w:rsidRDefault="00311D0F" w:rsidP="00311D0F">
      <w:pPr>
        <w:rPr>
          <w:szCs w:val="22"/>
        </w:rPr>
      </w:pPr>
    </w:p>
    <w:p w14:paraId="124A1543" w14:textId="7C745F9B" w:rsidR="00311D0F" w:rsidRPr="00CA7033" w:rsidRDefault="00311D0F" w:rsidP="00311D0F">
      <w:pPr>
        <w:rPr>
          <w:szCs w:val="22"/>
        </w:rPr>
      </w:pPr>
      <w:r w:rsidRPr="00CA7033">
        <w:rPr>
          <w:szCs w:val="22"/>
        </w:rPr>
        <w:t>Sudėtyje yra sacharozės. Daugiau informacijos patei</w:t>
      </w:r>
      <w:r w:rsidR="003C21F7" w:rsidRPr="00CA7033">
        <w:rPr>
          <w:szCs w:val="22"/>
        </w:rPr>
        <w:t>k</w:t>
      </w:r>
      <w:r w:rsidRPr="00CA7033">
        <w:rPr>
          <w:szCs w:val="22"/>
        </w:rPr>
        <w:t>ta pakuotės lapelyje.</w:t>
      </w:r>
    </w:p>
    <w:p w14:paraId="3F1E61F7" w14:textId="77777777" w:rsidR="00311D0F" w:rsidRPr="00CA7033" w:rsidRDefault="00311D0F" w:rsidP="00311D0F">
      <w:pPr>
        <w:rPr>
          <w:szCs w:val="22"/>
        </w:rPr>
      </w:pPr>
    </w:p>
    <w:p w14:paraId="0BA1042B" w14:textId="77777777" w:rsidR="00311D0F" w:rsidRPr="00CA7033" w:rsidRDefault="00311D0F" w:rsidP="00311D0F">
      <w:pPr>
        <w:rPr>
          <w:szCs w:val="22"/>
        </w:rPr>
      </w:pPr>
    </w:p>
    <w:p w14:paraId="3B29AB61"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4.</w:t>
      </w:r>
      <w:r w:rsidRPr="00CA7033">
        <w:rPr>
          <w:b/>
          <w:szCs w:val="22"/>
        </w:rPr>
        <w:tab/>
        <w:t>FARMACINĖ FORMA IR KIEKIS PAKUOTĖJE</w:t>
      </w:r>
    </w:p>
    <w:p w14:paraId="48A08633" w14:textId="77777777" w:rsidR="00311D0F" w:rsidRPr="00CA7033" w:rsidRDefault="00311D0F" w:rsidP="00311D0F">
      <w:pPr>
        <w:rPr>
          <w:szCs w:val="22"/>
        </w:rPr>
      </w:pPr>
    </w:p>
    <w:p w14:paraId="514923D3" w14:textId="77777777" w:rsidR="00311D0F" w:rsidRPr="00CA7033" w:rsidRDefault="00311D0F" w:rsidP="00311D0F">
      <w:pPr>
        <w:rPr>
          <w:szCs w:val="22"/>
        </w:rPr>
      </w:pPr>
      <w:r w:rsidRPr="00CA7033">
        <w:rPr>
          <w:szCs w:val="22"/>
          <w:highlight w:val="lightGray"/>
        </w:rPr>
        <w:t>Modifikuoto atpalaidavimo kietosios kapsulės</w:t>
      </w:r>
    </w:p>
    <w:p w14:paraId="7DF0328F" w14:textId="77777777" w:rsidR="00311D0F" w:rsidRPr="00CA7033" w:rsidRDefault="00311D0F" w:rsidP="00311D0F">
      <w:pPr>
        <w:rPr>
          <w:szCs w:val="22"/>
        </w:rPr>
      </w:pPr>
    </w:p>
    <w:p w14:paraId="02D0A126" w14:textId="77777777" w:rsidR="00311D0F" w:rsidRPr="00CA7033" w:rsidRDefault="00311D0F" w:rsidP="00311D0F">
      <w:pPr>
        <w:rPr>
          <w:szCs w:val="22"/>
        </w:rPr>
      </w:pPr>
      <w:r w:rsidRPr="00CA7033">
        <w:rPr>
          <w:szCs w:val="22"/>
        </w:rPr>
        <w:t>14 kapsulių</w:t>
      </w:r>
    </w:p>
    <w:p w14:paraId="18C2D266" w14:textId="77777777" w:rsidR="00311D0F" w:rsidRPr="00CA7033" w:rsidRDefault="00311D0F" w:rsidP="00311D0F">
      <w:pPr>
        <w:rPr>
          <w:szCs w:val="22"/>
          <w:highlight w:val="lightGray"/>
        </w:rPr>
      </w:pPr>
      <w:r w:rsidRPr="00CA7033">
        <w:rPr>
          <w:szCs w:val="22"/>
          <w:highlight w:val="lightGray"/>
        </w:rPr>
        <w:t>28 kapsulės</w:t>
      </w:r>
    </w:p>
    <w:p w14:paraId="050E5140" w14:textId="77777777" w:rsidR="00311D0F" w:rsidRPr="00CA7033" w:rsidRDefault="00311D0F" w:rsidP="00311D0F">
      <w:pPr>
        <w:rPr>
          <w:szCs w:val="22"/>
          <w:highlight w:val="lightGray"/>
        </w:rPr>
      </w:pPr>
      <w:r w:rsidRPr="00CA7033">
        <w:rPr>
          <w:szCs w:val="22"/>
          <w:highlight w:val="lightGray"/>
        </w:rPr>
        <w:t>56 kapsulės</w:t>
      </w:r>
    </w:p>
    <w:p w14:paraId="114FC597" w14:textId="77777777" w:rsidR="00311D0F" w:rsidRPr="00CA7033" w:rsidRDefault="00311D0F" w:rsidP="00311D0F">
      <w:pPr>
        <w:rPr>
          <w:szCs w:val="22"/>
          <w:highlight w:val="lightGray"/>
        </w:rPr>
      </w:pPr>
      <w:r w:rsidRPr="00CA7033">
        <w:rPr>
          <w:szCs w:val="22"/>
          <w:highlight w:val="lightGray"/>
        </w:rPr>
        <w:t>98 kapsulės</w:t>
      </w:r>
    </w:p>
    <w:p w14:paraId="3C5BF451" w14:textId="77777777" w:rsidR="00311D0F" w:rsidRPr="00CA7033" w:rsidRDefault="00311D0F" w:rsidP="00311D0F">
      <w:pPr>
        <w:rPr>
          <w:szCs w:val="22"/>
        </w:rPr>
      </w:pPr>
    </w:p>
    <w:p w14:paraId="2EB8A5B0" w14:textId="77777777" w:rsidR="00311D0F" w:rsidRPr="00CA7033" w:rsidRDefault="00311D0F" w:rsidP="00311D0F">
      <w:pPr>
        <w:rPr>
          <w:szCs w:val="22"/>
        </w:rPr>
      </w:pPr>
    </w:p>
    <w:p w14:paraId="7CB917BE"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5.</w:t>
      </w:r>
      <w:r w:rsidRPr="00CA7033">
        <w:rPr>
          <w:b/>
          <w:szCs w:val="22"/>
        </w:rPr>
        <w:tab/>
        <w:t>VARTOJIMO METODAS IR BŪDAS (-AI)</w:t>
      </w:r>
    </w:p>
    <w:p w14:paraId="63D0C6D0" w14:textId="77777777" w:rsidR="00311D0F" w:rsidRPr="00CA7033" w:rsidRDefault="00311D0F" w:rsidP="00311D0F">
      <w:pPr>
        <w:rPr>
          <w:i/>
          <w:szCs w:val="22"/>
        </w:rPr>
      </w:pPr>
    </w:p>
    <w:p w14:paraId="5B67FDE4" w14:textId="77777777" w:rsidR="00311D0F" w:rsidRPr="00CA7033" w:rsidRDefault="00311D0F" w:rsidP="00311D0F">
      <w:pPr>
        <w:rPr>
          <w:szCs w:val="22"/>
        </w:rPr>
      </w:pPr>
      <w:r w:rsidRPr="00CA7033">
        <w:rPr>
          <w:szCs w:val="22"/>
        </w:rPr>
        <w:t>Vartoti per burną.</w:t>
      </w:r>
    </w:p>
    <w:p w14:paraId="3F83F5FC" w14:textId="77777777" w:rsidR="00311D0F" w:rsidRPr="00CA7033" w:rsidRDefault="00311D0F" w:rsidP="00311D0F">
      <w:pPr>
        <w:rPr>
          <w:szCs w:val="22"/>
        </w:rPr>
      </w:pPr>
      <w:r w:rsidRPr="00CA7033">
        <w:rPr>
          <w:szCs w:val="22"/>
        </w:rPr>
        <w:t>Prieš vartojimą perskaitykite pakuotės lapelį.</w:t>
      </w:r>
    </w:p>
    <w:p w14:paraId="44809C70" w14:textId="77777777" w:rsidR="00311D0F" w:rsidRPr="00CA7033" w:rsidRDefault="00311D0F" w:rsidP="00311D0F">
      <w:pPr>
        <w:rPr>
          <w:szCs w:val="22"/>
        </w:rPr>
      </w:pPr>
    </w:p>
    <w:p w14:paraId="14FE5101" w14:textId="77777777" w:rsidR="00311D0F" w:rsidRPr="00CA7033" w:rsidRDefault="00311D0F" w:rsidP="00311D0F">
      <w:pPr>
        <w:rPr>
          <w:szCs w:val="22"/>
        </w:rPr>
      </w:pPr>
    </w:p>
    <w:p w14:paraId="7B763E72" w14:textId="77777777" w:rsidR="00311D0F" w:rsidRPr="00CA7033" w:rsidRDefault="00311D0F" w:rsidP="00311D0F">
      <w:pPr>
        <w:pBdr>
          <w:top w:val="single" w:sz="4" w:space="0" w:color="auto"/>
          <w:left w:val="single" w:sz="4" w:space="4" w:color="auto"/>
          <w:bottom w:val="single" w:sz="4" w:space="1" w:color="auto"/>
          <w:right w:val="single" w:sz="4" w:space="4" w:color="auto"/>
        </w:pBdr>
        <w:ind w:left="567" w:hanging="567"/>
        <w:outlineLvl w:val="0"/>
        <w:rPr>
          <w:szCs w:val="22"/>
        </w:rPr>
      </w:pPr>
      <w:r w:rsidRPr="00CA7033">
        <w:rPr>
          <w:b/>
          <w:szCs w:val="22"/>
        </w:rPr>
        <w:t>6.</w:t>
      </w:r>
      <w:r w:rsidRPr="00CA7033">
        <w:rPr>
          <w:b/>
          <w:szCs w:val="22"/>
        </w:rPr>
        <w:tab/>
      </w:r>
      <w:r w:rsidRPr="00CA7033">
        <w:rPr>
          <w:b/>
          <w:bCs/>
          <w:szCs w:val="22"/>
        </w:rPr>
        <w:t>SPECIALUS ĮSPĖJIMAS, KAD VAISTINĮ PREPARATĄ BŪTINA LAIKYTI VAIKAMS NEPASTEBIMOJE IR NEPASIEKIAMOJE VIETOJE</w:t>
      </w:r>
    </w:p>
    <w:p w14:paraId="02468644" w14:textId="77777777" w:rsidR="00311D0F" w:rsidRPr="00CA7033" w:rsidRDefault="00311D0F" w:rsidP="00311D0F">
      <w:pPr>
        <w:rPr>
          <w:szCs w:val="22"/>
        </w:rPr>
      </w:pPr>
    </w:p>
    <w:p w14:paraId="66999313" w14:textId="77777777" w:rsidR="00311D0F" w:rsidRPr="00CA7033" w:rsidRDefault="00311D0F" w:rsidP="00311D0F">
      <w:pPr>
        <w:pStyle w:val="Pagrindinistekstas"/>
        <w:rPr>
          <w:i w:val="0"/>
          <w:iCs/>
          <w:color w:val="auto"/>
          <w:szCs w:val="22"/>
          <w:lang w:val="lt-LT"/>
        </w:rPr>
      </w:pPr>
      <w:r w:rsidRPr="00CA7033">
        <w:rPr>
          <w:i w:val="0"/>
          <w:iCs/>
          <w:color w:val="auto"/>
          <w:szCs w:val="22"/>
          <w:lang w:val="lt-LT"/>
        </w:rPr>
        <w:t>Laikyti vaikams nepastebimoje ir nepasiekiamoje vietoje.</w:t>
      </w:r>
    </w:p>
    <w:p w14:paraId="2CAC3ED6" w14:textId="77777777" w:rsidR="00311D0F" w:rsidRPr="00CA7033" w:rsidRDefault="00311D0F" w:rsidP="00311D0F">
      <w:pPr>
        <w:rPr>
          <w:szCs w:val="22"/>
        </w:rPr>
      </w:pPr>
    </w:p>
    <w:p w14:paraId="66F356AE" w14:textId="77777777" w:rsidR="00311D0F" w:rsidRPr="00CA7033" w:rsidRDefault="00311D0F" w:rsidP="00311D0F">
      <w:pPr>
        <w:rPr>
          <w:szCs w:val="22"/>
        </w:rPr>
      </w:pPr>
    </w:p>
    <w:p w14:paraId="2051413B"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7.</w:t>
      </w:r>
      <w:r w:rsidRPr="00CA7033">
        <w:rPr>
          <w:b/>
          <w:szCs w:val="22"/>
        </w:rPr>
        <w:tab/>
      </w:r>
      <w:r w:rsidRPr="00CA7033">
        <w:rPr>
          <w:b/>
          <w:bCs/>
          <w:szCs w:val="22"/>
        </w:rPr>
        <w:t>KITAS (-I) SPECIALUS (-ŪS) ĮSPĖJIMAS (-AI) (JEI REIKIA)</w:t>
      </w:r>
    </w:p>
    <w:p w14:paraId="68403D1D" w14:textId="77777777" w:rsidR="00311D0F" w:rsidRPr="00CA7033" w:rsidRDefault="00311D0F" w:rsidP="00311D0F">
      <w:pPr>
        <w:rPr>
          <w:szCs w:val="22"/>
        </w:rPr>
      </w:pPr>
    </w:p>
    <w:p w14:paraId="037562B9" w14:textId="77777777" w:rsidR="00311D0F" w:rsidRPr="00CA7033" w:rsidRDefault="00311D0F" w:rsidP="00311D0F">
      <w:pPr>
        <w:rPr>
          <w:szCs w:val="22"/>
        </w:rPr>
      </w:pPr>
    </w:p>
    <w:p w14:paraId="4958F6DF"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8.</w:t>
      </w:r>
      <w:r w:rsidRPr="00CA7033">
        <w:rPr>
          <w:b/>
          <w:szCs w:val="22"/>
        </w:rPr>
        <w:tab/>
      </w:r>
      <w:r w:rsidRPr="00CA7033">
        <w:rPr>
          <w:b/>
          <w:bCs/>
          <w:szCs w:val="22"/>
        </w:rPr>
        <w:t>TINKAMUMO LAIKAS</w:t>
      </w:r>
    </w:p>
    <w:p w14:paraId="7503B488" w14:textId="77777777" w:rsidR="00311D0F" w:rsidRPr="00CA7033" w:rsidRDefault="00311D0F" w:rsidP="00311D0F">
      <w:pPr>
        <w:rPr>
          <w:i/>
          <w:szCs w:val="22"/>
        </w:rPr>
      </w:pPr>
    </w:p>
    <w:p w14:paraId="2A31B859" w14:textId="77777777" w:rsidR="00311D0F" w:rsidRPr="00CA7033" w:rsidRDefault="00311D0F" w:rsidP="00311D0F">
      <w:pPr>
        <w:rPr>
          <w:szCs w:val="22"/>
        </w:rPr>
      </w:pPr>
      <w:r w:rsidRPr="00CA7033">
        <w:rPr>
          <w:szCs w:val="22"/>
        </w:rPr>
        <w:t>Tinka iki {mm MMMM}</w:t>
      </w:r>
    </w:p>
    <w:p w14:paraId="5079FA62" w14:textId="77777777" w:rsidR="00311D0F" w:rsidRPr="00CA7033" w:rsidRDefault="00311D0F" w:rsidP="00311D0F">
      <w:pPr>
        <w:rPr>
          <w:szCs w:val="22"/>
        </w:rPr>
      </w:pPr>
      <w:r w:rsidRPr="00CA7033">
        <w:rPr>
          <w:szCs w:val="22"/>
          <w:highlight w:val="lightGray"/>
        </w:rPr>
        <w:t>EXP</w:t>
      </w:r>
    </w:p>
    <w:p w14:paraId="72876973" w14:textId="77777777" w:rsidR="00311D0F" w:rsidRPr="00CA7033" w:rsidRDefault="00311D0F" w:rsidP="00311D0F">
      <w:pPr>
        <w:rPr>
          <w:szCs w:val="22"/>
        </w:rPr>
      </w:pPr>
    </w:p>
    <w:p w14:paraId="4FE5578A" w14:textId="77777777" w:rsidR="00311D0F" w:rsidRPr="00CA7033" w:rsidRDefault="00311D0F" w:rsidP="00311D0F">
      <w:pPr>
        <w:rPr>
          <w:szCs w:val="22"/>
        </w:rPr>
      </w:pPr>
    </w:p>
    <w:p w14:paraId="2C5C1F3A"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9.</w:t>
      </w:r>
      <w:r w:rsidRPr="00CA7033">
        <w:rPr>
          <w:b/>
          <w:szCs w:val="22"/>
        </w:rPr>
        <w:tab/>
      </w:r>
      <w:r w:rsidRPr="00CA7033">
        <w:rPr>
          <w:b/>
          <w:caps/>
          <w:szCs w:val="22"/>
        </w:rPr>
        <w:t>SPECIALIOS laikymo sąlygos</w:t>
      </w:r>
    </w:p>
    <w:p w14:paraId="6526C298" w14:textId="77777777" w:rsidR="00311D0F" w:rsidRPr="00CA7033" w:rsidRDefault="00311D0F" w:rsidP="00311D0F">
      <w:pPr>
        <w:rPr>
          <w:szCs w:val="22"/>
        </w:rPr>
      </w:pPr>
    </w:p>
    <w:p w14:paraId="1B0428D9" w14:textId="77777777" w:rsidR="00311D0F" w:rsidRPr="00CA7033" w:rsidRDefault="00311D0F" w:rsidP="00311D0F">
      <w:pPr>
        <w:pStyle w:val="Pagrindinistekstas"/>
        <w:rPr>
          <w:i w:val="0"/>
          <w:color w:val="000000"/>
          <w:szCs w:val="22"/>
          <w:lang w:val="lt-LT"/>
        </w:rPr>
      </w:pPr>
      <w:r w:rsidRPr="00CA7033">
        <w:rPr>
          <w:i w:val="0"/>
          <w:color w:val="000000"/>
          <w:szCs w:val="22"/>
          <w:lang w:val="lt-LT"/>
        </w:rPr>
        <w:t>Laikyti ne aukštesnėje kaip 25°C temperatūroje.</w:t>
      </w:r>
    </w:p>
    <w:p w14:paraId="099FC854" w14:textId="77777777" w:rsidR="00311D0F" w:rsidRPr="00CA7033" w:rsidRDefault="00311D0F" w:rsidP="00311D0F">
      <w:pPr>
        <w:rPr>
          <w:szCs w:val="22"/>
        </w:rPr>
      </w:pPr>
    </w:p>
    <w:p w14:paraId="51D4FA88" w14:textId="77777777" w:rsidR="00311D0F" w:rsidRPr="00CA7033" w:rsidRDefault="00311D0F" w:rsidP="00311D0F">
      <w:pPr>
        <w:ind w:left="567" w:hanging="567"/>
        <w:rPr>
          <w:szCs w:val="22"/>
        </w:rPr>
      </w:pPr>
    </w:p>
    <w:p w14:paraId="729C2033"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b/>
          <w:szCs w:val="22"/>
        </w:rPr>
      </w:pPr>
      <w:r w:rsidRPr="00CA7033">
        <w:rPr>
          <w:b/>
          <w:szCs w:val="22"/>
        </w:rPr>
        <w:t>10.</w:t>
      </w:r>
      <w:r w:rsidRPr="00CA7033">
        <w:rPr>
          <w:b/>
          <w:szCs w:val="22"/>
        </w:rPr>
        <w:tab/>
      </w:r>
      <w:r w:rsidRPr="00CA7033">
        <w:rPr>
          <w:b/>
          <w:caps/>
          <w:szCs w:val="22"/>
        </w:rPr>
        <w:t>specialios atsargumo priemonės DĖL NESUVARTOTO</w:t>
      </w:r>
      <w:r w:rsidRPr="00CA7033">
        <w:rPr>
          <w:b/>
          <w:bCs/>
          <w:szCs w:val="22"/>
        </w:rPr>
        <w:t xml:space="preserve"> </w:t>
      </w:r>
      <w:r w:rsidRPr="00CA7033">
        <w:rPr>
          <w:b/>
          <w:bCs/>
          <w:caps/>
          <w:szCs w:val="22"/>
        </w:rPr>
        <w:t>VAISTINIO PREPARATO AR JO ATLIEKŲ</w:t>
      </w:r>
      <w:r w:rsidRPr="00CA7033">
        <w:rPr>
          <w:caps/>
          <w:szCs w:val="22"/>
        </w:rPr>
        <w:t xml:space="preserve"> </w:t>
      </w:r>
      <w:r w:rsidRPr="00CA7033">
        <w:rPr>
          <w:b/>
          <w:bCs/>
          <w:caps/>
          <w:szCs w:val="22"/>
        </w:rPr>
        <w:t>TVARKYMO</w:t>
      </w:r>
      <w:r w:rsidRPr="00CA7033">
        <w:rPr>
          <w:b/>
          <w:caps/>
          <w:szCs w:val="22"/>
        </w:rPr>
        <w:t xml:space="preserve"> (jei reikia)</w:t>
      </w:r>
    </w:p>
    <w:p w14:paraId="6A8C3AD6" w14:textId="77777777" w:rsidR="00311D0F" w:rsidRPr="00CA7033" w:rsidRDefault="00311D0F" w:rsidP="00311D0F">
      <w:pPr>
        <w:rPr>
          <w:szCs w:val="22"/>
        </w:rPr>
      </w:pPr>
    </w:p>
    <w:p w14:paraId="20BA1CC1" w14:textId="77777777" w:rsidR="00311D0F" w:rsidRPr="00CA7033" w:rsidRDefault="00311D0F" w:rsidP="00311D0F">
      <w:pPr>
        <w:rPr>
          <w:szCs w:val="22"/>
        </w:rPr>
      </w:pPr>
    </w:p>
    <w:p w14:paraId="1EEDD901"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b/>
          <w:szCs w:val="22"/>
        </w:rPr>
      </w:pPr>
      <w:r w:rsidRPr="00CA7033">
        <w:rPr>
          <w:b/>
          <w:szCs w:val="22"/>
        </w:rPr>
        <w:t>11.</w:t>
      </w:r>
      <w:r w:rsidRPr="00CA7033">
        <w:rPr>
          <w:b/>
          <w:szCs w:val="22"/>
        </w:rPr>
        <w:tab/>
      </w:r>
      <w:r w:rsidRPr="00CA7033">
        <w:rPr>
          <w:b/>
          <w:caps/>
          <w:szCs w:val="22"/>
        </w:rPr>
        <w:t>REGISTRUOTOJO pavadinimas ir adresas</w:t>
      </w:r>
    </w:p>
    <w:p w14:paraId="25AABA61" w14:textId="77777777" w:rsidR="00311D0F" w:rsidRPr="00CA7033" w:rsidRDefault="00311D0F" w:rsidP="00311D0F">
      <w:pPr>
        <w:rPr>
          <w:szCs w:val="22"/>
        </w:rPr>
      </w:pPr>
    </w:p>
    <w:p w14:paraId="21BCEBDD" w14:textId="77777777" w:rsidR="00311D0F" w:rsidRPr="00CA7033" w:rsidRDefault="00311D0F" w:rsidP="00311D0F">
      <w:pPr>
        <w:rPr>
          <w:szCs w:val="22"/>
        </w:rPr>
      </w:pPr>
      <w:r w:rsidRPr="00CA7033">
        <w:rPr>
          <w:szCs w:val="22"/>
        </w:rPr>
        <w:t>Takeda Pharma A/S</w:t>
      </w:r>
    </w:p>
    <w:p w14:paraId="06D7C2E1" w14:textId="77777777" w:rsidR="00AC0A1A" w:rsidRPr="00CA7033" w:rsidRDefault="00AC0A1A" w:rsidP="00AC0A1A">
      <w:pPr>
        <w:rPr>
          <w:szCs w:val="22"/>
        </w:rPr>
      </w:pPr>
      <w:r w:rsidRPr="00CA7033">
        <w:rPr>
          <w:szCs w:val="22"/>
        </w:rPr>
        <w:t xml:space="preserve">Delta Park 45 </w:t>
      </w:r>
    </w:p>
    <w:p w14:paraId="1E5BED02" w14:textId="77777777" w:rsidR="00AC0A1A" w:rsidRPr="00CA7033" w:rsidRDefault="00AC0A1A" w:rsidP="00AC0A1A">
      <w:pPr>
        <w:rPr>
          <w:szCs w:val="22"/>
        </w:rPr>
      </w:pPr>
      <w:r w:rsidRPr="00CA7033">
        <w:rPr>
          <w:szCs w:val="22"/>
        </w:rPr>
        <w:t>2665 Vallensbæk Strand</w:t>
      </w:r>
    </w:p>
    <w:p w14:paraId="78271C0C" w14:textId="77777777" w:rsidR="00311D0F" w:rsidRPr="00CA7033" w:rsidRDefault="00311D0F" w:rsidP="00311D0F">
      <w:pPr>
        <w:rPr>
          <w:szCs w:val="22"/>
        </w:rPr>
      </w:pPr>
      <w:r w:rsidRPr="00CA7033">
        <w:t>Danija</w:t>
      </w:r>
    </w:p>
    <w:p w14:paraId="0F6BF5A5" w14:textId="77777777" w:rsidR="00311D0F" w:rsidRPr="00CA7033" w:rsidRDefault="00311D0F" w:rsidP="00311D0F">
      <w:pPr>
        <w:rPr>
          <w:szCs w:val="22"/>
        </w:rPr>
      </w:pPr>
    </w:p>
    <w:p w14:paraId="3BBB6307" w14:textId="77777777" w:rsidR="00311D0F" w:rsidRPr="00CA7033" w:rsidRDefault="00311D0F" w:rsidP="00311D0F">
      <w:pPr>
        <w:rPr>
          <w:szCs w:val="22"/>
        </w:rPr>
      </w:pPr>
    </w:p>
    <w:p w14:paraId="1ED2E434"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12.</w:t>
      </w:r>
      <w:r w:rsidRPr="00CA7033">
        <w:rPr>
          <w:b/>
          <w:szCs w:val="22"/>
        </w:rPr>
        <w:tab/>
      </w:r>
      <w:r w:rsidRPr="00CA7033">
        <w:rPr>
          <w:b/>
          <w:caps/>
          <w:szCs w:val="22"/>
        </w:rPr>
        <w:t>REGISTRACIJOS PAŽYMĖJIMO numeris</w:t>
      </w:r>
      <w:r w:rsidRPr="00CA7033">
        <w:rPr>
          <w:b/>
          <w:szCs w:val="22"/>
        </w:rPr>
        <w:t xml:space="preserve"> (-IAI)</w:t>
      </w:r>
    </w:p>
    <w:p w14:paraId="1B895E82" w14:textId="77777777" w:rsidR="00311D0F" w:rsidRPr="00CA7033" w:rsidRDefault="00311D0F" w:rsidP="00311D0F">
      <w:pPr>
        <w:rPr>
          <w:szCs w:val="22"/>
        </w:rPr>
      </w:pPr>
    </w:p>
    <w:p w14:paraId="33AE53DA" w14:textId="77777777" w:rsidR="0057336B" w:rsidRPr="0057336B" w:rsidRDefault="0057336B" w:rsidP="0057336B">
      <w:pPr>
        <w:pStyle w:val="Default"/>
        <w:rPr>
          <w:sz w:val="22"/>
          <w:szCs w:val="22"/>
          <w:shd w:val="clear" w:color="auto" w:fill="F2F2F2" w:themeFill="background1" w:themeFillShade="F2"/>
          <w:lang w:val="lt-LT"/>
        </w:rPr>
      </w:pPr>
      <w:r w:rsidRPr="0057336B">
        <w:rPr>
          <w:sz w:val="22"/>
          <w:szCs w:val="22"/>
          <w:lang w:val="lt-LT"/>
        </w:rPr>
        <w:t xml:space="preserve">LT/1/13/3415/001 </w:t>
      </w:r>
      <w:r w:rsidRPr="0057336B">
        <w:rPr>
          <w:sz w:val="22"/>
          <w:szCs w:val="22"/>
          <w:shd w:val="clear" w:color="auto" w:fill="F2F2F2" w:themeFill="background1" w:themeFillShade="F2"/>
          <w:lang w:val="lt-LT"/>
        </w:rPr>
        <w:t>– N14</w:t>
      </w:r>
    </w:p>
    <w:p w14:paraId="41D3B1F4" w14:textId="77777777" w:rsidR="0057336B" w:rsidRPr="0057336B" w:rsidRDefault="0057336B" w:rsidP="0057336B">
      <w:pPr>
        <w:pStyle w:val="Default"/>
        <w:rPr>
          <w:sz w:val="22"/>
          <w:szCs w:val="22"/>
          <w:shd w:val="clear" w:color="auto" w:fill="F2F2F2" w:themeFill="background1" w:themeFillShade="F2"/>
          <w:lang w:val="lt-LT"/>
        </w:rPr>
      </w:pPr>
      <w:r w:rsidRPr="0057336B">
        <w:rPr>
          <w:sz w:val="22"/>
          <w:szCs w:val="22"/>
          <w:shd w:val="clear" w:color="auto" w:fill="F2F2F2" w:themeFill="background1" w:themeFillShade="F2"/>
          <w:lang w:val="lt-LT"/>
        </w:rPr>
        <w:t>LT/1/13/3415/002 – N28</w:t>
      </w:r>
    </w:p>
    <w:p w14:paraId="715EC839" w14:textId="77777777" w:rsidR="0057336B" w:rsidRPr="00A665D8" w:rsidRDefault="0057336B" w:rsidP="0057336B">
      <w:pPr>
        <w:pStyle w:val="Default"/>
        <w:rPr>
          <w:sz w:val="22"/>
          <w:szCs w:val="22"/>
          <w:shd w:val="clear" w:color="auto" w:fill="F2F2F2" w:themeFill="background1" w:themeFillShade="F2"/>
          <w:lang w:val="lt-LT"/>
        </w:rPr>
      </w:pPr>
      <w:r w:rsidRPr="00A665D8">
        <w:rPr>
          <w:sz w:val="22"/>
          <w:szCs w:val="22"/>
          <w:shd w:val="clear" w:color="auto" w:fill="F2F2F2" w:themeFill="background1" w:themeFillShade="F2"/>
          <w:lang w:val="lt-LT"/>
        </w:rPr>
        <w:t xml:space="preserve">LT/1/13/3415/005 </w:t>
      </w:r>
      <w:r w:rsidRPr="0057336B">
        <w:rPr>
          <w:sz w:val="22"/>
          <w:szCs w:val="22"/>
          <w:shd w:val="clear" w:color="auto" w:fill="F2F2F2" w:themeFill="background1" w:themeFillShade="F2"/>
          <w:lang w:val="lt-LT"/>
        </w:rPr>
        <w:t>– N56</w:t>
      </w:r>
    </w:p>
    <w:p w14:paraId="396FABC6" w14:textId="5C342E7D" w:rsidR="0057336B" w:rsidRPr="00A665D8" w:rsidRDefault="0057336B" w:rsidP="0057336B">
      <w:pPr>
        <w:pStyle w:val="Default"/>
        <w:rPr>
          <w:sz w:val="22"/>
          <w:szCs w:val="22"/>
          <w:shd w:val="clear" w:color="auto" w:fill="F2F2F2" w:themeFill="background1" w:themeFillShade="F2"/>
          <w:lang w:val="lt-LT"/>
        </w:rPr>
      </w:pPr>
      <w:r w:rsidRPr="00A665D8">
        <w:rPr>
          <w:sz w:val="22"/>
          <w:szCs w:val="22"/>
          <w:shd w:val="clear" w:color="auto" w:fill="F2F2F2" w:themeFill="background1" w:themeFillShade="F2"/>
          <w:lang w:val="lt-LT"/>
        </w:rPr>
        <w:t xml:space="preserve">LT/1/13/3415/006 </w:t>
      </w:r>
      <w:r w:rsidRPr="0057336B">
        <w:rPr>
          <w:sz w:val="22"/>
          <w:szCs w:val="22"/>
          <w:shd w:val="clear" w:color="auto" w:fill="F2F2F2" w:themeFill="background1" w:themeFillShade="F2"/>
          <w:lang w:val="lt-LT"/>
        </w:rPr>
        <w:t>– N98</w:t>
      </w:r>
    </w:p>
    <w:p w14:paraId="4CDAFEC3" w14:textId="77777777" w:rsidR="00311D0F" w:rsidRPr="00CA7033" w:rsidRDefault="00311D0F" w:rsidP="00311D0F">
      <w:pPr>
        <w:ind w:left="567" w:hanging="567"/>
        <w:rPr>
          <w:szCs w:val="22"/>
        </w:rPr>
      </w:pPr>
    </w:p>
    <w:p w14:paraId="086C5CA7" w14:textId="77777777" w:rsidR="00311D0F" w:rsidRPr="00CA7033" w:rsidRDefault="00311D0F" w:rsidP="00311D0F">
      <w:pPr>
        <w:rPr>
          <w:szCs w:val="22"/>
        </w:rPr>
      </w:pPr>
    </w:p>
    <w:p w14:paraId="402B3607"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13.</w:t>
      </w:r>
      <w:r w:rsidRPr="00CA7033">
        <w:rPr>
          <w:b/>
          <w:szCs w:val="22"/>
        </w:rPr>
        <w:tab/>
        <w:t>SERIJOS NUMERIS</w:t>
      </w:r>
    </w:p>
    <w:p w14:paraId="54C48FB2" w14:textId="77777777" w:rsidR="00311D0F" w:rsidRPr="00CA7033" w:rsidRDefault="00311D0F" w:rsidP="00311D0F">
      <w:pPr>
        <w:rPr>
          <w:i/>
          <w:szCs w:val="22"/>
        </w:rPr>
      </w:pPr>
    </w:p>
    <w:p w14:paraId="13C981C0" w14:textId="77777777" w:rsidR="00311D0F" w:rsidRPr="00CA7033" w:rsidRDefault="00311D0F" w:rsidP="00311D0F">
      <w:pPr>
        <w:rPr>
          <w:iCs/>
          <w:szCs w:val="22"/>
        </w:rPr>
      </w:pPr>
      <w:r w:rsidRPr="00CA7033">
        <w:rPr>
          <w:iCs/>
          <w:szCs w:val="22"/>
        </w:rPr>
        <w:t>Serija</w:t>
      </w:r>
    </w:p>
    <w:p w14:paraId="34834D4F" w14:textId="77777777" w:rsidR="00311D0F" w:rsidRPr="00CA7033" w:rsidRDefault="00311D0F" w:rsidP="00311D0F">
      <w:pPr>
        <w:rPr>
          <w:iCs/>
          <w:szCs w:val="22"/>
        </w:rPr>
      </w:pPr>
      <w:r w:rsidRPr="00CA7033">
        <w:rPr>
          <w:iCs/>
          <w:szCs w:val="22"/>
          <w:highlight w:val="lightGray"/>
        </w:rPr>
        <w:t>Lot</w:t>
      </w:r>
    </w:p>
    <w:p w14:paraId="2C39B022" w14:textId="77777777" w:rsidR="00311D0F" w:rsidRPr="00CA7033" w:rsidRDefault="00311D0F" w:rsidP="00311D0F">
      <w:pPr>
        <w:rPr>
          <w:szCs w:val="22"/>
        </w:rPr>
      </w:pPr>
    </w:p>
    <w:p w14:paraId="3C26D96D" w14:textId="77777777" w:rsidR="00311D0F" w:rsidRPr="00CA7033" w:rsidRDefault="00311D0F" w:rsidP="00311D0F">
      <w:pPr>
        <w:rPr>
          <w:szCs w:val="22"/>
        </w:rPr>
      </w:pPr>
    </w:p>
    <w:p w14:paraId="396FF29B"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14.</w:t>
      </w:r>
      <w:r w:rsidRPr="00CA7033">
        <w:rPr>
          <w:b/>
          <w:szCs w:val="22"/>
        </w:rPr>
        <w:tab/>
        <w:t>PARDAVIMO (IŠDAVIMO)</w:t>
      </w:r>
      <w:r w:rsidRPr="00CA7033">
        <w:rPr>
          <w:b/>
          <w:caps/>
          <w:szCs w:val="22"/>
        </w:rPr>
        <w:t xml:space="preserve"> tvarka</w:t>
      </w:r>
    </w:p>
    <w:p w14:paraId="16BAED24" w14:textId="77777777" w:rsidR="00311D0F" w:rsidRPr="00CA7033" w:rsidRDefault="00311D0F" w:rsidP="00311D0F">
      <w:pPr>
        <w:rPr>
          <w:szCs w:val="22"/>
        </w:rPr>
      </w:pPr>
    </w:p>
    <w:p w14:paraId="1C2846D6" w14:textId="71DB9720" w:rsidR="00311D0F" w:rsidRPr="00CA7033" w:rsidRDefault="00311D0F" w:rsidP="00311D0F">
      <w:pPr>
        <w:rPr>
          <w:szCs w:val="22"/>
        </w:rPr>
      </w:pPr>
      <w:r w:rsidRPr="00CA7033">
        <w:rPr>
          <w:szCs w:val="22"/>
        </w:rPr>
        <w:t>Receptinis vaistas.</w:t>
      </w:r>
    </w:p>
    <w:p w14:paraId="50324187" w14:textId="77777777" w:rsidR="00311D0F" w:rsidRPr="00CA7033" w:rsidRDefault="00311D0F" w:rsidP="00311D0F">
      <w:pPr>
        <w:rPr>
          <w:szCs w:val="22"/>
        </w:rPr>
      </w:pPr>
    </w:p>
    <w:p w14:paraId="3308C451" w14:textId="77777777" w:rsidR="00311D0F" w:rsidRPr="00CA7033" w:rsidRDefault="00311D0F" w:rsidP="00311D0F">
      <w:pPr>
        <w:rPr>
          <w:szCs w:val="22"/>
        </w:rPr>
      </w:pPr>
    </w:p>
    <w:p w14:paraId="72601CF5"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15.</w:t>
      </w:r>
      <w:r w:rsidRPr="00CA7033">
        <w:rPr>
          <w:b/>
          <w:szCs w:val="22"/>
        </w:rPr>
        <w:tab/>
      </w:r>
      <w:r w:rsidRPr="00CA7033">
        <w:rPr>
          <w:b/>
          <w:caps/>
          <w:szCs w:val="22"/>
        </w:rPr>
        <w:t>vartojimo instrukcijA</w:t>
      </w:r>
    </w:p>
    <w:p w14:paraId="6C43D26B" w14:textId="77777777" w:rsidR="00311D0F" w:rsidRPr="00CA7033" w:rsidRDefault="00311D0F" w:rsidP="00311D0F">
      <w:pPr>
        <w:rPr>
          <w:szCs w:val="22"/>
        </w:rPr>
      </w:pPr>
    </w:p>
    <w:p w14:paraId="00EC56F9" w14:textId="77777777" w:rsidR="00311D0F" w:rsidRPr="00CA7033" w:rsidRDefault="00311D0F" w:rsidP="00311D0F">
      <w:pPr>
        <w:rPr>
          <w:szCs w:val="22"/>
        </w:rPr>
      </w:pPr>
      <w:r w:rsidRPr="00CA7033">
        <w:rPr>
          <w:szCs w:val="22"/>
        </w:rPr>
        <w:t>Kapsules reikia nuryti sveikas, jų negalima smulkinti ar kramtyti.</w:t>
      </w:r>
    </w:p>
    <w:p w14:paraId="05D14AEE" w14:textId="77777777" w:rsidR="00311D0F" w:rsidRPr="00CA7033" w:rsidRDefault="00311D0F" w:rsidP="00311D0F">
      <w:pPr>
        <w:rPr>
          <w:i/>
          <w:iCs/>
          <w:szCs w:val="22"/>
        </w:rPr>
      </w:pPr>
    </w:p>
    <w:p w14:paraId="49342FFA" w14:textId="77777777" w:rsidR="00311D0F" w:rsidRPr="00CA7033" w:rsidRDefault="00311D0F" w:rsidP="00311D0F">
      <w:pPr>
        <w:rPr>
          <w:szCs w:val="22"/>
        </w:rPr>
      </w:pPr>
    </w:p>
    <w:p w14:paraId="722172E6"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16.</w:t>
      </w:r>
      <w:r w:rsidRPr="00CA7033">
        <w:rPr>
          <w:b/>
          <w:szCs w:val="22"/>
        </w:rPr>
        <w:tab/>
        <w:t>INFORMACIJA BRAILIO RAŠTU</w:t>
      </w:r>
    </w:p>
    <w:p w14:paraId="0841E3C9" w14:textId="77777777" w:rsidR="00311D0F" w:rsidRPr="00CA7033" w:rsidRDefault="00311D0F" w:rsidP="00311D0F">
      <w:pPr>
        <w:rPr>
          <w:szCs w:val="22"/>
        </w:rPr>
      </w:pPr>
    </w:p>
    <w:p w14:paraId="62CC3DCE" w14:textId="77777777" w:rsidR="00311D0F" w:rsidRPr="00CA7033" w:rsidRDefault="00311D0F" w:rsidP="00311D0F">
      <w:pPr>
        <w:rPr>
          <w:szCs w:val="22"/>
        </w:rPr>
      </w:pPr>
      <w:r w:rsidRPr="00CA7033">
        <w:rPr>
          <w:iCs/>
          <w:szCs w:val="22"/>
        </w:rPr>
        <w:t>Dexilant 30 mg</w:t>
      </w:r>
    </w:p>
    <w:p w14:paraId="506BF2FC" w14:textId="77777777" w:rsidR="00311D0F" w:rsidRPr="00CA7033" w:rsidRDefault="00311D0F" w:rsidP="00311D0F">
      <w:pPr>
        <w:rPr>
          <w:b/>
        </w:rPr>
      </w:pPr>
    </w:p>
    <w:p w14:paraId="58557DA5" w14:textId="77777777" w:rsidR="00311D0F" w:rsidRPr="00CA7033" w:rsidRDefault="00311D0F" w:rsidP="00311D0F">
      <w:pPr>
        <w:rPr>
          <w:szCs w:val="22"/>
          <w:shd w:val="clear" w:color="auto" w:fill="CCCCCC"/>
        </w:rPr>
      </w:pPr>
    </w:p>
    <w:p w14:paraId="62C20372" w14:textId="77777777" w:rsidR="00311D0F" w:rsidRPr="00CA7033" w:rsidRDefault="00311D0F" w:rsidP="00311D0F">
      <w:pPr>
        <w:keepNext/>
        <w:pBdr>
          <w:top w:val="single" w:sz="4" w:space="1" w:color="auto"/>
          <w:left w:val="single" w:sz="4" w:space="4" w:color="auto"/>
          <w:bottom w:val="single" w:sz="4" w:space="1" w:color="auto"/>
          <w:right w:val="single" w:sz="4" w:space="4" w:color="auto"/>
        </w:pBdr>
        <w:tabs>
          <w:tab w:val="left" w:pos="0"/>
        </w:tabs>
        <w:outlineLvl w:val="0"/>
        <w:rPr>
          <w:i/>
        </w:rPr>
      </w:pPr>
      <w:r w:rsidRPr="00CA7033">
        <w:rPr>
          <w:b/>
        </w:rPr>
        <w:t>17.</w:t>
      </w:r>
      <w:r w:rsidRPr="00CA7033">
        <w:rPr>
          <w:b/>
        </w:rPr>
        <w:tab/>
        <w:t>UNIKALUS IDENTIFIKATORIUS – 2D BRŪKŠNINIS KODAS</w:t>
      </w:r>
    </w:p>
    <w:p w14:paraId="480B2AD1" w14:textId="77777777" w:rsidR="00311D0F" w:rsidRPr="00CA7033" w:rsidRDefault="00311D0F" w:rsidP="00311D0F"/>
    <w:p w14:paraId="6F767E2C" w14:textId="77777777" w:rsidR="00311D0F" w:rsidRPr="00CA7033" w:rsidRDefault="00311D0F" w:rsidP="00311D0F">
      <w:pPr>
        <w:rPr>
          <w:szCs w:val="22"/>
          <w:shd w:val="clear" w:color="auto" w:fill="CCCCCC"/>
        </w:rPr>
      </w:pPr>
      <w:r w:rsidRPr="00CA7033">
        <w:rPr>
          <w:highlight w:val="lightGray"/>
        </w:rPr>
        <w:t>2D brūkšninis kodas su nurodytu unikaliu identifikatoriumi.</w:t>
      </w:r>
    </w:p>
    <w:p w14:paraId="2FD34D8E" w14:textId="77777777" w:rsidR="00311D0F" w:rsidRPr="00CA7033" w:rsidRDefault="00311D0F" w:rsidP="00311D0F"/>
    <w:p w14:paraId="585305E5" w14:textId="77777777" w:rsidR="00311D0F" w:rsidRPr="00CA7033" w:rsidRDefault="00311D0F" w:rsidP="00311D0F"/>
    <w:p w14:paraId="0415FCB5" w14:textId="77777777" w:rsidR="00311D0F" w:rsidRPr="00CA7033" w:rsidRDefault="00311D0F" w:rsidP="00311D0F">
      <w:pPr>
        <w:keepNext/>
        <w:pBdr>
          <w:top w:val="single" w:sz="4" w:space="1" w:color="auto"/>
          <w:left w:val="single" w:sz="4" w:space="4" w:color="auto"/>
          <w:bottom w:val="single" w:sz="4" w:space="1" w:color="auto"/>
          <w:right w:val="single" w:sz="4" w:space="4" w:color="auto"/>
        </w:pBdr>
        <w:tabs>
          <w:tab w:val="left" w:pos="0"/>
        </w:tabs>
        <w:outlineLvl w:val="0"/>
        <w:rPr>
          <w:i/>
        </w:rPr>
      </w:pPr>
      <w:r w:rsidRPr="00CA7033">
        <w:rPr>
          <w:b/>
        </w:rPr>
        <w:t>18.</w:t>
      </w:r>
      <w:r w:rsidRPr="00CA7033">
        <w:rPr>
          <w:b/>
        </w:rPr>
        <w:tab/>
        <w:t>UNIKALUS IDENTIFIKATORIUS – ŽMONĖMS SUPRANTAMI DUOMENYS</w:t>
      </w:r>
    </w:p>
    <w:p w14:paraId="5A8C6F6A" w14:textId="77777777" w:rsidR="00311D0F" w:rsidRPr="00CA7033" w:rsidRDefault="00311D0F" w:rsidP="00311D0F"/>
    <w:p w14:paraId="589B102B" w14:textId="77777777" w:rsidR="00311D0F" w:rsidRPr="00CA7033" w:rsidRDefault="00311D0F" w:rsidP="00311D0F">
      <w:pPr>
        <w:rPr>
          <w:color w:val="008000"/>
          <w:szCs w:val="22"/>
        </w:rPr>
      </w:pPr>
      <w:r w:rsidRPr="00CA7033">
        <w:t xml:space="preserve">PC: </w:t>
      </w:r>
    </w:p>
    <w:p w14:paraId="4FC83995" w14:textId="77777777" w:rsidR="00311D0F" w:rsidRPr="00CA7033" w:rsidRDefault="00311D0F" w:rsidP="00311D0F">
      <w:pPr>
        <w:rPr>
          <w:szCs w:val="22"/>
        </w:rPr>
      </w:pPr>
      <w:r w:rsidRPr="00CA7033">
        <w:t>SN:</w:t>
      </w:r>
    </w:p>
    <w:p w14:paraId="4F55DB8D" w14:textId="77777777" w:rsidR="00311D0F" w:rsidRPr="00CA7033" w:rsidRDefault="00311D0F" w:rsidP="00311D0F">
      <w:pPr>
        <w:rPr>
          <w:szCs w:val="22"/>
        </w:rPr>
      </w:pPr>
      <w:r w:rsidRPr="00CA7033">
        <w:rPr>
          <w:highlight w:val="lightGray"/>
        </w:rPr>
        <w:t>NN</w:t>
      </w:r>
      <w:r w:rsidRPr="00CA7033">
        <w:t>:</w:t>
      </w:r>
    </w:p>
    <w:p w14:paraId="2BD48292" w14:textId="77777777" w:rsidR="00311D0F" w:rsidRPr="00CA7033" w:rsidRDefault="00311D0F" w:rsidP="00311D0F"/>
    <w:p w14:paraId="12A1E66C" w14:textId="77777777" w:rsidR="00311D0F" w:rsidRPr="00CA7033" w:rsidRDefault="00311D0F" w:rsidP="00311D0F">
      <w:pPr>
        <w:rPr>
          <w:b/>
          <w:szCs w:val="22"/>
        </w:rPr>
      </w:pPr>
    </w:p>
    <w:p w14:paraId="6811665E" w14:textId="7BA34B6D" w:rsidR="00311D0F" w:rsidRPr="00CA7033" w:rsidRDefault="00311D0F" w:rsidP="00311D0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09F9543D" w14:textId="77777777" w:rsidTr="009A1CE0">
        <w:trPr>
          <w:trHeight w:val="785"/>
        </w:trPr>
        <w:tc>
          <w:tcPr>
            <w:tcW w:w="9287" w:type="dxa"/>
            <w:tcBorders>
              <w:bottom w:val="single" w:sz="4" w:space="0" w:color="auto"/>
            </w:tcBorders>
          </w:tcPr>
          <w:p w14:paraId="7E9119A2" w14:textId="77777777" w:rsidR="00311D0F" w:rsidRPr="00CA7033" w:rsidRDefault="00311D0F" w:rsidP="009A1CE0">
            <w:pPr>
              <w:rPr>
                <w:b/>
              </w:rPr>
            </w:pPr>
            <w:r w:rsidRPr="00CA7033">
              <w:rPr>
                <w:b/>
              </w:rPr>
              <w:t xml:space="preserve">MINIMALI </w:t>
            </w:r>
            <w:r w:rsidRPr="00CA7033">
              <w:rPr>
                <w:b/>
                <w:caps/>
              </w:rPr>
              <w:t xml:space="preserve">informacija ant </w:t>
            </w:r>
            <w:r w:rsidRPr="00CA7033">
              <w:rPr>
                <w:b/>
              </w:rPr>
              <w:t>LIZDINIŲ PLOKŠTELIŲ ARBA DVISLUOKSNIŲ JUOSTELIŲ</w:t>
            </w:r>
          </w:p>
          <w:p w14:paraId="1F9154DD" w14:textId="77777777" w:rsidR="00311D0F" w:rsidRPr="00CA7033" w:rsidRDefault="00311D0F" w:rsidP="009A1CE0">
            <w:pPr>
              <w:ind w:firstLine="720"/>
              <w:rPr>
                <w:b/>
              </w:rPr>
            </w:pPr>
          </w:p>
          <w:p w14:paraId="25716340" w14:textId="77777777" w:rsidR="00311D0F" w:rsidRPr="00CA7033" w:rsidRDefault="00311D0F" w:rsidP="009A1CE0">
            <w:pPr>
              <w:rPr>
                <w:b/>
              </w:rPr>
            </w:pPr>
            <w:r w:rsidRPr="00CA7033">
              <w:rPr>
                <w:b/>
              </w:rPr>
              <w:t>14, 28, 56 ARBA 98 MODIFIKUOTO ATPALAIDAVIMO KIETŲJŲ KAPSULIŲ LIZDINĖ PLOKŠTELĖ</w:t>
            </w:r>
          </w:p>
        </w:tc>
      </w:tr>
    </w:tbl>
    <w:p w14:paraId="3D214E4D" w14:textId="77777777" w:rsidR="00311D0F" w:rsidRPr="00CA7033" w:rsidRDefault="00311D0F" w:rsidP="00311D0F">
      <w:pPr>
        <w:rPr>
          <w:b/>
          <w:szCs w:val="22"/>
        </w:rPr>
      </w:pPr>
    </w:p>
    <w:p w14:paraId="41C5A4E8" w14:textId="77777777" w:rsidR="00311D0F" w:rsidRPr="00CA7033" w:rsidRDefault="00311D0F" w:rsidP="00311D0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77B499B0" w14:textId="77777777" w:rsidTr="009A1CE0">
        <w:tc>
          <w:tcPr>
            <w:tcW w:w="9287" w:type="dxa"/>
          </w:tcPr>
          <w:p w14:paraId="56543651" w14:textId="77777777" w:rsidR="00311D0F" w:rsidRPr="00CA7033" w:rsidRDefault="00311D0F" w:rsidP="009A1CE0">
            <w:pPr>
              <w:tabs>
                <w:tab w:val="left" w:pos="142"/>
              </w:tabs>
              <w:ind w:left="567" w:hanging="567"/>
              <w:rPr>
                <w:b/>
              </w:rPr>
            </w:pPr>
            <w:r w:rsidRPr="00CA7033">
              <w:rPr>
                <w:b/>
              </w:rPr>
              <w:t>1.</w:t>
            </w:r>
            <w:r w:rsidRPr="00CA7033">
              <w:rPr>
                <w:b/>
              </w:rPr>
              <w:tab/>
            </w:r>
            <w:r w:rsidRPr="00CA7033">
              <w:rPr>
                <w:b/>
                <w:caps/>
              </w:rPr>
              <w:t>Vaistinio preparato pavadinimas</w:t>
            </w:r>
          </w:p>
        </w:tc>
      </w:tr>
    </w:tbl>
    <w:p w14:paraId="6678F417" w14:textId="77777777" w:rsidR="00311D0F" w:rsidRPr="00CA7033" w:rsidRDefault="00311D0F" w:rsidP="00311D0F">
      <w:pPr>
        <w:ind w:left="567" w:hanging="567"/>
        <w:rPr>
          <w:szCs w:val="22"/>
        </w:rPr>
      </w:pPr>
    </w:p>
    <w:p w14:paraId="4938F9A3" w14:textId="77777777" w:rsidR="00311D0F" w:rsidRPr="00CA7033" w:rsidRDefault="00311D0F" w:rsidP="00311D0F">
      <w:pPr>
        <w:pStyle w:val="Default"/>
        <w:rPr>
          <w:sz w:val="22"/>
          <w:szCs w:val="22"/>
          <w:lang w:val="lt-LT"/>
        </w:rPr>
      </w:pPr>
      <w:r w:rsidRPr="00CA7033">
        <w:rPr>
          <w:iCs/>
          <w:sz w:val="22"/>
          <w:szCs w:val="22"/>
          <w:lang w:val="lt-LT"/>
        </w:rPr>
        <w:t xml:space="preserve">Dexilant 30 mg </w:t>
      </w:r>
      <w:r w:rsidRPr="00CA7033">
        <w:rPr>
          <w:sz w:val="22"/>
          <w:szCs w:val="22"/>
          <w:lang w:val="lt-LT"/>
        </w:rPr>
        <w:t>modifikuoto atpalaidavimo kietosios kapsulės</w:t>
      </w:r>
    </w:p>
    <w:p w14:paraId="52D42C5B" w14:textId="07EF48C7" w:rsidR="00311D0F" w:rsidRPr="00CA7033" w:rsidRDefault="00A94DE4" w:rsidP="00311D0F">
      <w:pPr>
        <w:pStyle w:val="Default"/>
        <w:rPr>
          <w:sz w:val="22"/>
          <w:szCs w:val="22"/>
          <w:lang w:val="lt-LT"/>
        </w:rPr>
      </w:pPr>
      <w:r w:rsidRPr="00CA7033">
        <w:rPr>
          <w:sz w:val="22"/>
          <w:szCs w:val="22"/>
          <w:lang w:val="lt-LT"/>
        </w:rPr>
        <w:t>d</w:t>
      </w:r>
      <w:r w:rsidR="00311D0F" w:rsidRPr="00CA7033">
        <w:rPr>
          <w:sz w:val="22"/>
          <w:szCs w:val="22"/>
          <w:lang w:val="lt-LT"/>
        </w:rPr>
        <w:t>ekslansoprazolas</w:t>
      </w:r>
    </w:p>
    <w:p w14:paraId="30B67620" w14:textId="77777777" w:rsidR="00311D0F" w:rsidRPr="00CA7033" w:rsidRDefault="00311D0F" w:rsidP="00311D0F">
      <w:pPr>
        <w:rPr>
          <w:szCs w:val="22"/>
        </w:rPr>
      </w:pPr>
    </w:p>
    <w:p w14:paraId="62DE8603" w14:textId="77777777" w:rsidR="00311D0F" w:rsidRPr="00CA7033" w:rsidRDefault="00311D0F" w:rsidP="00311D0F">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4BBBB097" w14:textId="77777777" w:rsidTr="009A1CE0">
        <w:tc>
          <w:tcPr>
            <w:tcW w:w="9287" w:type="dxa"/>
          </w:tcPr>
          <w:p w14:paraId="0DC7F982" w14:textId="77777777" w:rsidR="00311D0F" w:rsidRPr="00CA7033" w:rsidRDefault="00311D0F" w:rsidP="009A1CE0">
            <w:pPr>
              <w:tabs>
                <w:tab w:val="left" w:pos="142"/>
              </w:tabs>
              <w:ind w:left="567" w:hanging="567"/>
              <w:rPr>
                <w:b/>
              </w:rPr>
            </w:pPr>
            <w:r w:rsidRPr="00CA7033">
              <w:rPr>
                <w:b/>
              </w:rPr>
              <w:t>2.</w:t>
            </w:r>
            <w:r w:rsidRPr="00CA7033">
              <w:rPr>
                <w:b/>
              </w:rPr>
              <w:tab/>
            </w:r>
            <w:r w:rsidRPr="00CA7033">
              <w:rPr>
                <w:b/>
                <w:caps/>
              </w:rPr>
              <w:t>REGISTRUOTOJO pavadinimas</w:t>
            </w:r>
          </w:p>
        </w:tc>
      </w:tr>
    </w:tbl>
    <w:p w14:paraId="7A726BD1" w14:textId="77777777" w:rsidR="00311D0F" w:rsidRPr="00CA7033" w:rsidRDefault="00311D0F" w:rsidP="00311D0F">
      <w:pPr>
        <w:rPr>
          <w:b/>
          <w:szCs w:val="22"/>
        </w:rPr>
      </w:pPr>
    </w:p>
    <w:p w14:paraId="129F1E66" w14:textId="77777777" w:rsidR="00311D0F" w:rsidRPr="00CA7033" w:rsidRDefault="00311D0F" w:rsidP="00311D0F">
      <w:pPr>
        <w:rPr>
          <w:b/>
          <w:szCs w:val="22"/>
        </w:rPr>
      </w:pPr>
      <w:r w:rsidRPr="00CA7033">
        <w:rPr>
          <w:szCs w:val="22"/>
        </w:rPr>
        <w:t>Takeda</w:t>
      </w:r>
    </w:p>
    <w:p w14:paraId="7D5DF110" w14:textId="77777777" w:rsidR="00311D0F" w:rsidRPr="00CA7033" w:rsidRDefault="00311D0F" w:rsidP="00311D0F">
      <w:pPr>
        <w:rPr>
          <w:b/>
          <w:szCs w:val="22"/>
        </w:rPr>
      </w:pPr>
    </w:p>
    <w:p w14:paraId="17F5F3FE" w14:textId="77777777" w:rsidR="00311D0F" w:rsidRPr="00CA7033" w:rsidRDefault="00311D0F" w:rsidP="00311D0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37E9AF98" w14:textId="77777777" w:rsidTr="009A1CE0">
        <w:tc>
          <w:tcPr>
            <w:tcW w:w="9287" w:type="dxa"/>
          </w:tcPr>
          <w:p w14:paraId="519E1071" w14:textId="77777777" w:rsidR="00311D0F" w:rsidRPr="00CA7033" w:rsidRDefault="00311D0F" w:rsidP="009A1CE0">
            <w:pPr>
              <w:tabs>
                <w:tab w:val="left" w:pos="142"/>
              </w:tabs>
              <w:ind w:left="567" w:hanging="567"/>
              <w:rPr>
                <w:b/>
              </w:rPr>
            </w:pPr>
            <w:r w:rsidRPr="00CA7033">
              <w:rPr>
                <w:b/>
              </w:rPr>
              <w:t>3.</w:t>
            </w:r>
            <w:r w:rsidRPr="00CA7033">
              <w:rPr>
                <w:b/>
              </w:rPr>
              <w:tab/>
            </w:r>
            <w:r w:rsidRPr="00CA7033">
              <w:rPr>
                <w:b/>
                <w:caps/>
              </w:rPr>
              <w:t>tinkamumo laikas</w:t>
            </w:r>
          </w:p>
        </w:tc>
      </w:tr>
    </w:tbl>
    <w:p w14:paraId="1B022D51" w14:textId="77777777" w:rsidR="00311D0F" w:rsidRPr="00CA7033" w:rsidRDefault="00311D0F" w:rsidP="00311D0F">
      <w:pPr>
        <w:rPr>
          <w:i/>
          <w:szCs w:val="22"/>
        </w:rPr>
      </w:pPr>
    </w:p>
    <w:p w14:paraId="3D9140C3" w14:textId="77777777" w:rsidR="00311D0F" w:rsidRPr="00CA7033" w:rsidRDefault="00311D0F" w:rsidP="00311D0F">
      <w:pPr>
        <w:rPr>
          <w:szCs w:val="22"/>
        </w:rPr>
      </w:pPr>
      <w:r w:rsidRPr="00CA7033">
        <w:rPr>
          <w:szCs w:val="22"/>
        </w:rPr>
        <w:t>EXP {mm MMMM}</w:t>
      </w:r>
    </w:p>
    <w:p w14:paraId="086E457F" w14:textId="77777777" w:rsidR="00311D0F" w:rsidRPr="00CA7033" w:rsidRDefault="00311D0F" w:rsidP="00311D0F">
      <w:pPr>
        <w:rPr>
          <w:b/>
          <w:szCs w:val="22"/>
        </w:rPr>
      </w:pPr>
    </w:p>
    <w:p w14:paraId="096CC5A6" w14:textId="77777777" w:rsidR="00311D0F" w:rsidRPr="00CA7033" w:rsidRDefault="00311D0F" w:rsidP="00311D0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39DFA550" w14:textId="77777777" w:rsidTr="009A1CE0">
        <w:tc>
          <w:tcPr>
            <w:tcW w:w="9287" w:type="dxa"/>
          </w:tcPr>
          <w:p w14:paraId="2CE720BC" w14:textId="77777777" w:rsidR="00311D0F" w:rsidRPr="00CA7033" w:rsidRDefault="00311D0F" w:rsidP="009A1CE0">
            <w:pPr>
              <w:tabs>
                <w:tab w:val="left" w:pos="142"/>
              </w:tabs>
              <w:ind w:left="567" w:hanging="567"/>
              <w:rPr>
                <w:b/>
              </w:rPr>
            </w:pPr>
            <w:r w:rsidRPr="00CA7033">
              <w:rPr>
                <w:b/>
              </w:rPr>
              <w:t>4.</w:t>
            </w:r>
            <w:r w:rsidRPr="00CA7033">
              <w:rPr>
                <w:b/>
              </w:rPr>
              <w:tab/>
            </w:r>
            <w:r w:rsidRPr="00CA7033">
              <w:rPr>
                <w:b/>
                <w:caps/>
              </w:rPr>
              <w:t>serijos numeris</w:t>
            </w:r>
          </w:p>
        </w:tc>
      </w:tr>
    </w:tbl>
    <w:p w14:paraId="53D5BFCF" w14:textId="77777777" w:rsidR="00311D0F" w:rsidRPr="00CA7033" w:rsidRDefault="00311D0F" w:rsidP="00311D0F">
      <w:pPr>
        <w:ind w:right="113"/>
        <w:rPr>
          <w:i/>
          <w:szCs w:val="22"/>
        </w:rPr>
      </w:pPr>
    </w:p>
    <w:p w14:paraId="4A2C488F" w14:textId="77777777" w:rsidR="00311D0F" w:rsidRPr="00CA7033" w:rsidRDefault="00311D0F" w:rsidP="00311D0F">
      <w:pPr>
        <w:ind w:right="113"/>
        <w:rPr>
          <w:szCs w:val="22"/>
        </w:rPr>
      </w:pPr>
      <w:r w:rsidRPr="00CA7033">
        <w:rPr>
          <w:szCs w:val="22"/>
        </w:rPr>
        <w:t>Lot</w:t>
      </w:r>
    </w:p>
    <w:p w14:paraId="1FE8600E" w14:textId="77777777" w:rsidR="00311D0F" w:rsidRPr="00CA7033" w:rsidRDefault="00311D0F" w:rsidP="00311D0F">
      <w:pPr>
        <w:ind w:right="113"/>
        <w:rPr>
          <w:szCs w:val="22"/>
        </w:rPr>
      </w:pPr>
    </w:p>
    <w:p w14:paraId="30B9C537" w14:textId="77777777" w:rsidR="00311D0F" w:rsidRPr="00CA7033" w:rsidRDefault="00311D0F" w:rsidP="00311D0F">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73F16FF6" w14:textId="77777777" w:rsidTr="009A1CE0">
        <w:tc>
          <w:tcPr>
            <w:tcW w:w="9287" w:type="dxa"/>
          </w:tcPr>
          <w:p w14:paraId="61CF976F" w14:textId="77777777" w:rsidR="00311D0F" w:rsidRPr="00CA7033" w:rsidRDefault="00311D0F" w:rsidP="009A1CE0">
            <w:pPr>
              <w:tabs>
                <w:tab w:val="left" w:pos="142"/>
              </w:tabs>
              <w:ind w:left="567" w:hanging="567"/>
              <w:rPr>
                <w:b/>
              </w:rPr>
            </w:pPr>
            <w:r w:rsidRPr="00CA7033">
              <w:rPr>
                <w:b/>
              </w:rPr>
              <w:t>5.</w:t>
            </w:r>
            <w:r w:rsidRPr="00CA7033">
              <w:rPr>
                <w:b/>
              </w:rPr>
              <w:tab/>
              <w:t>KITA</w:t>
            </w:r>
          </w:p>
        </w:tc>
      </w:tr>
    </w:tbl>
    <w:p w14:paraId="10612D20" w14:textId="77777777" w:rsidR="00311D0F" w:rsidRPr="00CA7033" w:rsidRDefault="00311D0F" w:rsidP="00311D0F">
      <w:pPr>
        <w:ind w:right="113"/>
        <w:rPr>
          <w:szCs w:val="22"/>
        </w:rPr>
      </w:pPr>
    </w:p>
    <w:p w14:paraId="7B0CE8BB" w14:textId="77777777" w:rsidR="00311D0F" w:rsidRPr="00CA7033" w:rsidRDefault="00311D0F" w:rsidP="00311D0F">
      <w:pPr>
        <w:ind w:right="113"/>
        <w:rPr>
          <w:szCs w:val="22"/>
        </w:rPr>
      </w:pPr>
      <w:r w:rsidRPr="00CA7033">
        <w:rPr>
          <w:szCs w:val="22"/>
        </w:rPr>
        <w:t>Vartoti per burną.</w:t>
      </w:r>
    </w:p>
    <w:p w14:paraId="39495268" w14:textId="77777777" w:rsidR="00311D0F" w:rsidRPr="00CA7033" w:rsidRDefault="00311D0F" w:rsidP="00311D0F">
      <w:pPr>
        <w:shd w:val="clear" w:color="auto" w:fill="FFFFFF"/>
        <w:rPr>
          <w:szCs w:val="22"/>
        </w:rPr>
      </w:pPr>
      <w:r w:rsidRPr="00CA7033">
        <w:rPr>
          <w:szCs w:val="22"/>
        </w:rPr>
        <w:br w:type="page"/>
      </w:r>
    </w:p>
    <w:p w14:paraId="4CEB3F04" w14:textId="77777777" w:rsidR="00311D0F" w:rsidRPr="00CA7033" w:rsidRDefault="00311D0F" w:rsidP="00311D0F">
      <w:pPr>
        <w:pBdr>
          <w:top w:val="single" w:sz="4" w:space="1" w:color="auto"/>
          <w:left w:val="single" w:sz="4" w:space="4" w:color="auto"/>
          <w:bottom w:val="single" w:sz="4" w:space="1" w:color="auto"/>
          <w:right w:val="single" w:sz="4" w:space="4" w:color="auto"/>
        </w:pBdr>
        <w:rPr>
          <w:b/>
          <w:szCs w:val="22"/>
        </w:rPr>
      </w:pPr>
      <w:r w:rsidRPr="00CA7033">
        <w:rPr>
          <w:b/>
          <w:szCs w:val="22"/>
        </w:rPr>
        <w:lastRenderedPageBreak/>
        <w:t>INFORMACIJA ANT IŠORINĖS PAKUOTĖS</w:t>
      </w:r>
    </w:p>
    <w:p w14:paraId="77DD511E"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rPr>
          <w:bCs/>
          <w:szCs w:val="22"/>
        </w:rPr>
      </w:pPr>
    </w:p>
    <w:p w14:paraId="007DF5D8" w14:textId="77777777" w:rsidR="00311D0F" w:rsidRPr="00CA7033" w:rsidRDefault="00311D0F" w:rsidP="00311D0F">
      <w:pPr>
        <w:pBdr>
          <w:top w:val="single" w:sz="4" w:space="1" w:color="auto"/>
          <w:left w:val="single" w:sz="4" w:space="4" w:color="auto"/>
          <w:bottom w:val="single" w:sz="4" w:space="1" w:color="auto"/>
          <w:right w:val="single" w:sz="4" w:space="4" w:color="auto"/>
        </w:pBdr>
        <w:rPr>
          <w:bCs/>
          <w:szCs w:val="22"/>
        </w:rPr>
      </w:pPr>
      <w:r w:rsidRPr="00CA7033">
        <w:rPr>
          <w:b/>
          <w:szCs w:val="22"/>
        </w:rPr>
        <w:t>KARTONO DĖŽUTĖ</w:t>
      </w:r>
    </w:p>
    <w:p w14:paraId="7B4D2260" w14:textId="77777777" w:rsidR="00311D0F" w:rsidRPr="00CA7033" w:rsidRDefault="00311D0F" w:rsidP="00311D0F">
      <w:pPr>
        <w:rPr>
          <w:szCs w:val="22"/>
        </w:rPr>
      </w:pPr>
    </w:p>
    <w:p w14:paraId="592CC4F2" w14:textId="77777777" w:rsidR="00311D0F" w:rsidRPr="00CA7033" w:rsidRDefault="00311D0F" w:rsidP="00311D0F">
      <w:pPr>
        <w:rPr>
          <w:szCs w:val="22"/>
        </w:rPr>
      </w:pPr>
    </w:p>
    <w:p w14:paraId="258C57E6"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1.</w:t>
      </w:r>
      <w:r w:rsidRPr="00CA7033">
        <w:rPr>
          <w:b/>
          <w:szCs w:val="22"/>
        </w:rPr>
        <w:tab/>
        <w:t>VAISTINIO PREPARATO PAVADINIMAS</w:t>
      </w:r>
    </w:p>
    <w:p w14:paraId="1414E02F" w14:textId="77777777" w:rsidR="00311D0F" w:rsidRPr="00CA7033" w:rsidRDefault="00311D0F" w:rsidP="00311D0F">
      <w:pPr>
        <w:rPr>
          <w:szCs w:val="22"/>
        </w:rPr>
      </w:pPr>
    </w:p>
    <w:p w14:paraId="7FE92571" w14:textId="77777777" w:rsidR="00311D0F" w:rsidRPr="00CA7033" w:rsidRDefault="00311D0F" w:rsidP="00311D0F">
      <w:pPr>
        <w:pStyle w:val="Default"/>
        <w:rPr>
          <w:sz w:val="22"/>
          <w:szCs w:val="22"/>
          <w:lang w:val="lt-LT"/>
        </w:rPr>
      </w:pPr>
      <w:r w:rsidRPr="00CA7033">
        <w:rPr>
          <w:iCs/>
          <w:sz w:val="22"/>
          <w:szCs w:val="22"/>
          <w:lang w:val="lt-LT"/>
        </w:rPr>
        <w:t xml:space="preserve">Dexilant 60 mg </w:t>
      </w:r>
      <w:r w:rsidRPr="00CA7033">
        <w:rPr>
          <w:sz w:val="22"/>
          <w:szCs w:val="22"/>
          <w:lang w:val="lt-LT"/>
        </w:rPr>
        <w:t>modifikuoto atpalaidavimo kietosios kapsulės</w:t>
      </w:r>
    </w:p>
    <w:p w14:paraId="0CECB0AD" w14:textId="01C7BF88" w:rsidR="00311D0F" w:rsidRPr="00CA7033" w:rsidRDefault="00A94DE4" w:rsidP="00311D0F">
      <w:pPr>
        <w:pStyle w:val="Default"/>
        <w:rPr>
          <w:sz w:val="22"/>
          <w:szCs w:val="22"/>
          <w:lang w:val="lt-LT"/>
        </w:rPr>
      </w:pPr>
      <w:r w:rsidRPr="00CA7033">
        <w:rPr>
          <w:sz w:val="22"/>
          <w:szCs w:val="22"/>
          <w:lang w:val="lt-LT"/>
        </w:rPr>
        <w:t>d</w:t>
      </w:r>
      <w:r w:rsidR="00311D0F" w:rsidRPr="00CA7033">
        <w:rPr>
          <w:sz w:val="22"/>
          <w:szCs w:val="22"/>
          <w:lang w:val="lt-LT"/>
        </w:rPr>
        <w:t>ekslansoprazolas</w:t>
      </w:r>
    </w:p>
    <w:p w14:paraId="6F428EBF" w14:textId="77777777" w:rsidR="00311D0F" w:rsidRPr="00CA7033" w:rsidRDefault="00311D0F" w:rsidP="00311D0F">
      <w:pPr>
        <w:rPr>
          <w:szCs w:val="22"/>
        </w:rPr>
      </w:pPr>
    </w:p>
    <w:p w14:paraId="676B348A" w14:textId="77777777" w:rsidR="00311D0F" w:rsidRPr="00CA7033" w:rsidRDefault="00311D0F" w:rsidP="00311D0F">
      <w:pPr>
        <w:rPr>
          <w:szCs w:val="22"/>
        </w:rPr>
      </w:pPr>
    </w:p>
    <w:p w14:paraId="16CB756A"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b/>
          <w:szCs w:val="22"/>
        </w:rPr>
      </w:pPr>
      <w:r w:rsidRPr="00CA7033">
        <w:rPr>
          <w:b/>
          <w:szCs w:val="22"/>
        </w:rPr>
        <w:t>2.</w:t>
      </w:r>
      <w:r w:rsidRPr="00CA7033">
        <w:rPr>
          <w:b/>
          <w:szCs w:val="22"/>
        </w:rPr>
        <w:tab/>
        <w:t>VEIKLIOJI (-IOS) MEDŽIAGA (-OS) IR JOS (-Ų) KIEKIS (-IAI)</w:t>
      </w:r>
    </w:p>
    <w:p w14:paraId="166430D6" w14:textId="77777777" w:rsidR="00311D0F" w:rsidRPr="00CA7033" w:rsidRDefault="00311D0F" w:rsidP="00311D0F">
      <w:pPr>
        <w:rPr>
          <w:szCs w:val="22"/>
        </w:rPr>
      </w:pPr>
    </w:p>
    <w:p w14:paraId="1CB2469B" w14:textId="77777777" w:rsidR="00311D0F" w:rsidRPr="00CA7033" w:rsidRDefault="00311D0F" w:rsidP="00311D0F">
      <w:pPr>
        <w:pStyle w:val="Default"/>
        <w:rPr>
          <w:sz w:val="22"/>
          <w:szCs w:val="22"/>
          <w:lang w:val="lt-LT"/>
        </w:rPr>
      </w:pPr>
      <w:r w:rsidRPr="00CA7033">
        <w:rPr>
          <w:sz w:val="22"/>
          <w:szCs w:val="22"/>
          <w:lang w:val="lt-LT"/>
        </w:rPr>
        <w:t>Kiekvienoje modifikuoto atpalaidavimo kapsulėje yra 60 mg dekslansoprazolo.</w:t>
      </w:r>
    </w:p>
    <w:p w14:paraId="7E4B5902" w14:textId="77777777" w:rsidR="00311D0F" w:rsidRPr="00CA7033" w:rsidRDefault="00311D0F" w:rsidP="00311D0F">
      <w:pPr>
        <w:pStyle w:val="Default"/>
        <w:rPr>
          <w:sz w:val="22"/>
          <w:szCs w:val="22"/>
          <w:lang w:val="lt-LT"/>
        </w:rPr>
      </w:pPr>
    </w:p>
    <w:p w14:paraId="2BA2A47A" w14:textId="77777777" w:rsidR="00311D0F" w:rsidRPr="00CA7033" w:rsidRDefault="00311D0F" w:rsidP="00311D0F">
      <w:pPr>
        <w:rPr>
          <w:szCs w:val="22"/>
        </w:rPr>
      </w:pPr>
    </w:p>
    <w:p w14:paraId="198CB4D0"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3.</w:t>
      </w:r>
      <w:r w:rsidRPr="00CA7033">
        <w:rPr>
          <w:b/>
          <w:szCs w:val="22"/>
        </w:rPr>
        <w:tab/>
        <w:t>PAGALBINIŲ MEDŽIAGŲ SĄRAŠAS</w:t>
      </w:r>
    </w:p>
    <w:p w14:paraId="460156E5" w14:textId="77777777" w:rsidR="00311D0F" w:rsidRPr="00CA7033" w:rsidRDefault="00311D0F" w:rsidP="00311D0F">
      <w:pPr>
        <w:rPr>
          <w:szCs w:val="22"/>
        </w:rPr>
      </w:pPr>
    </w:p>
    <w:p w14:paraId="3C6F6609" w14:textId="0F503522" w:rsidR="00311D0F" w:rsidRPr="00CA7033" w:rsidRDefault="00311D0F" w:rsidP="00311D0F">
      <w:pPr>
        <w:rPr>
          <w:szCs w:val="22"/>
        </w:rPr>
      </w:pPr>
      <w:r w:rsidRPr="00CA7033">
        <w:rPr>
          <w:szCs w:val="22"/>
        </w:rPr>
        <w:t>Sudėtyje yra sacharozės. Daugiau informacijos patei</w:t>
      </w:r>
      <w:r w:rsidR="002C5BC6" w:rsidRPr="00CA7033">
        <w:rPr>
          <w:szCs w:val="22"/>
        </w:rPr>
        <w:t>k</w:t>
      </w:r>
      <w:r w:rsidRPr="00CA7033">
        <w:rPr>
          <w:szCs w:val="22"/>
        </w:rPr>
        <w:t>ta pakuotės lapelyje.</w:t>
      </w:r>
    </w:p>
    <w:p w14:paraId="18AA2EC1" w14:textId="77777777" w:rsidR="00311D0F" w:rsidRPr="00CA7033" w:rsidRDefault="00311D0F" w:rsidP="00311D0F">
      <w:pPr>
        <w:rPr>
          <w:szCs w:val="22"/>
        </w:rPr>
      </w:pPr>
    </w:p>
    <w:p w14:paraId="53D06087" w14:textId="77777777" w:rsidR="00311D0F" w:rsidRPr="00CA7033" w:rsidRDefault="00311D0F" w:rsidP="00311D0F">
      <w:pPr>
        <w:rPr>
          <w:szCs w:val="22"/>
        </w:rPr>
      </w:pPr>
    </w:p>
    <w:p w14:paraId="7C1400A4"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4.</w:t>
      </w:r>
      <w:r w:rsidRPr="00CA7033">
        <w:rPr>
          <w:b/>
          <w:szCs w:val="22"/>
        </w:rPr>
        <w:tab/>
        <w:t>FARMACINĖ FORMA IR KIEKIS PAKUOTĖJE</w:t>
      </w:r>
    </w:p>
    <w:p w14:paraId="26699F79" w14:textId="77777777" w:rsidR="00311D0F" w:rsidRPr="00CA7033" w:rsidRDefault="00311D0F" w:rsidP="00311D0F">
      <w:pPr>
        <w:rPr>
          <w:szCs w:val="22"/>
        </w:rPr>
      </w:pPr>
    </w:p>
    <w:p w14:paraId="3D179D3B" w14:textId="77777777" w:rsidR="00311D0F" w:rsidRPr="00CA7033" w:rsidRDefault="00311D0F" w:rsidP="00311D0F">
      <w:pPr>
        <w:rPr>
          <w:szCs w:val="22"/>
        </w:rPr>
      </w:pPr>
      <w:r w:rsidRPr="00CA7033">
        <w:rPr>
          <w:szCs w:val="22"/>
          <w:highlight w:val="lightGray"/>
        </w:rPr>
        <w:t>Modifikuoto atpalaidavimo kietosios kapsulės</w:t>
      </w:r>
    </w:p>
    <w:p w14:paraId="4DF7A3B8" w14:textId="77777777" w:rsidR="00311D0F" w:rsidRPr="00CA7033" w:rsidRDefault="00311D0F" w:rsidP="00311D0F">
      <w:pPr>
        <w:rPr>
          <w:szCs w:val="22"/>
        </w:rPr>
      </w:pPr>
    </w:p>
    <w:p w14:paraId="3050A808" w14:textId="77777777" w:rsidR="00311D0F" w:rsidRPr="00CA7033" w:rsidRDefault="00311D0F" w:rsidP="00311D0F">
      <w:pPr>
        <w:rPr>
          <w:szCs w:val="22"/>
        </w:rPr>
      </w:pPr>
      <w:r w:rsidRPr="00CA7033">
        <w:rPr>
          <w:szCs w:val="22"/>
        </w:rPr>
        <w:t>14 kapsulių</w:t>
      </w:r>
    </w:p>
    <w:p w14:paraId="214AFABF" w14:textId="77777777" w:rsidR="00311D0F" w:rsidRPr="00CA7033" w:rsidRDefault="00311D0F" w:rsidP="00311D0F">
      <w:pPr>
        <w:rPr>
          <w:szCs w:val="22"/>
          <w:highlight w:val="lightGray"/>
        </w:rPr>
      </w:pPr>
      <w:r w:rsidRPr="00CA7033">
        <w:rPr>
          <w:szCs w:val="22"/>
          <w:highlight w:val="lightGray"/>
        </w:rPr>
        <w:t>28 kapsulės</w:t>
      </w:r>
    </w:p>
    <w:p w14:paraId="548241EF" w14:textId="77777777" w:rsidR="00311D0F" w:rsidRPr="00CA7033" w:rsidRDefault="00311D0F" w:rsidP="00311D0F">
      <w:pPr>
        <w:rPr>
          <w:szCs w:val="22"/>
        </w:rPr>
      </w:pPr>
    </w:p>
    <w:p w14:paraId="242851C8" w14:textId="77777777" w:rsidR="00311D0F" w:rsidRPr="00CA7033" w:rsidRDefault="00311D0F" w:rsidP="00311D0F">
      <w:pPr>
        <w:rPr>
          <w:szCs w:val="22"/>
        </w:rPr>
      </w:pPr>
    </w:p>
    <w:p w14:paraId="39D624F9"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5.</w:t>
      </w:r>
      <w:r w:rsidRPr="00CA7033">
        <w:rPr>
          <w:b/>
          <w:szCs w:val="22"/>
        </w:rPr>
        <w:tab/>
        <w:t>VARTOJIMO METODAS IR BŪDAS (-AI)</w:t>
      </w:r>
    </w:p>
    <w:p w14:paraId="67552A96" w14:textId="77777777" w:rsidR="00311D0F" w:rsidRPr="00CA7033" w:rsidRDefault="00311D0F" w:rsidP="00311D0F">
      <w:pPr>
        <w:rPr>
          <w:i/>
          <w:szCs w:val="22"/>
        </w:rPr>
      </w:pPr>
    </w:p>
    <w:p w14:paraId="494FBD4B" w14:textId="77777777" w:rsidR="00311D0F" w:rsidRPr="00CA7033" w:rsidRDefault="00311D0F" w:rsidP="00311D0F">
      <w:pPr>
        <w:rPr>
          <w:szCs w:val="22"/>
        </w:rPr>
      </w:pPr>
      <w:r w:rsidRPr="00CA7033">
        <w:rPr>
          <w:szCs w:val="22"/>
        </w:rPr>
        <w:t>Vartoti per burną.</w:t>
      </w:r>
    </w:p>
    <w:p w14:paraId="131DC94E" w14:textId="77777777" w:rsidR="00311D0F" w:rsidRPr="00CA7033" w:rsidRDefault="00311D0F" w:rsidP="00311D0F">
      <w:pPr>
        <w:rPr>
          <w:szCs w:val="22"/>
        </w:rPr>
      </w:pPr>
      <w:r w:rsidRPr="00CA7033">
        <w:rPr>
          <w:szCs w:val="22"/>
        </w:rPr>
        <w:t>Prieš vartojimą perskaitykite pakuotės lapelį.</w:t>
      </w:r>
    </w:p>
    <w:p w14:paraId="78C06DC1" w14:textId="77777777" w:rsidR="00311D0F" w:rsidRPr="00CA7033" w:rsidRDefault="00311D0F" w:rsidP="00311D0F">
      <w:pPr>
        <w:rPr>
          <w:szCs w:val="22"/>
        </w:rPr>
      </w:pPr>
    </w:p>
    <w:p w14:paraId="093F7CB4" w14:textId="77777777" w:rsidR="00311D0F" w:rsidRPr="00CA7033" w:rsidRDefault="00311D0F" w:rsidP="00311D0F">
      <w:pPr>
        <w:rPr>
          <w:szCs w:val="22"/>
        </w:rPr>
      </w:pPr>
    </w:p>
    <w:p w14:paraId="639FB4F8" w14:textId="77777777" w:rsidR="00311D0F" w:rsidRPr="00CA7033" w:rsidRDefault="00311D0F" w:rsidP="00311D0F">
      <w:pPr>
        <w:pBdr>
          <w:top w:val="single" w:sz="4" w:space="0" w:color="auto"/>
          <w:left w:val="single" w:sz="4" w:space="4" w:color="auto"/>
          <w:bottom w:val="single" w:sz="4" w:space="1" w:color="auto"/>
          <w:right w:val="single" w:sz="4" w:space="4" w:color="auto"/>
        </w:pBdr>
        <w:ind w:left="567" w:hanging="567"/>
        <w:outlineLvl w:val="0"/>
        <w:rPr>
          <w:szCs w:val="22"/>
        </w:rPr>
      </w:pPr>
      <w:r w:rsidRPr="00CA7033">
        <w:rPr>
          <w:b/>
          <w:szCs w:val="22"/>
        </w:rPr>
        <w:t>6.</w:t>
      </w:r>
      <w:r w:rsidRPr="00CA7033">
        <w:rPr>
          <w:b/>
          <w:szCs w:val="22"/>
        </w:rPr>
        <w:tab/>
      </w:r>
      <w:r w:rsidRPr="00CA7033">
        <w:rPr>
          <w:b/>
          <w:bCs/>
          <w:szCs w:val="22"/>
        </w:rPr>
        <w:t>SPECIALUS ĮSPĖJIMAS, KAD VAISTINĮ PREPARATĄ BŪTINA LAIKYTI VAIKAMS NEPASTEBIMOJE IR NEPASIEKIAMOJE VIETOJE</w:t>
      </w:r>
    </w:p>
    <w:p w14:paraId="00EE750D" w14:textId="77777777" w:rsidR="00311D0F" w:rsidRPr="00CA7033" w:rsidRDefault="00311D0F" w:rsidP="00311D0F">
      <w:pPr>
        <w:rPr>
          <w:szCs w:val="22"/>
        </w:rPr>
      </w:pPr>
    </w:p>
    <w:p w14:paraId="570D16DD" w14:textId="77777777" w:rsidR="00311D0F" w:rsidRPr="00CA7033" w:rsidRDefault="00311D0F" w:rsidP="00311D0F">
      <w:pPr>
        <w:pStyle w:val="Pagrindinistekstas"/>
        <w:rPr>
          <w:i w:val="0"/>
          <w:iCs/>
          <w:color w:val="auto"/>
          <w:szCs w:val="22"/>
          <w:lang w:val="lt-LT"/>
        </w:rPr>
      </w:pPr>
      <w:r w:rsidRPr="00CA7033">
        <w:rPr>
          <w:i w:val="0"/>
          <w:iCs/>
          <w:color w:val="auto"/>
          <w:szCs w:val="22"/>
          <w:lang w:val="lt-LT"/>
        </w:rPr>
        <w:t>Laikyti vaikams nepastebimoje ir nepasiekiamoje vietoje.</w:t>
      </w:r>
    </w:p>
    <w:p w14:paraId="2C32FD65" w14:textId="77777777" w:rsidR="00311D0F" w:rsidRPr="00CA7033" w:rsidRDefault="00311D0F" w:rsidP="00311D0F">
      <w:pPr>
        <w:rPr>
          <w:szCs w:val="22"/>
        </w:rPr>
      </w:pPr>
    </w:p>
    <w:p w14:paraId="3B2FDA38" w14:textId="77777777" w:rsidR="00311D0F" w:rsidRPr="00CA7033" w:rsidRDefault="00311D0F" w:rsidP="00311D0F">
      <w:pPr>
        <w:rPr>
          <w:szCs w:val="22"/>
        </w:rPr>
      </w:pPr>
    </w:p>
    <w:p w14:paraId="35D3579B"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7.</w:t>
      </w:r>
      <w:r w:rsidRPr="00CA7033">
        <w:rPr>
          <w:b/>
          <w:szCs w:val="22"/>
        </w:rPr>
        <w:tab/>
      </w:r>
      <w:r w:rsidRPr="00CA7033">
        <w:rPr>
          <w:b/>
          <w:bCs/>
          <w:szCs w:val="22"/>
        </w:rPr>
        <w:t>KITAS (-I) SPECIALUS (-ŪS) ĮSPĖJIMAS (-AI) (JEI REIKIA)</w:t>
      </w:r>
    </w:p>
    <w:p w14:paraId="07D4B72B" w14:textId="77777777" w:rsidR="00311D0F" w:rsidRPr="00CA7033" w:rsidRDefault="00311D0F" w:rsidP="00311D0F">
      <w:pPr>
        <w:rPr>
          <w:szCs w:val="22"/>
        </w:rPr>
      </w:pPr>
    </w:p>
    <w:p w14:paraId="0683A8A4" w14:textId="77777777" w:rsidR="00311D0F" w:rsidRPr="00CA7033" w:rsidRDefault="00311D0F" w:rsidP="00311D0F">
      <w:pPr>
        <w:rPr>
          <w:szCs w:val="22"/>
        </w:rPr>
      </w:pPr>
    </w:p>
    <w:p w14:paraId="03E96204"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CA7033">
        <w:rPr>
          <w:b/>
          <w:szCs w:val="22"/>
        </w:rPr>
        <w:t>8.</w:t>
      </w:r>
      <w:r w:rsidRPr="00CA7033">
        <w:rPr>
          <w:b/>
          <w:szCs w:val="22"/>
        </w:rPr>
        <w:tab/>
      </w:r>
      <w:r w:rsidRPr="00CA7033">
        <w:rPr>
          <w:b/>
          <w:bCs/>
          <w:szCs w:val="22"/>
        </w:rPr>
        <w:t>TINKAMUMO LAIKAS</w:t>
      </w:r>
    </w:p>
    <w:p w14:paraId="2B61DD0A" w14:textId="77777777" w:rsidR="00311D0F" w:rsidRPr="00CA7033" w:rsidRDefault="00311D0F" w:rsidP="00311D0F">
      <w:pPr>
        <w:rPr>
          <w:i/>
          <w:szCs w:val="22"/>
        </w:rPr>
      </w:pPr>
    </w:p>
    <w:p w14:paraId="64699B34" w14:textId="77777777" w:rsidR="00311D0F" w:rsidRPr="00CA7033" w:rsidRDefault="00311D0F" w:rsidP="00311D0F">
      <w:pPr>
        <w:rPr>
          <w:szCs w:val="22"/>
        </w:rPr>
      </w:pPr>
      <w:r w:rsidRPr="00CA7033">
        <w:rPr>
          <w:szCs w:val="22"/>
        </w:rPr>
        <w:t>Tinka iki {mm MMMM}</w:t>
      </w:r>
    </w:p>
    <w:p w14:paraId="4273FA2C" w14:textId="77777777" w:rsidR="00311D0F" w:rsidRPr="00CA7033" w:rsidRDefault="00311D0F" w:rsidP="00311D0F">
      <w:pPr>
        <w:rPr>
          <w:szCs w:val="22"/>
        </w:rPr>
      </w:pPr>
      <w:r w:rsidRPr="00CA7033">
        <w:rPr>
          <w:szCs w:val="22"/>
          <w:highlight w:val="lightGray"/>
        </w:rPr>
        <w:t>EXP</w:t>
      </w:r>
    </w:p>
    <w:p w14:paraId="7651537B" w14:textId="77777777" w:rsidR="00311D0F" w:rsidRPr="00CA7033" w:rsidRDefault="00311D0F" w:rsidP="00311D0F">
      <w:pPr>
        <w:rPr>
          <w:szCs w:val="22"/>
        </w:rPr>
      </w:pPr>
    </w:p>
    <w:p w14:paraId="28FC8C4C" w14:textId="77777777" w:rsidR="00311D0F" w:rsidRPr="00CA7033" w:rsidRDefault="00311D0F" w:rsidP="00311D0F">
      <w:pPr>
        <w:rPr>
          <w:szCs w:val="22"/>
        </w:rPr>
      </w:pPr>
    </w:p>
    <w:p w14:paraId="7B9F07C3"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szCs w:val="22"/>
        </w:rPr>
      </w:pPr>
      <w:r w:rsidRPr="00CA7033">
        <w:rPr>
          <w:b/>
          <w:szCs w:val="22"/>
        </w:rPr>
        <w:t>9.</w:t>
      </w:r>
      <w:r w:rsidRPr="00CA7033">
        <w:rPr>
          <w:b/>
          <w:szCs w:val="22"/>
        </w:rPr>
        <w:tab/>
      </w:r>
      <w:r w:rsidRPr="00CA7033">
        <w:rPr>
          <w:b/>
          <w:caps/>
          <w:szCs w:val="22"/>
        </w:rPr>
        <w:t>SPECIALIOS laikymo sąlygos</w:t>
      </w:r>
    </w:p>
    <w:p w14:paraId="1EF9C0F9" w14:textId="77777777" w:rsidR="00311D0F" w:rsidRPr="00CA7033" w:rsidRDefault="00311D0F" w:rsidP="00311D0F">
      <w:pPr>
        <w:rPr>
          <w:szCs w:val="22"/>
        </w:rPr>
      </w:pPr>
    </w:p>
    <w:p w14:paraId="6E6CD11E" w14:textId="77777777" w:rsidR="00311D0F" w:rsidRPr="00CA7033" w:rsidRDefault="00311D0F" w:rsidP="00311D0F">
      <w:pPr>
        <w:pStyle w:val="Pagrindinistekstas"/>
        <w:rPr>
          <w:i w:val="0"/>
          <w:color w:val="000000"/>
          <w:szCs w:val="22"/>
          <w:lang w:val="lt-LT"/>
        </w:rPr>
      </w:pPr>
      <w:r w:rsidRPr="00CA7033">
        <w:rPr>
          <w:i w:val="0"/>
          <w:color w:val="000000"/>
          <w:szCs w:val="22"/>
          <w:lang w:val="lt-LT"/>
        </w:rPr>
        <w:t>Laikyti ne aukštesnėje kaip 25°C temperatūroje.</w:t>
      </w:r>
    </w:p>
    <w:p w14:paraId="5F9F62BC" w14:textId="77777777" w:rsidR="00311D0F" w:rsidRPr="00CA7033" w:rsidRDefault="00311D0F" w:rsidP="00311D0F">
      <w:pPr>
        <w:rPr>
          <w:szCs w:val="22"/>
        </w:rPr>
      </w:pPr>
    </w:p>
    <w:p w14:paraId="009BA370" w14:textId="77777777" w:rsidR="00311D0F" w:rsidRPr="00CA7033" w:rsidRDefault="00311D0F" w:rsidP="00311D0F">
      <w:pPr>
        <w:ind w:left="567" w:hanging="567"/>
        <w:rPr>
          <w:szCs w:val="22"/>
        </w:rPr>
      </w:pPr>
    </w:p>
    <w:p w14:paraId="6DD9AAB2" w14:textId="77777777" w:rsidR="00311D0F" w:rsidRPr="00CA7033" w:rsidRDefault="00311D0F" w:rsidP="00311D0F">
      <w:pPr>
        <w:pBdr>
          <w:top w:val="single" w:sz="4" w:space="1" w:color="auto"/>
          <w:left w:val="single" w:sz="4" w:space="4" w:color="auto"/>
          <w:bottom w:val="single" w:sz="4" w:space="1" w:color="auto"/>
          <w:right w:val="single" w:sz="4" w:space="4" w:color="auto"/>
        </w:pBdr>
        <w:ind w:left="567" w:hanging="567"/>
        <w:outlineLvl w:val="0"/>
        <w:rPr>
          <w:b/>
          <w:szCs w:val="22"/>
        </w:rPr>
      </w:pPr>
      <w:r w:rsidRPr="00CA7033">
        <w:rPr>
          <w:b/>
          <w:szCs w:val="22"/>
        </w:rPr>
        <w:lastRenderedPageBreak/>
        <w:t>10.</w:t>
      </w:r>
      <w:r w:rsidRPr="00CA7033">
        <w:rPr>
          <w:b/>
          <w:szCs w:val="22"/>
        </w:rPr>
        <w:tab/>
      </w:r>
      <w:r w:rsidRPr="00CA7033">
        <w:rPr>
          <w:b/>
          <w:caps/>
          <w:szCs w:val="22"/>
        </w:rPr>
        <w:t>specialios atsargumo priemonės DĖL NESUVARTOTO</w:t>
      </w:r>
      <w:r w:rsidRPr="00CA7033">
        <w:rPr>
          <w:b/>
          <w:bCs/>
          <w:szCs w:val="22"/>
        </w:rPr>
        <w:t xml:space="preserve"> </w:t>
      </w:r>
      <w:r w:rsidRPr="00CA7033">
        <w:rPr>
          <w:b/>
          <w:bCs/>
          <w:caps/>
          <w:szCs w:val="22"/>
        </w:rPr>
        <w:t>VAISTINIO PREPARATO AR JO ATLIEKŲ</w:t>
      </w:r>
      <w:r w:rsidRPr="00CA7033">
        <w:rPr>
          <w:caps/>
          <w:szCs w:val="22"/>
        </w:rPr>
        <w:t xml:space="preserve"> </w:t>
      </w:r>
      <w:r w:rsidRPr="00CA7033">
        <w:rPr>
          <w:b/>
          <w:bCs/>
          <w:caps/>
          <w:szCs w:val="22"/>
        </w:rPr>
        <w:t>TVARKYMO</w:t>
      </w:r>
      <w:r w:rsidRPr="00CA7033">
        <w:rPr>
          <w:b/>
          <w:caps/>
          <w:szCs w:val="22"/>
        </w:rPr>
        <w:t xml:space="preserve"> (jei reikia)</w:t>
      </w:r>
    </w:p>
    <w:p w14:paraId="5276528B" w14:textId="77777777" w:rsidR="00311D0F" w:rsidRPr="00CA7033" w:rsidRDefault="00311D0F" w:rsidP="00311D0F">
      <w:pPr>
        <w:rPr>
          <w:szCs w:val="22"/>
        </w:rPr>
      </w:pPr>
    </w:p>
    <w:p w14:paraId="204988D2" w14:textId="77777777" w:rsidR="00311D0F" w:rsidRPr="00CA7033" w:rsidRDefault="00311D0F" w:rsidP="00311D0F">
      <w:pPr>
        <w:rPr>
          <w:szCs w:val="22"/>
        </w:rPr>
      </w:pPr>
    </w:p>
    <w:p w14:paraId="4012B076"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b/>
          <w:szCs w:val="22"/>
        </w:rPr>
      </w:pPr>
      <w:r w:rsidRPr="00CA7033">
        <w:rPr>
          <w:b/>
          <w:szCs w:val="22"/>
        </w:rPr>
        <w:t>11.</w:t>
      </w:r>
      <w:r w:rsidRPr="00CA7033">
        <w:rPr>
          <w:b/>
          <w:szCs w:val="22"/>
        </w:rPr>
        <w:tab/>
      </w:r>
      <w:r w:rsidRPr="00CA7033">
        <w:rPr>
          <w:b/>
          <w:caps/>
          <w:szCs w:val="22"/>
        </w:rPr>
        <w:t>REGISTRUOTOJO pavadinimas ir adresas</w:t>
      </w:r>
    </w:p>
    <w:p w14:paraId="28088658" w14:textId="77777777" w:rsidR="00311D0F" w:rsidRPr="00CA7033" w:rsidRDefault="00311D0F" w:rsidP="00311D0F">
      <w:pPr>
        <w:rPr>
          <w:szCs w:val="22"/>
        </w:rPr>
      </w:pPr>
    </w:p>
    <w:p w14:paraId="6A16B1E3" w14:textId="77777777" w:rsidR="00311D0F" w:rsidRPr="00CA7033" w:rsidRDefault="00311D0F" w:rsidP="00311D0F">
      <w:pPr>
        <w:rPr>
          <w:szCs w:val="22"/>
        </w:rPr>
      </w:pPr>
      <w:r w:rsidRPr="00CA7033">
        <w:rPr>
          <w:szCs w:val="22"/>
        </w:rPr>
        <w:t>Takeda Pharma A/S</w:t>
      </w:r>
    </w:p>
    <w:p w14:paraId="74311424" w14:textId="77777777" w:rsidR="00AC0A1A" w:rsidRPr="00CA7033" w:rsidRDefault="00AC0A1A" w:rsidP="00AC0A1A">
      <w:pPr>
        <w:rPr>
          <w:szCs w:val="22"/>
        </w:rPr>
      </w:pPr>
      <w:r w:rsidRPr="00CA7033">
        <w:rPr>
          <w:szCs w:val="22"/>
        </w:rPr>
        <w:t xml:space="preserve">Delta Park 45 </w:t>
      </w:r>
    </w:p>
    <w:p w14:paraId="19DE93DB" w14:textId="77777777" w:rsidR="00AC0A1A" w:rsidRPr="00CA7033" w:rsidRDefault="00AC0A1A" w:rsidP="00AC0A1A">
      <w:pPr>
        <w:rPr>
          <w:szCs w:val="22"/>
        </w:rPr>
      </w:pPr>
      <w:r w:rsidRPr="00CA7033">
        <w:rPr>
          <w:szCs w:val="22"/>
        </w:rPr>
        <w:t>2665 Vallensbæk Strand</w:t>
      </w:r>
    </w:p>
    <w:p w14:paraId="5748CAA0" w14:textId="77777777" w:rsidR="00311D0F" w:rsidRPr="00CA7033" w:rsidRDefault="00311D0F" w:rsidP="00311D0F">
      <w:pPr>
        <w:rPr>
          <w:szCs w:val="22"/>
        </w:rPr>
      </w:pPr>
      <w:r w:rsidRPr="00CA7033">
        <w:t>Danija</w:t>
      </w:r>
    </w:p>
    <w:p w14:paraId="1E92318C" w14:textId="77777777" w:rsidR="00311D0F" w:rsidRPr="00CA7033" w:rsidRDefault="00311D0F" w:rsidP="00311D0F">
      <w:pPr>
        <w:rPr>
          <w:szCs w:val="22"/>
        </w:rPr>
      </w:pPr>
    </w:p>
    <w:p w14:paraId="69837E08" w14:textId="77777777" w:rsidR="00311D0F" w:rsidRPr="00CA7033" w:rsidRDefault="00311D0F" w:rsidP="00311D0F">
      <w:pPr>
        <w:rPr>
          <w:szCs w:val="22"/>
        </w:rPr>
      </w:pPr>
    </w:p>
    <w:p w14:paraId="7486DF41"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12.</w:t>
      </w:r>
      <w:r w:rsidRPr="00CA7033">
        <w:rPr>
          <w:b/>
          <w:szCs w:val="22"/>
        </w:rPr>
        <w:tab/>
      </w:r>
      <w:r w:rsidRPr="00CA7033">
        <w:rPr>
          <w:b/>
          <w:caps/>
          <w:szCs w:val="22"/>
        </w:rPr>
        <w:t>REGISTRACIJOS PAŽYMĖJIMO numeris</w:t>
      </w:r>
      <w:r w:rsidRPr="00CA7033">
        <w:rPr>
          <w:b/>
          <w:szCs w:val="22"/>
        </w:rPr>
        <w:t xml:space="preserve"> (-IAI)</w:t>
      </w:r>
    </w:p>
    <w:p w14:paraId="752FC575" w14:textId="77777777" w:rsidR="00311D0F" w:rsidRPr="00CA7033" w:rsidRDefault="00311D0F" w:rsidP="00311D0F">
      <w:pPr>
        <w:rPr>
          <w:szCs w:val="22"/>
        </w:rPr>
      </w:pPr>
    </w:p>
    <w:p w14:paraId="44B71BA8" w14:textId="75E3FD86" w:rsidR="00311D0F" w:rsidRPr="0057336B" w:rsidRDefault="00311D0F" w:rsidP="0057336B">
      <w:pPr>
        <w:rPr>
          <w:szCs w:val="22"/>
          <w:shd w:val="clear" w:color="auto" w:fill="F2F2F2" w:themeFill="background1" w:themeFillShade="F2"/>
        </w:rPr>
      </w:pPr>
      <w:r w:rsidRPr="0057336B">
        <w:rPr>
          <w:szCs w:val="22"/>
        </w:rPr>
        <w:t>LT/1/13/3415/003</w:t>
      </w:r>
      <w:r w:rsidR="0057336B" w:rsidRPr="0057336B">
        <w:rPr>
          <w:szCs w:val="22"/>
        </w:rPr>
        <w:t xml:space="preserve"> </w:t>
      </w:r>
      <w:r w:rsidR="0057336B" w:rsidRPr="0057336B">
        <w:rPr>
          <w:szCs w:val="22"/>
          <w:shd w:val="clear" w:color="auto" w:fill="F2F2F2" w:themeFill="background1" w:themeFillShade="F2"/>
        </w:rPr>
        <w:t>– N14</w:t>
      </w:r>
    </w:p>
    <w:p w14:paraId="3FACC323" w14:textId="0749AE2A" w:rsidR="00311D0F" w:rsidRPr="0057336B" w:rsidRDefault="00311D0F" w:rsidP="0057336B">
      <w:pPr>
        <w:rPr>
          <w:szCs w:val="22"/>
          <w:shd w:val="clear" w:color="auto" w:fill="F2F2F2" w:themeFill="background1" w:themeFillShade="F2"/>
        </w:rPr>
      </w:pPr>
      <w:r w:rsidRPr="0057336B">
        <w:rPr>
          <w:szCs w:val="22"/>
          <w:shd w:val="clear" w:color="auto" w:fill="F2F2F2" w:themeFill="background1" w:themeFillShade="F2"/>
        </w:rPr>
        <w:t>LT/1/13/3415/004</w:t>
      </w:r>
      <w:r w:rsidR="0057336B" w:rsidRPr="0057336B">
        <w:rPr>
          <w:szCs w:val="22"/>
          <w:shd w:val="clear" w:color="auto" w:fill="F2F2F2" w:themeFill="background1" w:themeFillShade="F2"/>
        </w:rPr>
        <w:t xml:space="preserve"> – N28</w:t>
      </w:r>
    </w:p>
    <w:p w14:paraId="61C6FE03" w14:textId="77777777" w:rsidR="00311D0F" w:rsidRPr="00CA7033" w:rsidRDefault="00311D0F" w:rsidP="00311D0F">
      <w:pPr>
        <w:rPr>
          <w:szCs w:val="22"/>
        </w:rPr>
      </w:pPr>
    </w:p>
    <w:p w14:paraId="2A0BB34D" w14:textId="77777777" w:rsidR="00311D0F" w:rsidRPr="00CA7033" w:rsidRDefault="00311D0F" w:rsidP="00311D0F">
      <w:pPr>
        <w:rPr>
          <w:szCs w:val="22"/>
        </w:rPr>
      </w:pPr>
    </w:p>
    <w:p w14:paraId="1DEA4E44"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13.</w:t>
      </w:r>
      <w:r w:rsidRPr="00CA7033">
        <w:rPr>
          <w:b/>
          <w:szCs w:val="22"/>
        </w:rPr>
        <w:tab/>
        <w:t>SERIJOS NUMERIS</w:t>
      </w:r>
    </w:p>
    <w:p w14:paraId="40C95082" w14:textId="77777777" w:rsidR="00311D0F" w:rsidRPr="00CA7033" w:rsidRDefault="00311D0F" w:rsidP="00311D0F">
      <w:pPr>
        <w:rPr>
          <w:i/>
          <w:szCs w:val="22"/>
        </w:rPr>
      </w:pPr>
    </w:p>
    <w:p w14:paraId="062261D9" w14:textId="77777777" w:rsidR="00311D0F" w:rsidRPr="00CA7033" w:rsidRDefault="00311D0F" w:rsidP="00311D0F">
      <w:pPr>
        <w:rPr>
          <w:iCs/>
          <w:szCs w:val="22"/>
        </w:rPr>
      </w:pPr>
      <w:r w:rsidRPr="00CA7033">
        <w:rPr>
          <w:iCs/>
          <w:szCs w:val="22"/>
        </w:rPr>
        <w:t>Serija</w:t>
      </w:r>
    </w:p>
    <w:p w14:paraId="70107468" w14:textId="77777777" w:rsidR="00311D0F" w:rsidRPr="00CA7033" w:rsidRDefault="00311D0F" w:rsidP="00311D0F">
      <w:pPr>
        <w:rPr>
          <w:iCs/>
          <w:szCs w:val="22"/>
        </w:rPr>
      </w:pPr>
      <w:r w:rsidRPr="00CA7033">
        <w:rPr>
          <w:iCs/>
          <w:szCs w:val="22"/>
          <w:highlight w:val="lightGray"/>
        </w:rPr>
        <w:t>Lot</w:t>
      </w:r>
    </w:p>
    <w:p w14:paraId="424EAAEC" w14:textId="77777777" w:rsidR="00311D0F" w:rsidRPr="00CA7033" w:rsidRDefault="00311D0F" w:rsidP="00311D0F">
      <w:pPr>
        <w:rPr>
          <w:szCs w:val="22"/>
        </w:rPr>
      </w:pPr>
    </w:p>
    <w:p w14:paraId="5F00045D" w14:textId="77777777" w:rsidR="00311D0F" w:rsidRPr="00CA7033" w:rsidRDefault="00311D0F" w:rsidP="00311D0F">
      <w:pPr>
        <w:rPr>
          <w:szCs w:val="22"/>
        </w:rPr>
      </w:pPr>
    </w:p>
    <w:p w14:paraId="1EB43B74"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14.</w:t>
      </w:r>
      <w:r w:rsidRPr="00CA7033">
        <w:rPr>
          <w:b/>
          <w:szCs w:val="22"/>
        </w:rPr>
        <w:tab/>
        <w:t>PARDAVIMO (IŠDAVIMO)</w:t>
      </w:r>
      <w:r w:rsidRPr="00CA7033">
        <w:rPr>
          <w:b/>
          <w:caps/>
          <w:szCs w:val="22"/>
        </w:rPr>
        <w:t xml:space="preserve"> tvarka</w:t>
      </w:r>
    </w:p>
    <w:p w14:paraId="0359988D" w14:textId="77777777" w:rsidR="00311D0F" w:rsidRPr="00CA7033" w:rsidRDefault="00311D0F" w:rsidP="00311D0F">
      <w:pPr>
        <w:rPr>
          <w:szCs w:val="22"/>
        </w:rPr>
      </w:pPr>
    </w:p>
    <w:p w14:paraId="1F3E10AC" w14:textId="43A0B18A" w:rsidR="00311D0F" w:rsidRPr="00CA7033" w:rsidRDefault="00311D0F" w:rsidP="00311D0F">
      <w:pPr>
        <w:rPr>
          <w:szCs w:val="22"/>
        </w:rPr>
      </w:pPr>
      <w:r w:rsidRPr="00CA7033">
        <w:rPr>
          <w:szCs w:val="22"/>
        </w:rPr>
        <w:t>Receptinis vaistas.</w:t>
      </w:r>
    </w:p>
    <w:p w14:paraId="2B1259D9" w14:textId="77777777" w:rsidR="00311D0F" w:rsidRPr="00CA7033" w:rsidRDefault="00311D0F" w:rsidP="00311D0F">
      <w:pPr>
        <w:rPr>
          <w:szCs w:val="22"/>
        </w:rPr>
      </w:pPr>
    </w:p>
    <w:p w14:paraId="7A0D989E" w14:textId="77777777" w:rsidR="00311D0F" w:rsidRPr="00CA7033" w:rsidRDefault="00311D0F" w:rsidP="00311D0F">
      <w:pPr>
        <w:rPr>
          <w:szCs w:val="22"/>
        </w:rPr>
      </w:pPr>
    </w:p>
    <w:p w14:paraId="76A4EDD7"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15.</w:t>
      </w:r>
      <w:r w:rsidRPr="00CA7033">
        <w:rPr>
          <w:b/>
          <w:szCs w:val="22"/>
        </w:rPr>
        <w:tab/>
      </w:r>
      <w:r w:rsidRPr="00CA7033">
        <w:rPr>
          <w:b/>
          <w:caps/>
          <w:szCs w:val="22"/>
        </w:rPr>
        <w:t>vartojimo instrukcijA</w:t>
      </w:r>
    </w:p>
    <w:p w14:paraId="30454878" w14:textId="77777777" w:rsidR="00311D0F" w:rsidRPr="00CA7033" w:rsidRDefault="00311D0F" w:rsidP="00311D0F">
      <w:pPr>
        <w:rPr>
          <w:szCs w:val="22"/>
        </w:rPr>
      </w:pPr>
    </w:p>
    <w:p w14:paraId="6CF9E4B4" w14:textId="77777777" w:rsidR="00311D0F" w:rsidRPr="00CA7033" w:rsidRDefault="00311D0F" w:rsidP="00311D0F">
      <w:pPr>
        <w:rPr>
          <w:szCs w:val="22"/>
        </w:rPr>
      </w:pPr>
      <w:r w:rsidRPr="00CA7033">
        <w:rPr>
          <w:szCs w:val="22"/>
        </w:rPr>
        <w:t>Kapsules reikia nuryti sveikas, jų negalima smulkinti ar kramtyti.</w:t>
      </w:r>
    </w:p>
    <w:p w14:paraId="49C7C7AC" w14:textId="77777777" w:rsidR="00311D0F" w:rsidRPr="00CA7033" w:rsidRDefault="00311D0F" w:rsidP="00311D0F">
      <w:pPr>
        <w:rPr>
          <w:i/>
          <w:iCs/>
          <w:szCs w:val="22"/>
        </w:rPr>
      </w:pPr>
    </w:p>
    <w:p w14:paraId="1043FC1C" w14:textId="77777777" w:rsidR="00311D0F" w:rsidRPr="00CA7033" w:rsidRDefault="00311D0F" w:rsidP="00311D0F">
      <w:pPr>
        <w:rPr>
          <w:szCs w:val="22"/>
        </w:rPr>
      </w:pPr>
    </w:p>
    <w:p w14:paraId="1B2B83DC" w14:textId="77777777" w:rsidR="00311D0F" w:rsidRPr="00CA7033" w:rsidRDefault="00311D0F" w:rsidP="00311D0F">
      <w:pPr>
        <w:pBdr>
          <w:top w:val="single" w:sz="4" w:space="1" w:color="auto"/>
          <w:left w:val="single" w:sz="4" w:space="4" w:color="auto"/>
          <w:bottom w:val="single" w:sz="4" w:space="1" w:color="auto"/>
          <w:right w:val="single" w:sz="4" w:space="4" w:color="auto"/>
        </w:pBdr>
        <w:outlineLvl w:val="0"/>
        <w:rPr>
          <w:szCs w:val="22"/>
        </w:rPr>
      </w:pPr>
      <w:r w:rsidRPr="00CA7033">
        <w:rPr>
          <w:b/>
          <w:szCs w:val="22"/>
        </w:rPr>
        <w:t>16.</w:t>
      </w:r>
      <w:r w:rsidRPr="00CA7033">
        <w:rPr>
          <w:b/>
          <w:szCs w:val="22"/>
        </w:rPr>
        <w:tab/>
        <w:t>INFORMACIJA BRAILIO RAŠTU</w:t>
      </w:r>
    </w:p>
    <w:p w14:paraId="6F6E3F8C" w14:textId="77777777" w:rsidR="00311D0F" w:rsidRPr="00CA7033" w:rsidRDefault="00311D0F" w:rsidP="00311D0F">
      <w:pPr>
        <w:rPr>
          <w:szCs w:val="22"/>
        </w:rPr>
      </w:pPr>
    </w:p>
    <w:p w14:paraId="7388D9A3" w14:textId="77777777" w:rsidR="00311D0F" w:rsidRPr="00CA7033" w:rsidRDefault="00311D0F" w:rsidP="00311D0F">
      <w:pPr>
        <w:rPr>
          <w:szCs w:val="22"/>
        </w:rPr>
      </w:pPr>
      <w:r w:rsidRPr="00CA7033">
        <w:rPr>
          <w:iCs/>
          <w:szCs w:val="22"/>
        </w:rPr>
        <w:t>Dexilant 60 mg</w:t>
      </w:r>
    </w:p>
    <w:p w14:paraId="6412451D" w14:textId="77777777" w:rsidR="00311D0F" w:rsidRPr="00CA7033" w:rsidRDefault="00311D0F" w:rsidP="00311D0F">
      <w:pPr>
        <w:rPr>
          <w:b/>
        </w:rPr>
      </w:pPr>
    </w:p>
    <w:p w14:paraId="2BF24FF7" w14:textId="77777777" w:rsidR="00311D0F" w:rsidRPr="00CA7033" w:rsidRDefault="00311D0F" w:rsidP="00311D0F">
      <w:pPr>
        <w:rPr>
          <w:szCs w:val="22"/>
          <w:shd w:val="clear" w:color="auto" w:fill="CCCCCC"/>
        </w:rPr>
      </w:pPr>
    </w:p>
    <w:p w14:paraId="09F275D3" w14:textId="77777777" w:rsidR="00311D0F" w:rsidRPr="00CA7033" w:rsidRDefault="00311D0F" w:rsidP="00311D0F">
      <w:pPr>
        <w:keepNext/>
        <w:pBdr>
          <w:top w:val="single" w:sz="4" w:space="1" w:color="auto"/>
          <w:left w:val="single" w:sz="4" w:space="4" w:color="auto"/>
          <w:bottom w:val="single" w:sz="4" w:space="1" w:color="auto"/>
          <w:right w:val="single" w:sz="4" w:space="4" w:color="auto"/>
        </w:pBdr>
        <w:tabs>
          <w:tab w:val="left" w:pos="0"/>
        </w:tabs>
        <w:outlineLvl w:val="0"/>
        <w:rPr>
          <w:i/>
        </w:rPr>
      </w:pPr>
      <w:r w:rsidRPr="00CA7033">
        <w:rPr>
          <w:b/>
        </w:rPr>
        <w:t>17.</w:t>
      </w:r>
      <w:r w:rsidRPr="00CA7033">
        <w:rPr>
          <w:b/>
        </w:rPr>
        <w:tab/>
        <w:t>UNIKALUS IDENTIFIKATORIUS – 2D BRŪKŠNINIS KODAS</w:t>
      </w:r>
    </w:p>
    <w:p w14:paraId="359ED0E2" w14:textId="77777777" w:rsidR="00311D0F" w:rsidRPr="00CA7033" w:rsidRDefault="00311D0F" w:rsidP="00311D0F"/>
    <w:p w14:paraId="28C02E8B" w14:textId="77777777" w:rsidR="00311D0F" w:rsidRPr="00CA7033" w:rsidRDefault="00311D0F" w:rsidP="00311D0F">
      <w:pPr>
        <w:rPr>
          <w:szCs w:val="22"/>
          <w:shd w:val="clear" w:color="auto" w:fill="CCCCCC"/>
        </w:rPr>
      </w:pPr>
      <w:r w:rsidRPr="00CA7033">
        <w:rPr>
          <w:highlight w:val="lightGray"/>
        </w:rPr>
        <w:t>2D brūkšninis kodas su nurodytu unikaliu identifikatoriumi.</w:t>
      </w:r>
    </w:p>
    <w:p w14:paraId="6FC64610" w14:textId="77777777" w:rsidR="00311D0F" w:rsidRPr="00CA7033" w:rsidRDefault="00311D0F" w:rsidP="00311D0F"/>
    <w:p w14:paraId="247ABD2A" w14:textId="77777777" w:rsidR="00311D0F" w:rsidRPr="00CA7033" w:rsidRDefault="00311D0F" w:rsidP="00311D0F"/>
    <w:p w14:paraId="13B7B6B9" w14:textId="77777777" w:rsidR="00311D0F" w:rsidRPr="00CA7033" w:rsidRDefault="00311D0F" w:rsidP="00311D0F">
      <w:pPr>
        <w:keepNext/>
        <w:pBdr>
          <w:top w:val="single" w:sz="4" w:space="1" w:color="auto"/>
          <w:left w:val="single" w:sz="4" w:space="4" w:color="auto"/>
          <w:bottom w:val="single" w:sz="4" w:space="1" w:color="auto"/>
          <w:right w:val="single" w:sz="4" w:space="4" w:color="auto"/>
        </w:pBdr>
        <w:tabs>
          <w:tab w:val="left" w:pos="0"/>
        </w:tabs>
        <w:outlineLvl w:val="0"/>
        <w:rPr>
          <w:i/>
        </w:rPr>
      </w:pPr>
      <w:r w:rsidRPr="00CA7033">
        <w:rPr>
          <w:b/>
        </w:rPr>
        <w:t>18.</w:t>
      </w:r>
      <w:r w:rsidRPr="00CA7033">
        <w:rPr>
          <w:b/>
        </w:rPr>
        <w:tab/>
        <w:t>UNIKALUS IDENTIFIKATORIUS – ŽMONĖMS SUPRANTAMI DUOMENYS</w:t>
      </w:r>
    </w:p>
    <w:p w14:paraId="09E98F1B" w14:textId="77777777" w:rsidR="00311D0F" w:rsidRPr="00CA7033" w:rsidRDefault="00311D0F" w:rsidP="00311D0F"/>
    <w:p w14:paraId="6023C59D" w14:textId="77777777" w:rsidR="00311D0F" w:rsidRPr="00CA7033" w:rsidRDefault="00311D0F" w:rsidP="00311D0F">
      <w:pPr>
        <w:rPr>
          <w:color w:val="008000"/>
          <w:szCs w:val="22"/>
        </w:rPr>
      </w:pPr>
      <w:r w:rsidRPr="00CA7033">
        <w:t xml:space="preserve">PC: </w:t>
      </w:r>
    </w:p>
    <w:p w14:paraId="57610AD3" w14:textId="77777777" w:rsidR="00311D0F" w:rsidRPr="00CA7033" w:rsidRDefault="00311D0F" w:rsidP="00311D0F">
      <w:pPr>
        <w:rPr>
          <w:szCs w:val="22"/>
        </w:rPr>
      </w:pPr>
      <w:r w:rsidRPr="00CA7033">
        <w:t>SN:</w:t>
      </w:r>
    </w:p>
    <w:p w14:paraId="40E924FB" w14:textId="77777777" w:rsidR="00311D0F" w:rsidRPr="00CA7033" w:rsidRDefault="00311D0F" w:rsidP="00311D0F">
      <w:pPr>
        <w:rPr>
          <w:szCs w:val="22"/>
        </w:rPr>
      </w:pPr>
      <w:r w:rsidRPr="00CA7033">
        <w:rPr>
          <w:highlight w:val="lightGray"/>
        </w:rPr>
        <w:t>NN</w:t>
      </w:r>
      <w:r w:rsidRPr="00CA7033">
        <w:t>:</w:t>
      </w:r>
    </w:p>
    <w:p w14:paraId="4B3C9357" w14:textId="77777777" w:rsidR="00311D0F" w:rsidRPr="00CA7033" w:rsidRDefault="00311D0F" w:rsidP="00311D0F"/>
    <w:p w14:paraId="6DED487E" w14:textId="77777777" w:rsidR="00311D0F" w:rsidRPr="00CA7033" w:rsidRDefault="00311D0F" w:rsidP="00311D0F">
      <w:pPr>
        <w:rPr>
          <w:b/>
          <w:szCs w:val="22"/>
        </w:rPr>
      </w:pPr>
    </w:p>
    <w:p w14:paraId="43030C73" w14:textId="77777777" w:rsidR="00311D0F" w:rsidRPr="00CA7033" w:rsidRDefault="00311D0F" w:rsidP="00311D0F">
      <w:pPr>
        <w:rPr>
          <w:b/>
          <w:szCs w:val="22"/>
        </w:rPr>
      </w:pPr>
      <w:r w:rsidRPr="00CA7033">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15CECCFB" w14:textId="77777777" w:rsidTr="009A1CE0">
        <w:trPr>
          <w:trHeight w:val="785"/>
        </w:trPr>
        <w:tc>
          <w:tcPr>
            <w:tcW w:w="9287" w:type="dxa"/>
            <w:tcBorders>
              <w:bottom w:val="single" w:sz="4" w:space="0" w:color="auto"/>
            </w:tcBorders>
          </w:tcPr>
          <w:p w14:paraId="67016939" w14:textId="77777777" w:rsidR="00311D0F" w:rsidRPr="00CA7033" w:rsidRDefault="00311D0F" w:rsidP="009A1CE0">
            <w:pPr>
              <w:rPr>
                <w:b/>
              </w:rPr>
            </w:pPr>
            <w:r w:rsidRPr="00CA7033">
              <w:rPr>
                <w:b/>
              </w:rPr>
              <w:lastRenderedPageBreak/>
              <w:t xml:space="preserve">MINIMALI </w:t>
            </w:r>
            <w:r w:rsidRPr="00CA7033">
              <w:rPr>
                <w:b/>
                <w:caps/>
              </w:rPr>
              <w:t xml:space="preserve">informacija ant </w:t>
            </w:r>
            <w:r w:rsidRPr="00CA7033">
              <w:rPr>
                <w:b/>
              </w:rPr>
              <w:t>LIZDINIŲ PLOKŠTELIŲ ARBA DVISLUOKSNIŲ JUOSTELIŲ</w:t>
            </w:r>
          </w:p>
          <w:p w14:paraId="3C2E9A8E" w14:textId="77777777" w:rsidR="00311D0F" w:rsidRPr="00CA7033" w:rsidRDefault="00311D0F" w:rsidP="009A1CE0">
            <w:pPr>
              <w:rPr>
                <w:b/>
              </w:rPr>
            </w:pPr>
          </w:p>
          <w:p w14:paraId="62EC142C" w14:textId="77777777" w:rsidR="00311D0F" w:rsidRPr="00CA7033" w:rsidRDefault="00311D0F" w:rsidP="009A1CE0">
            <w:pPr>
              <w:rPr>
                <w:b/>
              </w:rPr>
            </w:pPr>
            <w:r w:rsidRPr="00CA7033">
              <w:rPr>
                <w:b/>
              </w:rPr>
              <w:t>14 ARBA 28  MODIFIKUOTO ATPALAIDAVIMO KIETŲJŲ KAPSULIŲ LIZDINĖ PLOKŠTELĖ</w:t>
            </w:r>
          </w:p>
        </w:tc>
      </w:tr>
    </w:tbl>
    <w:p w14:paraId="399A695D" w14:textId="77777777" w:rsidR="00311D0F" w:rsidRPr="00CA7033" w:rsidRDefault="00311D0F" w:rsidP="00311D0F">
      <w:pPr>
        <w:rPr>
          <w:b/>
          <w:szCs w:val="22"/>
        </w:rPr>
      </w:pPr>
    </w:p>
    <w:p w14:paraId="73C8E6C1" w14:textId="77777777" w:rsidR="00311D0F" w:rsidRPr="00CA7033" w:rsidRDefault="00311D0F" w:rsidP="00311D0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05429A0F" w14:textId="77777777" w:rsidTr="009A1CE0">
        <w:tc>
          <w:tcPr>
            <w:tcW w:w="9287" w:type="dxa"/>
          </w:tcPr>
          <w:p w14:paraId="7D496F5F" w14:textId="77777777" w:rsidR="00311D0F" w:rsidRPr="00CA7033" w:rsidRDefault="00311D0F" w:rsidP="009A1CE0">
            <w:pPr>
              <w:tabs>
                <w:tab w:val="left" w:pos="142"/>
              </w:tabs>
              <w:ind w:left="567" w:hanging="567"/>
              <w:rPr>
                <w:b/>
              </w:rPr>
            </w:pPr>
            <w:r w:rsidRPr="00CA7033">
              <w:rPr>
                <w:b/>
              </w:rPr>
              <w:t>1.</w:t>
            </w:r>
            <w:r w:rsidRPr="00CA7033">
              <w:rPr>
                <w:b/>
              </w:rPr>
              <w:tab/>
            </w:r>
            <w:r w:rsidRPr="00CA7033">
              <w:rPr>
                <w:b/>
                <w:caps/>
              </w:rPr>
              <w:t>Vaistinio preparato pavadinimas</w:t>
            </w:r>
          </w:p>
        </w:tc>
      </w:tr>
    </w:tbl>
    <w:p w14:paraId="671CDF61" w14:textId="77777777" w:rsidR="00311D0F" w:rsidRPr="00CA7033" w:rsidRDefault="00311D0F" w:rsidP="00311D0F">
      <w:pPr>
        <w:ind w:left="567" w:hanging="567"/>
        <w:rPr>
          <w:szCs w:val="22"/>
        </w:rPr>
      </w:pPr>
    </w:p>
    <w:p w14:paraId="59B27357" w14:textId="77777777" w:rsidR="00311D0F" w:rsidRPr="00CA7033" w:rsidRDefault="00311D0F" w:rsidP="00311D0F">
      <w:pPr>
        <w:pStyle w:val="Default"/>
        <w:rPr>
          <w:sz w:val="22"/>
          <w:szCs w:val="22"/>
          <w:lang w:val="lt-LT"/>
        </w:rPr>
      </w:pPr>
      <w:r w:rsidRPr="00CA7033">
        <w:rPr>
          <w:iCs/>
          <w:sz w:val="22"/>
          <w:szCs w:val="22"/>
          <w:lang w:val="lt-LT"/>
        </w:rPr>
        <w:t xml:space="preserve">Dexilant 60 mg </w:t>
      </w:r>
      <w:r w:rsidRPr="00CA7033">
        <w:rPr>
          <w:sz w:val="22"/>
          <w:szCs w:val="22"/>
          <w:lang w:val="lt-LT"/>
        </w:rPr>
        <w:t>modifikuoto atpalaidavimo kietosios kapsulės</w:t>
      </w:r>
    </w:p>
    <w:p w14:paraId="43DEAD39" w14:textId="670B7196" w:rsidR="00311D0F" w:rsidRPr="00CA7033" w:rsidRDefault="00A94DE4" w:rsidP="00311D0F">
      <w:pPr>
        <w:pStyle w:val="Default"/>
        <w:rPr>
          <w:sz w:val="22"/>
          <w:szCs w:val="22"/>
          <w:lang w:val="lt-LT"/>
        </w:rPr>
      </w:pPr>
      <w:r w:rsidRPr="00CA7033">
        <w:rPr>
          <w:sz w:val="22"/>
          <w:szCs w:val="22"/>
          <w:lang w:val="lt-LT"/>
        </w:rPr>
        <w:t>d</w:t>
      </w:r>
      <w:r w:rsidR="00311D0F" w:rsidRPr="00CA7033">
        <w:rPr>
          <w:sz w:val="22"/>
          <w:szCs w:val="22"/>
          <w:lang w:val="lt-LT"/>
        </w:rPr>
        <w:t>ekslansoprazolas</w:t>
      </w:r>
    </w:p>
    <w:p w14:paraId="50A84DE1" w14:textId="77777777" w:rsidR="00311D0F" w:rsidRPr="00CA7033" w:rsidRDefault="00311D0F" w:rsidP="00311D0F">
      <w:pPr>
        <w:rPr>
          <w:szCs w:val="22"/>
        </w:rPr>
      </w:pPr>
    </w:p>
    <w:p w14:paraId="63C09956" w14:textId="77777777" w:rsidR="00311D0F" w:rsidRPr="00CA7033" w:rsidRDefault="00311D0F" w:rsidP="00311D0F">
      <w:pPr>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72EC1B89" w14:textId="77777777" w:rsidTr="009A1CE0">
        <w:tc>
          <w:tcPr>
            <w:tcW w:w="9287" w:type="dxa"/>
          </w:tcPr>
          <w:p w14:paraId="6EC767F5" w14:textId="77777777" w:rsidR="00311D0F" w:rsidRPr="00CA7033" w:rsidRDefault="00311D0F" w:rsidP="009A1CE0">
            <w:pPr>
              <w:tabs>
                <w:tab w:val="left" w:pos="142"/>
              </w:tabs>
              <w:ind w:left="567" w:hanging="567"/>
              <w:rPr>
                <w:b/>
              </w:rPr>
            </w:pPr>
            <w:r w:rsidRPr="00CA7033">
              <w:rPr>
                <w:b/>
              </w:rPr>
              <w:t>2.</w:t>
            </w:r>
            <w:r w:rsidRPr="00CA7033">
              <w:rPr>
                <w:b/>
              </w:rPr>
              <w:tab/>
            </w:r>
            <w:r w:rsidRPr="00CA7033">
              <w:rPr>
                <w:b/>
                <w:caps/>
              </w:rPr>
              <w:t>REGISTRUOTOJO pavadinimas</w:t>
            </w:r>
          </w:p>
        </w:tc>
      </w:tr>
    </w:tbl>
    <w:p w14:paraId="66E94895" w14:textId="77777777" w:rsidR="00311D0F" w:rsidRPr="00CA7033" w:rsidRDefault="00311D0F" w:rsidP="00311D0F">
      <w:pPr>
        <w:rPr>
          <w:b/>
          <w:szCs w:val="22"/>
        </w:rPr>
      </w:pPr>
    </w:p>
    <w:p w14:paraId="1E927909" w14:textId="77777777" w:rsidR="00311D0F" w:rsidRPr="00CA7033" w:rsidRDefault="00311D0F" w:rsidP="00311D0F">
      <w:pPr>
        <w:rPr>
          <w:b/>
          <w:szCs w:val="22"/>
        </w:rPr>
      </w:pPr>
      <w:r w:rsidRPr="00CA7033">
        <w:rPr>
          <w:szCs w:val="22"/>
        </w:rPr>
        <w:t>Takeda</w:t>
      </w:r>
    </w:p>
    <w:p w14:paraId="743A203D" w14:textId="77777777" w:rsidR="00311D0F" w:rsidRPr="00CA7033" w:rsidRDefault="00311D0F" w:rsidP="00311D0F">
      <w:pPr>
        <w:rPr>
          <w:b/>
          <w:szCs w:val="22"/>
        </w:rPr>
      </w:pPr>
    </w:p>
    <w:p w14:paraId="74F3B96C" w14:textId="77777777" w:rsidR="00311D0F" w:rsidRPr="00CA7033" w:rsidRDefault="00311D0F" w:rsidP="00311D0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0F6FDECE" w14:textId="77777777" w:rsidTr="009A1CE0">
        <w:tc>
          <w:tcPr>
            <w:tcW w:w="9287" w:type="dxa"/>
          </w:tcPr>
          <w:p w14:paraId="451D486A" w14:textId="77777777" w:rsidR="00311D0F" w:rsidRPr="00CA7033" w:rsidRDefault="00311D0F" w:rsidP="009A1CE0">
            <w:pPr>
              <w:tabs>
                <w:tab w:val="left" w:pos="142"/>
              </w:tabs>
              <w:ind w:left="567" w:hanging="567"/>
              <w:rPr>
                <w:b/>
              </w:rPr>
            </w:pPr>
            <w:r w:rsidRPr="00CA7033">
              <w:rPr>
                <w:b/>
              </w:rPr>
              <w:t>3.</w:t>
            </w:r>
            <w:r w:rsidRPr="00CA7033">
              <w:rPr>
                <w:b/>
              </w:rPr>
              <w:tab/>
            </w:r>
            <w:r w:rsidRPr="00CA7033">
              <w:rPr>
                <w:b/>
                <w:caps/>
              </w:rPr>
              <w:t>tinkamumo laikas</w:t>
            </w:r>
          </w:p>
        </w:tc>
      </w:tr>
    </w:tbl>
    <w:p w14:paraId="51C34593" w14:textId="77777777" w:rsidR="00311D0F" w:rsidRPr="00CA7033" w:rsidRDefault="00311D0F" w:rsidP="00311D0F">
      <w:pPr>
        <w:rPr>
          <w:i/>
          <w:szCs w:val="22"/>
        </w:rPr>
      </w:pPr>
    </w:p>
    <w:p w14:paraId="4B50EFD8" w14:textId="77777777" w:rsidR="00311D0F" w:rsidRPr="00CA7033" w:rsidRDefault="00311D0F" w:rsidP="00311D0F">
      <w:pPr>
        <w:rPr>
          <w:szCs w:val="22"/>
        </w:rPr>
      </w:pPr>
      <w:r w:rsidRPr="00CA7033">
        <w:rPr>
          <w:szCs w:val="22"/>
        </w:rPr>
        <w:t>EXP {mm MMMM}</w:t>
      </w:r>
    </w:p>
    <w:p w14:paraId="7B0E0A55" w14:textId="77777777" w:rsidR="00311D0F" w:rsidRPr="00CA7033" w:rsidRDefault="00311D0F" w:rsidP="00311D0F">
      <w:pPr>
        <w:rPr>
          <w:b/>
          <w:szCs w:val="22"/>
        </w:rPr>
      </w:pPr>
    </w:p>
    <w:p w14:paraId="64AF490D" w14:textId="77777777" w:rsidR="00311D0F" w:rsidRPr="00CA7033" w:rsidRDefault="00311D0F" w:rsidP="00311D0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1188F962" w14:textId="77777777" w:rsidTr="009A1CE0">
        <w:tc>
          <w:tcPr>
            <w:tcW w:w="9287" w:type="dxa"/>
          </w:tcPr>
          <w:p w14:paraId="33926066" w14:textId="77777777" w:rsidR="00311D0F" w:rsidRPr="00CA7033" w:rsidRDefault="00311D0F" w:rsidP="009A1CE0">
            <w:pPr>
              <w:tabs>
                <w:tab w:val="left" w:pos="142"/>
              </w:tabs>
              <w:ind w:left="567" w:hanging="567"/>
              <w:rPr>
                <w:b/>
              </w:rPr>
            </w:pPr>
            <w:r w:rsidRPr="00CA7033">
              <w:rPr>
                <w:b/>
              </w:rPr>
              <w:t>4.</w:t>
            </w:r>
            <w:r w:rsidRPr="00CA7033">
              <w:rPr>
                <w:b/>
              </w:rPr>
              <w:tab/>
            </w:r>
            <w:r w:rsidRPr="00CA7033">
              <w:rPr>
                <w:b/>
                <w:caps/>
              </w:rPr>
              <w:t>serijos numeris</w:t>
            </w:r>
          </w:p>
        </w:tc>
      </w:tr>
    </w:tbl>
    <w:p w14:paraId="4ED3CD49" w14:textId="77777777" w:rsidR="00311D0F" w:rsidRPr="00CA7033" w:rsidRDefault="00311D0F" w:rsidP="00311D0F">
      <w:pPr>
        <w:ind w:right="113"/>
        <w:rPr>
          <w:i/>
          <w:szCs w:val="22"/>
        </w:rPr>
      </w:pPr>
    </w:p>
    <w:p w14:paraId="2E775B90" w14:textId="77777777" w:rsidR="00311D0F" w:rsidRPr="00CA7033" w:rsidRDefault="00311D0F" w:rsidP="00311D0F">
      <w:pPr>
        <w:ind w:right="113"/>
        <w:rPr>
          <w:szCs w:val="22"/>
        </w:rPr>
      </w:pPr>
      <w:r w:rsidRPr="00CA7033">
        <w:rPr>
          <w:szCs w:val="22"/>
        </w:rPr>
        <w:t>Lot</w:t>
      </w:r>
    </w:p>
    <w:p w14:paraId="34006853" w14:textId="77777777" w:rsidR="00311D0F" w:rsidRPr="00CA7033" w:rsidRDefault="00311D0F" w:rsidP="00311D0F">
      <w:pPr>
        <w:ind w:right="113"/>
        <w:rPr>
          <w:szCs w:val="22"/>
        </w:rPr>
      </w:pPr>
    </w:p>
    <w:p w14:paraId="0EAEF6CC" w14:textId="77777777" w:rsidR="00311D0F" w:rsidRPr="00CA7033" w:rsidRDefault="00311D0F" w:rsidP="00311D0F">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11D0F" w:rsidRPr="00CA7033" w14:paraId="223C0CFF" w14:textId="77777777" w:rsidTr="009A1CE0">
        <w:tc>
          <w:tcPr>
            <w:tcW w:w="9287" w:type="dxa"/>
          </w:tcPr>
          <w:p w14:paraId="693E9DE3" w14:textId="77777777" w:rsidR="00311D0F" w:rsidRPr="00CA7033" w:rsidRDefault="00311D0F" w:rsidP="009A1CE0">
            <w:pPr>
              <w:tabs>
                <w:tab w:val="left" w:pos="142"/>
              </w:tabs>
              <w:ind w:left="567" w:hanging="567"/>
              <w:rPr>
                <w:b/>
              </w:rPr>
            </w:pPr>
            <w:r w:rsidRPr="00CA7033">
              <w:rPr>
                <w:b/>
              </w:rPr>
              <w:t>5.</w:t>
            </w:r>
            <w:r w:rsidRPr="00CA7033">
              <w:rPr>
                <w:b/>
              </w:rPr>
              <w:tab/>
              <w:t>KITA</w:t>
            </w:r>
          </w:p>
        </w:tc>
      </w:tr>
    </w:tbl>
    <w:p w14:paraId="74CB4BF4" w14:textId="77777777" w:rsidR="00311D0F" w:rsidRPr="00CA7033" w:rsidRDefault="00311D0F" w:rsidP="00311D0F">
      <w:pPr>
        <w:ind w:right="113"/>
        <w:rPr>
          <w:szCs w:val="22"/>
        </w:rPr>
      </w:pPr>
    </w:p>
    <w:p w14:paraId="362DCE1F" w14:textId="77777777" w:rsidR="00311D0F" w:rsidRPr="00CA7033" w:rsidRDefault="00311D0F" w:rsidP="00311D0F">
      <w:pPr>
        <w:ind w:right="113"/>
        <w:rPr>
          <w:szCs w:val="22"/>
        </w:rPr>
      </w:pPr>
      <w:r w:rsidRPr="00CA7033">
        <w:rPr>
          <w:szCs w:val="22"/>
        </w:rPr>
        <w:t>Vartoti per burną.</w:t>
      </w:r>
    </w:p>
    <w:p w14:paraId="1649461E" w14:textId="77777777" w:rsidR="00311D0F" w:rsidRPr="00CA7033" w:rsidRDefault="00311D0F" w:rsidP="00311D0F">
      <w:pPr>
        <w:ind w:right="113"/>
        <w:rPr>
          <w:szCs w:val="22"/>
        </w:rPr>
      </w:pPr>
      <w:r w:rsidRPr="00CA7033">
        <w:rPr>
          <w:szCs w:val="22"/>
        </w:rPr>
        <w:br w:type="page"/>
      </w:r>
    </w:p>
    <w:p w14:paraId="1413B1FC" w14:textId="77777777" w:rsidR="00311D0F" w:rsidRPr="00CA7033" w:rsidRDefault="00311D0F" w:rsidP="00311D0F">
      <w:pPr>
        <w:rPr>
          <w:szCs w:val="22"/>
        </w:rPr>
      </w:pPr>
    </w:p>
    <w:p w14:paraId="529FD628" w14:textId="77777777" w:rsidR="00311D0F" w:rsidRPr="00CA7033" w:rsidRDefault="00311D0F" w:rsidP="00311D0F">
      <w:pPr>
        <w:rPr>
          <w:szCs w:val="22"/>
        </w:rPr>
      </w:pPr>
    </w:p>
    <w:p w14:paraId="58E78C8E" w14:textId="77777777" w:rsidR="00311D0F" w:rsidRPr="00CA7033" w:rsidRDefault="00311D0F" w:rsidP="00311D0F">
      <w:pPr>
        <w:rPr>
          <w:szCs w:val="22"/>
        </w:rPr>
      </w:pPr>
    </w:p>
    <w:p w14:paraId="4607FD20" w14:textId="77777777" w:rsidR="00311D0F" w:rsidRPr="00CA7033" w:rsidRDefault="00311D0F" w:rsidP="00311D0F">
      <w:pPr>
        <w:rPr>
          <w:szCs w:val="22"/>
        </w:rPr>
      </w:pPr>
    </w:p>
    <w:p w14:paraId="3B8690CA" w14:textId="77777777" w:rsidR="00311D0F" w:rsidRPr="00CA7033" w:rsidRDefault="00311D0F" w:rsidP="00311D0F">
      <w:pPr>
        <w:rPr>
          <w:szCs w:val="22"/>
        </w:rPr>
      </w:pPr>
    </w:p>
    <w:p w14:paraId="346D58E5" w14:textId="77777777" w:rsidR="00311D0F" w:rsidRPr="00CA7033" w:rsidRDefault="00311D0F" w:rsidP="00311D0F">
      <w:pPr>
        <w:rPr>
          <w:szCs w:val="22"/>
        </w:rPr>
      </w:pPr>
    </w:p>
    <w:p w14:paraId="61F815EB" w14:textId="77777777" w:rsidR="00311D0F" w:rsidRPr="00CA7033" w:rsidRDefault="00311D0F" w:rsidP="00311D0F">
      <w:pPr>
        <w:rPr>
          <w:szCs w:val="22"/>
        </w:rPr>
      </w:pPr>
    </w:p>
    <w:p w14:paraId="056DB237" w14:textId="77777777" w:rsidR="00311D0F" w:rsidRPr="00CA7033" w:rsidRDefault="00311D0F" w:rsidP="00311D0F">
      <w:pPr>
        <w:rPr>
          <w:szCs w:val="22"/>
        </w:rPr>
      </w:pPr>
    </w:p>
    <w:p w14:paraId="5C5A934A" w14:textId="77777777" w:rsidR="00311D0F" w:rsidRPr="00CA7033" w:rsidRDefault="00311D0F" w:rsidP="00311D0F">
      <w:pPr>
        <w:rPr>
          <w:szCs w:val="22"/>
        </w:rPr>
      </w:pPr>
    </w:p>
    <w:p w14:paraId="19D15746" w14:textId="77777777" w:rsidR="00311D0F" w:rsidRPr="00CA7033" w:rsidRDefault="00311D0F" w:rsidP="00311D0F">
      <w:pPr>
        <w:rPr>
          <w:szCs w:val="22"/>
        </w:rPr>
      </w:pPr>
    </w:p>
    <w:p w14:paraId="0F0DE6A8" w14:textId="77777777" w:rsidR="00311D0F" w:rsidRPr="00CA7033" w:rsidRDefault="00311D0F" w:rsidP="00311D0F">
      <w:pPr>
        <w:rPr>
          <w:szCs w:val="22"/>
        </w:rPr>
      </w:pPr>
    </w:p>
    <w:p w14:paraId="235686C9" w14:textId="77777777" w:rsidR="00311D0F" w:rsidRPr="00CA7033" w:rsidRDefault="00311D0F" w:rsidP="00311D0F">
      <w:pPr>
        <w:rPr>
          <w:szCs w:val="22"/>
        </w:rPr>
      </w:pPr>
    </w:p>
    <w:p w14:paraId="497D98FF" w14:textId="77777777" w:rsidR="00311D0F" w:rsidRPr="00CA7033" w:rsidRDefault="00311D0F" w:rsidP="00311D0F">
      <w:pPr>
        <w:rPr>
          <w:szCs w:val="22"/>
        </w:rPr>
      </w:pPr>
    </w:p>
    <w:p w14:paraId="72634F84" w14:textId="77777777" w:rsidR="00311D0F" w:rsidRPr="00CA7033" w:rsidRDefault="00311D0F" w:rsidP="00311D0F">
      <w:pPr>
        <w:rPr>
          <w:szCs w:val="22"/>
        </w:rPr>
      </w:pPr>
    </w:p>
    <w:p w14:paraId="66EE75D5" w14:textId="77777777" w:rsidR="00311D0F" w:rsidRPr="00CA7033" w:rsidRDefault="00311D0F" w:rsidP="00311D0F">
      <w:pPr>
        <w:rPr>
          <w:szCs w:val="22"/>
        </w:rPr>
      </w:pPr>
    </w:p>
    <w:p w14:paraId="652B6862" w14:textId="77777777" w:rsidR="00311D0F" w:rsidRPr="00CA7033" w:rsidRDefault="00311D0F" w:rsidP="00311D0F">
      <w:pPr>
        <w:rPr>
          <w:szCs w:val="22"/>
        </w:rPr>
      </w:pPr>
    </w:p>
    <w:p w14:paraId="4D50690B" w14:textId="77777777" w:rsidR="00311D0F" w:rsidRPr="00CA7033" w:rsidRDefault="00311D0F" w:rsidP="00311D0F">
      <w:pPr>
        <w:rPr>
          <w:szCs w:val="22"/>
        </w:rPr>
      </w:pPr>
    </w:p>
    <w:p w14:paraId="20DAA4FD" w14:textId="77777777" w:rsidR="00311D0F" w:rsidRPr="00CA7033" w:rsidRDefault="00311D0F" w:rsidP="00311D0F">
      <w:pPr>
        <w:rPr>
          <w:szCs w:val="22"/>
        </w:rPr>
      </w:pPr>
    </w:p>
    <w:p w14:paraId="7EF83727" w14:textId="77777777" w:rsidR="00311D0F" w:rsidRPr="00CA7033" w:rsidRDefault="00311D0F" w:rsidP="00311D0F">
      <w:pPr>
        <w:rPr>
          <w:szCs w:val="22"/>
        </w:rPr>
      </w:pPr>
    </w:p>
    <w:p w14:paraId="1368CAAF" w14:textId="77777777" w:rsidR="00311D0F" w:rsidRPr="00CA7033" w:rsidRDefault="00311D0F" w:rsidP="00311D0F">
      <w:pPr>
        <w:rPr>
          <w:szCs w:val="22"/>
        </w:rPr>
      </w:pPr>
    </w:p>
    <w:p w14:paraId="36344443" w14:textId="77777777" w:rsidR="00311D0F" w:rsidRPr="00CA7033" w:rsidRDefault="00311D0F" w:rsidP="00311D0F">
      <w:pPr>
        <w:rPr>
          <w:szCs w:val="22"/>
        </w:rPr>
      </w:pPr>
    </w:p>
    <w:p w14:paraId="0E2B8A05" w14:textId="77777777" w:rsidR="00311D0F" w:rsidRPr="00CA7033" w:rsidRDefault="00311D0F" w:rsidP="00311D0F">
      <w:pPr>
        <w:rPr>
          <w:szCs w:val="22"/>
        </w:rPr>
      </w:pPr>
    </w:p>
    <w:p w14:paraId="375AA6D4" w14:textId="77777777" w:rsidR="00311D0F" w:rsidRPr="00CA7033" w:rsidRDefault="00311D0F" w:rsidP="00311D0F">
      <w:pPr>
        <w:tabs>
          <w:tab w:val="left" w:pos="567"/>
        </w:tabs>
        <w:spacing w:line="260" w:lineRule="exact"/>
        <w:jc w:val="center"/>
        <w:outlineLvl w:val="0"/>
        <w:rPr>
          <w:b/>
          <w:snapToGrid w:val="0"/>
          <w:szCs w:val="22"/>
        </w:rPr>
      </w:pPr>
      <w:r w:rsidRPr="00CA7033">
        <w:rPr>
          <w:b/>
          <w:snapToGrid w:val="0"/>
          <w:szCs w:val="22"/>
        </w:rPr>
        <w:t>B. PAKUOTĖS LAPELIS</w:t>
      </w:r>
    </w:p>
    <w:p w14:paraId="2BBED1A8" w14:textId="77777777" w:rsidR="00311D0F" w:rsidRPr="00CA7033" w:rsidRDefault="00311D0F" w:rsidP="00311D0F">
      <w:pPr>
        <w:jc w:val="center"/>
        <w:outlineLvl w:val="0"/>
        <w:rPr>
          <w:b/>
          <w:szCs w:val="22"/>
        </w:rPr>
      </w:pPr>
      <w:r w:rsidRPr="00CA7033">
        <w:rPr>
          <w:b/>
          <w:szCs w:val="22"/>
        </w:rPr>
        <w:br w:type="page"/>
      </w:r>
      <w:r w:rsidRPr="00CA7033">
        <w:rPr>
          <w:b/>
          <w:szCs w:val="22"/>
        </w:rPr>
        <w:lastRenderedPageBreak/>
        <w:t>Pakuotės lapelis: informacija pacientui</w:t>
      </w:r>
    </w:p>
    <w:p w14:paraId="527DEE2D" w14:textId="77777777" w:rsidR="00311D0F" w:rsidRPr="00CA7033" w:rsidRDefault="00311D0F" w:rsidP="00311D0F">
      <w:pPr>
        <w:jc w:val="center"/>
        <w:outlineLvl w:val="0"/>
        <w:rPr>
          <w:b/>
          <w:szCs w:val="22"/>
        </w:rPr>
      </w:pPr>
    </w:p>
    <w:p w14:paraId="44270D83" w14:textId="77777777" w:rsidR="00311D0F" w:rsidRPr="00CA7033" w:rsidRDefault="00311D0F" w:rsidP="00311D0F">
      <w:pPr>
        <w:numPr>
          <w:ilvl w:val="12"/>
          <w:numId w:val="0"/>
        </w:numPr>
        <w:jc w:val="center"/>
        <w:rPr>
          <w:b/>
          <w:bCs/>
          <w:szCs w:val="22"/>
        </w:rPr>
      </w:pPr>
      <w:r w:rsidRPr="00CA7033">
        <w:rPr>
          <w:b/>
          <w:bCs/>
          <w:szCs w:val="22"/>
        </w:rPr>
        <w:t>Dexilant 30 mg modifikuoto atpalaidavimo kietosios kapsulės</w:t>
      </w:r>
    </w:p>
    <w:p w14:paraId="293E3A46" w14:textId="77777777" w:rsidR="00311D0F" w:rsidRPr="00CA7033" w:rsidRDefault="00311D0F" w:rsidP="00311D0F">
      <w:pPr>
        <w:numPr>
          <w:ilvl w:val="12"/>
          <w:numId w:val="0"/>
        </w:numPr>
        <w:jc w:val="center"/>
        <w:rPr>
          <w:b/>
          <w:bCs/>
          <w:szCs w:val="22"/>
        </w:rPr>
      </w:pPr>
      <w:r w:rsidRPr="00CA7033">
        <w:rPr>
          <w:b/>
          <w:bCs/>
          <w:szCs w:val="22"/>
        </w:rPr>
        <w:t>Dexilant 60 mg modifikuoto atpalaidavimo kietosios kapsulės</w:t>
      </w:r>
    </w:p>
    <w:p w14:paraId="534E678B" w14:textId="77777777" w:rsidR="00311D0F" w:rsidRPr="00CA7033" w:rsidRDefault="00311D0F" w:rsidP="00311D0F">
      <w:pPr>
        <w:numPr>
          <w:ilvl w:val="12"/>
          <w:numId w:val="0"/>
        </w:numPr>
        <w:jc w:val="center"/>
        <w:rPr>
          <w:b/>
          <w:bCs/>
          <w:szCs w:val="22"/>
        </w:rPr>
      </w:pPr>
    </w:p>
    <w:p w14:paraId="01E730B8" w14:textId="6A9C023D" w:rsidR="00311D0F" w:rsidRPr="00CA7033" w:rsidRDefault="000B1860" w:rsidP="00311D0F">
      <w:pPr>
        <w:numPr>
          <w:ilvl w:val="12"/>
          <w:numId w:val="0"/>
        </w:numPr>
        <w:jc w:val="center"/>
        <w:rPr>
          <w:szCs w:val="22"/>
        </w:rPr>
      </w:pPr>
      <w:r w:rsidRPr="00CA7033">
        <w:rPr>
          <w:szCs w:val="22"/>
        </w:rPr>
        <w:t>d</w:t>
      </w:r>
      <w:r w:rsidR="00311D0F" w:rsidRPr="00CA7033">
        <w:rPr>
          <w:szCs w:val="22"/>
        </w:rPr>
        <w:t>ekslansoprazolas</w:t>
      </w:r>
    </w:p>
    <w:p w14:paraId="1D44A191" w14:textId="77777777" w:rsidR="00311D0F" w:rsidRPr="00CA7033" w:rsidRDefault="00311D0F" w:rsidP="00311D0F">
      <w:pPr>
        <w:jc w:val="center"/>
        <w:rPr>
          <w:szCs w:val="22"/>
        </w:rPr>
      </w:pPr>
    </w:p>
    <w:p w14:paraId="6CF6FD49" w14:textId="77777777" w:rsidR="00311D0F" w:rsidRPr="00CA7033" w:rsidRDefault="00311D0F" w:rsidP="00311D0F">
      <w:pPr>
        <w:suppressAutoHyphens/>
        <w:rPr>
          <w:b/>
          <w:szCs w:val="22"/>
        </w:rPr>
      </w:pPr>
      <w:r w:rsidRPr="00CA7033">
        <w:rPr>
          <w:b/>
          <w:szCs w:val="22"/>
        </w:rPr>
        <w:t>Atidžiai perskaitykite visą šį lapelį, prieš pradėdami vartoti vaistą, nes jame pateikiama Jums svarbi informacija.</w:t>
      </w:r>
    </w:p>
    <w:p w14:paraId="139D0664" w14:textId="77777777" w:rsidR="00A94DE4" w:rsidRPr="00CA7033" w:rsidRDefault="00A94DE4" w:rsidP="00311D0F">
      <w:pPr>
        <w:suppressAutoHyphens/>
        <w:rPr>
          <w:szCs w:val="22"/>
        </w:rPr>
      </w:pPr>
    </w:p>
    <w:p w14:paraId="5A5FC08B" w14:textId="77777777" w:rsidR="00311D0F" w:rsidRPr="00CA7033" w:rsidRDefault="00311D0F" w:rsidP="00311D0F">
      <w:pPr>
        <w:ind w:left="567" w:hanging="567"/>
        <w:rPr>
          <w:szCs w:val="22"/>
        </w:rPr>
      </w:pPr>
      <w:r w:rsidRPr="00CA7033">
        <w:rPr>
          <w:szCs w:val="22"/>
        </w:rPr>
        <w:t>-</w:t>
      </w:r>
      <w:r w:rsidRPr="00CA7033">
        <w:rPr>
          <w:szCs w:val="22"/>
        </w:rPr>
        <w:tab/>
        <w:t>Neišmeskite šio lapelio, nes vėl gali prireikti jį perskaityti.</w:t>
      </w:r>
    </w:p>
    <w:p w14:paraId="266A8B69" w14:textId="77777777" w:rsidR="00311D0F" w:rsidRPr="00CA7033" w:rsidRDefault="00311D0F" w:rsidP="00311D0F">
      <w:pPr>
        <w:ind w:left="567" w:hanging="567"/>
        <w:rPr>
          <w:szCs w:val="22"/>
        </w:rPr>
      </w:pPr>
      <w:r w:rsidRPr="00CA7033">
        <w:rPr>
          <w:szCs w:val="22"/>
        </w:rPr>
        <w:t>-</w:t>
      </w:r>
      <w:r w:rsidRPr="00CA7033">
        <w:rPr>
          <w:szCs w:val="22"/>
        </w:rPr>
        <w:tab/>
        <w:t>Jeigu kiltų daugiau klausimų, kreipkitės į gydytoją arba vaistininką.</w:t>
      </w:r>
    </w:p>
    <w:p w14:paraId="6072F8BC" w14:textId="77777777" w:rsidR="00311D0F" w:rsidRPr="00CA7033" w:rsidRDefault="00311D0F" w:rsidP="00311D0F">
      <w:pPr>
        <w:tabs>
          <w:tab w:val="left" w:pos="567"/>
        </w:tabs>
        <w:ind w:left="567" w:hanging="567"/>
        <w:rPr>
          <w:szCs w:val="22"/>
        </w:rPr>
      </w:pPr>
      <w:r w:rsidRPr="00CA7033">
        <w:rPr>
          <w:szCs w:val="22"/>
        </w:rPr>
        <w:t>-</w:t>
      </w:r>
      <w:r w:rsidRPr="00CA7033">
        <w:rPr>
          <w:szCs w:val="22"/>
        </w:rPr>
        <w:tab/>
        <w:t>Šis vaistas skirtas tik Jums, todėl kitiems žmonėms jo duoti negalima. Vaistas gali jiems pakenkti (net tiems, kurių ligos požymiai yra tokie patys kaip Jūsų).</w:t>
      </w:r>
    </w:p>
    <w:p w14:paraId="35BD29FA" w14:textId="77777777" w:rsidR="00311D0F" w:rsidRPr="00CA7033" w:rsidRDefault="00311D0F" w:rsidP="00311D0F">
      <w:pPr>
        <w:numPr>
          <w:ilvl w:val="0"/>
          <w:numId w:val="1"/>
        </w:numPr>
        <w:tabs>
          <w:tab w:val="left" w:pos="567"/>
        </w:tabs>
        <w:ind w:left="540" w:hanging="540"/>
        <w:rPr>
          <w:szCs w:val="22"/>
        </w:rPr>
      </w:pPr>
      <w:r w:rsidRPr="00CA7033">
        <w:rPr>
          <w:szCs w:val="22"/>
        </w:rPr>
        <w:t>Jeigu pasireiškė šalutinis poveikis (net jeigu jis šiame lapelyje nenurodytas), kreipkitės į gydytoją arba vaistininką. Žr. 4 skyrių.</w:t>
      </w:r>
    </w:p>
    <w:p w14:paraId="350021F4" w14:textId="77777777" w:rsidR="00311D0F" w:rsidRPr="00CA7033" w:rsidRDefault="00311D0F" w:rsidP="009A1CE0">
      <w:pPr>
        <w:numPr>
          <w:ilvl w:val="12"/>
          <w:numId w:val="0"/>
        </w:numPr>
        <w:ind w:right="-2"/>
        <w:outlineLvl w:val="0"/>
        <w:rPr>
          <w:b/>
          <w:szCs w:val="22"/>
        </w:rPr>
      </w:pPr>
    </w:p>
    <w:p w14:paraId="61236814" w14:textId="77777777" w:rsidR="00311D0F" w:rsidRPr="00CA7033" w:rsidRDefault="00311D0F" w:rsidP="00311D0F">
      <w:pPr>
        <w:ind w:left="567" w:hanging="567"/>
        <w:rPr>
          <w:b/>
          <w:szCs w:val="22"/>
        </w:rPr>
      </w:pPr>
      <w:r w:rsidRPr="00CA7033">
        <w:rPr>
          <w:b/>
          <w:szCs w:val="22"/>
        </w:rPr>
        <w:t>Apie ką rašoma šiame lapelyje?</w:t>
      </w:r>
    </w:p>
    <w:p w14:paraId="265CAA53" w14:textId="77777777" w:rsidR="00311D0F" w:rsidRPr="00CA7033" w:rsidRDefault="00311D0F" w:rsidP="00311D0F">
      <w:pPr>
        <w:rPr>
          <w:b/>
          <w:szCs w:val="22"/>
        </w:rPr>
      </w:pPr>
    </w:p>
    <w:p w14:paraId="4BFEEA93" w14:textId="77777777" w:rsidR="00311D0F" w:rsidRPr="00CA7033" w:rsidRDefault="00311D0F" w:rsidP="00311D0F">
      <w:pPr>
        <w:ind w:left="567" w:hanging="567"/>
        <w:rPr>
          <w:szCs w:val="22"/>
        </w:rPr>
      </w:pPr>
      <w:r w:rsidRPr="00CA7033">
        <w:rPr>
          <w:szCs w:val="22"/>
        </w:rPr>
        <w:t>1.</w:t>
      </w:r>
      <w:r w:rsidRPr="00CA7033">
        <w:rPr>
          <w:szCs w:val="22"/>
        </w:rPr>
        <w:tab/>
        <w:t>Kas yra Dexilant ir kam jis vartojamas</w:t>
      </w:r>
    </w:p>
    <w:p w14:paraId="0D79DAA1" w14:textId="77777777" w:rsidR="00311D0F" w:rsidRPr="00CA7033" w:rsidRDefault="00311D0F" w:rsidP="00311D0F">
      <w:pPr>
        <w:ind w:left="567" w:hanging="567"/>
        <w:rPr>
          <w:szCs w:val="22"/>
        </w:rPr>
      </w:pPr>
      <w:r w:rsidRPr="00CA7033">
        <w:rPr>
          <w:szCs w:val="22"/>
        </w:rPr>
        <w:t>2.</w:t>
      </w:r>
      <w:r w:rsidRPr="00CA7033">
        <w:rPr>
          <w:szCs w:val="22"/>
        </w:rPr>
        <w:tab/>
        <w:t>Kas žinotina prieš vartojant Dexilant</w:t>
      </w:r>
    </w:p>
    <w:p w14:paraId="16C50212" w14:textId="77777777" w:rsidR="00311D0F" w:rsidRPr="00CA7033" w:rsidRDefault="00311D0F" w:rsidP="00311D0F">
      <w:pPr>
        <w:ind w:left="567" w:hanging="567"/>
        <w:rPr>
          <w:szCs w:val="22"/>
        </w:rPr>
      </w:pPr>
      <w:r w:rsidRPr="00CA7033">
        <w:rPr>
          <w:szCs w:val="22"/>
        </w:rPr>
        <w:t>3.</w:t>
      </w:r>
      <w:r w:rsidRPr="00CA7033">
        <w:rPr>
          <w:szCs w:val="22"/>
        </w:rPr>
        <w:tab/>
        <w:t>Kaip vartoti Dexilant</w:t>
      </w:r>
    </w:p>
    <w:p w14:paraId="1EED2D21" w14:textId="77777777" w:rsidR="00311D0F" w:rsidRPr="00CA7033" w:rsidRDefault="00311D0F" w:rsidP="00311D0F">
      <w:pPr>
        <w:ind w:left="567" w:hanging="567"/>
        <w:rPr>
          <w:szCs w:val="22"/>
        </w:rPr>
      </w:pPr>
      <w:r w:rsidRPr="00CA7033">
        <w:rPr>
          <w:szCs w:val="22"/>
        </w:rPr>
        <w:t>4.</w:t>
      </w:r>
      <w:r w:rsidRPr="00CA7033">
        <w:rPr>
          <w:szCs w:val="22"/>
        </w:rPr>
        <w:tab/>
        <w:t>Galimas šalutinis poveikis</w:t>
      </w:r>
    </w:p>
    <w:p w14:paraId="0BE9147F" w14:textId="77777777" w:rsidR="00311D0F" w:rsidRPr="00CA7033" w:rsidRDefault="00311D0F" w:rsidP="00311D0F">
      <w:pPr>
        <w:ind w:left="567" w:hanging="567"/>
        <w:rPr>
          <w:szCs w:val="22"/>
        </w:rPr>
      </w:pPr>
      <w:r w:rsidRPr="00CA7033">
        <w:rPr>
          <w:szCs w:val="22"/>
        </w:rPr>
        <w:t>5.</w:t>
      </w:r>
      <w:r w:rsidRPr="00CA7033">
        <w:rPr>
          <w:szCs w:val="22"/>
        </w:rPr>
        <w:tab/>
        <w:t>Kaip laikyti Dexilant</w:t>
      </w:r>
    </w:p>
    <w:p w14:paraId="07C406E2" w14:textId="77777777" w:rsidR="00311D0F" w:rsidRPr="00CA7033" w:rsidRDefault="00311D0F" w:rsidP="00311D0F">
      <w:pPr>
        <w:ind w:left="567" w:hanging="567"/>
        <w:rPr>
          <w:szCs w:val="22"/>
        </w:rPr>
      </w:pPr>
      <w:r w:rsidRPr="00CA7033">
        <w:rPr>
          <w:szCs w:val="22"/>
        </w:rPr>
        <w:t>6.</w:t>
      </w:r>
      <w:r w:rsidRPr="00CA7033">
        <w:rPr>
          <w:szCs w:val="22"/>
        </w:rPr>
        <w:tab/>
        <w:t>Pakuotės turinys ir kita informacija</w:t>
      </w:r>
    </w:p>
    <w:p w14:paraId="0648CF2B" w14:textId="77777777" w:rsidR="00311D0F" w:rsidRPr="00CA7033" w:rsidRDefault="00311D0F" w:rsidP="00311D0F">
      <w:pPr>
        <w:numPr>
          <w:ilvl w:val="12"/>
          <w:numId w:val="0"/>
        </w:numPr>
        <w:rPr>
          <w:szCs w:val="22"/>
        </w:rPr>
      </w:pPr>
    </w:p>
    <w:p w14:paraId="3240478A" w14:textId="77777777" w:rsidR="00311D0F" w:rsidRPr="00CA7033" w:rsidRDefault="00311D0F" w:rsidP="00311D0F">
      <w:pPr>
        <w:numPr>
          <w:ilvl w:val="12"/>
          <w:numId w:val="0"/>
        </w:numPr>
        <w:rPr>
          <w:szCs w:val="22"/>
        </w:rPr>
      </w:pPr>
    </w:p>
    <w:p w14:paraId="67054555" w14:textId="77777777" w:rsidR="00311D0F" w:rsidRPr="00CA7033" w:rsidRDefault="00311D0F" w:rsidP="00311D0F">
      <w:pPr>
        <w:numPr>
          <w:ilvl w:val="12"/>
          <w:numId w:val="0"/>
        </w:numPr>
        <w:ind w:left="567" w:hanging="567"/>
        <w:outlineLvl w:val="0"/>
        <w:rPr>
          <w:b/>
          <w:caps/>
          <w:szCs w:val="22"/>
        </w:rPr>
      </w:pPr>
      <w:r w:rsidRPr="00CA7033">
        <w:rPr>
          <w:b/>
          <w:szCs w:val="22"/>
        </w:rPr>
        <w:t>1.</w:t>
      </w:r>
      <w:r w:rsidRPr="00CA7033">
        <w:rPr>
          <w:b/>
          <w:szCs w:val="22"/>
        </w:rPr>
        <w:tab/>
        <w:t>Kas yra Dexilant ir kam jis vartojamas</w:t>
      </w:r>
    </w:p>
    <w:p w14:paraId="5041C3AA" w14:textId="77777777" w:rsidR="00311D0F" w:rsidRPr="00CA7033" w:rsidRDefault="00311D0F" w:rsidP="00311D0F">
      <w:pPr>
        <w:ind w:left="567" w:hanging="567"/>
        <w:rPr>
          <w:szCs w:val="22"/>
        </w:rPr>
      </w:pPr>
    </w:p>
    <w:p w14:paraId="05FC3F48" w14:textId="77777777" w:rsidR="00311D0F" w:rsidRPr="00CA7033" w:rsidRDefault="00311D0F" w:rsidP="00311D0F">
      <w:pPr>
        <w:numPr>
          <w:ilvl w:val="12"/>
          <w:numId w:val="0"/>
        </w:numPr>
        <w:rPr>
          <w:szCs w:val="22"/>
        </w:rPr>
      </w:pPr>
      <w:r w:rsidRPr="00CA7033">
        <w:rPr>
          <w:szCs w:val="22"/>
        </w:rPr>
        <w:t>Dexilant sudėtyje yra veikliosios medžiagos dekslansoprazolo, kuris yra protonų siurblio inhibitorius (PSI).</w:t>
      </w:r>
    </w:p>
    <w:p w14:paraId="39145D90" w14:textId="77777777" w:rsidR="00311D0F" w:rsidRPr="00CA7033" w:rsidRDefault="00311D0F" w:rsidP="00311D0F">
      <w:pPr>
        <w:numPr>
          <w:ilvl w:val="12"/>
          <w:numId w:val="0"/>
        </w:numPr>
        <w:rPr>
          <w:szCs w:val="22"/>
        </w:rPr>
      </w:pPr>
      <w:r w:rsidRPr="00CA7033">
        <w:rPr>
          <w:szCs w:val="22"/>
        </w:rPr>
        <w:t>PSI mažina skrandžio išskiriamos rūgšties kiekį.</w:t>
      </w:r>
    </w:p>
    <w:p w14:paraId="5D561DD3" w14:textId="77777777" w:rsidR="00311D0F" w:rsidRPr="00CA7033" w:rsidRDefault="00311D0F" w:rsidP="00311D0F">
      <w:pPr>
        <w:numPr>
          <w:ilvl w:val="12"/>
          <w:numId w:val="0"/>
        </w:numPr>
        <w:rPr>
          <w:szCs w:val="22"/>
        </w:rPr>
      </w:pPr>
    </w:p>
    <w:p w14:paraId="4BC3108D" w14:textId="77777777" w:rsidR="00311D0F" w:rsidRPr="00CA7033" w:rsidRDefault="00311D0F" w:rsidP="00311D0F">
      <w:pPr>
        <w:rPr>
          <w:szCs w:val="22"/>
        </w:rPr>
      </w:pPr>
      <w:r w:rsidRPr="00CA7033">
        <w:rPr>
          <w:szCs w:val="22"/>
        </w:rPr>
        <w:t>Dexilant vartojama suaugusiems žmonėms ir 12 metų bei vyresniems paaugliams:</w:t>
      </w:r>
    </w:p>
    <w:p w14:paraId="155ED674" w14:textId="77777777" w:rsidR="00311D0F" w:rsidRPr="00CA7033" w:rsidRDefault="00311D0F" w:rsidP="009A1CE0">
      <w:pPr>
        <w:numPr>
          <w:ilvl w:val="0"/>
          <w:numId w:val="4"/>
        </w:numPr>
        <w:tabs>
          <w:tab w:val="clear" w:pos="360"/>
        </w:tabs>
        <w:spacing w:line="260" w:lineRule="exact"/>
        <w:ind w:left="567" w:hanging="567"/>
        <w:rPr>
          <w:szCs w:val="22"/>
        </w:rPr>
      </w:pPr>
      <w:r w:rsidRPr="00CA7033">
        <w:rPr>
          <w:szCs w:val="22"/>
        </w:rPr>
        <w:t>refliukso sukelto erozinio ezofagito (stemplės gleivinės uždegimo ir pažeidimo) gydymui;</w:t>
      </w:r>
    </w:p>
    <w:p w14:paraId="7255E2D3" w14:textId="77777777" w:rsidR="00311D0F" w:rsidRPr="00CA7033" w:rsidRDefault="00311D0F" w:rsidP="009A1CE0">
      <w:pPr>
        <w:numPr>
          <w:ilvl w:val="0"/>
          <w:numId w:val="4"/>
        </w:numPr>
        <w:tabs>
          <w:tab w:val="clear" w:pos="360"/>
          <w:tab w:val="num" w:pos="567"/>
        </w:tabs>
        <w:spacing w:line="260" w:lineRule="exact"/>
        <w:ind w:left="567" w:hanging="567"/>
        <w:rPr>
          <w:szCs w:val="22"/>
        </w:rPr>
      </w:pPr>
      <w:r w:rsidRPr="00CA7033">
        <w:rPr>
          <w:szCs w:val="22"/>
        </w:rPr>
        <w:t>refliukso sukelto erozinio ezofagito užgijimo ir rėmens malšinimo palaikymui;</w:t>
      </w:r>
    </w:p>
    <w:p w14:paraId="63EBABD1" w14:textId="77777777" w:rsidR="00311D0F" w:rsidRPr="00CA7033" w:rsidRDefault="00311D0F" w:rsidP="009A1CE0">
      <w:pPr>
        <w:numPr>
          <w:ilvl w:val="0"/>
          <w:numId w:val="4"/>
        </w:numPr>
        <w:tabs>
          <w:tab w:val="clear" w:pos="360"/>
          <w:tab w:val="num" w:pos="567"/>
        </w:tabs>
        <w:spacing w:line="260" w:lineRule="exact"/>
        <w:ind w:left="567" w:hanging="567"/>
        <w:rPr>
          <w:szCs w:val="22"/>
        </w:rPr>
      </w:pPr>
      <w:r w:rsidRPr="00CA7033">
        <w:rPr>
          <w:szCs w:val="22"/>
        </w:rPr>
        <w:t>su simptomine gastroezofaginio refliukso liga (GERL) be erozinio ezofagito susijusio rėmens ir rūgšties regurgitacijos trumpalaikiam gydymui. GERL yra būklė, kai skrandžio rūgštis iš skrandžio patenka į stemplę (rūgšties refliuksas).</w:t>
      </w:r>
    </w:p>
    <w:p w14:paraId="632B51CE" w14:textId="77777777" w:rsidR="00311D0F" w:rsidRPr="00CA7033" w:rsidRDefault="00311D0F" w:rsidP="009A1CE0">
      <w:pPr>
        <w:numPr>
          <w:ilvl w:val="12"/>
          <w:numId w:val="0"/>
        </w:numPr>
        <w:rPr>
          <w:szCs w:val="22"/>
        </w:rPr>
      </w:pPr>
    </w:p>
    <w:p w14:paraId="0FEE46B9" w14:textId="77777777" w:rsidR="00311D0F" w:rsidRPr="00CA7033" w:rsidRDefault="00311D0F" w:rsidP="00311D0F">
      <w:pPr>
        <w:autoSpaceDE w:val="0"/>
        <w:autoSpaceDN w:val="0"/>
        <w:adjustRightInd w:val="0"/>
        <w:rPr>
          <w:rFonts w:eastAsia="MS Mincho"/>
          <w:szCs w:val="22"/>
          <w:lang w:eastAsia="ja-JP"/>
        </w:rPr>
      </w:pPr>
      <w:r w:rsidRPr="00CA7033">
        <w:rPr>
          <w:rFonts w:eastAsia="MS Mincho"/>
          <w:szCs w:val="22"/>
          <w:lang w:eastAsia="ja-JP"/>
        </w:rPr>
        <w:t xml:space="preserve">Mažindamas skrandžio rūgšties kiekį </w:t>
      </w:r>
      <w:r w:rsidRPr="00CA7033">
        <w:rPr>
          <w:szCs w:val="22"/>
        </w:rPr>
        <w:t xml:space="preserve">Dexilant gali išgydyti stemplės pažeidimą, palengvinti simptomus, kurių gali atsirasti esant aukščiau minėtoms būklėms bei </w:t>
      </w:r>
      <w:r w:rsidRPr="00CA7033">
        <w:rPr>
          <w:rFonts w:eastAsia="MS Mincho"/>
          <w:szCs w:val="22"/>
          <w:lang w:eastAsia="ja-JP"/>
        </w:rPr>
        <w:t xml:space="preserve">neleisti jiems atsinaujinti. </w:t>
      </w:r>
    </w:p>
    <w:p w14:paraId="431BD67D" w14:textId="77777777" w:rsidR="00311D0F" w:rsidRPr="00CA7033" w:rsidRDefault="00311D0F" w:rsidP="00311D0F">
      <w:pPr>
        <w:numPr>
          <w:ilvl w:val="12"/>
          <w:numId w:val="0"/>
        </w:numPr>
        <w:rPr>
          <w:szCs w:val="22"/>
        </w:rPr>
      </w:pPr>
    </w:p>
    <w:p w14:paraId="1E00447E" w14:textId="77777777" w:rsidR="00311D0F" w:rsidRPr="00CA7033" w:rsidRDefault="00311D0F" w:rsidP="00311D0F">
      <w:pPr>
        <w:numPr>
          <w:ilvl w:val="12"/>
          <w:numId w:val="0"/>
        </w:numPr>
        <w:rPr>
          <w:szCs w:val="22"/>
        </w:rPr>
      </w:pPr>
    </w:p>
    <w:p w14:paraId="0B504967" w14:textId="77777777" w:rsidR="00311D0F" w:rsidRPr="00CA7033" w:rsidRDefault="00311D0F" w:rsidP="00311D0F">
      <w:pPr>
        <w:numPr>
          <w:ilvl w:val="12"/>
          <w:numId w:val="0"/>
        </w:numPr>
        <w:ind w:left="567" w:hanging="567"/>
        <w:outlineLvl w:val="0"/>
        <w:rPr>
          <w:b/>
          <w:caps/>
          <w:szCs w:val="22"/>
        </w:rPr>
      </w:pPr>
      <w:r w:rsidRPr="00CA7033">
        <w:rPr>
          <w:b/>
          <w:szCs w:val="22"/>
        </w:rPr>
        <w:t>2.</w:t>
      </w:r>
      <w:r w:rsidRPr="00CA7033">
        <w:rPr>
          <w:b/>
          <w:szCs w:val="22"/>
        </w:rPr>
        <w:tab/>
        <w:t>Kas žinotina prieš vartojant Dexilant</w:t>
      </w:r>
    </w:p>
    <w:p w14:paraId="221CADAA" w14:textId="77777777" w:rsidR="00311D0F" w:rsidRPr="00CA7033" w:rsidRDefault="00311D0F" w:rsidP="00311D0F">
      <w:pPr>
        <w:ind w:left="567" w:hanging="567"/>
        <w:rPr>
          <w:szCs w:val="22"/>
        </w:rPr>
      </w:pPr>
    </w:p>
    <w:p w14:paraId="413F23E8" w14:textId="3D1175A4" w:rsidR="00311D0F" w:rsidRPr="00CA7033" w:rsidRDefault="00311D0F" w:rsidP="00311D0F">
      <w:pPr>
        <w:ind w:left="567" w:hanging="567"/>
        <w:rPr>
          <w:b/>
          <w:szCs w:val="22"/>
        </w:rPr>
      </w:pPr>
      <w:r w:rsidRPr="00CA7033">
        <w:rPr>
          <w:b/>
          <w:bCs/>
          <w:szCs w:val="22"/>
        </w:rPr>
        <w:t xml:space="preserve">Dexilant vartoti </w:t>
      </w:r>
      <w:r w:rsidR="002136A8" w:rsidRPr="00CA7033">
        <w:rPr>
          <w:b/>
          <w:bCs/>
          <w:szCs w:val="22"/>
        </w:rPr>
        <w:t>draudžiama</w:t>
      </w:r>
      <w:r w:rsidRPr="00CA7033">
        <w:rPr>
          <w:b/>
          <w:szCs w:val="22"/>
        </w:rPr>
        <w:t>:</w:t>
      </w:r>
    </w:p>
    <w:p w14:paraId="3703761B" w14:textId="77777777" w:rsidR="002136A8" w:rsidRPr="00CA7033" w:rsidRDefault="002136A8" w:rsidP="00311D0F">
      <w:pPr>
        <w:ind w:left="567" w:hanging="567"/>
        <w:rPr>
          <w:b/>
          <w:caps/>
          <w:szCs w:val="22"/>
        </w:rPr>
      </w:pPr>
    </w:p>
    <w:p w14:paraId="2E514A42" w14:textId="77777777" w:rsidR="00311D0F" w:rsidRPr="00CA7033" w:rsidRDefault="00311D0F" w:rsidP="00311D0F">
      <w:pPr>
        <w:numPr>
          <w:ilvl w:val="12"/>
          <w:numId w:val="0"/>
        </w:numPr>
        <w:ind w:left="567" w:hanging="567"/>
        <w:rPr>
          <w:szCs w:val="22"/>
        </w:rPr>
      </w:pPr>
      <w:r w:rsidRPr="00CA7033">
        <w:rPr>
          <w:szCs w:val="22"/>
        </w:rPr>
        <w:t>-</w:t>
      </w:r>
      <w:r w:rsidRPr="00CA7033">
        <w:rPr>
          <w:szCs w:val="22"/>
        </w:rPr>
        <w:tab/>
        <w:t>jeigu yra alergija dekslansoprazolui arba bet kuriai pagalbinei šio vaisto medžiagai (jos išvardytos 6 skyriuje).</w:t>
      </w:r>
    </w:p>
    <w:p w14:paraId="7F9A8AAF" w14:textId="77777777" w:rsidR="00311D0F" w:rsidRPr="00CA7033" w:rsidRDefault="00311D0F" w:rsidP="00311D0F">
      <w:pPr>
        <w:ind w:left="567" w:hanging="567"/>
        <w:rPr>
          <w:szCs w:val="22"/>
        </w:rPr>
      </w:pPr>
    </w:p>
    <w:p w14:paraId="66C74B11" w14:textId="77777777" w:rsidR="00311D0F" w:rsidRPr="00CA7033" w:rsidRDefault="00311D0F" w:rsidP="00311D0F">
      <w:pPr>
        <w:ind w:left="567" w:hanging="567"/>
        <w:rPr>
          <w:b/>
          <w:szCs w:val="22"/>
        </w:rPr>
      </w:pPr>
      <w:r w:rsidRPr="00CA7033">
        <w:rPr>
          <w:b/>
          <w:szCs w:val="22"/>
        </w:rPr>
        <w:t>Įspėjimai ir atsargumo priemonės</w:t>
      </w:r>
    </w:p>
    <w:p w14:paraId="4CE13399" w14:textId="77777777" w:rsidR="002136A8" w:rsidRPr="00CA7033" w:rsidRDefault="002136A8" w:rsidP="00311D0F">
      <w:pPr>
        <w:ind w:left="567" w:hanging="567"/>
        <w:rPr>
          <w:b/>
          <w:szCs w:val="22"/>
        </w:rPr>
      </w:pPr>
    </w:p>
    <w:p w14:paraId="0697AFCF" w14:textId="77777777" w:rsidR="00311D0F" w:rsidRPr="00CA7033" w:rsidRDefault="00311D0F" w:rsidP="00311D0F">
      <w:pPr>
        <w:rPr>
          <w:szCs w:val="22"/>
        </w:rPr>
      </w:pPr>
      <w:r w:rsidRPr="00CA7033">
        <w:rPr>
          <w:szCs w:val="22"/>
        </w:rPr>
        <w:t>Pasitarkite su gydytoju prieš pradėdami vartoti Dexilant ar vartojimo metu:</w:t>
      </w:r>
    </w:p>
    <w:p w14:paraId="04404982" w14:textId="77777777" w:rsidR="00311D0F" w:rsidRPr="00CA7033" w:rsidRDefault="00311D0F" w:rsidP="009A1CE0">
      <w:pPr>
        <w:numPr>
          <w:ilvl w:val="0"/>
          <w:numId w:val="7"/>
        </w:numPr>
        <w:tabs>
          <w:tab w:val="clear" w:pos="360"/>
          <w:tab w:val="num" w:pos="567"/>
        </w:tabs>
        <w:ind w:left="540"/>
        <w:rPr>
          <w:szCs w:val="22"/>
        </w:rPr>
      </w:pPr>
      <w:r w:rsidRPr="00CA7033">
        <w:rPr>
          <w:szCs w:val="22"/>
        </w:rPr>
        <w:t>jeigu yra kepenų problemų. Gydytojui gali reikėti koreguoti dozę;</w:t>
      </w:r>
    </w:p>
    <w:p w14:paraId="3150A145" w14:textId="77777777" w:rsidR="00311D0F" w:rsidRPr="00CA7033" w:rsidRDefault="00311D0F" w:rsidP="009A1CE0">
      <w:pPr>
        <w:numPr>
          <w:ilvl w:val="0"/>
          <w:numId w:val="7"/>
        </w:numPr>
        <w:tabs>
          <w:tab w:val="clear" w:pos="360"/>
          <w:tab w:val="num" w:pos="567"/>
        </w:tabs>
        <w:ind w:left="567" w:hanging="567"/>
        <w:rPr>
          <w:szCs w:val="22"/>
        </w:rPr>
      </w:pPr>
      <w:r w:rsidRPr="00CA7033">
        <w:rPr>
          <w:szCs w:val="22"/>
        </w:rPr>
        <w:lastRenderedPageBreak/>
        <w:t>jeigu yra skrandžio problemų. Gydytojas gali atlikti papildomą tyrimą, kuris vadinamas endoskopija (jo metu skrandis apžiūrimas per stemplę įkišta maža kamera) ir gali padėti paneigti sunkesnes Jūsų simptomų priežastis;</w:t>
      </w:r>
    </w:p>
    <w:p w14:paraId="7D47B1E0" w14:textId="7E0EBBAB" w:rsidR="00311D0F" w:rsidRPr="00CA7033" w:rsidRDefault="00311D0F" w:rsidP="009A1CE0">
      <w:pPr>
        <w:numPr>
          <w:ilvl w:val="0"/>
          <w:numId w:val="7"/>
        </w:numPr>
        <w:tabs>
          <w:tab w:val="clear" w:pos="360"/>
          <w:tab w:val="num" w:pos="567"/>
        </w:tabs>
        <w:ind w:left="567" w:hanging="567"/>
        <w:rPr>
          <w:szCs w:val="22"/>
        </w:rPr>
      </w:pPr>
      <w:r w:rsidRPr="00CA7033">
        <w:rPr>
          <w:szCs w:val="22"/>
        </w:rPr>
        <w:t xml:space="preserve">jeigu vartojate į Dexilant panašių protonų siurblio inhibitorių, ypač ilgiau kaip vienerius metus, nes tokiu atveju gali šiek tiek padidėti šlaunikaulio, riešo ar stuburo lūžimo rizika. Pasakykite gydytojui, jei sergate osteoporoze </w:t>
      </w:r>
      <w:r w:rsidR="000B1860" w:rsidRPr="00CA7033">
        <w:rPr>
          <w:szCs w:val="22"/>
        </w:rPr>
        <w:t>(yra sumažėjęs kaulų tankis) arba gydytojas Jums yra sakęs, kad yra padidėjusi osteoporozės pasireiškimo rizika (pavyzdžiui, vartojate steroidų)</w:t>
      </w:r>
      <w:r w:rsidRPr="00CA7033">
        <w:rPr>
          <w:szCs w:val="22"/>
        </w:rPr>
        <w:t>;</w:t>
      </w:r>
    </w:p>
    <w:p w14:paraId="427FC819" w14:textId="77777777" w:rsidR="00311D0F" w:rsidRPr="00CA7033" w:rsidRDefault="00311D0F" w:rsidP="00311D0F">
      <w:pPr>
        <w:ind w:left="567" w:hanging="567"/>
        <w:rPr>
          <w:szCs w:val="22"/>
        </w:rPr>
      </w:pPr>
      <w:r w:rsidRPr="00CA7033">
        <w:rPr>
          <w:szCs w:val="22"/>
        </w:rPr>
        <w:t>-</w:t>
      </w:r>
      <w:r w:rsidRPr="00CA7033">
        <w:rPr>
          <w:szCs w:val="22"/>
        </w:rPr>
        <w:tab/>
        <w:t xml:space="preserve">jeigu Dexilant vartojate </w:t>
      </w:r>
      <w:r w:rsidRPr="00CA7033">
        <w:rPr>
          <w:b/>
          <w:szCs w:val="22"/>
        </w:rPr>
        <w:t>ilgai</w:t>
      </w:r>
      <w:r w:rsidRPr="00CA7033">
        <w:rPr>
          <w:szCs w:val="22"/>
        </w:rPr>
        <w:t xml:space="preserve"> (ilgiau kaip 1 metus). Gydytojas tikriausiai norės, kad Jūs reguliariai pas jį lankytumėtės ir jis galėtų įvertinti Jūsų savijautą. Pasakykite gydytojui, jei atsiras naujų simptomų ar pasunkės esami;</w:t>
      </w:r>
    </w:p>
    <w:p w14:paraId="3B2C4C50" w14:textId="77777777" w:rsidR="00311D0F" w:rsidRPr="00CA7033" w:rsidRDefault="00311D0F" w:rsidP="009A1CE0">
      <w:pPr>
        <w:numPr>
          <w:ilvl w:val="0"/>
          <w:numId w:val="7"/>
        </w:numPr>
        <w:tabs>
          <w:tab w:val="clear" w:pos="360"/>
          <w:tab w:val="num" w:pos="567"/>
        </w:tabs>
        <w:ind w:left="567" w:hanging="567"/>
        <w:rPr>
          <w:szCs w:val="22"/>
        </w:rPr>
      </w:pPr>
      <w:r w:rsidRPr="00CA7033">
        <w:rPr>
          <w:szCs w:val="22"/>
        </w:rPr>
        <w:t>jeigu vartojate kitų vaistų, pvz., digoksino (širdies ligoms gydyti) ar diuretikų (šlapimo išsiskyrimą skatinančių tablečių). Gydytojas tikriausiai norės periodiškai tirti magnio kiekį Jūsų kraujyje;</w:t>
      </w:r>
    </w:p>
    <w:p w14:paraId="2D785BC0" w14:textId="54B3E052" w:rsidR="00311D0F" w:rsidRPr="00CA7033" w:rsidRDefault="00B77986" w:rsidP="009A1CE0">
      <w:pPr>
        <w:numPr>
          <w:ilvl w:val="0"/>
          <w:numId w:val="7"/>
        </w:numPr>
        <w:tabs>
          <w:tab w:val="clear" w:pos="360"/>
          <w:tab w:val="num" w:pos="567"/>
          <w:tab w:val="num" w:pos="930"/>
        </w:tabs>
        <w:spacing w:line="260" w:lineRule="exact"/>
        <w:ind w:left="567" w:hanging="567"/>
        <w:rPr>
          <w:szCs w:val="22"/>
        </w:rPr>
      </w:pPr>
      <w:r w:rsidRPr="00CA7033">
        <w:t>j</w:t>
      </w:r>
      <w:r w:rsidR="00311D0F" w:rsidRPr="00CA7033">
        <w:t>ei vitamino B</w:t>
      </w:r>
      <w:r w:rsidR="00311D0F" w:rsidRPr="00CA7033">
        <w:rPr>
          <w:vertAlign w:val="subscript"/>
        </w:rPr>
        <w:t>12</w:t>
      </w:r>
      <w:r w:rsidR="00311D0F" w:rsidRPr="00CA7033">
        <w:t xml:space="preserve"> kiekis organizme yra sumažėjęs arba yra šio vitamino kiekio sumažėjimo rizikos veiksnių, o Dexilant vartojama ilgai. Dexilant, kaip ir visi rūgšties kiekį mažinantys preparatai, gali pabloginti vitamino B</w:t>
      </w:r>
      <w:r w:rsidR="00311D0F" w:rsidRPr="00CA7033">
        <w:rPr>
          <w:vertAlign w:val="subscript"/>
        </w:rPr>
        <w:t>12</w:t>
      </w:r>
      <w:r w:rsidR="00311D0F" w:rsidRPr="00CA7033">
        <w:t xml:space="preserve"> absorbciją.</w:t>
      </w:r>
    </w:p>
    <w:p w14:paraId="7D64A18C" w14:textId="77777777" w:rsidR="00311D0F" w:rsidRPr="00CA7033" w:rsidRDefault="00311D0F" w:rsidP="009A1CE0">
      <w:pPr>
        <w:numPr>
          <w:ilvl w:val="0"/>
          <w:numId w:val="7"/>
        </w:numPr>
        <w:tabs>
          <w:tab w:val="clear" w:pos="360"/>
          <w:tab w:val="num" w:pos="567"/>
        </w:tabs>
        <w:ind w:left="567" w:hanging="567"/>
        <w:rPr>
          <w:szCs w:val="22"/>
        </w:rPr>
      </w:pPr>
      <w:r w:rsidRPr="00CA7033">
        <w:rPr>
          <w:szCs w:val="22"/>
        </w:rPr>
        <w:t>jeigu Jums kada nors pasireiškė odos reakcija po gydymo vaistu, panašiu į Dexilant, kuriuo mažinamas skrandžio rūgštingumas;</w:t>
      </w:r>
    </w:p>
    <w:p w14:paraId="18967F08" w14:textId="725889FC" w:rsidR="00311D0F" w:rsidRPr="00CA7033" w:rsidRDefault="00311D0F" w:rsidP="009A1CE0">
      <w:pPr>
        <w:pStyle w:val="Sraopastraipa"/>
        <w:numPr>
          <w:ilvl w:val="0"/>
          <w:numId w:val="7"/>
        </w:numPr>
        <w:tabs>
          <w:tab w:val="clear" w:pos="360"/>
        </w:tabs>
        <w:ind w:left="540" w:hanging="540"/>
        <w:rPr>
          <w:szCs w:val="22"/>
        </w:rPr>
      </w:pPr>
      <w:r w:rsidRPr="00CA7033">
        <w:rPr>
          <w:szCs w:val="22"/>
        </w:rPr>
        <w:t>jeigu Jums išbertų odą, ypač saulės apšviestose vietose, kuo skubiau pasakykite apie tai savo gydytojui, kadangi Jums gali tekti nutraukti gydymą Dexilant. Taip pat nepamirškite pasakyti, jeigu Jums pasireiškia bet koks kitas nepageidaujamas poveikis, kaip antai sąnarių skausmas;</w:t>
      </w:r>
    </w:p>
    <w:p w14:paraId="49B27F3C" w14:textId="4E6833D2" w:rsidR="00B77986" w:rsidRPr="00CA7033" w:rsidRDefault="00B77986" w:rsidP="009A1CE0">
      <w:pPr>
        <w:pStyle w:val="Sraopastraipa"/>
        <w:numPr>
          <w:ilvl w:val="0"/>
          <w:numId w:val="7"/>
        </w:numPr>
        <w:tabs>
          <w:tab w:val="clear" w:pos="360"/>
        </w:tabs>
        <w:ind w:left="540" w:hanging="540"/>
        <w:rPr>
          <w:szCs w:val="22"/>
        </w:rPr>
      </w:pPr>
      <w:r w:rsidRPr="00CA7033">
        <w:rPr>
          <w:szCs w:val="22"/>
        </w:rPr>
        <w:t>vartojant dekslansoprazolą,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2ADDB3E7" w14:textId="34A0D28E" w:rsidR="002136A8" w:rsidRPr="00CA7033" w:rsidRDefault="002136A8" w:rsidP="00572B1E">
      <w:pPr>
        <w:pStyle w:val="Default"/>
        <w:numPr>
          <w:ilvl w:val="0"/>
          <w:numId w:val="7"/>
        </w:numPr>
        <w:tabs>
          <w:tab w:val="clear" w:pos="360"/>
        </w:tabs>
        <w:adjustRightInd/>
        <w:ind w:left="540" w:hanging="540"/>
        <w:rPr>
          <w:szCs w:val="22"/>
          <w:lang w:val="lt-LT"/>
        </w:rPr>
      </w:pPr>
      <w:r w:rsidRPr="00CA7033">
        <w:rPr>
          <w:lang w:val="lt-LT"/>
        </w:rPr>
        <w:t xml:space="preserve">Dexilant </w:t>
      </w:r>
      <w:r w:rsidRPr="00572B1E">
        <w:rPr>
          <w:sz w:val="22"/>
          <w:szCs w:val="22"/>
          <w:lang w:val="lt-LT"/>
        </w:rPr>
        <w:t xml:space="preserve">gali sukelti retas, bet sunkias odos reakcijas, kurios gali paveikti bet kurią kūno dalį (taip pat žr. 4 skyrių). Šias sunkias odos reakcijas gali prireikti gydyti ligoninėje ir jos gali būti pavojingos gyvybei. Požymiai yra odos išbėrimas, kuris gali pasireikšti kartu su pūslėmis, lupimusi ar kraujavimu bet kurioje odos vietoje (įskaitant lūpas, akis, burną, nosį, lytinius organus, rankas ar pėdas). Taip pat gali pasireikšti karščiavimas, šaltkrėtis, kūno skausmai, dusulys ar padidėję limfmazgiai. Nutraukite </w:t>
      </w:r>
      <w:r w:rsidRPr="00CA7033">
        <w:rPr>
          <w:color w:val="auto"/>
          <w:sz w:val="22"/>
          <w:szCs w:val="22"/>
          <w:lang w:val="lt-LT"/>
        </w:rPr>
        <w:t xml:space="preserve">Dexilant </w:t>
      </w:r>
      <w:r w:rsidRPr="00572B1E">
        <w:rPr>
          <w:color w:val="auto"/>
          <w:sz w:val="22"/>
          <w:szCs w:val="22"/>
          <w:lang w:val="lt-LT"/>
        </w:rPr>
        <w:t>vartojimą ir nedelsdami kreipkitės į gydytoją. Šie simptomai gali būti pirmasis sunkios odos reakcijos požymis;</w:t>
      </w:r>
    </w:p>
    <w:p w14:paraId="60942375" w14:textId="77777777" w:rsidR="00311D0F" w:rsidRPr="00CA7033" w:rsidRDefault="00311D0F" w:rsidP="009A1CE0">
      <w:pPr>
        <w:pStyle w:val="Sraopastraipa"/>
        <w:numPr>
          <w:ilvl w:val="0"/>
          <w:numId w:val="7"/>
        </w:numPr>
        <w:tabs>
          <w:tab w:val="clear" w:pos="360"/>
        </w:tabs>
        <w:ind w:left="540" w:hanging="540"/>
        <w:rPr>
          <w:szCs w:val="22"/>
        </w:rPr>
      </w:pPr>
      <w:r w:rsidRPr="00CA7033">
        <w:rPr>
          <w:szCs w:val="22"/>
        </w:rPr>
        <w:t>jeigu Jums bus atliekamas specialus kraujo tyrimas (dėl chromogranino A).</w:t>
      </w:r>
    </w:p>
    <w:p w14:paraId="2E211945" w14:textId="77777777" w:rsidR="00311D0F" w:rsidRPr="00CA7033" w:rsidRDefault="00311D0F" w:rsidP="009A1CE0">
      <w:pPr>
        <w:numPr>
          <w:ilvl w:val="12"/>
          <w:numId w:val="0"/>
        </w:numPr>
        <w:rPr>
          <w:szCs w:val="22"/>
        </w:rPr>
      </w:pPr>
    </w:p>
    <w:p w14:paraId="46D336C5" w14:textId="61DADF81" w:rsidR="00311D0F" w:rsidRPr="00CA7033" w:rsidRDefault="00311D0F" w:rsidP="00311D0F">
      <w:pPr>
        <w:numPr>
          <w:ilvl w:val="12"/>
          <w:numId w:val="0"/>
        </w:numPr>
        <w:rPr>
          <w:b/>
          <w:szCs w:val="22"/>
        </w:rPr>
      </w:pPr>
      <w:r w:rsidRPr="00CA7033">
        <w:rPr>
          <w:b/>
          <w:szCs w:val="22"/>
        </w:rPr>
        <w:t>Vaikams</w:t>
      </w:r>
    </w:p>
    <w:p w14:paraId="2FF6BA6A" w14:textId="77777777" w:rsidR="002136A8" w:rsidRPr="00CA7033" w:rsidRDefault="002136A8" w:rsidP="00311D0F">
      <w:pPr>
        <w:numPr>
          <w:ilvl w:val="12"/>
          <w:numId w:val="0"/>
        </w:numPr>
        <w:rPr>
          <w:b/>
          <w:szCs w:val="22"/>
        </w:rPr>
      </w:pPr>
    </w:p>
    <w:p w14:paraId="2FE90114" w14:textId="77777777" w:rsidR="00311D0F" w:rsidRPr="00CA7033" w:rsidRDefault="00311D0F" w:rsidP="00311D0F">
      <w:pPr>
        <w:rPr>
          <w:szCs w:val="22"/>
        </w:rPr>
      </w:pPr>
      <w:r w:rsidRPr="00CA7033">
        <w:rPr>
          <w:szCs w:val="22"/>
        </w:rPr>
        <w:t>Jaunesniems kaip 12 metų vaikams šio vaisto vartoti negalima.</w:t>
      </w:r>
    </w:p>
    <w:p w14:paraId="18DB2A1E" w14:textId="77777777" w:rsidR="00311D0F" w:rsidRPr="00CA7033" w:rsidRDefault="00311D0F" w:rsidP="00311D0F">
      <w:pPr>
        <w:numPr>
          <w:ilvl w:val="12"/>
          <w:numId w:val="0"/>
        </w:numPr>
        <w:rPr>
          <w:b/>
          <w:szCs w:val="22"/>
        </w:rPr>
      </w:pPr>
    </w:p>
    <w:p w14:paraId="2AEB902D" w14:textId="77777777" w:rsidR="00311D0F" w:rsidRPr="00CA7033" w:rsidRDefault="00311D0F" w:rsidP="00311D0F">
      <w:pPr>
        <w:numPr>
          <w:ilvl w:val="12"/>
          <w:numId w:val="0"/>
        </w:numPr>
        <w:ind w:right="-2"/>
        <w:rPr>
          <w:b/>
          <w:szCs w:val="22"/>
        </w:rPr>
      </w:pPr>
      <w:r w:rsidRPr="00CA7033">
        <w:rPr>
          <w:b/>
          <w:szCs w:val="22"/>
        </w:rPr>
        <w:t>Kiti vaistai ir Dexilant</w:t>
      </w:r>
    </w:p>
    <w:p w14:paraId="3824EF57" w14:textId="77777777" w:rsidR="002136A8" w:rsidRPr="00CA7033" w:rsidRDefault="002136A8" w:rsidP="00311D0F">
      <w:pPr>
        <w:numPr>
          <w:ilvl w:val="12"/>
          <w:numId w:val="0"/>
        </w:numPr>
        <w:ind w:right="-2"/>
        <w:rPr>
          <w:szCs w:val="22"/>
        </w:rPr>
      </w:pPr>
    </w:p>
    <w:p w14:paraId="2A06C892" w14:textId="77777777" w:rsidR="00311D0F" w:rsidRPr="00CA7033" w:rsidRDefault="00311D0F" w:rsidP="00311D0F">
      <w:pPr>
        <w:numPr>
          <w:ilvl w:val="12"/>
          <w:numId w:val="0"/>
        </w:numPr>
        <w:ind w:right="-2"/>
        <w:rPr>
          <w:szCs w:val="22"/>
        </w:rPr>
      </w:pPr>
      <w:r w:rsidRPr="00CA7033">
        <w:rPr>
          <w:szCs w:val="22"/>
        </w:rPr>
        <w:t>Jeigu vartojate ar neseniai vartojote kitų vaistų arba dėl to nesate tikri, apie tai pasakykite gydytojui, kadangi dekslansoprazolas gali keisti kitų vaistų, o jie – dekslansoprazolo poveikį.</w:t>
      </w:r>
    </w:p>
    <w:p w14:paraId="614941AF" w14:textId="77777777" w:rsidR="00311D0F" w:rsidRPr="00CA7033" w:rsidRDefault="00311D0F" w:rsidP="00311D0F">
      <w:pPr>
        <w:numPr>
          <w:ilvl w:val="12"/>
          <w:numId w:val="0"/>
        </w:numPr>
        <w:ind w:right="-2"/>
        <w:rPr>
          <w:szCs w:val="22"/>
        </w:rPr>
      </w:pPr>
    </w:p>
    <w:p w14:paraId="5269BCB3" w14:textId="77777777" w:rsidR="00311D0F" w:rsidRPr="00CA7033" w:rsidRDefault="00311D0F" w:rsidP="00311D0F">
      <w:pPr>
        <w:numPr>
          <w:ilvl w:val="12"/>
          <w:numId w:val="0"/>
        </w:numPr>
        <w:ind w:right="-2"/>
        <w:rPr>
          <w:szCs w:val="22"/>
        </w:rPr>
      </w:pPr>
      <w:r w:rsidRPr="00CA7033">
        <w:rPr>
          <w:szCs w:val="22"/>
        </w:rPr>
        <w:t>Prieš Dexilant vartojimą pasitarkite su gydytoju, jei vartojate bet kurio iš šių vaistų:</w:t>
      </w:r>
    </w:p>
    <w:p w14:paraId="3D790EF8"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ŽIV proteazės inhibitorių, pvz., atazanaviro ir nelfinaviro (jų vartojama, jei yra ŽIV infekcija);</w:t>
      </w:r>
    </w:p>
    <w:p w14:paraId="6840282B"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ketokonazolo, itrakonazolo, rifampicino (jais gydomos infekcinės ligos);</w:t>
      </w:r>
    </w:p>
    <w:p w14:paraId="0051DEEE"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erlotinibo (juo gydomas vėžys);</w:t>
      </w:r>
    </w:p>
    <w:p w14:paraId="5FE1F3C0"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digoksino (juo gydomos širdies ligos);</w:t>
      </w:r>
    </w:p>
    <w:p w14:paraId="7A50FBCB"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takrolimuzo (jo vartojama persodinto organo atmetimo profilaktikai);</w:t>
      </w:r>
    </w:p>
    <w:p w14:paraId="0FD88A51"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fluvoksamino (juo gydoma depresija ir kitos psichikos ligos);</w:t>
      </w:r>
    </w:p>
    <w:p w14:paraId="013F0ABD"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varfarino (vaisto trombozės profilaktikai);</w:t>
      </w:r>
    </w:p>
    <w:p w14:paraId="6A8BA8CF"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antacidinių preparatų (jų vartojama nuo rėmens ar rūgšties regurgitacijos);</w:t>
      </w:r>
    </w:p>
    <w:p w14:paraId="0AD7F73A"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sukralfato (opoms gydyti);</w:t>
      </w:r>
    </w:p>
    <w:p w14:paraId="1A342BD6"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paprastųjų jonažolių (</w:t>
      </w:r>
      <w:r w:rsidRPr="00CA7033">
        <w:rPr>
          <w:i/>
          <w:szCs w:val="22"/>
        </w:rPr>
        <w:t>Hypericum perforatum)</w:t>
      </w:r>
      <w:r w:rsidRPr="00CA7033">
        <w:rPr>
          <w:szCs w:val="22"/>
        </w:rPr>
        <w:t xml:space="preserve"> preparatų (jais gydoma lengva depresija);</w:t>
      </w:r>
    </w:p>
    <w:p w14:paraId="5E827A52"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metotreksato (vaisto nuo vėžio).</w:t>
      </w:r>
    </w:p>
    <w:p w14:paraId="4E9B83DD" w14:textId="77777777" w:rsidR="00311D0F" w:rsidRPr="00CA7033" w:rsidRDefault="00311D0F" w:rsidP="00311D0F">
      <w:pPr>
        <w:rPr>
          <w:szCs w:val="22"/>
        </w:rPr>
      </w:pPr>
    </w:p>
    <w:p w14:paraId="3F1E9A97" w14:textId="16428ECD" w:rsidR="00311D0F" w:rsidRPr="00CA7033" w:rsidRDefault="00311D0F" w:rsidP="002136A8">
      <w:pPr>
        <w:keepNext/>
        <w:ind w:left="567" w:hanging="567"/>
        <w:rPr>
          <w:b/>
          <w:szCs w:val="22"/>
        </w:rPr>
      </w:pPr>
      <w:r w:rsidRPr="00CA7033">
        <w:rPr>
          <w:b/>
          <w:szCs w:val="22"/>
        </w:rPr>
        <w:lastRenderedPageBreak/>
        <w:t>Nėštumas</w:t>
      </w:r>
      <w:r w:rsidR="000B1860" w:rsidRPr="00CA7033">
        <w:rPr>
          <w:b/>
          <w:szCs w:val="22"/>
        </w:rPr>
        <w:t>,</w:t>
      </w:r>
      <w:r w:rsidRPr="00CA7033">
        <w:rPr>
          <w:b/>
          <w:szCs w:val="22"/>
        </w:rPr>
        <w:t xml:space="preserve"> žindymo laikotarpis</w:t>
      </w:r>
      <w:r w:rsidR="000B1860" w:rsidRPr="00CA7033">
        <w:rPr>
          <w:b/>
          <w:szCs w:val="22"/>
        </w:rPr>
        <w:t xml:space="preserve"> ir vaisingumas</w:t>
      </w:r>
    </w:p>
    <w:p w14:paraId="00B99705" w14:textId="77777777" w:rsidR="002136A8" w:rsidRPr="00CA7033" w:rsidRDefault="002136A8" w:rsidP="00572B1E">
      <w:pPr>
        <w:keepNext/>
        <w:ind w:left="567" w:hanging="567"/>
        <w:rPr>
          <w:b/>
          <w:szCs w:val="22"/>
        </w:rPr>
      </w:pPr>
    </w:p>
    <w:p w14:paraId="141D5C83" w14:textId="77777777" w:rsidR="00311D0F" w:rsidRPr="00CA7033" w:rsidRDefault="00311D0F" w:rsidP="00572B1E">
      <w:pPr>
        <w:keepNext/>
        <w:numPr>
          <w:ilvl w:val="12"/>
          <w:numId w:val="0"/>
        </w:numPr>
        <w:rPr>
          <w:szCs w:val="22"/>
        </w:rPr>
      </w:pPr>
      <w:r w:rsidRPr="00CA7033">
        <w:rPr>
          <w:szCs w:val="22"/>
        </w:rPr>
        <w:t>Jeigu esate nėščia, žindote kūdikį, manote, kad galbūt esate nėščia arba planuojate pastoti, tai prieš vartodama šį vaistą pasitarkite su gydytoju.</w:t>
      </w:r>
    </w:p>
    <w:p w14:paraId="4572D645" w14:textId="77777777" w:rsidR="00311D0F" w:rsidRPr="00CA7033" w:rsidRDefault="00311D0F" w:rsidP="00311D0F">
      <w:pPr>
        <w:rPr>
          <w:szCs w:val="22"/>
        </w:rPr>
      </w:pPr>
    </w:p>
    <w:p w14:paraId="6192F63F" w14:textId="77777777" w:rsidR="00311D0F" w:rsidRPr="00CA7033" w:rsidRDefault="00311D0F" w:rsidP="00311D0F">
      <w:pPr>
        <w:ind w:left="567" w:hanging="567"/>
        <w:rPr>
          <w:b/>
          <w:szCs w:val="22"/>
        </w:rPr>
      </w:pPr>
      <w:r w:rsidRPr="00CA7033">
        <w:rPr>
          <w:b/>
          <w:szCs w:val="22"/>
        </w:rPr>
        <w:t>Vairavimas ir mechanizmų valdymas</w:t>
      </w:r>
    </w:p>
    <w:p w14:paraId="5587021D" w14:textId="77777777" w:rsidR="002136A8" w:rsidRPr="00CA7033" w:rsidRDefault="002136A8" w:rsidP="00311D0F">
      <w:pPr>
        <w:ind w:left="567" w:hanging="567"/>
        <w:rPr>
          <w:b/>
          <w:szCs w:val="22"/>
        </w:rPr>
      </w:pPr>
    </w:p>
    <w:p w14:paraId="5DFDBF47" w14:textId="77777777" w:rsidR="00311D0F" w:rsidRPr="00CA7033" w:rsidRDefault="00311D0F" w:rsidP="00311D0F">
      <w:pPr>
        <w:snapToGrid w:val="0"/>
        <w:rPr>
          <w:szCs w:val="22"/>
        </w:rPr>
      </w:pPr>
      <w:r w:rsidRPr="00CA7033">
        <w:rPr>
          <w:szCs w:val="22"/>
        </w:rPr>
        <w:t>Kartais Dexilant vartojantiems pacientams atsiranda toks šalutinis poveikis kaip svaigulys, galvos sukimasis, nuovargis ir regos sutrikimai. Jei atsiranda toks šalutinis poveikis, būtinas atsargumas, kadangi Jūsų gebėjimas reaguoti gali pablogėti.</w:t>
      </w:r>
    </w:p>
    <w:p w14:paraId="24B4D1F8" w14:textId="77777777" w:rsidR="002136A8" w:rsidRPr="00CA7033" w:rsidRDefault="002136A8" w:rsidP="00311D0F">
      <w:pPr>
        <w:snapToGrid w:val="0"/>
        <w:rPr>
          <w:szCs w:val="22"/>
        </w:rPr>
      </w:pPr>
    </w:p>
    <w:p w14:paraId="6A9FF250" w14:textId="77777777" w:rsidR="00311D0F" w:rsidRPr="00CA7033" w:rsidRDefault="00311D0F" w:rsidP="00311D0F">
      <w:pPr>
        <w:snapToGrid w:val="0"/>
        <w:rPr>
          <w:szCs w:val="22"/>
        </w:rPr>
      </w:pPr>
      <w:r w:rsidRPr="00CA7033">
        <w:rPr>
          <w:szCs w:val="22"/>
        </w:rPr>
        <w:t>Tik Jūs pats esate atsakingas už sprendimą, ar galite vairuoti transporto priemones ir atlikti kitokius veiksmus, kuriems būtinas didesnis susikaupimas. Dėl sukeliamo poveikio, įskaitant šalutinį, šio vaistinio preparato vartojimas yra vienas iš veiksnių, galinčių bloginti Jūsų gebėjimą saugiai atlikti minėtus veiksmus.</w:t>
      </w:r>
    </w:p>
    <w:p w14:paraId="0212D727" w14:textId="77777777" w:rsidR="002136A8" w:rsidRPr="00CA7033" w:rsidRDefault="002136A8" w:rsidP="00311D0F">
      <w:pPr>
        <w:snapToGrid w:val="0"/>
        <w:rPr>
          <w:szCs w:val="22"/>
        </w:rPr>
      </w:pPr>
    </w:p>
    <w:p w14:paraId="01FB2445" w14:textId="24BD4A48" w:rsidR="00311D0F" w:rsidRPr="00CA7033" w:rsidRDefault="00311D0F" w:rsidP="00311D0F">
      <w:pPr>
        <w:snapToGrid w:val="0"/>
        <w:rPr>
          <w:szCs w:val="22"/>
        </w:rPr>
      </w:pPr>
      <w:r w:rsidRPr="00CA7033">
        <w:rPr>
          <w:szCs w:val="22"/>
        </w:rPr>
        <w:t>Informacijos apie tokį šalutinį poveikį galite rasti kituose skyriuose.</w:t>
      </w:r>
      <w:r w:rsidR="002136A8" w:rsidRPr="00CA7033">
        <w:rPr>
          <w:szCs w:val="22"/>
        </w:rPr>
        <w:t xml:space="preserve"> </w:t>
      </w:r>
      <w:r w:rsidRPr="00CA7033">
        <w:rPr>
          <w:szCs w:val="22"/>
        </w:rPr>
        <w:t>Sprendimą priimkite vadovaudamiesi visa šiame lapelyje pateikta informacija.</w:t>
      </w:r>
    </w:p>
    <w:p w14:paraId="05ABAB43" w14:textId="77777777" w:rsidR="002136A8" w:rsidRPr="00CA7033" w:rsidRDefault="002136A8" w:rsidP="00311D0F">
      <w:pPr>
        <w:snapToGrid w:val="0"/>
        <w:rPr>
          <w:szCs w:val="22"/>
        </w:rPr>
      </w:pPr>
    </w:p>
    <w:p w14:paraId="1AAB1E9F" w14:textId="052F6112" w:rsidR="00311D0F" w:rsidRPr="00CA7033" w:rsidRDefault="00311D0F" w:rsidP="00311D0F">
      <w:pPr>
        <w:snapToGrid w:val="0"/>
        <w:rPr>
          <w:szCs w:val="22"/>
        </w:rPr>
      </w:pPr>
      <w:r w:rsidRPr="00CA7033">
        <w:rPr>
          <w:szCs w:val="22"/>
        </w:rPr>
        <w:t>Jei dėl ko nors abejojate, pasitarkite su gydytoju.</w:t>
      </w:r>
    </w:p>
    <w:p w14:paraId="31C26C0B" w14:textId="77777777" w:rsidR="00311D0F" w:rsidRPr="00CA7033" w:rsidRDefault="00311D0F" w:rsidP="00311D0F">
      <w:pPr>
        <w:numPr>
          <w:ilvl w:val="12"/>
          <w:numId w:val="0"/>
        </w:numPr>
        <w:rPr>
          <w:szCs w:val="22"/>
        </w:rPr>
      </w:pPr>
    </w:p>
    <w:p w14:paraId="0AB7A7E8" w14:textId="77777777" w:rsidR="00311D0F" w:rsidRPr="00CA7033" w:rsidRDefault="00311D0F" w:rsidP="00311D0F">
      <w:pPr>
        <w:numPr>
          <w:ilvl w:val="12"/>
          <w:numId w:val="0"/>
        </w:numPr>
        <w:rPr>
          <w:b/>
          <w:szCs w:val="22"/>
        </w:rPr>
      </w:pPr>
      <w:r w:rsidRPr="00CA7033">
        <w:rPr>
          <w:b/>
          <w:szCs w:val="22"/>
        </w:rPr>
        <w:t>Dexilant sudėtyje yra sacharozės</w:t>
      </w:r>
    </w:p>
    <w:p w14:paraId="2B1737C5" w14:textId="77777777" w:rsidR="002136A8" w:rsidRPr="00CA7033" w:rsidRDefault="002136A8" w:rsidP="00311D0F">
      <w:pPr>
        <w:numPr>
          <w:ilvl w:val="12"/>
          <w:numId w:val="0"/>
        </w:numPr>
        <w:rPr>
          <w:szCs w:val="22"/>
        </w:rPr>
      </w:pPr>
    </w:p>
    <w:p w14:paraId="42B134D1" w14:textId="7DE776CE" w:rsidR="00311D0F" w:rsidRPr="00CA7033" w:rsidRDefault="00311D0F" w:rsidP="00311D0F">
      <w:pPr>
        <w:numPr>
          <w:ilvl w:val="12"/>
          <w:numId w:val="0"/>
        </w:numPr>
        <w:ind w:right="-2"/>
        <w:rPr>
          <w:szCs w:val="22"/>
        </w:rPr>
      </w:pPr>
      <w:r w:rsidRPr="00CA7033">
        <w:rPr>
          <w:szCs w:val="22"/>
        </w:rPr>
        <w:t>Jeigu gydytojas Jums yra sakęs, kad netoleruojate kokių nors angliavandenių, kreipkitės į jį prieš pradėdami vartoti šį vaistą.</w:t>
      </w:r>
    </w:p>
    <w:p w14:paraId="1CBC0CDF" w14:textId="77777777" w:rsidR="0004742D" w:rsidRDefault="0004742D" w:rsidP="00311D0F">
      <w:pPr>
        <w:numPr>
          <w:ilvl w:val="12"/>
          <w:numId w:val="0"/>
        </w:numPr>
        <w:ind w:right="-2"/>
        <w:rPr>
          <w:szCs w:val="22"/>
        </w:rPr>
      </w:pPr>
    </w:p>
    <w:p w14:paraId="1B26A41F" w14:textId="3B994B53" w:rsidR="0004742D" w:rsidRDefault="0004742D" w:rsidP="00311D0F">
      <w:pPr>
        <w:numPr>
          <w:ilvl w:val="12"/>
          <w:numId w:val="0"/>
        </w:numPr>
        <w:ind w:right="-2"/>
        <w:rPr>
          <w:b/>
          <w:szCs w:val="22"/>
        </w:rPr>
      </w:pPr>
      <w:r w:rsidRPr="00CA7033">
        <w:rPr>
          <w:b/>
          <w:szCs w:val="22"/>
        </w:rPr>
        <w:t>Dexilant sudėtyje yra</w:t>
      </w:r>
      <w:r>
        <w:rPr>
          <w:b/>
          <w:szCs w:val="22"/>
        </w:rPr>
        <w:t xml:space="preserve"> natrio</w:t>
      </w:r>
    </w:p>
    <w:p w14:paraId="4B3D97B3" w14:textId="77777777" w:rsidR="0004742D" w:rsidRDefault="0004742D" w:rsidP="00311D0F">
      <w:pPr>
        <w:numPr>
          <w:ilvl w:val="12"/>
          <w:numId w:val="0"/>
        </w:numPr>
        <w:ind w:right="-2"/>
        <w:rPr>
          <w:szCs w:val="22"/>
        </w:rPr>
      </w:pPr>
    </w:p>
    <w:p w14:paraId="2343FEFC" w14:textId="2B452C2B" w:rsidR="00311D0F" w:rsidRPr="00CA7033" w:rsidRDefault="0004742D" w:rsidP="00311D0F">
      <w:pPr>
        <w:numPr>
          <w:ilvl w:val="12"/>
          <w:numId w:val="0"/>
        </w:numPr>
        <w:ind w:right="-2"/>
        <w:rPr>
          <w:szCs w:val="22"/>
        </w:rPr>
      </w:pPr>
      <w:r w:rsidRPr="0004742D">
        <w:rPr>
          <w:szCs w:val="22"/>
        </w:rPr>
        <w:t xml:space="preserve">Šio vaisto </w:t>
      </w:r>
      <w:r>
        <w:rPr>
          <w:szCs w:val="22"/>
        </w:rPr>
        <w:t>kapsulėje</w:t>
      </w:r>
      <w:r w:rsidRPr="0004742D">
        <w:rPr>
          <w:szCs w:val="22"/>
        </w:rPr>
        <w:t xml:space="preserve"> yra mažiau kaip 1</w:t>
      </w:r>
      <w:r>
        <w:rPr>
          <w:szCs w:val="22"/>
        </w:rPr>
        <w:t> </w:t>
      </w:r>
      <w:r w:rsidRPr="0004742D">
        <w:rPr>
          <w:szCs w:val="22"/>
        </w:rPr>
        <w:t>mmol (23</w:t>
      </w:r>
      <w:r>
        <w:rPr>
          <w:szCs w:val="22"/>
        </w:rPr>
        <w:t> </w:t>
      </w:r>
      <w:r w:rsidRPr="0004742D">
        <w:rPr>
          <w:szCs w:val="22"/>
        </w:rPr>
        <w:t>mg) natrio, t.</w:t>
      </w:r>
      <w:r>
        <w:rPr>
          <w:szCs w:val="22"/>
        </w:rPr>
        <w:t xml:space="preserve"> </w:t>
      </w:r>
      <w:r w:rsidRPr="0004742D">
        <w:rPr>
          <w:szCs w:val="22"/>
        </w:rPr>
        <w:t>y. jis beveik neturi reikšmės.</w:t>
      </w:r>
    </w:p>
    <w:p w14:paraId="0299C0D9" w14:textId="0BD3310B" w:rsidR="00311D0F" w:rsidRDefault="00311D0F" w:rsidP="00311D0F">
      <w:pPr>
        <w:numPr>
          <w:ilvl w:val="12"/>
          <w:numId w:val="0"/>
        </w:numPr>
        <w:ind w:right="-2"/>
        <w:rPr>
          <w:szCs w:val="22"/>
        </w:rPr>
      </w:pPr>
    </w:p>
    <w:p w14:paraId="55896A9C" w14:textId="77777777" w:rsidR="0004742D" w:rsidRPr="00CA7033" w:rsidRDefault="0004742D" w:rsidP="00311D0F">
      <w:pPr>
        <w:numPr>
          <w:ilvl w:val="12"/>
          <w:numId w:val="0"/>
        </w:numPr>
        <w:ind w:right="-2"/>
        <w:rPr>
          <w:szCs w:val="22"/>
        </w:rPr>
      </w:pPr>
    </w:p>
    <w:p w14:paraId="5F87FA41" w14:textId="77777777" w:rsidR="00311D0F" w:rsidRPr="00CA7033" w:rsidRDefault="00311D0F" w:rsidP="00311D0F">
      <w:pPr>
        <w:numPr>
          <w:ilvl w:val="12"/>
          <w:numId w:val="0"/>
        </w:numPr>
        <w:ind w:left="567" w:hanging="567"/>
        <w:outlineLvl w:val="0"/>
        <w:rPr>
          <w:b/>
          <w:caps/>
          <w:szCs w:val="22"/>
        </w:rPr>
      </w:pPr>
      <w:r w:rsidRPr="00CA7033">
        <w:rPr>
          <w:b/>
          <w:szCs w:val="22"/>
        </w:rPr>
        <w:t>3.</w:t>
      </w:r>
      <w:r w:rsidRPr="00CA7033">
        <w:rPr>
          <w:b/>
          <w:szCs w:val="22"/>
        </w:rPr>
        <w:tab/>
        <w:t>Kaip vartoti Dexilant</w:t>
      </w:r>
    </w:p>
    <w:p w14:paraId="7E987D02" w14:textId="77777777" w:rsidR="00311D0F" w:rsidRPr="00CA7033" w:rsidRDefault="00311D0F" w:rsidP="00311D0F">
      <w:pPr>
        <w:ind w:left="567" w:hanging="567"/>
        <w:rPr>
          <w:szCs w:val="22"/>
        </w:rPr>
      </w:pPr>
    </w:p>
    <w:p w14:paraId="3B00AE10" w14:textId="77777777" w:rsidR="00311D0F" w:rsidRPr="00CA7033" w:rsidRDefault="00311D0F" w:rsidP="00311D0F">
      <w:pPr>
        <w:rPr>
          <w:szCs w:val="22"/>
        </w:rPr>
      </w:pPr>
      <w:r w:rsidRPr="00CA7033">
        <w:rPr>
          <w:szCs w:val="22"/>
        </w:rPr>
        <w:t xml:space="preserve">Visada vartokite šį vaistą tiksliai, kaip nurodė gydytojas arba vaistininkas. Jeigu abejojate, kreipkitės į gydytoją arba vaistininką. </w:t>
      </w:r>
    </w:p>
    <w:p w14:paraId="24226ADD" w14:textId="77777777" w:rsidR="00311D0F" w:rsidRPr="00CA7033" w:rsidRDefault="00311D0F" w:rsidP="00311D0F">
      <w:pPr>
        <w:rPr>
          <w:szCs w:val="22"/>
        </w:rPr>
      </w:pPr>
    </w:p>
    <w:p w14:paraId="576A6BF6" w14:textId="77777777" w:rsidR="00311D0F" w:rsidRPr="00CA7033" w:rsidRDefault="00311D0F" w:rsidP="00311D0F">
      <w:pPr>
        <w:numPr>
          <w:ilvl w:val="12"/>
          <w:numId w:val="0"/>
        </w:numPr>
        <w:ind w:right="-2"/>
        <w:rPr>
          <w:szCs w:val="22"/>
        </w:rPr>
      </w:pPr>
      <w:r w:rsidRPr="00CA7033">
        <w:rPr>
          <w:szCs w:val="22"/>
        </w:rPr>
        <w:t>Kapsules reikia nuryti sveikas, užgeriant stikline vandens. Kapsules galima gerti valgio metu arba neatsižvelgiant į valgymo laiką. Jei Jums sunku nuryti sveiką Dexilant kapsulę, ją galima atidaryti ir turinį išberti ant valgomojo šaukšto obuolių tyrės (pvz., obuolių košės). Tokį mišinį būtina nuryti nedelsiant. Mišinio kramtyti negalima, jo negalima palikti vėlesniam vartojimui.</w:t>
      </w:r>
    </w:p>
    <w:p w14:paraId="28BCA7BE" w14:textId="77777777" w:rsidR="00311D0F" w:rsidRPr="00CA7033" w:rsidRDefault="00311D0F" w:rsidP="00311D0F">
      <w:pPr>
        <w:numPr>
          <w:ilvl w:val="12"/>
          <w:numId w:val="0"/>
        </w:numPr>
        <w:ind w:right="-2"/>
        <w:rPr>
          <w:szCs w:val="22"/>
        </w:rPr>
      </w:pPr>
    </w:p>
    <w:p w14:paraId="687BE2A9" w14:textId="77777777" w:rsidR="00311D0F" w:rsidRPr="00CA7033" w:rsidRDefault="00311D0F" w:rsidP="00311D0F">
      <w:pPr>
        <w:numPr>
          <w:ilvl w:val="12"/>
          <w:numId w:val="0"/>
        </w:numPr>
        <w:ind w:right="-2"/>
        <w:rPr>
          <w:b/>
          <w:szCs w:val="22"/>
        </w:rPr>
      </w:pPr>
      <w:r w:rsidRPr="00CA7033">
        <w:rPr>
          <w:b/>
          <w:szCs w:val="22"/>
        </w:rPr>
        <w:t>Toliau pateikiamas suaugusiesiems rekomenduojamas dozavimas.</w:t>
      </w:r>
    </w:p>
    <w:p w14:paraId="73B367E6"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t xml:space="preserve">Refliukso sukelto erozinio </w:t>
      </w:r>
      <w:r w:rsidRPr="00CA7033">
        <w:rPr>
          <w:szCs w:val="22"/>
        </w:rPr>
        <w:t xml:space="preserve"> </w:t>
      </w:r>
      <w:r w:rsidRPr="00CA7033">
        <w:rPr>
          <w:b/>
          <w:szCs w:val="22"/>
        </w:rPr>
        <w:t>ezofagito gydymas.</w:t>
      </w:r>
      <w:r w:rsidRPr="00CA7033">
        <w:rPr>
          <w:szCs w:val="22"/>
        </w:rPr>
        <w:t xml:space="preserve"> 60 mg dozę vartoti kartą per parą iki 4 savaičių. Jūsų gydytojas gali paskirti vartoti papildomas 4 savaites.</w:t>
      </w:r>
    </w:p>
    <w:p w14:paraId="44A5E215"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t>Refliukso sukelto erozinio ezofagito užgijimo ir rėmens sumažėjimo palaikymas pacientams, kuriems reikalingas ilgalaikis rūgšties slopinimas</w:t>
      </w:r>
      <w:r w:rsidRPr="00CA7033">
        <w:rPr>
          <w:szCs w:val="22"/>
        </w:rPr>
        <w:t>.</w:t>
      </w:r>
      <w:r w:rsidRPr="00CA7033">
        <w:rPr>
          <w:b/>
          <w:szCs w:val="22"/>
        </w:rPr>
        <w:t xml:space="preserve"> </w:t>
      </w:r>
      <w:r w:rsidRPr="00CA7033">
        <w:rPr>
          <w:szCs w:val="22"/>
        </w:rPr>
        <w:t>30 mg dozę vartoti kartą per parą ne ilgiau kaip 6 mėnesius.</w:t>
      </w:r>
    </w:p>
    <w:p w14:paraId="2ADF1F77"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t>Su simptomine gastroezofaginio refliukso liga (GERL) be erozinio ezofagito susijusio rėmens ir rūgšties regurgitacijos gydymas.</w:t>
      </w:r>
      <w:r w:rsidRPr="00CA7033">
        <w:rPr>
          <w:szCs w:val="22"/>
        </w:rPr>
        <w:t xml:space="preserve"> 30 mg dozę vartoti kartą per parą iki 4 savaičių.</w:t>
      </w:r>
    </w:p>
    <w:p w14:paraId="4CC6D7EB" w14:textId="77777777" w:rsidR="00311D0F" w:rsidRPr="00CA7033" w:rsidRDefault="00311D0F" w:rsidP="009A1CE0">
      <w:pPr>
        <w:numPr>
          <w:ilvl w:val="12"/>
          <w:numId w:val="0"/>
        </w:numPr>
        <w:ind w:right="-2"/>
        <w:rPr>
          <w:szCs w:val="22"/>
        </w:rPr>
      </w:pPr>
    </w:p>
    <w:p w14:paraId="03563B5A" w14:textId="33C5AECE" w:rsidR="00311D0F" w:rsidRPr="00CA7033" w:rsidRDefault="00311D0F" w:rsidP="00311D0F">
      <w:pPr>
        <w:numPr>
          <w:ilvl w:val="12"/>
          <w:numId w:val="0"/>
        </w:numPr>
        <w:ind w:right="-2"/>
        <w:rPr>
          <w:b/>
          <w:szCs w:val="22"/>
        </w:rPr>
      </w:pPr>
      <w:r w:rsidRPr="00CA7033">
        <w:rPr>
          <w:b/>
          <w:szCs w:val="22"/>
        </w:rPr>
        <w:t>Toliau pateikiamas 12</w:t>
      </w:r>
      <w:r w:rsidR="001965FF" w:rsidRPr="00CA7033">
        <w:rPr>
          <w:b/>
          <w:szCs w:val="22"/>
        </w:rPr>
        <w:t>–</w:t>
      </w:r>
      <w:r w:rsidRPr="00CA7033">
        <w:rPr>
          <w:b/>
          <w:szCs w:val="22"/>
        </w:rPr>
        <w:t>17 metų paaugliams rekomenduojamas dozavimas.</w:t>
      </w:r>
    </w:p>
    <w:p w14:paraId="1E2F8B2B"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t>Refliukso sukelto erozinio ezofagito gydymas.</w:t>
      </w:r>
      <w:r w:rsidRPr="00CA7033">
        <w:rPr>
          <w:szCs w:val="22"/>
        </w:rPr>
        <w:t xml:space="preserve"> 60 mg dozę vartoti kartą per parą iki 4 savaičių. Jūsų gydytojas gali paskirti vartoti papildomas 4 savaites.</w:t>
      </w:r>
    </w:p>
    <w:p w14:paraId="20FAAF30"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t>Refliukso sukelto erozinio ezofagito užgijimo ir rėmens sumažėjimo palaikymas pacientams, kuriems reikalingas ilgalaikis rūgšties slopinimas</w:t>
      </w:r>
      <w:r w:rsidRPr="00CA7033">
        <w:rPr>
          <w:szCs w:val="22"/>
        </w:rPr>
        <w:t>.</w:t>
      </w:r>
      <w:r w:rsidRPr="00CA7033">
        <w:rPr>
          <w:b/>
          <w:szCs w:val="22"/>
        </w:rPr>
        <w:t xml:space="preserve"> </w:t>
      </w:r>
      <w:r w:rsidRPr="00CA7033">
        <w:rPr>
          <w:szCs w:val="22"/>
        </w:rPr>
        <w:t>30 mg dozę vartoti kartą per parą. Bendrą gydymo trukmę nustatys gydytojas.</w:t>
      </w:r>
    </w:p>
    <w:p w14:paraId="4C1F919D" w14:textId="77777777" w:rsidR="00311D0F" w:rsidRPr="00CA7033" w:rsidRDefault="00311D0F" w:rsidP="009A1CE0">
      <w:pPr>
        <w:numPr>
          <w:ilvl w:val="0"/>
          <w:numId w:val="8"/>
        </w:numPr>
        <w:tabs>
          <w:tab w:val="clear" w:pos="360"/>
          <w:tab w:val="num" w:pos="567"/>
        </w:tabs>
        <w:ind w:left="567" w:right="-2" w:hanging="567"/>
        <w:rPr>
          <w:szCs w:val="22"/>
        </w:rPr>
      </w:pPr>
      <w:r w:rsidRPr="00CA7033">
        <w:rPr>
          <w:b/>
          <w:szCs w:val="22"/>
        </w:rPr>
        <w:lastRenderedPageBreak/>
        <w:t>Su simptomine gastroezofaginio refliukso liga (GERL) be erozinio ezofagito susijusio rėmens ir rūgšties regurgitacijos gydymas.</w:t>
      </w:r>
      <w:r w:rsidRPr="00CA7033">
        <w:rPr>
          <w:szCs w:val="22"/>
        </w:rPr>
        <w:t xml:space="preserve"> 30 mg dozę vartoti kartą per parą iki 4 savaičių.</w:t>
      </w:r>
    </w:p>
    <w:p w14:paraId="72221151" w14:textId="77777777" w:rsidR="00311D0F" w:rsidRPr="00CA7033" w:rsidRDefault="00311D0F" w:rsidP="009A1CE0">
      <w:pPr>
        <w:numPr>
          <w:ilvl w:val="12"/>
          <w:numId w:val="0"/>
        </w:numPr>
        <w:ind w:right="-2"/>
        <w:rPr>
          <w:szCs w:val="22"/>
        </w:rPr>
      </w:pPr>
    </w:p>
    <w:p w14:paraId="1FFF561A" w14:textId="77777777" w:rsidR="00311D0F" w:rsidRPr="00CA7033" w:rsidRDefault="00311D0F" w:rsidP="00311D0F">
      <w:pPr>
        <w:numPr>
          <w:ilvl w:val="12"/>
          <w:numId w:val="0"/>
        </w:numPr>
        <w:ind w:right="-2"/>
        <w:rPr>
          <w:szCs w:val="22"/>
        </w:rPr>
      </w:pPr>
      <w:r w:rsidRPr="00CA7033">
        <w:rPr>
          <w:b/>
          <w:szCs w:val="22"/>
        </w:rPr>
        <w:t>Senyvi pacientai ir pacientai, kuriems yra kepenų sutrikimų:</w:t>
      </w:r>
      <w:r w:rsidRPr="00CA7033">
        <w:rPr>
          <w:szCs w:val="22"/>
        </w:rPr>
        <w:t xml:space="preserve"> Jūsų gydytojas gali paskirti mažesnę dozę.</w:t>
      </w:r>
    </w:p>
    <w:p w14:paraId="2196D8B9" w14:textId="77777777" w:rsidR="00311D0F" w:rsidRPr="00CA7033" w:rsidRDefault="00311D0F" w:rsidP="00311D0F">
      <w:pPr>
        <w:numPr>
          <w:ilvl w:val="12"/>
          <w:numId w:val="0"/>
        </w:numPr>
        <w:ind w:right="-2"/>
        <w:rPr>
          <w:szCs w:val="22"/>
        </w:rPr>
      </w:pPr>
    </w:p>
    <w:p w14:paraId="3304EA4E" w14:textId="77777777" w:rsidR="00311D0F" w:rsidRPr="00CA7033" w:rsidRDefault="00311D0F" w:rsidP="00311D0F">
      <w:pPr>
        <w:numPr>
          <w:ilvl w:val="12"/>
          <w:numId w:val="0"/>
        </w:numPr>
        <w:ind w:right="-2"/>
        <w:rPr>
          <w:szCs w:val="22"/>
        </w:rPr>
      </w:pPr>
      <w:r w:rsidRPr="00CA7033">
        <w:rPr>
          <w:szCs w:val="22"/>
        </w:rPr>
        <w:t>Kiek laiko vartoti Dexilant, nurodys gydytojas.</w:t>
      </w:r>
    </w:p>
    <w:p w14:paraId="5E9D758C" w14:textId="77777777" w:rsidR="00311D0F" w:rsidRPr="00CA7033" w:rsidRDefault="00311D0F" w:rsidP="00311D0F">
      <w:pPr>
        <w:numPr>
          <w:ilvl w:val="12"/>
          <w:numId w:val="0"/>
        </w:numPr>
        <w:ind w:right="-2"/>
        <w:rPr>
          <w:szCs w:val="22"/>
        </w:rPr>
      </w:pPr>
    </w:p>
    <w:p w14:paraId="59B35313" w14:textId="77777777" w:rsidR="00311D0F" w:rsidRPr="00CA7033" w:rsidRDefault="00311D0F" w:rsidP="00311D0F">
      <w:pPr>
        <w:numPr>
          <w:ilvl w:val="12"/>
          <w:numId w:val="0"/>
        </w:numPr>
        <w:ind w:right="-2"/>
        <w:rPr>
          <w:szCs w:val="22"/>
        </w:rPr>
      </w:pPr>
      <w:r w:rsidRPr="00CA7033">
        <w:rPr>
          <w:szCs w:val="22"/>
        </w:rPr>
        <w:t>Jei reikės, gydytojas gali nurodyti vartoti ir kitokią dozę.</w:t>
      </w:r>
    </w:p>
    <w:p w14:paraId="4F86EA3A" w14:textId="77777777" w:rsidR="00311D0F" w:rsidRPr="00CA7033" w:rsidRDefault="00311D0F" w:rsidP="00311D0F">
      <w:pPr>
        <w:ind w:left="567" w:hanging="567"/>
        <w:rPr>
          <w:szCs w:val="22"/>
        </w:rPr>
      </w:pPr>
    </w:p>
    <w:p w14:paraId="05D4833F" w14:textId="0CD76DA6" w:rsidR="00311D0F" w:rsidRPr="00CA7033" w:rsidRDefault="00311D0F" w:rsidP="00311D0F">
      <w:pPr>
        <w:ind w:left="567" w:hanging="567"/>
        <w:rPr>
          <w:b/>
          <w:szCs w:val="22"/>
        </w:rPr>
      </w:pPr>
      <w:r w:rsidRPr="00CA7033">
        <w:rPr>
          <w:b/>
          <w:szCs w:val="22"/>
        </w:rPr>
        <w:t>Ką daryti pavartojus per didelę Dexilant dozę</w:t>
      </w:r>
    </w:p>
    <w:p w14:paraId="0667DA22" w14:textId="77777777" w:rsidR="002136A8" w:rsidRPr="00CA7033" w:rsidRDefault="002136A8" w:rsidP="00311D0F">
      <w:pPr>
        <w:ind w:left="567" w:hanging="567"/>
        <w:rPr>
          <w:b/>
          <w:szCs w:val="22"/>
        </w:rPr>
      </w:pPr>
    </w:p>
    <w:p w14:paraId="44BBC900" w14:textId="77777777" w:rsidR="00311D0F" w:rsidRPr="00CA7033" w:rsidRDefault="00311D0F" w:rsidP="00311D0F">
      <w:pPr>
        <w:keepNext/>
        <w:numPr>
          <w:ilvl w:val="12"/>
          <w:numId w:val="0"/>
        </w:numPr>
        <w:rPr>
          <w:szCs w:val="22"/>
        </w:rPr>
      </w:pPr>
      <w:r w:rsidRPr="00CA7033">
        <w:rPr>
          <w:szCs w:val="22"/>
        </w:rPr>
        <w:t xml:space="preserve">Jei netyčia nurysite daug kapsulių (perdozuosite) arba kas nors kitas iš karto išgers daug Jūsų vaisto dozių, nedelsdami kreipkitės į gydytoją. </w:t>
      </w:r>
    </w:p>
    <w:p w14:paraId="5496678A" w14:textId="77777777" w:rsidR="002136A8" w:rsidRPr="00CA7033" w:rsidRDefault="002136A8" w:rsidP="00311D0F">
      <w:pPr>
        <w:keepNext/>
        <w:numPr>
          <w:ilvl w:val="12"/>
          <w:numId w:val="0"/>
        </w:numPr>
        <w:rPr>
          <w:szCs w:val="22"/>
        </w:rPr>
      </w:pPr>
    </w:p>
    <w:p w14:paraId="731AD8EB" w14:textId="68CE7CCB" w:rsidR="00311D0F" w:rsidRPr="00CA7033" w:rsidRDefault="00311D0F" w:rsidP="00311D0F">
      <w:pPr>
        <w:keepNext/>
        <w:numPr>
          <w:ilvl w:val="12"/>
          <w:numId w:val="0"/>
        </w:numPr>
        <w:rPr>
          <w:szCs w:val="22"/>
        </w:rPr>
      </w:pPr>
      <w:r w:rsidRPr="00CA7033">
        <w:rPr>
          <w:szCs w:val="22"/>
        </w:rPr>
        <w:t xml:space="preserve">Pacientams, kurie pavartojo didelę dekslansoprazolo dozę, atsirado toliau išvardytų simptomų. </w:t>
      </w:r>
    </w:p>
    <w:p w14:paraId="680099FE"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Didelis kraujospūdis, kraujo samplūdis į veidą, kraujosruvų atsiradimas, gerklės skausmas ir kūno svorio mažėjimas.</w:t>
      </w:r>
    </w:p>
    <w:p w14:paraId="7A209164" w14:textId="77777777" w:rsidR="00311D0F" w:rsidRPr="00CA7033" w:rsidRDefault="00311D0F" w:rsidP="00311D0F">
      <w:pPr>
        <w:ind w:left="567" w:hanging="567"/>
        <w:rPr>
          <w:b/>
          <w:szCs w:val="22"/>
        </w:rPr>
      </w:pPr>
    </w:p>
    <w:p w14:paraId="4E76ADA7" w14:textId="77777777" w:rsidR="00311D0F" w:rsidRPr="00CA7033" w:rsidRDefault="00311D0F" w:rsidP="00311D0F">
      <w:pPr>
        <w:ind w:left="567" w:hanging="567"/>
        <w:rPr>
          <w:b/>
          <w:szCs w:val="22"/>
        </w:rPr>
      </w:pPr>
      <w:r w:rsidRPr="00CA7033">
        <w:rPr>
          <w:b/>
          <w:szCs w:val="22"/>
        </w:rPr>
        <w:t>Pamiršus pavartoti Dexilant</w:t>
      </w:r>
    </w:p>
    <w:p w14:paraId="1170FA74" w14:textId="77777777" w:rsidR="002136A8" w:rsidRPr="00CA7033" w:rsidRDefault="002136A8" w:rsidP="00311D0F">
      <w:pPr>
        <w:ind w:left="567" w:hanging="567"/>
        <w:rPr>
          <w:b/>
          <w:szCs w:val="22"/>
        </w:rPr>
      </w:pPr>
    </w:p>
    <w:p w14:paraId="39F0B11E" w14:textId="77777777" w:rsidR="00311D0F" w:rsidRPr="00CA7033" w:rsidRDefault="00311D0F" w:rsidP="00311D0F">
      <w:pPr>
        <w:numPr>
          <w:ilvl w:val="12"/>
          <w:numId w:val="0"/>
        </w:numPr>
        <w:ind w:right="-2"/>
        <w:rPr>
          <w:szCs w:val="22"/>
        </w:rPr>
      </w:pPr>
      <w:r w:rsidRPr="00CA7033">
        <w:rPr>
          <w:szCs w:val="22"/>
        </w:rPr>
        <w:t>Jei pamiršote pavartoti dozę, ją išgerkite vos tik prisiminę, nebent jau beveik laikas vartoti kitą dozę. Tokiu atveju pamirštąją dozę praleiskite ir kitą dozę gerkite įprastu metu. Negalima vartoti dvigubos dozės norint kompensuoti praleistą dozę.</w:t>
      </w:r>
    </w:p>
    <w:p w14:paraId="61C79062" w14:textId="77777777" w:rsidR="00311D0F" w:rsidRPr="00CA7033" w:rsidRDefault="00311D0F" w:rsidP="00311D0F">
      <w:pPr>
        <w:ind w:left="567" w:hanging="567"/>
        <w:rPr>
          <w:szCs w:val="22"/>
        </w:rPr>
      </w:pPr>
    </w:p>
    <w:p w14:paraId="3FFADA31" w14:textId="3F962357" w:rsidR="00311D0F" w:rsidRPr="00CA7033" w:rsidRDefault="00311D0F" w:rsidP="00311D0F">
      <w:pPr>
        <w:ind w:left="567" w:hanging="567"/>
        <w:rPr>
          <w:b/>
          <w:szCs w:val="22"/>
        </w:rPr>
      </w:pPr>
      <w:r w:rsidRPr="00CA7033">
        <w:rPr>
          <w:b/>
          <w:szCs w:val="22"/>
        </w:rPr>
        <w:t>Nustojus vartoti Dexilant</w:t>
      </w:r>
    </w:p>
    <w:p w14:paraId="28684010" w14:textId="77777777" w:rsidR="002136A8" w:rsidRPr="00CA7033" w:rsidRDefault="002136A8" w:rsidP="00311D0F">
      <w:pPr>
        <w:ind w:left="567" w:hanging="567"/>
        <w:rPr>
          <w:szCs w:val="22"/>
        </w:rPr>
      </w:pPr>
    </w:p>
    <w:p w14:paraId="1591546F" w14:textId="77777777" w:rsidR="00311D0F" w:rsidRPr="00CA7033" w:rsidRDefault="00311D0F" w:rsidP="00311D0F">
      <w:pPr>
        <w:numPr>
          <w:ilvl w:val="12"/>
          <w:numId w:val="0"/>
        </w:numPr>
        <w:ind w:right="-2"/>
        <w:rPr>
          <w:szCs w:val="22"/>
        </w:rPr>
      </w:pPr>
      <w:r w:rsidRPr="00CA7033">
        <w:rPr>
          <w:szCs w:val="22"/>
        </w:rPr>
        <w:t>Nenutraukite gydymo per anksti dėl to, kad pasijutote geriau. Jūsų būklė gali būti dar nevisiškai išgijusi ir nebaigus gydymo kurso gali atsinaujinti. Prieš nutraukdami gydymą, pasitarkite su gydytoju.</w:t>
      </w:r>
    </w:p>
    <w:p w14:paraId="0360D682" w14:textId="77777777" w:rsidR="00311D0F" w:rsidRPr="00CA7033" w:rsidRDefault="00311D0F" w:rsidP="00311D0F">
      <w:pPr>
        <w:numPr>
          <w:ilvl w:val="12"/>
          <w:numId w:val="0"/>
        </w:numPr>
        <w:ind w:right="-2"/>
        <w:rPr>
          <w:szCs w:val="22"/>
        </w:rPr>
      </w:pPr>
    </w:p>
    <w:p w14:paraId="3511E4D6" w14:textId="77777777" w:rsidR="00311D0F" w:rsidRPr="00CA7033" w:rsidRDefault="00311D0F" w:rsidP="00311D0F">
      <w:pPr>
        <w:numPr>
          <w:ilvl w:val="12"/>
          <w:numId w:val="0"/>
        </w:numPr>
        <w:ind w:right="-2"/>
        <w:rPr>
          <w:szCs w:val="22"/>
        </w:rPr>
      </w:pPr>
      <w:r w:rsidRPr="00CA7033">
        <w:rPr>
          <w:szCs w:val="22"/>
        </w:rPr>
        <w:t>Jeigu kiltų daugiau klausimų dėl šio vaisto vartojimo, kreipkitės į gydytoją arba vaistininką.</w:t>
      </w:r>
    </w:p>
    <w:p w14:paraId="0A84B4A5" w14:textId="77777777" w:rsidR="00311D0F" w:rsidRPr="00CA7033" w:rsidRDefault="00311D0F" w:rsidP="00311D0F">
      <w:pPr>
        <w:numPr>
          <w:ilvl w:val="12"/>
          <w:numId w:val="0"/>
        </w:numPr>
        <w:ind w:right="-2"/>
        <w:rPr>
          <w:szCs w:val="22"/>
        </w:rPr>
      </w:pPr>
    </w:p>
    <w:p w14:paraId="2012DBAF" w14:textId="77777777" w:rsidR="00311D0F" w:rsidRPr="00CA7033" w:rsidRDefault="00311D0F" w:rsidP="00311D0F">
      <w:pPr>
        <w:numPr>
          <w:ilvl w:val="12"/>
          <w:numId w:val="0"/>
        </w:numPr>
        <w:ind w:right="-2"/>
        <w:rPr>
          <w:szCs w:val="22"/>
        </w:rPr>
      </w:pPr>
    </w:p>
    <w:p w14:paraId="0E8295D4" w14:textId="77777777" w:rsidR="00311D0F" w:rsidRPr="00CA7033" w:rsidRDefault="00311D0F" w:rsidP="00311D0F">
      <w:pPr>
        <w:numPr>
          <w:ilvl w:val="12"/>
          <w:numId w:val="0"/>
        </w:numPr>
        <w:ind w:left="567" w:hanging="567"/>
        <w:outlineLvl w:val="0"/>
        <w:rPr>
          <w:b/>
          <w:caps/>
          <w:szCs w:val="22"/>
        </w:rPr>
      </w:pPr>
      <w:r w:rsidRPr="00CA7033">
        <w:rPr>
          <w:b/>
          <w:caps/>
          <w:szCs w:val="22"/>
        </w:rPr>
        <w:t>4.</w:t>
      </w:r>
      <w:r w:rsidRPr="00CA7033">
        <w:rPr>
          <w:b/>
          <w:caps/>
          <w:szCs w:val="22"/>
        </w:rPr>
        <w:tab/>
      </w:r>
      <w:r w:rsidRPr="00CA7033">
        <w:rPr>
          <w:b/>
          <w:szCs w:val="22"/>
        </w:rPr>
        <w:t>Galimas šalutinis poveikis</w:t>
      </w:r>
    </w:p>
    <w:p w14:paraId="42BAA3E8" w14:textId="77777777" w:rsidR="00311D0F" w:rsidRPr="00CA7033" w:rsidRDefault="00311D0F" w:rsidP="00311D0F">
      <w:pPr>
        <w:ind w:left="567" w:hanging="567"/>
        <w:rPr>
          <w:szCs w:val="22"/>
        </w:rPr>
      </w:pPr>
    </w:p>
    <w:p w14:paraId="0D2ED679" w14:textId="77777777" w:rsidR="00311D0F" w:rsidRPr="00CA7033" w:rsidRDefault="00311D0F" w:rsidP="00311D0F">
      <w:pPr>
        <w:ind w:left="567" w:hanging="567"/>
        <w:rPr>
          <w:szCs w:val="22"/>
        </w:rPr>
      </w:pPr>
      <w:r w:rsidRPr="00CA7033">
        <w:rPr>
          <w:szCs w:val="22"/>
        </w:rPr>
        <w:t>Šis vaistas, kaip ir visi kiti, gali sukelti šalutinį poveikį, nors jis pasireiškia ne visiems žmonėms.</w:t>
      </w:r>
    </w:p>
    <w:p w14:paraId="58E6959B" w14:textId="77777777" w:rsidR="00311D0F" w:rsidRPr="00CA7033" w:rsidRDefault="00311D0F" w:rsidP="00311D0F">
      <w:pPr>
        <w:ind w:left="567" w:hanging="567"/>
        <w:rPr>
          <w:szCs w:val="22"/>
        </w:rPr>
      </w:pPr>
    </w:p>
    <w:p w14:paraId="2106373F" w14:textId="77777777" w:rsidR="00311D0F" w:rsidRPr="00CA7033" w:rsidRDefault="00311D0F" w:rsidP="00311D0F">
      <w:pPr>
        <w:numPr>
          <w:ilvl w:val="12"/>
          <w:numId w:val="0"/>
        </w:numPr>
        <w:ind w:right="-2"/>
        <w:rPr>
          <w:szCs w:val="22"/>
        </w:rPr>
      </w:pPr>
      <w:r w:rsidRPr="00CA7033">
        <w:rPr>
          <w:szCs w:val="22"/>
        </w:rPr>
        <w:t xml:space="preserve">Klinikinių tyrimų metu pastebėtas su gydymu Dexilant susijęs šalutinis poveikis dažniausiai buvo lengvas arba vidutinio sunkumo. </w:t>
      </w:r>
    </w:p>
    <w:p w14:paraId="068240DC" w14:textId="77777777" w:rsidR="00311D0F" w:rsidRPr="00CA7033" w:rsidRDefault="00311D0F" w:rsidP="00311D0F">
      <w:pPr>
        <w:numPr>
          <w:ilvl w:val="12"/>
          <w:numId w:val="0"/>
        </w:numPr>
        <w:ind w:right="-2"/>
        <w:rPr>
          <w:szCs w:val="22"/>
        </w:rPr>
      </w:pPr>
    </w:p>
    <w:p w14:paraId="4DFEEAA6" w14:textId="77777777" w:rsidR="00311D0F" w:rsidRPr="00CA7033" w:rsidRDefault="00311D0F" w:rsidP="00311D0F">
      <w:pPr>
        <w:numPr>
          <w:ilvl w:val="12"/>
          <w:numId w:val="0"/>
        </w:numPr>
        <w:ind w:right="-2"/>
        <w:rPr>
          <w:b/>
          <w:szCs w:val="22"/>
        </w:rPr>
      </w:pPr>
      <w:r w:rsidRPr="00CA7033">
        <w:rPr>
          <w:b/>
          <w:szCs w:val="22"/>
        </w:rPr>
        <w:t>Jei atsiras bet kuris toliau išvardytas šalutinis poveikis, nedelsdami nutraukite kapsulių vartojimą ir kreipkitės į gydytoją, skubios pagalbos skyrių ar artimiausią ligoninę.</w:t>
      </w:r>
    </w:p>
    <w:p w14:paraId="477CBB05"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Padidėjusio jautrumo ar sunkios alerginės reakcijos (dažnis nežinomas), pvz., išbėrimas, veido patinimas, gerklės spaudimas, kvėpavimo pasunkėjimas.</w:t>
      </w:r>
    </w:p>
    <w:p w14:paraId="171F8B0E" w14:textId="77777777" w:rsidR="00311D0F" w:rsidRPr="00CA7033" w:rsidRDefault="00311D0F" w:rsidP="00311D0F">
      <w:pPr>
        <w:ind w:left="567" w:right="-2" w:hanging="567"/>
        <w:rPr>
          <w:szCs w:val="22"/>
        </w:rPr>
      </w:pPr>
      <w:r w:rsidRPr="00CA7033">
        <w:rPr>
          <w:szCs w:val="22"/>
        </w:rPr>
        <w:t>-</w:t>
      </w:r>
      <w:r w:rsidRPr="00CA7033">
        <w:rPr>
          <w:szCs w:val="22"/>
        </w:rPr>
        <w:tab/>
        <w:t>Anafilaksinis šokas ar rimta, sunki ir staigi alerginė reakcija (dažnis nežinomas), kurios simptomai yra dusulys, minčių susipainiojimas, blyški odos spalva, sunkus odos išbėrimas, gerklės spaudimas, silpnumas, oro gaudymas ir sąmonės netekimas.</w:t>
      </w:r>
    </w:p>
    <w:p w14:paraId="30266291" w14:textId="77777777" w:rsidR="00311D0F" w:rsidRPr="00CA7033" w:rsidRDefault="00311D0F" w:rsidP="00311D0F">
      <w:pPr>
        <w:numPr>
          <w:ilvl w:val="12"/>
          <w:numId w:val="0"/>
        </w:numPr>
        <w:ind w:right="-2"/>
        <w:rPr>
          <w:szCs w:val="22"/>
        </w:rPr>
      </w:pPr>
    </w:p>
    <w:p w14:paraId="4BA01D48" w14:textId="5D75B680" w:rsidR="00311D0F" w:rsidRPr="00CA7033" w:rsidRDefault="00311D0F" w:rsidP="00311D0F">
      <w:pPr>
        <w:numPr>
          <w:ilvl w:val="12"/>
          <w:numId w:val="0"/>
        </w:numPr>
        <w:ind w:right="-2"/>
        <w:rPr>
          <w:szCs w:val="22"/>
        </w:rPr>
      </w:pPr>
      <w:r w:rsidRPr="00CA7033">
        <w:rPr>
          <w:b/>
          <w:szCs w:val="22"/>
        </w:rPr>
        <w:t>Šalutinis poveikis, apie kurį pranešta dažniausiai (dažn</w:t>
      </w:r>
      <w:r w:rsidR="00BC36BE" w:rsidRPr="00CA7033">
        <w:rPr>
          <w:b/>
          <w:szCs w:val="22"/>
        </w:rPr>
        <w:t>i šalutinio poveikio reiškiniai</w:t>
      </w:r>
      <w:r w:rsidRPr="00CA7033">
        <w:rPr>
          <w:b/>
          <w:szCs w:val="22"/>
        </w:rPr>
        <w:t xml:space="preserve"> – gali </w:t>
      </w:r>
      <w:r w:rsidR="002136A8" w:rsidRPr="00CA7033">
        <w:rPr>
          <w:b/>
          <w:szCs w:val="22"/>
        </w:rPr>
        <w:t xml:space="preserve">pasireikšti </w:t>
      </w:r>
      <w:r w:rsidR="00254A1E" w:rsidRPr="00CA7033">
        <w:rPr>
          <w:b/>
          <w:szCs w:val="22"/>
        </w:rPr>
        <w:t>rečiau</w:t>
      </w:r>
      <w:r w:rsidRPr="00CA7033">
        <w:rPr>
          <w:b/>
          <w:szCs w:val="22"/>
        </w:rPr>
        <w:t xml:space="preserve"> kaip 1  iš 10</w:t>
      </w:r>
      <w:r w:rsidR="00254A1E" w:rsidRPr="00CA7033">
        <w:rPr>
          <w:b/>
          <w:szCs w:val="22"/>
        </w:rPr>
        <w:t xml:space="preserve"> asmenų</w:t>
      </w:r>
      <w:r w:rsidRPr="00CA7033">
        <w:rPr>
          <w:b/>
          <w:szCs w:val="22"/>
        </w:rPr>
        <w:t>)</w:t>
      </w:r>
      <w:r w:rsidRPr="00CA7033">
        <w:rPr>
          <w:szCs w:val="22"/>
        </w:rPr>
        <w:t xml:space="preserve"> buvo:</w:t>
      </w:r>
    </w:p>
    <w:p w14:paraId="58902D5E" w14:textId="77777777" w:rsidR="00311D0F" w:rsidRPr="00CA7033" w:rsidRDefault="00311D0F" w:rsidP="009A1CE0">
      <w:pPr>
        <w:numPr>
          <w:ilvl w:val="0"/>
          <w:numId w:val="8"/>
        </w:numPr>
        <w:tabs>
          <w:tab w:val="clear" w:pos="360"/>
          <w:tab w:val="num" w:pos="567"/>
        </w:tabs>
        <w:ind w:left="567" w:right="-2" w:hanging="567"/>
        <w:rPr>
          <w:szCs w:val="22"/>
        </w:rPr>
      </w:pPr>
      <w:r w:rsidRPr="00CA7033">
        <w:rPr>
          <w:szCs w:val="22"/>
        </w:rPr>
        <w:t>viduriavimas, pilvo skausmas, galvos skausmas, šleikštulys (pykinimas), nemalonus pojūtis pilve, dujų kaupimasis (pilvo pūtimas), vidurių užkietėjimas ir gerybiniai skrandžio polipai.</w:t>
      </w:r>
    </w:p>
    <w:p w14:paraId="2E2963AA" w14:textId="77777777" w:rsidR="00311D0F" w:rsidRPr="00CA7033" w:rsidRDefault="00311D0F" w:rsidP="009A1CE0">
      <w:pPr>
        <w:numPr>
          <w:ilvl w:val="12"/>
          <w:numId w:val="0"/>
        </w:numPr>
        <w:ind w:right="-2"/>
        <w:rPr>
          <w:szCs w:val="22"/>
        </w:rPr>
      </w:pPr>
    </w:p>
    <w:p w14:paraId="04E1358C" w14:textId="77777777" w:rsidR="00311D0F" w:rsidRPr="00CA7033" w:rsidRDefault="00311D0F" w:rsidP="00311D0F">
      <w:pPr>
        <w:numPr>
          <w:ilvl w:val="12"/>
          <w:numId w:val="0"/>
        </w:numPr>
        <w:ind w:right="-2"/>
        <w:rPr>
          <w:szCs w:val="22"/>
        </w:rPr>
      </w:pPr>
      <w:r w:rsidRPr="00CA7033">
        <w:rPr>
          <w:szCs w:val="22"/>
        </w:rPr>
        <w:t>Kai kuriems Dexilant vartojusiems pacientams pasireiškė toliau išvardytas šalutinis poveikis.</w:t>
      </w:r>
    </w:p>
    <w:p w14:paraId="4ECFE598" w14:textId="77777777" w:rsidR="00311D0F" w:rsidRPr="00CA7033" w:rsidRDefault="00311D0F" w:rsidP="00311D0F">
      <w:pPr>
        <w:numPr>
          <w:ilvl w:val="12"/>
          <w:numId w:val="0"/>
        </w:numPr>
        <w:ind w:right="-2"/>
        <w:rPr>
          <w:szCs w:val="22"/>
        </w:rPr>
      </w:pPr>
    </w:p>
    <w:p w14:paraId="18A7D8BB" w14:textId="3C97346E" w:rsidR="00311D0F" w:rsidRPr="00CA7033" w:rsidRDefault="00311D0F" w:rsidP="00311D0F">
      <w:pPr>
        <w:numPr>
          <w:ilvl w:val="12"/>
          <w:numId w:val="0"/>
        </w:numPr>
        <w:ind w:right="-2"/>
        <w:rPr>
          <w:szCs w:val="22"/>
        </w:rPr>
      </w:pPr>
      <w:r w:rsidRPr="00CA7033">
        <w:rPr>
          <w:b/>
          <w:szCs w:val="22"/>
        </w:rPr>
        <w:t>Nedažn</w:t>
      </w:r>
      <w:r w:rsidR="00546686" w:rsidRPr="00CA7033">
        <w:rPr>
          <w:b/>
          <w:szCs w:val="22"/>
        </w:rPr>
        <w:t>i</w:t>
      </w:r>
      <w:r w:rsidRPr="00CA7033">
        <w:rPr>
          <w:b/>
          <w:szCs w:val="22"/>
        </w:rPr>
        <w:t xml:space="preserve"> šalutini</w:t>
      </w:r>
      <w:r w:rsidR="00546686" w:rsidRPr="00CA7033">
        <w:rPr>
          <w:b/>
          <w:szCs w:val="22"/>
        </w:rPr>
        <w:t>o</w:t>
      </w:r>
      <w:r w:rsidRPr="00CA7033">
        <w:rPr>
          <w:b/>
          <w:szCs w:val="22"/>
        </w:rPr>
        <w:t xml:space="preserve"> poveiki</w:t>
      </w:r>
      <w:r w:rsidR="00546686" w:rsidRPr="00CA7033">
        <w:rPr>
          <w:b/>
          <w:szCs w:val="22"/>
        </w:rPr>
        <w:t>o</w:t>
      </w:r>
      <w:r w:rsidRPr="00CA7033">
        <w:rPr>
          <w:b/>
          <w:szCs w:val="22"/>
        </w:rPr>
        <w:t xml:space="preserve"> </w:t>
      </w:r>
      <w:r w:rsidR="00546686" w:rsidRPr="00CA7033">
        <w:rPr>
          <w:b/>
          <w:szCs w:val="22"/>
        </w:rPr>
        <w:t xml:space="preserve">reiškiniai </w:t>
      </w:r>
      <w:r w:rsidRPr="00CA7033">
        <w:rPr>
          <w:b/>
          <w:szCs w:val="22"/>
        </w:rPr>
        <w:t xml:space="preserve">(gali pasireikšti </w:t>
      </w:r>
      <w:r w:rsidR="00546686" w:rsidRPr="00CA7033">
        <w:rPr>
          <w:b/>
          <w:szCs w:val="22"/>
        </w:rPr>
        <w:t xml:space="preserve">rečiau </w:t>
      </w:r>
      <w:r w:rsidRPr="00CA7033">
        <w:rPr>
          <w:b/>
          <w:szCs w:val="22"/>
        </w:rPr>
        <w:t>kaip 1 iš 100</w:t>
      </w:r>
      <w:r w:rsidR="00546686" w:rsidRPr="00CA7033">
        <w:rPr>
          <w:b/>
          <w:szCs w:val="22"/>
        </w:rPr>
        <w:t xml:space="preserve"> asmenų</w:t>
      </w:r>
      <w:r w:rsidRPr="00CA7033">
        <w:rPr>
          <w:b/>
          <w:szCs w:val="22"/>
        </w:rPr>
        <w:t>):</w:t>
      </w:r>
    </w:p>
    <w:p w14:paraId="7A322F9C"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miego sutrikimas;</w:t>
      </w:r>
    </w:p>
    <w:p w14:paraId="72595DEB" w14:textId="77777777" w:rsidR="00311D0F" w:rsidRPr="00CA7033" w:rsidRDefault="00311D0F" w:rsidP="00311D0F">
      <w:pPr>
        <w:numPr>
          <w:ilvl w:val="12"/>
          <w:numId w:val="0"/>
        </w:numPr>
        <w:ind w:left="567" w:right="-2" w:hanging="567"/>
        <w:rPr>
          <w:szCs w:val="22"/>
        </w:rPr>
      </w:pPr>
      <w:r w:rsidRPr="00CA7033">
        <w:rPr>
          <w:szCs w:val="22"/>
        </w:rPr>
        <w:lastRenderedPageBreak/>
        <w:t>-</w:t>
      </w:r>
      <w:r w:rsidRPr="00CA7033">
        <w:rPr>
          <w:szCs w:val="22"/>
        </w:rPr>
        <w:tab/>
        <w:t>depresija;</w:t>
      </w:r>
    </w:p>
    <w:p w14:paraId="6974F016"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svaigulys;</w:t>
      </w:r>
    </w:p>
    <w:p w14:paraId="462B759A"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skonio pojūčio pokytis;</w:t>
      </w:r>
    </w:p>
    <w:p w14:paraId="0C4B6738"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didelis kraujospūdis;</w:t>
      </w:r>
    </w:p>
    <w:p w14:paraId="43C393C1"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kraujo samplūdis į veidą;</w:t>
      </w:r>
    </w:p>
    <w:p w14:paraId="410826BC"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kosulys;</w:t>
      </w:r>
    </w:p>
    <w:p w14:paraId="70C2C90B" w14:textId="77777777" w:rsidR="00311D0F" w:rsidRPr="00CA7033" w:rsidRDefault="00311D0F" w:rsidP="00311D0F">
      <w:pPr>
        <w:numPr>
          <w:ilvl w:val="12"/>
          <w:numId w:val="0"/>
        </w:numPr>
        <w:ind w:left="567" w:hanging="567"/>
        <w:rPr>
          <w:szCs w:val="22"/>
        </w:rPr>
      </w:pPr>
      <w:r w:rsidRPr="00CA7033">
        <w:rPr>
          <w:szCs w:val="22"/>
        </w:rPr>
        <w:t>-</w:t>
      </w:r>
      <w:r w:rsidRPr="00CA7033">
        <w:rPr>
          <w:szCs w:val="22"/>
        </w:rPr>
        <w:tab/>
        <w:t>vėmimas;</w:t>
      </w:r>
    </w:p>
    <w:p w14:paraId="7BA7A786" w14:textId="77777777" w:rsidR="00311D0F" w:rsidRPr="00CA7033" w:rsidRDefault="00311D0F" w:rsidP="00311D0F">
      <w:pPr>
        <w:numPr>
          <w:ilvl w:val="12"/>
          <w:numId w:val="0"/>
        </w:numPr>
        <w:ind w:left="567" w:hanging="567"/>
        <w:rPr>
          <w:szCs w:val="22"/>
        </w:rPr>
      </w:pPr>
      <w:r w:rsidRPr="00CA7033">
        <w:rPr>
          <w:szCs w:val="22"/>
        </w:rPr>
        <w:t>-</w:t>
      </w:r>
      <w:r w:rsidRPr="00CA7033">
        <w:rPr>
          <w:szCs w:val="22"/>
        </w:rPr>
        <w:tab/>
        <w:t>burnos džiūvimas;</w:t>
      </w:r>
    </w:p>
    <w:p w14:paraId="69D2BBAF"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nenormalūs kepenų funkcijos tyrimo rodmenys;</w:t>
      </w:r>
    </w:p>
    <w:p w14:paraId="54771A17"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dilgėlinė;</w:t>
      </w:r>
    </w:p>
    <w:p w14:paraId="7830C54F"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niežulys;</w:t>
      </w:r>
    </w:p>
    <w:p w14:paraId="020E698E"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išbėrimas;</w:t>
      </w:r>
    </w:p>
    <w:p w14:paraId="7DF417D1"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silpnumo pojūtis;</w:t>
      </w:r>
    </w:p>
    <w:p w14:paraId="1842A5B7"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apetito pokytis;</w:t>
      </w:r>
    </w:p>
    <w:p w14:paraId="4FDC208A"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šlaunikaulio, riešo ar stuburo lūžimas.</w:t>
      </w:r>
    </w:p>
    <w:p w14:paraId="4AD93DC7" w14:textId="77777777" w:rsidR="00311D0F" w:rsidRPr="00CA7033" w:rsidRDefault="00311D0F" w:rsidP="00311D0F">
      <w:pPr>
        <w:numPr>
          <w:ilvl w:val="12"/>
          <w:numId w:val="0"/>
        </w:numPr>
        <w:ind w:right="-2"/>
        <w:rPr>
          <w:b/>
          <w:szCs w:val="22"/>
        </w:rPr>
      </w:pPr>
    </w:p>
    <w:p w14:paraId="0B23C780" w14:textId="12B04F7A" w:rsidR="00311D0F" w:rsidRPr="00CA7033" w:rsidRDefault="00311D0F" w:rsidP="00311D0F">
      <w:pPr>
        <w:numPr>
          <w:ilvl w:val="12"/>
          <w:numId w:val="0"/>
        </w:numPr>
        <w:ind w:right="-2"/>
        <w:rPr>
          <w:szCs w:val="22"/>
        </w:rPr>
      </w:pPr>
      <w:r w:rsidRPr="00CA7033">
        <w:rPr>
          <w:b/>
          <w:szCs w:val="22"/>
        </w:rPr>
        <w:t>Ret</w:t>
      </w:r>
      <w:r w:rsidR="00546686" w:rsidRPr="00CA7033">
        <w:rPr>
          <w:b/>
          <w:szCs w:val="22"/>
        </w:rPr>
        <w:t>i</w:t>
      </w:r>
      <w:r w:rsidRPr="00CA7033">
        <w:rPr>
          <w:b/>
          <w:szCs w:val="22"/>
        </w:rPr>
        <w:t xml:space="preserve"> šalutini</w:t>
      </w:r>
      <w:r w:rsidR="00546686" w:rsidRPr="00CA7033">
        <w:rPr>
          <w:b/>
          <w:szCs w:val="22"/>
        </w:rPr>
        <w:t>o</w:t>
      </w:r>
      <w:r w:rsidRPr="00CA7033">
        <w:rPr>
          <w:b/>
          <w:szCs w:val="22"/>
        </w:rPr>
        <w:t xml:space="preserve"> poveiki</w:t>
      </w:r>
      <w:r w:rsidR="00546686" w:rsidRPr="00CA7033">
        <w:rPr>
          <w:b/>
          <w:szCs w:val="22"/>
        </w:rPr>
        <w:t>o reiškiniai</w:t>
      </w:r>
      <w:r w:rsidRPr="00CA7033">
        <w:rPr>
          <w:b/>
          <w:szCs w:val="22"/>
        </w:rPr>
        <w:t xml:space="preserve"> (gali pasireikšti </w:t>
      </w:r>
      <w:r w:rsidR="00546686" w:rsidRPr="00CA7033">
        <w:rPr>
          <w:b/>
          <w:szCs w:val="22"/>
        </w:rPr>
        <w:t>rečiau</w:t>
      </w:r>
      <w:r w:rsidRPr="00CA7033">
        <w:rPr>
          <w:b/>
          <w:szCs w:val="22"/>
        </w:rPr>
        <w:t xml:space="preserve"> kaip 1  iš 1</w:t>
      </w:r>
      <w:r w:rsidR="00036801" w:rsidRPr="00CA7033">
        <w:rPr>
          <w:b/>
          <w:szCs w:val="22"/>
        </w:rPr>
        <w:t> </w:t>
      </w:r>
      <w:r w:rsidRPr="00CA7033">
        <w:rPr>
          <w:b/>
          <w:szCs w:val="22"/>
        </w:rPr>
        <w:t>000</w:t>
      </w:r>
      <w:r w:rsidR="00546686" w:rsidRPr="00CA7033">
        <w:rPr>
          <w:b/>
          <w:szCs w:val="22"/>
        </w:rPr>
        <w:t xml:space="preserve"> asmenų</w:t>
      </w:r>
      <w:r w:rsidRPr="00CA7033">
        <w:rPr>
          <w:b/>
          <w:szCs w:val="22"/>
        </w:rPr>
        <w:t>):</w:t>
      </w:r>
    </w:p>
    <w:p w14:paraId="76A9228F"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haliucinacijos (balsų ar garsų girdėjimas);</w:t>
      </w:r>
    </w:p>
    <w:p w14:paraId="519FB678"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traukuliai;</w:t>
      </w:r>
    </w:p>
    <w:p w14:paraId="7727F06F"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dilgčiojimas ar tirpimas;</w:t>
      </w:r>
    </w:p>
    <w:p w14:paraId="523FC02B"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regos sutrikimas;</w:t>
      </w:r>
    </w:p>
    <w:p w14:paraId="484C6559" w14:textId="6332CB88" w:rsidR="000A3D05" w:rsidRDefault="00311D0F" w:rsidP="000A3D05">
      <w:pPr>
        <w:numPr>
          <w:ilvl w:val="12"/>
          <w:numId w:val="0"/>
        </w:numPr>
        <w:ind w:left="567" w:right="-2" w:hanging="567"/>
        <w:rPr>
          <w:szCs w:val="22"/>
        </w:rPr>
      </w:pPr>
      <w:r w:rsidRPr="00CA7033">
        <w:rPr>
          <w:szCs w:val="22"/>
        </w:rPr>
        <w:t>-</w:t>
      </w:r>
      <w:r w:rsidRPr="00CA7033">
        <w:rPr>
          <w:szCs w:val="22"/>
        </w:rPr>
        <w:tab/>
        <w:t>svaigulio ar sukimosi pojūtis;</w:t>
      </w:r>
    </w:p>
    <w:p w14:paraId="3EC1BC81" w14:textId="7DD4E26E" w:rsidR="000A3D05" w:rsidRPr="000A3D05" w:rsidRDefault="000A3D05" w:rsidP="00681358">
      <w:pPr>
        <w:ind w:right="-2"/>
        <w:rPr>
          <w:szCs w:val="22"/>
        </w:rPr>
      </w:pPr>
      <w:r>
        <w:rPr>
          <w:szCs w:val="22"/>
        </w:rPr>
        <w:t>-         inkstų problemos</w:t>
      </w:r>
      <w:r w:rsidR="00E862F4">
        <w:rPr>
          <w:szCs w:val="22"/>
        </w:rPr>
        <w:t>;</w:t>
      </w:r>
    </w:p>
    <w:p w14:paraId="34B9EC66"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mieliagrybių infekcija.</w:t>
      </w:r>
    </w:p>
    <w:p w14:paraId="5BAEE27D" w14:textId="77777777" w:rsidR="00311D0F" w:rsidRPr="00CA7033" w:rsidRDefault="00311D0F" w:rsidP="00311D0F">
      <w:pPr>
        <w:numPr>
          <w:ilvl w:val="12"/>
          <w:numId w:val="0"/>
        </w:numPr>
        <w:ind w:right="-2"/>
        <w:rPr>
          <w:szCs w:val="22"/>
        </w:rPr>
      </w:pPr>
    </w:p>
    <w:p w14:paraId="5F33C2A7" w14:textId="10E5BA7D" w:rsidR="00311D0F" w:rsidRPr="00CA7033" w:rsidRDefault="00036801" w:rsidP="00311D0F">
      <w:pPr>
        <w:numPr>
          <w:ilvl w:val="12"/>
          <w:numId w:val="0"/>
        </w:numPr>
        <w:ind w:right="-2"/>
        <w:rPr>
          <w:b/>
          <w:szCs w:val="22"/>
        </w:rPr>
      </w:pPr>
      <w:r w:rsidRPr="00CA7033">
        <w:rPr>
          <w:b/>
          <w:bCs/>
          <w:szCs w:val="22"/>
        </w:rPr>
        <w:t>Šalutinio poveikio reiškiniai, kurių</w:t>
      </w:r>
      <w:r w:rsidRPr="00CA7033">
        <w:rPr>
          <w:b/>
          <w:szCs w:val="22"/>
        </w:rPr>
        <w:t xml:space="preserve"> d</w:t>
      </w:r>
      <w:r w:rsidR="00311D0F" w:rsidRPr="00CA7033">
        <w:rPr>
          <w:b/>
          <w:szCs w:val="22"/>
        </w:rPr>
        <w:t>ažnis nežinomas (negali būti apskaičiuotas pagal turimus duomenis):</w:t>
      </w:r>
    </w:p>
    <w:p w14:paraId="5FBF7A6D"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raudonųjų kraujo ląstelių kiekio sumažėjimas, galintis sukelti blyškumą, silpnumą, fizinio krūvio netoleravimą, svaigulį, nuovargį ir minčių susipainiojimą;</w:t>
      </w:r>
    </w:p>
    <w:p w14:paraId="4FC887CE"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kraujosruvų atsiradimas ar kraujavimas, kurį sukelia nenormalus trombocitų kiekis, atsiradęs dėl nežinomos priežasties;</w:t>
      </w:r>
    </w:p>
    <w:p w14:paraId="5B0ECC5E" w14:textId="1060E209" w:rsidR="00311D0F" w:rsidRPr="00CA7033" w:rsidRDefault="00311D0F" w:rsidP="00311D0F">
      <w:pPr>
        <w:numPr>
          <w:ilvl w:val="12"/>
          <w:numId w:val="0"/>
        </w:numPr>
        <w:ind w:left="567" w:right="-2" w:hanging="567"/>
        <w:rPr>
          <w:szCs w:val="22"/>
        </w:rPr>
      </w:pPr>
      <w:r w:rsidRPr="00CA7033">
        <w:rPr>
          <w:szCs w:val="22"/>
        </w:rPr>
        <w:t>-</w:t>
      </w:r>
      <w:r w:rsidRPr="00CA7033">
        <w:rPr>
          <w:szCs w:val="22"/>
        </w:rPr>
        <w:tab/>
        <w:t>sunkios odos reakcijos</w:t>
      </w:r>
      <w:r w:rsidR="002136A8" w:rsidRPr="00CA7033">
        <w:rPr>
          <w:szCs w:val="22"/>
        </w:rPr>
        <w:t xml:space="preserve"> (Stivenso-Džonsono [</w:t>
      </w:r>
      <w:r w:rsidR="002136A8" w:rsidRPr="00CA7033">
        <w:rPr>
          <w:i/>
          <w:iCs/>
          <w:szCs w:val="22"/>
        </w:rPr>
        <w:t>Stevens-Johnson</w:t>
      </w:r>
      <w:r w:rsidR="002136A8" w:rsidRPr="00CA7033">
        <w:rPr>
          <w:szCs w:val="22"/>
        </w:rPr>
        <w:t>] sindromas, toksinė epidermio nekrolizė (TEN), reakcija į vaistinį preparatą su eozinofilija ir sisteminiais simptomais (DRESS), daugiaformė eritema ir poūmė odos raudonoji vilkligė)</w:t>
      </w:r>
      <w:r w:rsidR="000B1860" w:rsidRPr="00CA7033">
        <w:rPr>
          <w:szCs w:val="22"/>
        </w:rPr>
        <w:t>. Be to, Jums gali pasireikšti sąnarių skausmas ar į gripą panašūs simptomai, karščiavimas, liaukų patinimas (pvz., pažastyse), o kraujo tyrimai gali rodyti tam tikrų kraujo ląstelių ar kepenų fermentų pokyčių;</w:t>
      </w:r>
    </w:p>
    <w:p w14:paraId="61C30684"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matomo vaizdo neryškumas;</w:t>
      </w:r>
    </w:p>
    <w:p w14:paraId="11DDE407"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kurtumas;</w:t>
      </w:r>
    </w:p>
    <w:p w14:paraId="08818D81"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vaistų sukeltas kepenų uždegimas (jo simptomai yra apetito netekimas, galvos skausmas, pykinimas, nuovargis, karščiavimas, gelta, šviesios ar molio spalvos išmatos ir tamsus šlapimas);</w:t>
      </w:r>
    </w:p>
    <w:p w14:paraId="6D1E40BD"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išbėrimas, galintis pasireikšti kartu su sąnarių skausmu;</w:t>
      </w:r>
    </w:p>
    <w:p w14:paraId="3CA67950" w14:textId="4140E670" w:rsidR="00311D0F" w:rsidRPr="00CA7033" w:rsidRDefault="00311D0F" w:rsidP="00311D0F">
      <w:pPr>
        <w:numPr>
          <w:ilvl w:val="12"/>
          <w:numId w:val="0"/>
        </w:numPr>
        <w:ind w:left="567" w:right="-2" w:hanging="567"/>
        <w:rPr>
          <w:szCs w:val="22"/>
        </w:rPr>
      </w:pPr>
      <w:r w:rsidRPr="00CA7033">
        <w:rPr>
          <w:szCs w:val="22"/>
        </w:rPr>
        <w:t>-</w:t>
      </w:r>
      <w:r w:rsidRPr="00CA7033">
        <w:rPr>
          <w:szCs w:val="22"/>
        </w:rPr>
        <w:tab/>
        <w:t>jei Dexilant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4CEFD4A6" w14:textId="24170EB1" w:rsidR="000B1860" w:rsidRPr="00B024D7" w:rsidRDefault="00BB7E68" w:rsidP="00681358">
      <w:pPr>
        <w:pStyle w:val="Sraopastraipa"/>
        <w:numPr>
          <w:ilvl w:val="0"/>
          <w:numId w:val="22"/>
        </w:numPr>
        <w:ind w:left="567"/>
        <w:rPr>
          <w:iCs/>
        </w:rPr>
      </w:pPr>
      <w:r w:rsidRPr="00CA7033">
        <w:rPr>
          <w:iCs/>
          <w:szCs w:val="20"/>
          <w:shd w:val="clear" w:color="auto" w:fill="FFFFFF"/>
        </w:rPr>
        <w:t xml:space="preserve">mažas natrio kiekis kraujyje. Dažni simptomai gali būti pykinimas ir vėmimas, galvos skausmas, mieguistumas ir nuovargis, sumišimas, raumenų silpnumas arba spazmai; </w:t>
      </w:r>
    </w:p>
    <w:p w14:paraId="5988C635" w14:textId="77777777" w:rsidR="00311D0F" w:rsidRPr="00CA7033" w:rsidRDefault="00311D0F" w:rsidP="00311D0F">
      <w:pPr>
        <w:numPr>
          <w:ilvl w:val="12"/>
          <w:numId w:val="0"/>
        </w:numPr>
        <w:ind w:left="567" w:right="-2" w:hanging="567"/>
        <w:rPr>
          <w:szCs w:val="22"/>
        </w:rPr>
      </w:pPr>
      <w:r w:rsidRPr="00CA7033">
        <w:rPr>
          <w:szCs w:val="22"/>
        </w:rPr>
        <w:t>-</w:t>
      </w:r>
      <w:r w:rsidRPr="00CA7033">
        <w:rPr>
          <w:szCs w:val="22"/>
        </w:rPr>
        <w:tab/>
        <w:t>regėjimo haliucinacijos.</w:t>
      </w:r>
    </w:p>
    <w:p w14:paraId="6F28B86B" w14:textId="77777777" w:rsidR="00311D0F" w:rsidRPr="00CA7033" w:rsidRDefault="00311D0F" w:rsidP="00311D0F">
      <w:pPr>
        <w:numPr>
          <w:ilvl w:val="12"/>
          <w:numId w:val="0"/>
        </w:numPr>
        <w:ind w:right="-2"/>
        <w:rPr>
          <w:szCs w:val="22"/>
        </w:rPr>
      </w:pPr>
    </w:p>
    <w:p w14:paraId="0837C08F" w14:textId="77777777" w:rsidR="00311D0F" w:rsidRPr="00CA7033" w:rsidRDefault="00311D0F" w:rsidP="00311D0F">
      <w:pPr>
        <w:rPr>
          <w:b/>
          <w:szCs w:val="22"/>
        </w:rPr>
      </w:pPr>
      <w:r w:rsidRPr="00CA7033">
        <w:rPr>
          <w:b/>
          <w:szCs w:val="22"/>
        </w:rPr>
        <w:t>Pranešimas apie šalutinį poveikį</w:t>
      </w:r>
    </w:p>
    <w:p w14:paraId="4C25E822" w14:textId="77777777" w:rsidR="00A236C8" w:rsidRPr="00CA7033" w:rsidRDefault="00A236C8" w:rsidP="00311D0F">
      <w:pPr>
        <w:rPr>
          <w:b/>
          <w:szCs w:val="22"/>
        </w:rPr>
      </w:pPr>
    </w:p>
    <w:p w14:paraId="5DE2DFC6" w14:textId="7714F218" w:rsidR="00311D0F" w:rsidRPr="00CA7033" w:rsidRDefault="00311D0F" w:rsidP="00311D0F">
      <w:pPr>
        <w:ind w:right="-449"/>
        <w:rPr>
          <w:snapToGrid w:val="0"/>
        </w:rPr>
      </w:pPr>
      <w:r w:rsidRPr="00CA7033">
        <w:rPr>
          <w:szCs w:val="22"/>
        </w:rPr>
        <w:t xml:space="preserve">Jeigu pasireiškė šalutinis poveikis, įskaitant šiame lapelyje nenurodytą, pasakykite gydytojui arba vaistininkui. </w:t>
      </w:r>
      <w:r w:rsidR="00E862F4">
        <w:rPr>
          <w:szCs w:val="22"/>
          <w:lang w:eastAsia="lt-LT"/>
        </w:rPr>
        <w:t xml:space="preserve">Pranešimą apie šalutinį poveikį galite užpildyti ir pateikti Valstybinės vaistų kontrolės tarnybos prie Lietuvos Respublikos sveikatos apsaugos ministerijos tinklalapyje </w:t>
      </w:r>
      <w:r w:rsidR="00E862F4">
        <w:rPr>
          <w:color w:val="0000EE"/>
          <w:szCs w:val="22"/>
          <w:u w:val="single"/>
          <w:lang w:eastAsia="lt-LT"/>
        </w:rPr>
        <w:t>https://vvkt.lrv.lt/lt/</w:t>
      </w:r>
      <w:r w:rsidR="00E862F4">
        <w:rPr>
          <w:szCs w:val="22"/>
          <w:lang w:eastAsia="lt-LT"/>
        </w:rPr>
        <w:t xml:space="preserve"> </w:t>
      </w:r>
      <w:r w:rsidR="00E862F4">
        <w:rPr>
          <w:szCs w:val="22"/>
          <w:lang w:eastAsia="lt-LT"/>
        </w:rPr>
        <w:lastRenderedPageBreak/>
        <w:t>nurodytais būdais arba paskambinti nemokamu telefonu 8 800 73 568. Pranešdami apie šalutinį poveikį galite mums padėti gauti daugiau informacijos apie šio vaisto saugumą</w:t>
      </w:r>
      <w:r w:rsidR="00546686" w:rsidRPr="00CA7033">
        <w:rPr>
          <w:snapToGrid w:val="0"/>
        </w:rPr>
        <w:t>.</w:t>
      </w:r>
    </w:p>
    <w:p w14:paraId="67E079CC" w14:textId="77777777" w:rsidR="00036801" w:rsidRPr="00CA7033" w:rsidRDefault="00036801" w:rsidP="00311D0F">
      <w:pPr>
        <w:ind w:right="-449"/>
        <w:rPr>
          <w:szCs w:val="22"/>
        </w:rPr>
      </w:pPr>
    </w:p>
    <w:p w14:paraId="63AFA71D" w14:textId="77777777" w:rsidR="00311D0F" w:rsidRPr="00CA7033" w:rsidRDefault="00311D0F" w:rsidP="00311D0F">
      <w:pPr>
        <w:numPr>
          <w:ilvl w:val="12"/>
          <w:numId w:val="0"/>
        </w:numPr>
        <w:ind w:right="-2"/>
        <w:rPr>
          <w:szCs w:val="22"/>
        </w:rPr>
      </w:pPr>
    </w:p>
    <w:p w14:paraId="64AAEADC" w14:textId="77777777" w:rsidR="00311D0F" w:rsidRPr="00CA7033" w:rsidRDefault="00311D0F" w:rsidP="00311D0F">
      <w:pPr>
        <w:numPr>
          <w:ilvl w:val="12"/>
          <w:numId w:val="0"/>
        </w:numPr>
        <w:ind w:left="567" w:right="-2" w:hanging="567"/>
        <w:rPr>
          <w:szCs w:val="22"/>
        </w:rPr>
      </w:pPr>
      <w:r w:rsidRPr="00CA7033">
        <w:rPr>
          <w:b/>
          <w:szCs w:val="22"/>
        </w:rPr>
        <w:t>5.</w:t>
      </w:r>
      <w:r w:rsidRPr="00CA7033">
        <w:rPr>
          <w:b/>
          <w:szCs w:val="22"/>
        </w:rPr>
        <w:tab/>
        <w:t>Kaip laikyti Dexilant</w:t>
      </w:r>
    </w:p>
    <w:p w14:paraId="0C00E646" w14:textId="77777777" w:rsidR="00311D0F" w:rsidRPr="00CA7033" w:rsidRDefault="00311D0F" w:rsidP="00311D0F">
      <w:pPr>
        <w:rPr>
          <w:i/>
          <w:szCs w:val="22"/>
        </w:rPr>
      </w:pPr>
    </w:p>
    <w:p w14:paraId="198EB192" w14:textId="77777777" w:rsidR="00311D0F" w:rsidRPr="00CA7033" w:rsidRDefault="00311D0F" w:rsidP="00311D0F">
      <w:pPr>
        <w:numPr>
          <w:ilvl w:val="12"/>
          <w:numId w:val="0"/>
        </w:numPr>
        <w:ind w:right="-2"/>
        <w:rPr>
          <w:szCs w:val="22"/>
        </w:rPr>
      </w:pPr>
      <w:r w:rsidRPr="00CA7033">
        <w:rPr>
          <w:szCs w:val="22"/>
        </w:rPr>
        <w:t>Šį vaistą laikykite vaikams nepastebimoje ir nepasiekiamoje vietoje.</w:t>
      </w:r>
    </w:p>
    <w:p w14:paraId="123EF2FA" w14:textId="77777777" w:rsidR="00311D0F" w:rsidRPr="00CA7033" w:rsidRDefault="00311D0F" w:rsidP="00311D0F">
      <w:pPr>
        <w:numPr>
          <w:ilvl w:val="12"/>
          <w:numId w:val="0"/>
        </w:numPr>
        <w:ind w:right="-2"/>
        <w:rPr>
          <w:szCs w:val="22"/>
        </w:rPr>
      </w:pPr>
    </w:p>
    <w:p w14:paraId="13FC187F" w14:textId="77777777" w:rsidR="00311D0F" w:rsidRPr="00CA7033" w:rsidRDefault="00311D0F" w:rsidP="00311D0F">
      <w:pPr>
        <w:pStyle w:val="Pagrindinistekstas"/>
        <w:rPr>
          <w:i w:val="0"/>
          <w:iCs/>
          <w:color w:val="auto"/>
          <w:szCs w:val="22"/>
          <w:lang w:val="lt-LT"/>
        </w:rPr>
      </w:pPr>
      <w:r w:rsidRPr="00CA7033">
        <w:rPr>
          <w:i w:val="0"/>
          <w:iCs/>
          <w:color w:val="auto"/>
          <w:szCs w:val="22"/>
          <w:lang w:val="lt-LT"/>
        </w:rPr>
        <w:t>Ant lizdinės plokštelės ar dėžutės po „EXP“ arba „Tinka iki“ nurodytam tinkamumo laikui pasibaigus, šio vaisto vartoti negalima. Vaistas tinkamas vartoti iki paskutinės nurodyto mėnesio dienos.</w:t>
      </w:r>
    </w:p>
    <w:p w14:paraId="4944720A" w14:textId="77777777" w:rsidR="00311D0F" w:rsidRPr="00CA7033" w:rsidRDefault="00311D0F" w:rsidP="00311D0F">
      <w:pPr>
        <w:numPr>
          <w:ilvl w:val="12"/>
          <w:numId w:val="0"/>
        </w:numPr>
        <w:ind w:right="-2"/>
        <w:rPr>
          <w:szCs w:val="22"/>
        </w:rPr>
      </w:pPr>
    </w:p>
    <w:p w14:paraId="61D7C26C" w14:textId="77777777" w:rsidR="00311D0F" w:rsidRPr="00CA7033" w:rsidRDefault="00311D0F" w:rsidP="00311D0F">
      <w:pPr>
        <w:pStyle w:val="Pagrindinistekstas"/>
        <w:rPr>
          <w:i w:val="0"/>
          <w:color w:val="000000"/>
          <w:szCs w:val="22"/>
          <w:lang w:val="lt-LT"/>
        </w:rPr>
      </w:pPr>
      <w:r w:rsidRPr="00CA7033">
        <w:rPr>
          <w:i w:val="0"/>
          <w:color w:val="000000"/>
          <w:szCs w:val="22"/>
          <w:lang w:val="lt-LT"/>
        </w:rPr>
        <w:t>Laikyti ne aukštesnėje kaip 25°C temperatūroje.</w:t>
      </w:r>
    </w:p>
    <w:p w14:paraId="2D4A8C71" w14:textId="77777777" w:rsidR="00311D0F" w:rsidRPr="00CA7033" w:rsidRDefault="00311D0F" w:rsidP="00311D0F">
      <w:pPr>
        <w:pStyle w:val="Pagrindinistekstas"/>
        <w:rPr>
          <w:i w:val="0"/>
          <w:iCs/>
          <w:color w:val="auto"/>
          <w:szCs w:val="22"/>
          <w:lang w:val="lt-LT"/>
        </w:rPr>
      </w:pPr>
    </w:p>
    <w:p w14:paraId="1FFA9169" w14:textId="77777777" w:rsidR="00311D0F" w:rsidRPr="00CA7033" w:rsidRDefault="00311D0F" w:rsidP="00311D0F">
      <w:pPr>
        <w:numPr>
          <w:ilvl w:val="12"/>
          <w:numId w:val="0"/>
        </w:numPr>
        <w:ind w:right="-2"/>
        <w:rPr>
          <w:szCs w:val="22"/>
        </w:rPr>
      </w:pPr>
      <w:r w:rsidRPr="00CA7033">
        <w:rPr>
          <w:szCs w:val="22"/>
        </w:rPr>
        <w:t>Vaistų negalima išmesti į kanalizaciją arba su buitinėmis</w:t>
      </w:r>
      <w:r w:rsidRPr="00CA7033">
        <w:rPr>
          <w:color w:val="993366"/>
          <w:szCs w:val="22"/>
        </w:rPr>
        <w:t xml:space="preserve"> </w:t>
      </w:r>
      <w:r w:rsidRPr="00CA7033">
        <w:rPr>
          <w:szCs w:val="22"/>
        </w:rPr>
        <w:t>atliekomis. Kaip išmesti nereikalingus vaistus, klauskite vaistininko. Šios priemonės padės apsaugoti aplinką.</w:t>
      </w:r>
    </w:p>
    <w:p w14:paraId="6AA9321F" w14:textId="77777777" w:rsidR="00311D0F" w:rsidRPr="00CA7033" w:rsidRDefault="00311D0F" w:rsidP="00311D0F">
      <w:pPr>
        <w:numPr>
          <w:ilvl w:val="12"/>
          <w:numId w:val="0"/>
        </w:numPr>
        <w:ind w:right="-2"/>
        <w:rPr>
          <w:szCs w:val="22"/>
        </w:rPr>
      </w:pPr>
    </w:p>
    <w:p w14:paraId="77F4CC50" w14:textId="77777777" w:rsidR="00311D0F" w:rsidRPr="00CA7033" w:rsidRDefault="00311D0F" w:rsidP="00311D0F">
      <w:pPr>
        <w:numPr>
          <w:ilvl w:val="12"/>
          <w:numId w:val="0"/>
        </w:numPr>
        <w:ind w:right="-2"/>
        <w:rPr>
          <w:szCs w:val="22"/>
        </w:rPr>
      </w:pPr>
    </w:p>
    <w:p w14:paraId="054F1F57" w14:textId="77777777" w:rsidR="00311D0F" w:rsidRPr="00CA7033" w:rsidRDefault="00311D0F" w:rsidP="00311D0F">
      <w:pPr>
        <w:numPr>
          <w:ilvl w:val="12"/>
          <w:numId w:val="0"/>
        </w:numPr>
        <w:ind w:right="-2"/>
        <w:rPr>
          <w:b/>
          <w:szCs w:val="22"/>
        </w:rPr>
      </w:pPr>
      <w:r w:rsidRPr="00CA7033">
        <w:rPr>
          <w:b/>
          <w:szCs w:val="22"/>
        </w:rPr>
        <w:t>6.</w:t>
      </w:r>
      <w:r w:rsidRPr="00CA7033">
        <w:rPr>
          <w:b/>
          <w:szCs w:val="22"/>
        </w:rPr>
        <w:tab/>
        <w:t>Pakuotės turinys ir kita informacija</w:t>
      </w:r>
    </w:p>
    <w:p w14:paraId="4771ECE6" w14:textId="77777777" w:rsidR="00311D0F" w:rsidRPr="00CA7033" w:rsidRDefault="00311D0F" w:rsidP="00311D0F">
      <w:pPr>
        <w:numPr>
          <w:ilvl w:val="12"/>
          <w:numId w:val="0"/>
        </w:numPr>
        <w:ind w:right="-2"/>
        <w:rPr>
          <w:szCs w:val="22"/>
        </w:rPr>
      </w:pPr>
    </w:p>
    <w:p w14:paraId="789A1868" w14:textId="77777777" w:rsidR="00311D0F" w:rsidRPr="00CA7033" w:rsidRDefault="00311D0F" w:rsidP="00311D0F">
      <w:pPr>
        <w:numPr>
          <w:ilvl w:val="12"/>
          <w:numId w:val="0"/>
        </w:numPr>
        <w:ind w:right="-2"/>
        <w:rPr>
          <w:szCs w:val="22"/>
          <w:u w:val="single"/>
        </w:rPr>
      </w:pPr>
      <w:r w:rsidRPr="00CA7033">
        <w:rPr>
          <w:b/>
          <w:bCs/>
          <w:szCs w:val="22"/>
        </w:rPr>
        <w:t>Dexilant sudėtis:</w:t>
      </w:r>
    </w:p>
    <w:p w14:paraId="4AA73A5A" w14:textId="77777777" w:rsidR="00311D0F" w:rsidRPr="00CA7033" w:rsidRDefault="00311D0F" w:rsidP="00311D0F">
      <w:pPr>
        <w:numPr>
          <w:ilvl w:val="0"/>
          <w:numId w:val="9"/>
        </w:numPr>
        <w:ind w:left="567" w:right="-2" w:hanging="567"/>
        <w:rPr>
          <w:i/>
          <w:iCs/>
          <w:szCs w:val="22"/>
        </w:rPr>
      </w:pPr>
      <w:r w:rsidRPr="00CA7033">
        <w:rPr>
          <w:b/>
          <w:szCs w:val="22"/>
        </w:rPr>
        <w:t xml:space="preserve">Veiklioji medžiaga </w:t>
      </w:r>
      <w:r w:rsidRPr="00CA7033">
        <w:rPr>
          <w:szCs w:val="22"/>
        </w:rPr>
        <w:t>yra dekslansoprazolas. Kiekvienoje modifikuoto atpalaidavimo kapsulėje yra 30 mg arba 60 mg dekslansoprazolo.</w:t>
      </w:r>
    </w:p>
    <w:p w14:paraId="0C76702E" w14:textId="19FD81F6" w:rsidR="00311D0F" w:rsidRPr="00CA7033" w:rsidRDefault="00311D0F" w:rsidP="00311D0F">
      <w:pPr>
        <w:numPr>
          <w:ilvl w:val="0"/>
          <w:numId w:val="9"/>
        </w:numPr>
        <w:ind w:left="567" w:right="-2" w:hanging="567"/>
        <w:rPr>
          <w:szCs w:val="22"/>
        </w:rPr>
      </w:pPr>
      <w:r w:rsidRPr="00CA7033">
        <w:rPr>
          <w:b/>
          <w:szCs w:val="22"/>
        </w:rPr>
        <w:t>Kitos (pagalbinės) medžiagos</w:t>
      </w:r>
      <w:r w:rsidR="00A236C8" w:rsidRPr="00CA7033">
        <w:rPr>
          <w:b/>
          <w:szCs w:val="22"/>
        </w:rPr>
        <w:t xml:space="preserve"> </w:t>
      </w:r>
      <w:r w:rsidR="00A236C8" w:rsidRPr="00572B1E">
        <w:rPr>
          <w:bCs/>
          <w:szCs w:val="22"/>
        </w:rPr>
        <w:t>yra</w:t>
      </w:r>
    </w:p>
    <w:p w14:paraId="36BA5440" w14:textId="1C5B97D2" w:rsidR="00311D0F" w:rsidRPr="00CA7033" w:rsidRDefault="00311D0F" w:rsidP="009A1CE0">
      <w:pPr>
        <w:numPr>
          <w:ilvl w:val="0"/>
          <w:numId w:val="10"/>
        </w:numPr>
        <w:outlineLvl w:val="0"/>
        <w:rPr>
          <w:szCs w:val="22"/>
        </w:rPr>
      </w:pPr>
      <w:r w:rsidRPr="00CA7033">
        <w:rPr>
          <w:b/>
          <w:i/>
          <w:szCs w:val="22"/>
        </w:rPr>
        <w:t>Kapsulės turinys</w:t>
      </w:r>
      <w:r w:rsidRPr="00CA7033">
        <w:rPr>
          <w:b/>
          <w:iCs/>
          <w:szCs w:val="22"/>
        </w:rPr>
        <w:t>:</w:t>
      </w:r>
      <w:r w:rsidRPr="00CA7033">
        <w:rPr>
          <w:szCs w:val="22"/>
        </w:rPr>
        <w:t xml:space="preserve"> bevandenis koloidinis silicio dioksidas, hidroksipropilceliuliozė, hipromeliozė, mažai pakeista hidroksipropilceliuliozė, sunkusis magnio subkarbonatas, metakrilo rūgšties ir etilakrilato 1:1 kopolimero 30 % dispersija (metakrilo rūgšties vienetai, etilakrilato vienetai, natrio laurilsulfatas, polisorbatas 80), metakrilo rūgšties ir metilmetakrilato 1:1 kopolimeras, metakrilo rūgšties ir metilmetakrilato 1:2 kopolimeras, makrogolis 8000, polisorbatas 80, sacharozė</w:t>
      </w:r>
      <w:r w:rsidR="001965FF" w:rsidRPr="00CA7033">
        <w:rPr>
          <w:szCs w:val="22"/>
        </w:rPr>
        <w:t xml:space="preserve"> </w:t>
      </w:r>
      <w:r w:rsidR="001965FF" w:rsidRPr="00CA7033">
        <w:t xml:space="preserve">(žr. 2 skyrių </w:t>
      </w:r>
      <w:r w:rsidR="001965FF" w:rsidRPr="00CA7033">
        <w:rPr>
          <w:spacing w:val="-1"/>
        </w:rPr>
        <w:t>“Dexilant sudėtyje yra sacharozės</w:t>
      </w:r>
      <w:r w:rsidR="001965FF" w:rsidRPr="00CA7033">
        <w:t>)</w:t>
      </w:r>
      <w:r w:rsidRPr="00CA7033">
        <w:rPr>
          <w:szCs w:val="22"/>
        </w:rPr>
        <w:t xml:space="preserve">, cukriniai branduoliai (sacharozė, kukurūzų krakmolas), talkas, titano dioksidas (E171), trietilo citratas </w:t>
      </w:r>
    </w:p>
    <w:p w14:paraId="253EF64A" w14:textId="77777777" w:rsidR="00311D0F" w:rsidRPr="00CA7033" w:rsidRDefault="00311D0F" w:rsidP="009A1CE0">
      <w:pPr>
        <w:numPr>
          <w:ilvl w:val="0"/>
          <w:numId w:val="10"/>
        </w:numPr>
        <w:tabs>
          <w:tab w:val="left" w:pos="567"/>
        </w:tabs>
        <w:spacing w:line="260" w:lineRule="exact"/>
        <w:rPr>
          <w:szCs w:val="22"/>
        </w:rPr>
      </w:pPr>
      <w:r w:rsidRPr="00CA7033">
        <w:rPr>
          <w:b/>
          <w:i/>
          <w:szCs w:val="22"/>
        </w:rPr>
        <w:t>30 mg kapsulės apvalkalas</w:t>
      </w:r>
      <w:r w:rsidRPr="00CA7033">
        <w:rPr>
          <w:b/>
          <w:iCs/>
          <w:szCs w:val="22"/>
        </w:rPr>
        <w:t>:</w:t>
      </w:r>
      <w:r w:rsidRPr="00CA7033">
        <w:rPr>
          <w:szCs w:val="22"/>
        </w:rPr>
        <w:t xml:space="preserve"> karagenanas (E407), titano dioksidas (E171), hipromeliozė, kalio chloridas, išgrynintas vanduo, indigotinas (E132), juodasis geležies oksidas (E172)</w:t>
      </w:r>
    </w:p>
    <w:p w14:paraId="7B7B42F4" w14:textId="77777777" w:rsidR="00311D0F" w:rsidRPr="00CA7033" w:rsidRDefault="00311D0F" w:rsidP="009A1CE0">
      <w:pPr>
        <w:numPr>
          <w:ilvl w:val="0"/>
          <w:numId w:val="10"/>
        </w:numPr>
        <w:tabs>
          <w:tab w:val="left" w:pos="567"/>
        </w:tabs>
        <w:spacing w:line="260" w:lineRule="exact"/>
        <w:rPr>
          <w:szCs w:val="22"/>
        </w:rPr>
      </w:pPr>
      <w:r w:rsidRPr="00CA7033">
        <w:rPr>
          <w:b/>
          <w:i/>
          <w:szCs w:val="22"/>
        </w:rPr>
        <w:t>60 mg kapsulės apvalkalas</w:t>
      </w:r>
      <w:r w:rsidRPr="00CA7033">
        <w:rPr>
          <w:b/>
          <w:iCs/>
          <w:szCs w:val="22"/>
        </w:rPr>
        <w:t>:</w:t>
      </w:r>
      <w:r w:rsidRPr="00CA7033">
        <w:rPr>
          <w:szCs w:val="22"/>
        </w:rPr>
        <w:t xml:space="preserve"> karagenanas (E407), titano dioksidas (E171), hipromeliozė, kalio chloridas, išgrynintas vanduo, indigotinas (E132)</w:t>
      </w:r>
    </w:p>
    <w:p w14:paraId="658B7DCC" w14:textId="7BCD435A" w:rsidR="002F7338" w:rsidRPr="00CA7033" w:rsidRDefault="00311D0F" w:rsidP="002F7338">
      <w:pPr>
        <w:numPr>
          <w:ilvl w:val="0"/>
          <w:numId w:val="10"/>
        </w:numPr>
        <w:tabs>
          <w:tab w:val="left" w:pos="567"/>
        </w:tabs>
        <w:kinsoku w:val="0"/>
        <w:overflowPunct w:val="0"/>
        <w:spacing w:before="6" w:line="260" w:lineRule="exact"/>
        <w:rPr>
          <w:szCs w:val="22"/>
        </w:rPr>
      </w:pPr>
      <w:r w:rsidRPr="00CA7033">
        <w:rPr>
          <w:b/>
          <w:i/>
          <w:szCs w:val="22"/>
        </w:rPr>
        <w:t>Spausdinimo rašalas</w:t>
      </w:r>
      <w:r w:rsidR="002F7338" w:rsidRPr="00CA7033">
        <w:rPr>
          <w:b/>
          <w:i/>
          <w:szCs w:val="22"/>
        </w:rPr>
        <w:t xml:space="preserve"> </w:t>
      </w:r>
      <w:r w:rsidR="002F7338" w:rsidRPr="00CA7033">
        <w:rPr>
          <w:b/>
          <w:bCs/>
          <w:i/>
          <w:iCs/>
          <w:spacing w:val="1"/>
          <w:u w:val="single"/>
        </w:rPr>
        <w:t>(Gray No. 3K)</w:t>
      </w:r>
      <w:r w:rsidR="002F7338" w:rsidRPr="00CA7033">
        <w:rPr>
          <w:b/>
          <w:iCs/>
          <w:szCs w:val="22"/>
        </w:rPr>
        <w:t>:</w:t>
      </w:r>
      <w:r w:rsidR="002F7338" w:rsidRPr="00CA7033">
        <w:rPr>
          <w:szCs w:val="22"/>
        </w:rPr>
        <w:t xml:space="preserve"> raudonasis geležies oksidas (E172), geltonasis geležies oksidas (E172), indigotinas (E132), karnaubo vaškas, šelakas, glicerolio monooleatas arba</w:t>
      </w:r>
    </w:p>
    <w:p w14:paraId="31D451C7" w14:textId="77777777" w:rsidR="002F7338" w:rsidRPr="00CA7033" w:rsidRDefault="002F7338" w:rsidP="002F7338">
      <w:pPr>
        <w:pStyle w:val="Sraopastraipa"/>
        <w:numPr>
          <w:ilvl w:val="0"/>
          <w:numId w:val="10"/>
        </w:numPr>
        <w:rPr>
          <w:szCs w:val="22"/>
        </w:rPr>
      </w:pPr>
      <w:r w:rsidRPr="00CA7033">
        <w:rPr>
          <w:b/>
          <w:i/>
          <w:szCs w:val="22"/>
        </w:rPr>
        <w:t>Spausdinimo rašalas (SB-5015)</w:t>
      </w:r>
      <w:r w:rsidRPr="00CA7033">
        <w:rPr>
          <w:szCs w:val="22"/>
        </w:rPr>
        <w:t>: raudonasis geležies oksidas (E172), geltonasis geležies oksidas (E172), indigotinas (E132), stiprus amoniako tirpalas, balintas šelakas, propilenglikolis.</w:t>
      </w:r>
    </w:p>
    <w:p w14:paraId="39B49CBF" w14:textId="77777777" w:rsidR="001965FF" w:rsidRPr="00CA7033" w:rsidRDefault="001965FF" w:rsidP="00683A00">
      <w:pPr>
        <w:tabs>
          <w:tab w:val="left" w:pos="567"/>
        </w:tabs>
        <w:spacing w:line="260" w:lineRule="exact"/>
        <w:ind w:left="927"/>
        <w:rPr>
          <w:szCs w:val="22"/>
        </w:rPr>
      </w:pPr>
    </w:p>
    <w:p w14:paraId="0A9C005F" w14:textId="77777777" w:rsidR="00311D0F" w:rsidRPr="00CA7033" w:rsidRDefault="00311D0F" w:rsidP="00311D0F">
      <w:pPr>
        <w:ind w:right="-2"/>
        <w:rPr>
          <w:szCs w:val="22"/>
        </w:rPr>
      </w:pPr>
    </w:p>
    <w:p w14:paraId="1DC6FD41" w14:textId="77777777" w:rsidR="00311D0F" w:rsidRPr="00CA7033" w:rsidRDefault="00311D0F" w:rsidP="00311D0F">
      <w:pPr>
        <w:numPr>
          <w:ilvl w:val="12"/>
          <w:numId w:val="0"/>
        </w:numPr>
        <w:ind w:right="-2"/>
        <w:rPr>
          <w:b/>
          <w:bCs/>
          <w:szCs w:val="22"/>
        </w:rPr>
      </w:pPr>
      <w:r w:rsidRPr="00CA7033">
        <w:rPr>
          <w:b/>
          <w:bCs/>
          <w:szCs w:val="22"/>
        </w:rPr>
        <w:t xml:space="preserve">Dexilant išvaizda ir kiekis pakuotėje </w:t>
      </w:r>
    </w:p>
    <w:p w14:paraId="75EE57B0" w14:textId="77777777" w:rsidR="00311D0F" w:rsidRPr="00CA7033" w:rsidRDefault="00311D0F" w:rsidP="00311D0F">
      <w:pPr>
        <w:numPr>
          <w:ilvl w:val="12"/>
          <w:numId w:val="0"/>
        </w:numPr>
        <w:ind w:right="-2"/>
        <w:rPr>
          <w:szCs w:val="22"/>
          <w:u w:val="single"/>
        </w:rPr>
      </w:pPr>
    </w:p>
    <w:p w14:paraId="53A6FA2A" w14:textId="77777777" w:rsidR="00311D0F" w:rsidRPr="00CA7033" w:rsidRDefault="00311D0F" w:rsidP="00311D0F">
      <w:pPr>
        <w:rPr>
          <w:szCs w:val="22"/>
        </w:rPr>
      </w:pPr>
      <w:r w:rsidRPr="00CA7033">
        <w:rPr>
          <w:szCs w:val="22"/>
        </w:rPr>
        <w:t xml:space="preserve">Dexilant yra modifikuoto atpalaidavimo kietosios kapsulės. </w:t>
      </w:r>
    </w:p>
    <w:p w14:paraId="47D80795" w14:textId="77777777" w:rsidR="00311D0F" w:rsidRPr="00CA7033" w:rsidRDefault="00311D0F" w:rsidP="00311D0F">
      <w:pPr>
        <w:numPr>
          <w:ilvl w:val="0"/>
          <w:numId w:val="9"/>
        </w:numPr>
        <w:ind w:left="567" w:right="-2" w:hanging="567"/>
        <w:rPr>
          <w:szCs w:val="22"/>
        </w:rPr>
      </w:pPr>
      <w:r w:rsidRPr="00CA7033">
        <w:rPr>
          <w:szCs w:val="22"/>
        </w:rPr>
        <w:t xml:space="preserve">Kiekviena 30 mg kapsulė (3 dydžio) yra nepermatoma, jos dangtelis yra mėlynas, korpusas - pilkas, dangtelyje įspausta „TAP“, korpuse – „30“. </w:t>
      </w:r>
    </w:p>
    <w:p w14:paraId="45A7AF4D" w14:textId="77777777" w:rsidR="00311D0F" w:rsidRPr="00CA7033" w:rsidRDefault="00311D0F" w:rsidP="00311D0F">
      <w:pPr>
        <w:numPr>
          <w:ilvl w:val="0"/>
          <w:numId w:val="9"/>
        </w:numPr>
        <w:ind w:left="567" w:right="-2" w:hanging="567"/>
        <w:rPr>
          <w:szCs w:val="22"/>
        </w:rPr>
      </w:pPr>
      <w:r w:rsidRPr="00CA7033">
        <w:rPr>
          <w:szCs w:val="22"/>
        </w:rPr>
        <w:t xml:space="preserve">Kiekviena 60 mg kapsulė (2 dydžio) yra nepermatoma, jos dangtelis ir korpusas yra mėlyni, dangtelyje įspausta „TAP“, korpuse – „60“. </w:t>
      </w:r>
    </w:p>
    <w:p w14:paraId="5CFBF507" w14:textId="77777777" w:rsidR="00A236C8" w:rsidRPr="00CA7033" w:rsidRDefault="00A236C8" w:rsidP="00311D0F">
      <w:pPr>
        <w:rPr>
          <w:szCs w:val="22"/>
        </w:rPr>
      </w:pPr>
    </w:p>
    <w:p w14:paraId="4CFD0473" w14:textId="1286EB42" w:rsidR="00311D0F" w:rsidRPr="00CA7033" w:rsidRDefault="00311D0F" w:rsidP="00311D0F">
      <w:pPr>
        <w:rPr>
          <w:szCs w:val="22"/>
        </w:rPr>
      </w:pPr>
      <w:r w:rsidRPr="00CA7033">
        <w:rPr>
          <w:szCs w:val="22"/>
        </w:rPr>
        <w:t>Kapsulės tiekiamos plastiko ir aliuminio lizdinėmis plokštelėmis, kuriose yra 14, 28, 56 arba 98  Dexilant 30 mg kapsulės arba 14 arba 28 Dexilant 60 mg kapsulės.</w:t>
      </w:r>
    </w:p>
    <w:p w14:paraId="5F93DC60" w14:textId="77777777" w:rsidR="00A236C8" w:rsidRPr="00CA7033" w:rsidRDefault="00A236C8" w:rsidP="00311D0F">
      <w:pPr>
        <w:rPr>
          <w:szCs w:val="22"/>
        </w:rPr>
      </w:pPr>
    </w:p>
    <w:p w14:paraId="21A083B3" w14:textId="4644FC67" w:rsidR="00311D0F" w:rsidRPr="00CA7033" w:rsidRDefault="00311D0F" w:rsidP="00311D0F">
      <w:pPr>
        <w:rPr>
          <w:szCs w:val="22"/>
        </w:rPr>
      </w:pPr>
      <w:r w:rsidRPr="00CA7033">
        <w:rPr>
          <w:szCs w:val="22"/>
        </w:rPr>
        <w:t>Gali būti tiekiamos ne visų dydžių pakuotės.</w:t>
      </w:r>
    </w:p>
    <w:p w14:paraId="25E92E4A" w14:textId="77777777" w:rsidR="00311D0F" w:rsidRPr="00CA7033" w:rsidRDefault="00311D0F" w:rsidP="00311D0F">
      <w:pPr>
        <w:numPr>
          <w:ilvl w:val="12"/>
          <w:numId w:val="0"/>
        </w:numPr>
        <w:ind w:right="-2"/>
        <w:rPr>
          <w:szCs w:val="22"/>
        </w:rPr>
      </w:pPr>
    </w:p>
    <w:p w14:paraId="7DA19290" w14:textId="77777777" w:rsidR="00311D0F" w:rsidRPr="00CA7033" w:rsidRDefault="00311D0F" w:rsidP="00572B1E">
      <w:pPr>
        <w:keepNext/>
        <w:numPr>
          <w:ilvl w:val="12"/>
          <w:numId w:val="0"/>
        </w:numPr>
        <w:ind w:right="-2"/>
        <w:rPr>
          <w:b/>
          <w:bCs/>
          <w:szCs w:val="22"/>
        </w:rPr>
      </w:pPr>
      <w:r w:rsidRPr="00CA7033">
        <w:rPr>
          <w:b/>
          <w:bCs/>
          <w:szCs w:val="22"/>
        </w:rPr>
        <w:lastRenderedPageBreak/>
        <w:t>Registruotojas ir gamintojas</w:t>
      </w:r>
    </w:p>
    <w:p w14:paraId="3A809BAB" w14:textId="77777777" w:rsidR="00311D0F" w:rsidRPr="00CA7033" w:rsidRDefault="00311D0F" w:rsidP="00572B1E">
      <w:pPr>
        <w:keepNext/>
        <w:numPr>
          <w:ilvl w:val="12"/>
          <w:numId w:val="0"/>
        </w:numPr>
        <w:ind w:right="-2"/>
        <w:rPr>
          <w:szCs w:val="22"/>
        </w:rPr>
      </w:pPr>
    </w:p>
    <w:p w14:paraId="72E0C49D" w14:textId="77777777" w:rsidR="00311D0F" w:rsidRPr="00CA7033" w:rsidRDefault="00311D0F" w:rsidP="00572B1E">
      <w:pPr>
        <w:keepNext/>
        <w:rPr>
          <w:szCs w:val="22"/>
          <w:u w:val="single"/>
        </w:rPr>
      </w:pPr>
      <w:r w:rsidRPr="00CA7033">
        <w:rPr>
          <w:szCs w:val="22"/>
          <w:u w:val="single"/>
        </w:rPr>
        <w:t>Registruotojas</w:t>
      </w:r>
    </w:p>
    <w:p w14:paraId="0552C637" w14:textId="77777777" w:rsidR="00A236C8" w:rsidRPr="00CA7033" w:rsidRDefault="00A236C8" w:rsidP="00572B1E">
      <w:pPr>
        <w:keepNext/>
        <w:rPr>
          <w:szCs w:val="22"/>
          <w:u w:val="single"/>
        </w:rPr>
      </w:pPr>
    </w:p>
    <w:p w14:paraId="33E39E8A" w14:textId="77777777" w:rsidR="00311D0F" w:rsidRPr="00CA7033" w:rsidRDefault="00311D0F" w:rsidP="00572B1E">
      <w:pPr>
        <w:keepNext/>
        <w:rPr>
          <w:szCs w:val="22"/>
        </w:rPr>
      </w:pPr>
      <w:r w:rsidRPr="00CA7033">
        <w:rPr>
          <w:szCs w:val="22"/>
        </w:rPr>
        <w:t>Takeda Pharma A/S</w:t>
      </w:r>
    </w:p>
    <w:p w14:paraId="1CF2D623" w14:textId="77777777" w:rsidR="00AC0A1A" w:rsidRPr="00CA7033" w:rsidRDefault="00AC0A1A" w:rsidP="00AC0A1A">
      <w:pPr>
        <w:rPr>
          <w:szCs w:val="22"/>
        </w:rPr>
      </w:pPr>
      <w:r w:rsidRPr="00CA7033">
        <w:rPr>
          <w:szCs w:val="22"/>
        </w:rPr>
        <w:t xml:space="preserve">Delta Park 45 </w:t>
      </w:r>
    </w:p>
    <w:p w14:paraId="2B0DC0FA" w14:textId="77777777" w:rsidR="00AC0A1A" w:rsidRPr="00CA7033" w:rsidRDefault="00AC0A1A" w:rsidP="00AC0A1A">
      <w:pPr>
        <w:rPr>
          <w:szCs w:val="22"/>
        </w:rPr>
      </w:pPr>
      <w:r w:rsidRPr="00CA7033">
        <w:rPr>
          <w:szCs w:val="22"/>
        </w:rPr>
        <w:t>2665 Vallensbæk Strand</w:t>
      </w:r>
    </w:p>
    <w:p w14:paraId="04028E23" w14:textId="77777777" w:rsidR="00311D0F" w:rsidRPr="00CA7033" w:rsidRDefault="00311D0F" w:rsidP="00311D0F">
      <w:pPr>
        <w:numPr>
          <w:ilvl w:val="12"/>
          <w:numId w:val="0"/>
        </w:numPr>
        <w:ind w:right="-2"/>
      </w:pPr>
      <w:r w:rsidRPr="00CA7033">
        <w:t>Danija</w:t>
      </w:r>
    </w:p>
    <w:p w14:paraId="7113802C" w14:textId="77777777" w:rsidR="00311D0F" w:rsidRPr="00CA7033" w:rsidRDefault="00311D0F" w:rsidP="00311D0F">
      <w:pPr>
        <w:numPr>
          <w:ilvl w:val="12"/>
          <w:numId w:val="0"/>
        </w:numPr>
        <w:ind w:right="-2"/>
        <w:rPr>
          <w:szCs w:val="22"/>
        </w:rPr>
      </w:pPr>
    </w:p>
    <w:p w14:paraId="03D76620" w14:textId="77777777" w:rsidR="00311D0F" w:rsidRPr="00CA7033" w:rsidRDefault="00311D0F" w:rsidP="00311D0F">
      <w:pPr>
        <w:rPr>
          <w:szCs w:val="22"/>
          <w:u w:val="single"/>
        </w:rPr>
      </w:pPr>
      <w:r w:rsidRPr="00CA7033">
        <w:rPr>
          <w:szCs w:val="22"/>
          <w:u w:val="single"/>
        </w:rPr>
        <w:t>Gamintojas</w:t>
      </w:r>
    </w:p>
    <w:p w14:paraId="599D12BD" w14:textId="77777777" w:rsidR="00A236C8" w:rsidRPr="00572B1E" w:rsidRDefault="00A236C8" w:rsidP="00311D0F">
      <w:pPr>
        <w:rPr>
          <w:szCs w:val="22"/>
          <w:u w:val="single"/>
        </w:rPr>
      </w:pPr>
    </w:p>
    <w:p w14:paraId="797586BB" w14:textId="77777777" w:rsidR="00CF505F" w:rsidRPr="00CA7033" w:rsidRDefault="00311D0F" w:rsidP="00311D0F">
      <w:pPr>
        <w:numPr>
          <w:ilvl w:val="12"/>
          <w:numId w:val="0"/>
        </w:numPr>
        <w:ind w:right="-2"/>
        <w:rPr>
          <w:szCs w:val="22"/>
        </w:rPr>
      </w:pPr>
      <w:r w:rsidRPr="00CA7033">
        <w:rPr>
          <w:szCs w:val="22"/>
        </w:rPr>
        <w:t>Delpharm Novara S.r.l.</w:t>
      </w:r>
      <w:r w:rsidRPr="00CA7033">
        <w:rPr>
          <w:szCs w:val="22"/>
        </w:rPr>
        <w:br/>
        <w:t>Via Crosa, 86</w:t>
      </w:r>
      <w:r w:rsidRPr="00CA7033">
        <w:rPr>
          <w:szCs w:val="22"/>
        </w:rPr>
        <w:br/>
        <w:t>28065 - Cerano (NO)</w:t>
      </w:r>
      <w:r w:rsidRPr="00CA7033">
        <w:rPr>
          <w:szCs w:val="22"/>
        </w:rPr>
        <w:br/>
        <w:t>Italija</w:t>
      </w:r>
    </w:p>
    <w:p w14:paraId="2CBE9B1D" w14:textId="77777777" w:rsidR="00CF505F" w:rsidRPr="00CA7033" w:rsidRDefault="00CF505F" w:rsidP="00311D0F">
      <w:pPr>
        <w:numPr>
          <w:ilvl w:val="12"/>
          <w:numId w:val="0"/>
        </w:numPr>
        <w:ind w:right="-2"/>
        <w:rPr>
          <w:szCs w:val="22"/>
        </w:rPr>
      </w:pPr>
    </w:p>
    <w:p w14:paraId="27515FA9" w14:textId="77777777" w:rsidR="00CF505F" w:rsidRPr="00CA7033" w:rsidRDefault="00CF505F" w:rsidP="00311D0F">
      <w:pPr>
        <w:numPr>
          <w:ilvl w:val="12"/>
          <w:numId w:val="0"/>
        </w:numPr>
        <w:ind w:right="-2"/>
        <w:rPr>
          <w:szCs w:val="22"/>
        </w:rPr>
      </w:pPr>
      <w:r w:rsidRPr="00CA7033">
        <w:rPr>
          <w:szCs w:val="22"/>
        </w:rPr>
        <w:t>arba</w:t>
      </w:r>
    </w:p>
    <w:p w14:paraId="77CF8BBE" w14:textId="77777777" w:rsidR="00CF505F" w:rsidRPr="00CA7033" w:rsidRDefault="00CF505F" w:rsidP="00311D0F">
      <w:pPr>
        <w:numPr>
          <w:ilvl w:val="12"/>
          <w:numId w:val="0"/>
        </w:numPr>
        <w:ind w:right="-2"/>
        <w:rPr>
          <w:szCs w:val="22"/>
        </w:rPr>
      </w:pPr>
    </w:p>
    <w:p w14:paraId="7030DE73" w14:textId="77777777" w:rsidR="00CF505F" w:rsidRPr="00CA7033" w:rsidRDefault="00CF505F" w:rsidP="00DE02DE">
      <w:pPr>
        <w:pStyle w:val="Pagrindinistekstas"/>
        <w:kinsoku w:val="0"/>
        <w:overflowPunct w:val="0"/>
        <w:spacing w:before="8"/>
        <w:rPr>
          <w:i w:val="0"/>
          <w:color w:val="auto"/>
          <w:spacing w:val="-1"/>
          <w:lang w:val="lt-LT"/>
        </w:rPr>
      </w:pPr>
      <w:r w:rsidRPr="00CA7033">
        <w:rPr>
          <w:i w:val="0"/>
          <w:color w:val="auto"/>
          <w:spacing w:val="-1"/>
          <w:lang w:val="lt-LT"/>
        </w:rPr>
        <w:t>Takeda Oranienburg GmbH</w:t>
      </w:r>
    </w:p>
    <w:p w14:paraId="1DD2C74F" w14:textId="77777777" w:rsidR="00CF505F" w:rsidRPr="00CA7033" w:rsidRDefault="00CF505F" w:rsidP="00DE02DE">
      <w:pPr>
        <w:pStyle w:val="Pagrindinistekstas"/>
        <w:kinsoku w:val="0"/>
        <w:overflowPunct w:val="0"/>
        <w:spacing w:before="8"/>
        <w:rPr>
          <w:i w:val="0"/>
          <w:color w:val="auto"/>
          <w:spacing w:val="-1"/>
          <w:lang w:val="lt-LT"/>
        </w:rPr>
      </w:pPr>
      <w:r w:rsidRPr="00CA7033">
        <w:rPr>
          <w:i w:val="0"/>
          <w:color w:val="auto"/>
          <w:spacing w:val="-1"/>
          <w:lang w:val="lt-LT"/>
        </w:rPr>
        <w:t>Lehnitzstrasse 70-98</w:t>
      </w:r>
    </w:p>
    <w:p w14:paraId="3A34D9F9" w14:textId="60C5ADE2" w:rsidR="00CF505F" w:rsidRPr="00CA7033" w:rsidRDefault="00CF505F" w:rsidP="00DE02DE">
      <w:pPr>
        <w:pStyle w:val="Pagrindinistekstas"/>
        <w:kinsoku w:val="0"/>
        <w:overflowPunct w:val="0"/>
        <w:spacing w:before="8"/>
        <w:rPr>
          <w:i w:val="0"/>
          <w:color w:val="auto"/>
          <w:spacing w:val="-1"/>
          <w:lang w:val="lt-LT"/>
        </w:rPr>
      </w:pPr>
      <w:r w:rsidRPr="00CA7033">
        <w:rPr>
          <w:i w:val="0"/>
          <w:color w:val="auto"/>
          <w:spacing w:val="-1"/>
          <w:lang w:val="lt-LT"/>
        </w:rPr>
        <w:t>16515 – Oranienburg, Brande</w:t>
      </w:r>
      <w:r w:rsidR="001965FF" w:rsidRPr="00CA7033">
        <w:rPr>
          <w:i w:val="0"/>
          <w:color w:val="auto"/>
          <w:spacing w:val="-1"/>
          <w:lang w:val="lt-LT"/>
        </w:rPr>
        <w:t>n</w:t>
      </w:r>
      <w:r w:rsidRPr="00CA7033">
        <w:rPr>
          <w:i w:val="0"/>
          <w:color w:val="auto"/>
          <w:spacing w:val="-1"/>
          <w:lang w:val="lt-LT"/>
        </w:rPr>
        <w:t>burg</w:t>
      </w:r>
    </w:p>
    <w:p w14:paraId="189AE8BF" w14:textId="77777777" w:rsidR="00CF505F" w:rsidRPr="00CA7033" w:rsidRDefault="00CF505F" w:rsidP="00DE02DE">
      <w:pPr>
        <w:pStyle w:val="Pagrindinistekstas"/>
        <w:kinsoku w:val="0"/>
        <w:overflowPunct w:val="0"/>
        <w:spacing w:before="8"/>
        <w:rPr>
          <w:i w:val="0"/>
          <w:color w:val="auto"/>
          <w:spacing w:val="-1"/>
          <w:lang w:val="lt-LT"/>
        </w:rPr>
      </w:pPr>
      <w:r w:rsidRPr="00CA7033">
        <w:rPr>
          <w:i w:val="0"/>
          <w:color w:val="auto"/>
          <w:spacing w:val="-1"/>
          <w:lang w:val="lt-LT"/>
        </w:rPr>
        <w:t>Vokietija</w:t>
      </w:r>
    </w:p>
    <w:p w14:paraId="09DF9F36" w14:textId="77777777" w:rsidR="00CF505F" w:rsidRPr="00CA7033" w:rsidRDefault="00CF505F" w:rsidP="00311D0F">
      <w:pPr>
        <w:numPr>
          <w:ilvl w:val="12"/>
          <w:numId w:val="0"/>
        </w:numPr>
        <w:ind w:right="-2"/>
        <w:rPr>
          <w:szCs w:val="22"/>
        </w:rPr>
      </w:pPr>
    </w:p>
    <w:p w14:paraId="03914B0E" w14:textId="77777777" w:rsidR="00311D0F" w:rsidRPr="00CA7033" w:rsidRDefault="00311D0F" w:rsidP="00311D0F">
      <w:pPr>
        <w:numPr>
          <w:ilvl w:val="12"/>
          <w:numId w:val="0"/>
        </w:numPr>
        <w:tabs>
          <w:tab w:val="left" w:pos="567"/>
        </w:tabs>
        <w:ind w:right="-2"/>
        <w:rPr>
          <w:snapToGrid w:val="0"/>
          <w:szCs w:val="22"/>
        </w:rPr>
      </w:pPr>
      <w:r w:rsidRPr="00CA7033">
        <w:rPr>
          <w:snapToGrid w:val="0"/>
          <w:szCs w:val="22"/>
        </w:rPr>
        <w:t>Jeigu apie šį vaistą norite sužinoti daugiau, kreipkitės į vietinį registruotojo atstovą:</w:t>
      </w:r>
    </w:p>
    <w:p w14:paraId="2EA18350" w14:textId="77777777" w:rsidR="001E0E35" w:rsidRPr="00CA7033" w:rsidRDefault="001E0E35" w:rsidP="00311D0F">
      <w:pPr>
        <w:rPr>
          <w:snapToGrid w:val="0"/>
          <w:szCs w:val="22"/>
        </w:rPr>
      </w:pPr>
    </w:p>
    <w:p w14:paraId="29C17387" w14:textId="07143E2A" w:rsidR="00311D0F" w:rsidRPr="00CA7033" w:rsidRDefault="00311D0F" w:rsidP="00311D0F">
      <w:pPr>
        <w:rPr>
          <w:b/>
          <w:snapToGrid w:val="0"/>
          <w:szCs w:val="22"/>
        </w:rPr>
      </w:pPr>
      <w:r w:rsidRPr="00CA7033">
        <w:rPr>
          <w:snapToGrid w:val="0"/>
          <w:szCs w:val="22"/>
        </w:rPr>
        <w:t>Takeda, UAB</w:t>
      </w:r>
    </w:p>
    <w:p w14:paraId="7D79C83F" w14:textId="77777777" w:rsidR="00311D0F" w:rsidRPr="00CA7033" w:rsidRDefault="00311D0F" w:rsidP="00311D0F">
      <w:pPr>
        <w:rPr>
          <w:snapToGrid w:val="0"/>
          <w:szCs w:val="22"/>
        </w:rPr>
      </w:pPr>
      <w:r w:rsidRPr="00CA7033">
        <w:rPr>
          <w:snapToGrid w:val="0"/>
          <w:szCs w:val="22"/>
        </w:rPr>
        <w:t>Gynėjų g. 16</w:t>
      </w:r>
    </w:p>
    <w:p w14:paraId="440420A8" w14:textId="77777777" w:rsidR="00311D0F" w:rsidRPr="00CA7033" w:rsidRDefault="00311D0F" w:rsidP="00311D0F">
      <w:pPr>
        <w:rPr>
          <w:snapToGrid w:val="0"/>
          <w:szCs w:val="22"/>
        </w:rPr>
      </w:pPr>
      <w:r w:rsidRPr="00CA7033">
        <w:rPr>
          <w:snapToGrid w:val="0"/>
          <w:szCs w:val="22"/>
        </w:rPr>
        <w:t>LT-01109 Vilnius</w:t>
      </w:r>
    </w:p>
    <w:p w14:paraId="6D65ABF7" w14:textId="77777777" w:rsidR="00311D0F" w:rsidRPr="00CA7033" w:rsidRDefault="00311D0F" w:rsidP="00311D0F">
      <w:pPr>
        <w:rPr>
          <w:snapToGrid w:val="0"/>
          <w:szCs w:val="22"/>
        </w:rPr>
      </w:pPr>
      <w:r w:rsidRPr="00CA7033">
        <w:rPr>
          <w:snapToGrid w:val="0"/>
          <w:szCs w:val="22"/>
        </w:rPr>
        <w:t>Tel. +370 52109070</w:t>
      </w:r>
    </w:p>
    <w:p w14:paraId="708301E3" w14:textId="77777777" w:rsidR="00311D0F" w:rsidRPr="00CA7033" w:rsidRDefault="00311D0F" w:rsidP="00311D0F">
      <w:pPr>
        <w:numPr>
          <w:ilvl w:val="12"/>
          <w:numId w:val="0"/>
        </w:numPr>
        <w:ind w:right="-2"/>
      </w:pPr>
      <w:r w:rsidRPr="00CA7033">
        <w:rPr>
          <w:snapToGrid w:val="0"/>
          <w:szCs w:val="22"/>
        </w:rPr>
        <w:t xml:space="preserve">El. paštas </w:t>
      </w:r>
      <w:hyperlink r:id="rId8" w:history="1">
        <w:r w:rsidRPr="00CA7033">
          <w:rPr>
            <w:rStyle w:val="Hipersaitas"/>
            <w:snapToGrid w:val="0"/>
            <w:szCs w:val="22"/>
          </w:rPr>
          <w:t>lt-info</w:t>
        </w:r>
        <w:r w:rsidRPr="00CA7033">
          <w:rPr>
            <w:rStyle w:val="Hipersaitas"/>
          </w:rPr>
          <w:t>@takeda.com</w:t>
        </w:r>
      </w:hyperlink>
    </w:p>
    <w:p w14:paraId="6CEC55AD" w14:textId="77777777" w:rsidR="00311D0F" w:rsidRPr="00CA7033" w:rsidRDefault="00311D0F" w:rsidP="00311D0F">
      <w:pPr>
        <w:numPr>
          <w:ilvl w:val="12"/>
          <w:numId w:val="0"/>
        </w:numPr>
        <w:ind w:right="-2"/>
        <w:rPr>
          <w:b/>
          <w:szCs w:val="22"/>
        </w:rPr>
      </w:pPr>
    </w:p>
    <w:p w14:paraId="419FC38F" w14:textId="6FCC355B" w:rsidR="00311D0F" w:rsidRPr="00CA7033" w:rsidRDefault="00311D0F" w:rsidP="00311D0F">
      <w:pPr>
        <w:numPr>
          <w:ilvl w:val="12"/>
          <w:numId w:val="0"/>
        </w:numPr>
        <w:ind w:right="-2"/>
        <w:rPr>
          <w:szCs w:val="22"/>
        </w:rPr>
      </w:pPr>
      <w:r w:rsidRPr="00CA7033">
        <w:rPr>
          <w:b/>
          <w:szCs w:val="22"/>
        </w:rPr>
        <w:t xml:space="preserve">Šis vaistas </w:t>
      </w:r>
      <w:r w:rsidR="00A236C8" w:rsidRPr="00CA7033">
        <w:rPr>
          <w:b/>
        </w:rPr>
        <w:t xml:space="preserve">Europos ekonominės erdvės </w:t>
      </w:r>
      <w:r w:rsidRPr="00CA7033">
        <w:rPr>
          <w:b/>
          <w:szCs w:val="22"/>
        </w:rPr>
        <w:t>valstybėse narėse registruotas tokiais pavadinimais:</w:t>
      </w:r>
    </w:p>
    <w:p w14:paraId="291E2C94" w14:textId="77777777" w:rsidR="00311D0F" w:rsidRPr="00CA7033" w:rsidRDefault="00311D0F" w:rsidP="00311D0F">
      <w:pPr>
        <w:rPr>
          <w:szCs w:val="22"/>
        </w:rPr>
      </w:pPr>
    </w:p>
    <w:p w14:paraId="05A0E543" w14:textId="77777777" w:rsidR="00311D0F" w:rsidRPr="00CA7033" w:rsidRDefault="00311D0F" w:rsidP="00311D0F">
      <w:pPr>
        <w:rPr>
          <w:szCs w:val="22"/>
        </w:rPr>
      </w:pPr>
      <w:r w:rsidRPr="00CA7033">
        <w:rPr>
          <w:szCs w:val="22"/>
        </w:rPr>
        <w:t>Vokietija, Lietuva, Lenkija – Dexilant.</w:t>
      </w:r>
    </w:p>
    <w:p w14:paraId="0887F75C" w14:textId="5C86C33D" w:rsidR="00311D0F" w:rsidRPr="00CA7033" w:rsidRDefault="00311D0F" w:rsidP="00311D0F">
      <w:pPr>
        <w:rPr>
          <w:szCs w:val="22"/>
        </w:rPr>
      </w:pPr>
      <w:r w:rsidRPr="00CA7033">
        <w:rPr>
          <w:szCs w:val="22"/>
        </w:rPr>
        <w:t>Portugalija – Gladexa.</w:t>
      </w:r>
    </w:p>
    <w:p w14:paraId="63294ADA" w14:textId="77777777" w:rsidR="00311D0F" w:rsidRPr="00CA7033" w:rsidRDefault="00311D0F" w:rsidP="00311D0F">
      <w:pPr>
        <w:numPr>
          <w:ilvl w:val="12"/>
          <w:numId w:val="0"/>
        </w:numPr>
        <w:ind w:right="-2"/>
        <w:rPr>
          <w:szCs w:val="22"/>
        </w:rPr>
      </w:pPr>
    </w:p>
    <w:p w14:paraId="4DA6E4CC" w14:textId="7415EF1A" w:rsidR="00311D0F" w:rsidRPr="00CA7033" w:rsidRDefault="00311D0F" w:rsidP="00311D0F">
      <w:pPr>
        <w:numPr>
          <w:ilvl w:val="12"/>
          <w:numId w:val="0"/>
        </w:numPr>
        <w:ind w:right="-2"/>
        <w:outlineLvl w:val="0"/>
        <w:rPr>
          <w:szCs w:val="22"/>
        </w:rPr>
      </w:pPr>
      <w:r w:rsidRPr="00CA7033">
        <w:rPr>
          <w:b/>
          <w:bCs/>
          <w:szCs w:val="22"/>
        </w:rPr>
        <w:t xml:space="preserve">Šis pakuotės </w:t>
      </w:r>
      <w:r w:rsidRPr="00CA7033">
        <w:rPr>
          <w:b/>
          <w:szCs w:val="22"/>
        </w:rPr>
        <w:t>lapelis paskutinį kartą peržiūrėtas</w:t>
      </w:r>
      <w:r w:rsidR="000349C6">
        <w:rPr>
          <w:b/>
          <w:szCs w:val="22"/>
        </w:rPr>
        <w:t xml:space="preserve"> 2024-09-02</w:t>
      </w:r>
      <w:r w:rsidRPr="00CA7033">
        <w:rPr>
          <w:b/>
          <w:szCs w:val="22"/>
        </w:rPr>
        <w:t>.</w:t>
      </w:r>
    </w:p>
    <w:p w14:paraId="16A44665" w14:textId="77777777" w:rsidR="00311D0F" w:rsidRPr="00CA7033" w:rsidRDefault="00311D0F" w:rsidP="00311D0F">
      <w:pPr>
        <w:numPr>
          <w:ilvl w:val="12"/>
          <w:numId w:val="0"/>
        </w:numPr>
        <w:ind w:right="-2"/>
        <w:rPr>
          <w:szCs w:val="22"/>
        </w:rPr>
      </w:pPr>
    </w:p>
    <w:p w14:paraId="0D17F11C" w14:textId="18715B62" w:rsidR="001A5939" w:rsidRDefault="00311D0F" w:rsidP="001E0E35">
      <w:pPr>
        <w:numPr>
          <w:ilvl w:val="12"/>
          <w:numId w:val="0"/>
        </w:numPr>
        <w:ind w:right="-2"/>
        <w:rPr>
          <w:szCs w:val="22"/>
        </w:rPr>
      </w:pPr>
      <w:r w:rsidRPr="00CA7033">
        <w:rPr>
          <w:szCs w:val="22"/>
        </w:rPr>
        <w:t>Išsami informacija apie šį vaistą pateikiama Valstybinės vaistų kontrolės tarnybos prie Lietuvos Respublikos sveikatos apsaugos ministerijos tinklalapyje</w:t>
      </w:r>
      <w:r w:rsidRPr="00CA7033">
        <w:rPr>
          <w:i/>
          <w:szCs w:val="22"/>
        </w:rPr>
        <w:t xml:space="preserve"> </w:t>
      </w:r>
      <w:r w:rsidR="00EB1C86">
        <w:rPr>
          <w:color w:val="0000EE"/>
          <w:szCs w:val="22"/>
          <w:u w:val="single"/>
          <w:lang w:eastAsia="lt-LT"/>
        </w:rPr>
        <w:t>https://vvkt.lrv.lt/lt/</w:t>
      </w:r>
      <w:r w:rsidR="00EB1C86">
        <w:rPr>
          <w:szCs w:val="22"/>
          <w:lang w:eastAsia="lt-LT"/>
        </w:rPr>
        <w:t>.</w:t>
      </w:r>
    </w:p>
    <w:p w14:paraId="26B6970F" w14:textId="1C1D0158" w:rsidR="00AA7DFE" w:rsidRDefault="00AA7DFE" w:rsidP="001E0E35">
      <w:pPr>
        <w:numPr>
          <w:ilvl w:val="12"/>
          <w:numId w:val="0"/>
        </w:numPr>
        <w:ind w:right="-2"/>
        <w:rPr>
          <w:szCs w:val="22"/>
        </w:rPr>
      </w:pPr>
    </w:p>
    <w:p w14:paraId="1FC953C7" w14:textId="77777777" w:rsidR="00AA7DFE" w:rsidRPr="00CA7033" w:rsidRDefault="00AA7DFE" w:rsidP="001E0E35">
      <w:pPr>
        <w:numPr>
          <w:ilvl w:val="12"/>
          <w:numId w:val="0"/>
        </w:numPr>
        <w:ind w:right="-2"/>
      </w:pPr>
    </w:p>
    <w:sectPr w:rsidR="00AA7DFE" w:rsidRPr="00CA7033" w:rsidSect="009A1CE0">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D54B" w14:textId="77777777" w:rsidR="00243313" w:rsidRDefault="00243313">
      <w:r>
        <w:separator/>
      </w:r>
    </w:p>
  </w:endnote>
  <w:endnote w:type="continuationSeparator" w:id="0">
    <w:p w14:paraId="7EF37CA5" w14:textId="77777777" w:rsidR="00243313" w:rsidRDefault="00243313">
      <w:r>
        <w:continuationSeparator/>
      </w:r>
    </w:p>
  </w:endnote>
  <w:endnote w:type="continuationNotice" w:id="1">
    <w:p w14:paraId="03E4D929" w14:textId="77777777" w:rsidR="00243313" w:rsidRDefault="00243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70BC" w14:textId="77777777" w:rsidR="00646998" w:rsidRDefault="0064699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5B6CF46" w14:textId="77777777" w:rsidR="00646998" w:rsidRPr="00D55210" w:rsidRDefault="00646998" w:rsidP="00D5521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9B9B" w14:textId="77777777" w:rsidR="00646998" w:rsidRDefault="00646998">
    <w:pPr>
      <w:pStyle w:val="Porat"/>
      <w:framePr w:wrap="around" w:vAnchor="text" w:hAnchor="margin" w:xAlign="right" w:y="1"/>
      <w:rPr>
        <w:rStyle w:val="Puslapionumeris"/>
        <w:lang w:val="lt-LT"/>
      </w:rPr>
    </w:pPr>
  </w:p>
  <w:p w14:paraId="2D897342" w14:textId="01323B06" w:rsidR="00646998" w:rsidRPr="009A1CE0" w:rsidRDefault="00646998" w:rsidP="009A1CE0">
    <w:pPr>
      <w:pStyle w:val="Porat"/>
      <w:ind w:right="360"/>
      <w:jc w:val="center"/>
      <w:rPr>
        <w:rStyle w:val="Puslapionumeris"/>
        <w:rFonts w:ascii="Times New Roman" w:hAnsi="Times New Roman"/>
        <w:sz w:val="20"/>
        <w:lang w:val="lt-LT"/>
      </w:rPr>
    </w:pPr>
    <w:r w:rsidRPr="00C446EB">
      <w:rPr>
        <w:rStyle w:val="Puslapionumeris"/>
        <w:rFonts w:ascii="Times New Roman" w:hAnsi="Times New Roman"/>
        <w:sz w:val="20"/>
        <w:lang w:val="lt-LT"/>
      </w:rPr>
      <w:fldChar w:fldCharType="begin"/>
    </w:r>
    <w:r w:rsidRPr="00C446EB">
      <w:rPr>
        <w:rStyle w:val="Puslapionumeris"/>
        <w:rFonts w:ascii="Times New Roman" w:hAnsi="Times New Roman"/>
        <w:sz w:val="20"/>
        <w:lang w:val="lt-LT"/>
      </w:rPr>
      <w:instrText xml:space="preserve"> PAGE </w:instrText>
    </w:r>
    <w:r w:rsidRPr="00C446EB">
      <w:rPr>
        <w:rStyle w:val="Puslapionumeris"/>
        <w:rFonts w:ascii="Times New Roman" w:hAnsi="Times New Roman"/>
        <w:sz w:val="20"/>
        <w:lang w:val="lt-LT"/>
      </w:rPr>
      <w:fldChar w:fldCharType="separate"/>
    </w:r>
    <w:r w:rsidR="007F6751">
      <w:rPr>
        <w:rStyle w:val="Puslapionumeris"/>
        <w:rFonts w:ascii="Times New Roman" w:hAnsi="Times New Roman"/>
        <w:noProof/>
        <w:sz w:val="20"/>
        <w:lang w:val="lt-LT"/>
      </w:rPr>
      <w:t>20</w:t>
    </w:r>
    <w:r w:rsidRPr="00C446EB">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EBBEB" w14:textId="77777777" w:rsidR="00243313" w:rsidRDefault="00243313">
      <w:r>
        <w:separator/>
      </w:r>
    </w:p>
  </w:footnote>
  <w:footnote w:type="continuationSeparator" w:id="0">
    <w:p w14:paraId="110EA6E8" w14:textId="77777777" w:rsidR="00243313" w:rsidRDefault="00243313">
      <w:r>
        <w:continuationSeparator/>
      </w:r>
    </w:p>
  </w:footnote>
  <w:footnote w:type="continuationNotice" w:id="1">
    <w:p w14:paraId="1981AE39" w14:textId="77777777" w:rsidR="00243313" w:rsidRDefault="002433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7047" w14:textId="77777777" w:rsidR="00646998" w:rsidRDefault="006469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9"/>
    <w:multiLevelType w:val="multilevel"/>
    <w:tmpl w:val="0000088C"/>
    <w:lvl w:ilvl="0">
      <w:numFmt w:val="bullet"/>
      <w:lvlText w:val="-"/>
      <w:lvlJc w:val="left"/>
      <w:pPr>
        <w:ind w:left="684" w:hanging="567"/>
      </w:pPr>
      <w:rPr>
        <w:rFonts w:ascii="Times New Roman" w:hAnsi="Times New Roman"/>
        <w:b w:val="0"/>
        <w:sz w:val="22"/>
      </w:rPr>
    </w:lvl>
    <w:lvl w:ilvl="1">
      <w:numFmt w:val="bullet"/>
      <w:lvlText w:val=""/>
      <w:lvlJc w:val="left"/>
      <w:pPr>
        <w:ind w:left="1044" w:hanging="361"/>
      </w:pPr>
      <w:rPr>
        <w:rFonts w:ascii="Symbol" w:hAnsi="Symbol"/>
        <w:b w:val="0"/>
        <w:sz w:val="22"/>
      </w:rPr>
    </w:lvl>
    <w:lvl w:ilvl="2">
      <w:numFmt w:val="bullet"/>
      <w:lvlText w:val="•"/>
      <w:lvlJc w:val="left"/>
      <w:pPr>
        <w:ind w:left="1955" w:hanging="361"/>
      </w:pPr>
    </w:lvl>
    <w:lvl w:ilvl="3">
      <w:numFmt w:val="bullet"/>
      <w:lvlText w:val="•"/>
      <w:lvlJc w:val="left"/>
      <w:pPr>
        <w:ind w:left="2867" w:hanging="361"/>
      </w:pPr>
    </w:lvl>
    <w:lvl w:ilvl="4">
      <w:numFmt w:val="bullet"/>
      <w:lvlText w:val="•"/>
      <w:lvlJc w:val="left"/>
      <w:pPr>
        <w:ind w:left="3778" w:hanging="361"/>
      </w:pPr>
    </w:lvl>
    <w:lvl w:ilvl="5">
      <w:numFmt w:val="bullet"/>
      <w:lvlText w:val="•"/>
      <w:lvlJc w:val="left"/>
      <w:pPr>
        <w:ind w:left="4689" w:hanging="361"/>
      </w:pPr>
    </w:lvl>
    <w:lvl w:ilvl="6">
      <w:numFmt w:val="bullet"/>
      <w:lvlText w:val="•"/>
      <w:lvlJc w:val="left"/>
      <w:pPr>
        <w:ind w:left="5601" w:hanging="361"/>
      </w:pPr>
    </w:lvl>
    <w:lvl w:ilvl="7">
      <w:numFmt w:val="bullet"/>
      <w:lvlText w:val="•"/>
      <w:lvlJc w:val="left"/>
      <w:pPr>
        <w:ind w:left="6512" w:hanging="361"/>
      </w:pPr>
    </w:lvl>
    <w:lvl w:ilvl="8">
      <w:numFmt w:val="bullet"/>
      <w:lvlText w:val="•"/>
      <w:lvlJc w:val="left"/>
      <w:pPr>
        <w:ind w:left="7423" w:hanging="361"/>
      </w:p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C6997"/>
    <w:multiLevelType w:val="hybridMultilevel"/>
    <w:tmpl w:val="031E0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1" w15:restartNumberingAfterBreak="0">
    <w:nsid w:val="6B282B1D"/>
    <w:multiLevelType w:val="hybridMultilevel"/>
    <w:tmpl w:val="B5CE1754"/>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7"/>
  </w:num>
  <w:num w:numId="5">
    <w:abstractNumId w:val="11"/>
  </w:num>
  <w:num w:numId="6">
    <w:abstractNumId w:val="10"/>
  </w:num>
  <w:num w:numId="7">
    <w:abstractNumId w:val="9"/>
  </w:num>
  <w:num w:numId="8">
    <w:abstractNumId w:val="13"/>
  </w:num>
  <w:num w:numId="9">
    <w:abstractNumId w:val="0"/>
    <w:lvlOverride w:ilvl="0">
      <w:lvl w:ilvl="0">
        <w:start w:val="1"/>
        <w:numFmt w:val="bullet"/>
        <w:lvlText w:val="-"/>
        <w:legacy w:legacy="1" w:legacySpace="0" w:legacyIndent="360"/>
        <w:lvlJc w:val="left"/>
        <w:pPr>
          <w:ind w:left="360" w:hanging="360"/>
        </w:pPr>
      </w:lvl>
    </w:lvlOverride>
  </w:num>
  <w:num w:numId="10">
    <w:abstractNumId w:val="4"/>
  </w:num>
  <w:num w:numId="11">
    <w:abstractNumId w:val="2"/>
  </w:num>
  <w:num w:numId="12">
    <w:abstractNumId w:val="12"/>
  </w:num>
  <w:num w:numId="13">
    <w:abstractNumId w:val="0"/>
    <w:lvlOverride w:ilvl="0">
      <w:lvl w:ilvl="0">
        <w:start w:val="1"/>
        <w:numFmt w:val="bullet"/>
        <w:lvlText w:val=""/>
        <w:lvlJc w:val="left"/>
        <w:pPr>
          <w:ind w:left="360" w:hanging="360"/>
        </w:pPr>
        <w:rPr>
          <w:rFonts w:ascii="Symbol" w:hAnsi="Symbol" w:hint="default"/>
        </w:rPr>
      </w:lvl>
    </w:lvlOverride>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0"/>
  </w:num>
  <w:num w:numId="19">
    <w:abstractNumId w:val="9"/>
  </w:num>
  <w:num w:numId="20">
    <w:abstractNumId w:val="13"/>
  </w:num>
  <w:num w:numId="21">
    <w:abstractNumId w:val="4"/>
  </w:num>
  <w:num w:numId="22">
    <w:abstractNumId w:val="1"/>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0F"/>
    <w:rsid w:val="000246DF"/>
    <w:rsid w:val="00032A50"/>
    <w:rsid w:val="000349C6"/>
    <w:rsid w:val="00036801"/>
    <w:rsid w:val="00040B65"/>
    <w:rsid w:val="0004742D"/>
    <w:rsid w:val="00057ED7"/>
    <w:rsid w:val="000846DE"/>
    <w:rsid w:val="000A378E"/>
    <w:rsid w:val="000A3D05"/>
    <w:rsid w:val="000B1860"/>
    <w:rsid w:val="000B384F"/>
    <w:rsid w:val="00101476"/>
    <w:rsid w:val="00101EB7"/>
    <w:rsid w:val="00161E52"/>
    <w:rsid w:val="001965FF"/>
    <w:rsid w:val="001A5939"/>
    <w:rsid w:val="001B21B6"/>
    <w:rsid w:val="001B7F98"/>
    <w:rsid w:val="001E0E35"/>
    <w:rsid w:val="00202D68"/>
    <w:rsid w:val="002136A8"/>
    <w:rsid w:val="00243313"/>
    <w:rsid w:val="00251D2B"/>
    <w:rsid w:val="00254A1E"/>
    <w:rsid w:val="00260B52"/>
    <w:rsid w:val="00262F84"/>
    <w:rsid w:val="00267D5D"/>
    <w:rsid w:val="00270F93"/>
    <w:rsid w:val="002A2525"/>
    <w:rsid w:val="002C5BC6"/>
    <w:rsid w:val="002F7338"/>
    <w:rsid w:val="00311D0F"/>
    <w:rsid w:val="0031253D"/>
    <w:rsid w:val="003161D1"/>
    <w:rsid w:val="0037493D"/>
    <w:rsid w:val="003778D1"/>
    <w:rsid w:val="003C21F7"/>
    <w:rsid w:val="00432903"/>
    <w:rsid w:val="00472B1E"/>
    <w:rsid w:val="004B3037"/>
    <w:rsid w:val="004E373F"/>
    <w:rsid w:val="00506CCB"/>
    <w:rsid w:val="0053696E"/>
    <w:rsid w:val="00546686"/>
    <w:rsid w:val="00572B1E"/>
    <w:rsid w:val="0057336B"/>
    <w:rsid w:val="00574BAF"/>
    <w:rsid w:val="00586CDF"/>
    <w:rsid w:val="0059033A"/>
    <w:rsid w:val="0059782B"/>
    <w:rsid w:val="005B1BDC"/>
    <w:rsid w:val="005B298E"/>
    <w:rsid w:val="005F5CE6"/>
    <w:rsid w:val="0060103E"/>
    <w:rsid w:val="00646998"/>
    <w:rsid w:val="00654C8D"/>
    <w:rsid w:val="00676B04"/>
    <w:rsid w:val="00681358"/>
    <w:rsid w:val="00683A00"/>
    <w:rsid w:val="006A52C6"/>
    <w:rsid w:val="00705DE5"/>
    <w:rsid w:val="00711815"/>
    <w:rsid w:val="007365F6"/>
    <w:rsid w:val="00793573"/>
    <w:rsid w:val="007A1F74"/>
    <w:rsid w:val="007B01F4"/>
    <w:rsid w:val="007B05D0"/>
    <w:rsid w:val="007F070C"/>
    <w:rsid w:val="007F6751"/>
    <w:rsid w:val="00802727"/>
    <w:rsid w:val="0082394C"/>
    <w:rsid w:val="00827E57"/>
    <w:rsid w:val="00874222"/>
    <w:rsid w:val="008A2FCB"/>
    <w:rsid w:val="008B7F75"/>
    <w:rsid w:val="0090445F"/>
    <w:rsid w:val="00916D12"/>
    <w:rsid w:val="00952B8A"/>
    <w:rsid w:val="00967580"/>
    <w:rsid w:val="00983926"/>
    <w:rsid w:val="009976F6"/>
    <w:rsid w:val="009A1CE0"/>
    <w:rsid w:val="009B3AAE"/>
    <w:rsid w:val="009D2ADB"/>
    <w:rsid w:val="009E4B85"/>
    <w:rsid w:val="009E5023"/>
    <w:rsid w:val="00A05D88"/>
    <w:rsid w:val="00A20A3F"/>
    <w:rsid w:val="00A236C8"/>
    <w:rsid w:val="00A43597"/>
    <w:rsid w:val="00A665D8"/>
    <w:rsid w:val="00A7317F"/>
    <w:rsid w:val="00A94DE4"/>
    <w:rsid w:val="00A958EB"/>
    <w:rsid w:val="00AA7247"/>
    <w:rsid w:val="00AA7DFE"/>
    <w:rsid w:val="00AC0A1A"/>
    <w:rsid w:val="00AC2B37"/>
    <w:rsid w:val="00AC6C30"/>
    <w:rsid w:val="00AE5D8C"/>
    <w:rsid w:val="00B024D7"/>
    <w:rsid w:val="00B12B32"/>
    <w:rsid w:val="00B649D0"/>
    <w:rsid w:val="00B73AD4"/>
    <w:rsid w:val="00B77986"/>
    <w:rsid w:val="00BB6376"/>
    <w:rsid w:val="00BB7E68"/>
    <w:rsid w:val="00BC36BE"/>
    <w:rsid w:val="00BD4F92"/>
    <w:rsid w:val="00C34DBF"/>
    <w:rsid w:val="00C5707B"/>
    <w:rsid w:val="00C94493"/>
    <w:rsid w:val="00C94FC1"/>
    <w:rsid w:val="00CA7033"/>
    <w:rsid w:val="00CF3CC9"/>
    <w:rsid w:val="00CF505F"/>
    <w:rsid w:val="00D030C6"/>
    <w:rsid w:val="00D05C85"/>
    <w:rsid w:val="00D22335"/>
    <w:rsid w:val="00D55210"/>
    <w:rsid w:val="00DC7666"/>
    <w:rsid w:val="00DE02DE"/>
    <w:rsid w:val="00DE5D3D"/>
    <w:rsid w:val="00E34104"/>
    <w:rsid w:val="00E35C86"/>
    <w:rsid w:val="00E83A0C"/>
    <w:rsid w:val="00E862F4"/>
    <w:rsid w:val="00E9606E"/>
    <w:rsid w:val="00EA3958"/>
    <w:rsid w:val="00EB1C86"/>
    <w:rsid w:val="00EE5216"/>
    <w:rsid w:val="00EF3F2E"/>
    <w:rsid w:val="00F15D5D"/>
    <w:rsid w:val="00F2116E"/>
    <w:rsid w:val="00F22081"/>
    <w:rsid w:val="00F57659"/>
    <w:rsid w:val="00F80366"/>
    <w:rsid w:val="00F80EEC"/>
    <w:rsid w:val="00F97E9F"/>
    <w:rsid w:val="00FB4244"/>
  </w:rsids>
  <m:mathPr>
    <m:mathFont m:val="Cambria Math"/>
    <m:brkBin m:val="before"/>
    <m:brkBinSub m:val="--"/>
    <m:smallFrac m:val="0"/>
    <m:dispDef/>
    <m:lMargin m:val="0"/>
    <m:rMargin m:val="0"/>
    <m:defJc m:val="centerGroup"/>
    <m:wrapIndent m:val="1440"/>
    <m:intLim m:val="subSup"/>
    <m:naryLim m:val="undOvr"/>
  </m:mathPr>
  <w:themeFontLang w:val="en-GB"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7633"/>
  <w15:docId w15:val="{CA844DB0-6069-469E-8B0E-E7279104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42D"/>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311D0F"/>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DE02DE"/>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DE02DE"/>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DE02DE"/>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DE02DE"/>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DE02DE"/>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DE02DE"/>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DE02DE"/>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DE02DE"/>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1D0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311D0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311D0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311D0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311D0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311D0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311D0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311D0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311D0F"/>
    <w:rPr>
      <w:rFonts w:ascii="Times New Roman" w:eastAsia="Times New Roman" w:hAnsi="Times New Roman" w:cs="Times New Roman"/>
      <w:b/>
      <w:i/>
      <w:szCs w:val="20"/>
      <w:lang w:val="cs-CZ"/>
    </w:rPr>
  </w:style>
  <w:style w:type="paragraph" w:styleId="Porat">
    <w:name w:val="footer"/>
    <w:basedOn w:val="prastasis"/>
    <w:link w:val="PoratDiagrama"/>
    <w:rsid w:val="00DE02D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311D0F"/>
    <w:rPr>
      <w:rFonts w:ascii="Helvetica" w:eastAsia="Times New Roman" w:hAnsi="Helvetica" w:cs="Times New Roman"/>
      <w:sz w:val="16"/>
      <w:szCs w:val="20"/>
      <w:lang w:val="cs-CZ"/>
    </w:rPr>
  </w:style>
  <w:style w:type="character" w:styleId="Puslapionumeris">
    <w:name w:val="page number"/>
    <w:basedOn w:val="Numatytasispastraiposriftas"/>
    <w:rsid w:val="00311D0F"/>
  </w:style>
  <w:style w:type="paragraph" w:styleId="Antrats">
    <w:name w:val="header"/>
    <w:basedOn w:val="prastasis"/>
    <w:link w:val="AntratsDiagrama"/>
    <w:rsid w:val="00DE02DE"/>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311D0F"/>
    <w:rPr>
      <w:rFonts w:ascii="Helvetica" w:eastAsia="Times New Roman" w:hAnsi="Helvetica" w:cs="Times New Roman"/>
      <w:sz w:val="20"/>
      <w:szCs w:val="20"/>
      <w:lang w:val="cs-CZ"/>
    </w:rPr>
  </w:style>
  <w:style w:type="paragraph" w:customStyle="1" w:styleId="EMEAEnBodyText">
    <w:name w:val="EMEA En Body Text"/>
    <w:basedOn w:val="prastasis"/>
    <w:rsid w:val="00311D0F"/>
    <w:pPr>
      <w:spacing w:before="120" w:after="120"/>
      <w:jc w:val="both"/>
    </w:pPr>
    <w:rPr>
      <w:szCs w:val="20"/>
      <w:lang w:val="en-US"/>
    </w:rPr>
  </w:style>
  <w:style w:type="paragraph" w:customStyle="1" w:styleId="AHeader1">
    <w:name w:val="AHeader 1"/>
    <w:basedOn w:val="prastasis"/>
    <w:rsid w:val="00DE02DE"/>
    <w:pPr>
      <w:numPr>
        <w:numId w:val="2"/>
      </w:numPr>
      <w:spacing w:after="120"/>
    </w:pPr>
    <w:rPr>
      <w:rFonts w:ascii="Arial" w:hAnsi="Arial" w:cs="Arial"/>
      <w:b/>
      <w:bCs/>
      <w:sz w:val="24"/>
      <w:szCs w:val="20"/>
      <w:lang w:val="en-GB"/>
    </w:rPr>
  </w:style>
  <w:style w:type="paragraph" w:customStyle="1" w:styleId="AHeader2">
    <w:name w:val="AHeader 2"/>
    <w:basedOn w:val="AHeader1"/>
    <w:rsid w:val="00DE02DE"/>
    <w:pPr>
      <w:numPr>
        <w:ilvl w:val="1"/>
      </w:numPr>
      <w:tabs>
        <w:tab w:val="clear" w:pos="709"/>
        <w:tab w:val="num" w:pos="360"/>
      </w:tabs>
      <w:ind w:left="360" w:hanging="360"/>
    </w:pPr>
    <w:rPr>
      <w:sz w:val="22"/>
    </w:rPr>
  </w:style>
  <w:style w:type="paragraph" w:customStyle="1" w:styleId="AHeader3">
    <w:name w:val="AHeader 3"/>
    <w:basedOn w:val="AHeader2"/>
    <w:rsid w:val="00DE02DE"/>
    <w:pPr>
      <w:numPr>
        <w:ilvl w:val="2"/>
      </w:numPr>
      <w:tabs>
        <w:tab w:val="clear" w:pos="1276"/>
        <w:tab w:val="num" w:pos="360"/>
      </w:tabs>
      <w:ind w:left="360" w:hanging="360"/>
    </w:pPr>
  </w:style>
  <w:style w:type="paragraph" w:customStyle="1" w:styleId="AHeader2abc">
    <w:name w:val="AHeader 2 abc"/>
    <w:basedOn w:val="AHeader3"/>
    <w:rsid w:val="00DE02DE"/>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DE02DE"/>
    <w:pPr>
      <w:numPr>
        <w:ilvl w:val="4"/>
      </w:numPr>
      <w:tabs>
        <w:tab w:val="clear" w:pos="1701"/>
        <w:tab w:val="num" w:pos="360"/>
      </w:tabs>
      <w:ind w:left="360" w:hanging="360"/>
    </w:pPr>
  </w:style>
  <w:style w:type="paragraph" w:styleId="Pagrindinistekstas2">
    <w:name w:val="Body Text 2"/>
    <w:basedOn w:val="prastasis"/>
    <w:link w:val="Pagrindinistekstas2Diagrama"/>
    <w:rsid w:val="00DE02DE"/>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311D0F"/>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DE02DE"/>
    <w:rPr>
      <w:i/>
      <w:color w:val="008000"/>
      <w:szCs w:val="20"/>
      <w:lang w:val="en-GB"/>
    </w:rPr>
  </w:style>
  <w:style w:type="character" w:customStyle="1" w:styleId="PagrindinistekstasDiagrama">
    <w:name w:val="Pagrindinis tekstas Diagrama"/>
    <w:basedOn w:val="Numatytasispastraiposriftas"/>
    <w:link w:val="Pagrindinistekstas"/>
    <w:rsid w:val="00311D0F"/>
    <w:rPr>
      <w:rFonts w:ascii="Times New Roman" w:eastAsia="Times New Roman" w:hAnsi="Times New Roman" w:cs="Times New Roman"/>
      <w:i/>
      <w:color w:val="008000"/>
      <w:szCs w:val="20"/>
    </w:rPr>
  </w:style>
  <w:style w:type="character" w:styleId="Hipersaitas">
    <w:name w:val="Hyperlink"/>
    <w:uiPriority w:val="99"/>
    <w:rsid w:val="00DE02DE"/>
    <w:rPr>
      <w:color w:val="0000FF"/>
      <w:u w:val="single"/>
    </w:rPr>
  </w:style>
  <w:style w:type="character" w:styleId="Grietas">
    <w:name w:val="Strong"/>
    <w:qFormat/>
    <w:rsid w:val="00311D0F"/>
    <w:rPr>
      <w:b/>
      <w:bCs/>
    </w:rPr>
  </w:style>
  <w:style w:type="paragraph" w:styleId="Debesliotekstas">
    <w:name w:val="Balloon Text"/>
    <w:basedOn w:val="prastasis"/>
    <w:link w:val="DebesliotekstasDiagrama"/>
    <w:semiHidden/>
    <w:rsid w:val="00DE02D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11D0F"/>
    <w:rPr>
      <w:rFonts w:ascii="Tahoma" w:eastAsia="Times New Roman" w:hAnsi="Tahoma" w:cs="Tahoma"/>
      <w:sz w:val="16"/>
      <w:szCs w:val="16"/>
      <w:lang w:val="lt-LT"/>
    </w:rPr>
  </w:style>
  <w:style w:type="character" w:styleId="Perirtashipersaitas">
    <w:name w:val="FollowedHyperlink"/>
    <w:rsid w:val="00DE02DE"/>
    <w:rPr>
      <w:color w:val="800080"/>
      <w:u w:val="single"/>
    </w:rPr>
  </w:style>
  <w:style w:type="paragraph" w:customStyle="1" w:styleId="Default">
    <w:name w:val="Default"/>
    <w:rsid w:val="00311D0F"/>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bidi="lo-LA"/>
    </w:rPr>
  </w:style>
  <w:style w:type="paragraph" w:styleId="Pavadinimas">
    <w:name w:val="Title"/>
    <w:basedOn w:val="prastasis"/>
    <w:link w:val="PavadinimasDiagrama"/>
    <w:qFormat/>
    <w:rsid w:val="00311D0F"/>
    <w:pPr>
      <w:jc w:val="center"/>
    </w:pPr>
    <w:rPr>
      <w:b/>
      <w:szCs w:val="20"/>
      <w:lang w:val="en-GB"/>
    </w:rPr>
  </w:style>
  <w:style w:type="character" w:customStyle="1" w:styleId="PavadinimasDiagrama">
    <w:name w:val="Pavadinimas Diagrama"/>
    <w:basedOn w:val="Numatytasispastraiposriftas"/>
    <w:link w:val="Pavadinimas"/>
    <w:rsid w:val="00311D0F"/>
    <w:rPr>
      <w:rFonts w:ascii="Times New Roman" w:eastAsia="Times New Roman" w:hAnsi="Times New Roman" w:cs="Times New Roman"/>
      <w:b/>
      <w:szCs w:val="20"/>
    </w:rPr>
  </w:style>
  <w:style w:type="paragraph" w:styleId="Paprastasistekstas">
    <w:name w:val="Plain Text"/>
    <w:basedOn w:val="prastasis"/>
    <w:link w:val="PaprastasistekstasDiagrama"/>
    <w:uiPriority w:val="99"/>
    <w:rsid w:val="00DE02DE"/>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rsid w:val="00311D0F"/>
    <w:rPr>
      <w:rFonts w:ascii="Courier New" w:eastAsia="SimSun" w:hAnsi="Courier New" w:cs="Times New Roman"/>
      <w:sz w:val="20"/>
      <w:szCs w:val="20"/>
      <w:lang w:val="x-none" w:eastAsia="x-none"/>
    </w:rPr>
  </w:style>
  <w:style w:type="character" w:styleId="Komentaronuoroda">
    <w:name w:val="annotation reference"/>
    <w:rsid w:val="00DE02DE"/>
    <w:rPr>
      <w:sz w:val="16"/>
      <w:szCs w:val="16"/>
    </w:rPr>
  </w:style>
  <w:style w:type="paragraph" w:styleId="Komentarotekstas">
    <w:name w:val="annotation text"/>
    <w:basedOn w:val="prastasis"/>
    <w:link w:val="KomentarotekstasDiagrama"/>
    <w:rsid w:val="00DE02DE"/>
    <w:rPr>
      <w:sz w:val="20"/>
      <w:szCs w:val="20"/>
      <w:lang w:val="x-none"/>
    </w:rPr>
  </w:style>
  <w:style w:type="character" w:customStyle="1" w:styleId="CommentTextChar">
    <w:name w:val="Comment Text Char"/>
    <w:basedOn w:val="Numatytasispastraiposriftas"/>
    <w:semiHidden/>
    <w:rsid w:val="00311D0F"/>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rsid w:val="00311D0F"/>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DE02DE"/>
    <w:rPr>
      <w:b/>
      <w:bCs/>
    </w:rPr>
  </w:style>
  <w:style w:type="character" w:customStyle="1" w:styleId="KomentarotemaDiagrama">
    <w:name w:val="Komentaro tema Diagrama"/>
    <w:basedOn w:val="CommentTextChar"/>
    <w:link w:val="Komentarotema"/>
    <w:rsid w:val="00311D0F"/>
    <w:rPr>
      <w:rFonts w:ascii="Times New Roman" w:eastAsia="Times New Roman" w:hAnsi="Times New Roman" w:cs="Times New Roman"/>
      <w:b/>
      <w:bCs/>
      <w:sz w:val="20"/>
      <w:szCs w:val="20"/>
      <w:lang w:val="x-none"/>
    </w:rPr>
  </w:style>
  <w:style w:type="paragraph" w:styleId="Sraopastraipa">
    <w:name w:val="List Paragraph"/>
    <w:basedOn w:val="prastasis"/>
    <w:uiPriority w:val="34"/>
    <w:qFormat/>
    <w:rsid w:val="00311D0F"/>
    <w:pPr>
      <w:ind w:left="720"/>
      <w:contextualSpacing/>
    </w:pPr>
  </w:style>
  <w:style w:type="character" w:styleId="Eilutsnumeris">
    <w:name w:val="line number"/>
    <w:basedOn w:val="Numatytasispastraiposriftas"/>
    <w:uiPriority w:val="99"/>
    <w:semiHidden/>
    <w:unhideWhenUsed/>
    <w:rsid w:val="00311D0F"/>
  </w:style>
  <w:style w:type="paragraph" w:styleId="Pataisymai">
    <w:name w:val="Revision"/>
    <w:hidden/>
    <w:uiPriority w:val="99"/>
    <w:semiHidden/>
    <w:rsid w:val="00DE02DE"/>
    <w:pPr>
      <w:spacing w:after="0" w:line="240" w:lineRule="auto"/>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19338">
      <w:bodyDiv w:val="1"/>
      <w:marLeft w:val="0"/>
      <w:marRight w:val="0"/>
      <w:marTop w:val="0"/>
      <w:marBottom w:val="0"/>
      <w:divBdr>
        <w:top w:val="none" w:sz="0" w:space="0" w:color="auto"/>
        <w:left w:val="none" w:sz="0" w:space="0" w:color="auto"/>
        <w:bottom w:val="none" w:sz="0" w:space="0" w:color="auto"/>
        <w:right w:val="none" w:sz="0" w:space="0" w:color="auto"/>
      </w:divBdr>
    </w:div>
    <w:div w:id="776290699">
      <w:bodyDiv w:val="1"/>
      <w:marLeft w:val="0"/>
      <w:marRight w:val="0"/>
      <w:marTop w:val="0"/>
      <w:marBottom w:val="0"/>
      <w:divBdr>
        <w:top w:val="none" w:sz="0" w:space="0" w:color="auto"/>
        <w:left w:val="none" w:sz="0" w:space="0" w:color="auto"/>
        <w:bottom w:val="none" w:sz="0" w:space="0" w:color="auto"/>
        <w:right w:val="none" w:sz="0" w:space="0" w:color="auto"/>
      </w:divBdr>
    </w:div>
    <w:div w:id="831214214">
      <w:bodyDiv w:val="1"/>
      <w:marLeft w:val="0"/>
      <w:marRight w:val="0"/>
      <w:marTop w:val="0"/>
      <w:marBottom w:val="0"/>
      <w:divBdr>
        <w:top w:val="none" w:sz="0" w:space="0" w:color="auto"/>
        <w:left w:val="none" w:sz="0" w:space="0" w:color="auto"/>
        <w:bottom w:val="none" w:sz="0" w:space="0" w:color="auto"/>
        <w:right w:val="none" w:sz="0" w:space="0" w:color="auto"/>
      </w:divBdr>
    </w:div>
    <w:div w:id="905333847">
      <w:bodyDiv w:val="1"/>
      <w:marLeft w:val="0"/>
      <w:marRight w:val="0"/>
      <w:marTop w:val="0"/>
      <w:marBottom w:val="0"/>
      <w:divBdr>
        <w:top w:val="none" w:sz="0" w:space="0" w:color="auto"/>
        <w:left w:val="none" w:sz="0" w:space="0" w:color="auto"/>
        <w:bottom w:val="none" w:sz="0" w:space="0" w:color="auto"/>
        <w:right w:val="none" w:sz="0" w:space="0" w:color="auto"/>
      </w:divBdr>
    </w:div>
    <w:div w:id="1247301578">
      <w:bodyDiv w:val="1"/>
      <w:marLeft w:val="0"/>
      <w:marRight w:val="0"/>
      <w:marTop w:val="0"/>
      <w:marBottom w:val="0"/>
      <w:divBdr>
        <w:top w:val="none" w:sz="0" w:space="0" w:color="auto"/>
        <w:left w:val="none" w:sz="0" w:space="0" w:color="auto"/>
        <w:bottom w:val="none" w:sz="0" w:space="0" w:color="auto"/>
        <w:right w:val="none" w:sz="0" w:space="0" w:color="auto"/>
      </w:divBdr>
    </w:div>
    <w:div w:id="1344353729">
      <w:bodyDiv w:val="1"/>
      <w:marLeft w:val="0"/>
      <w:marRight w:val="0"/>
      <w:marTop w:val="0"/>
      <w:marBottom w:val="0"/>
      <w:divBdr>
        <w:top w:val="none" w:sz="0" w:space="0" w:color="auto"/>
        <w:left w:val="none" w:sz="0" w:space="0" w:color="auto"/>
        <w:bottom w:val="none" w:sz="0" w:space="0" w:color="auto"/>
        <w:right w:val="none" w:sz="0" w:space="0" w:color="auto"/>
      </w:divBdr>
    </w:div>
    <w:div w:id="16014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nfo@taked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46594</Words>
  <Characters>26559</Characters>
  <Application>Microsoft Office Word</Application>
  <DocSecurity>4</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dc:creator>
  <cp:lastModifiedBy>Albina Burkauskaitė</cp:lastModifiedBy>
  <cp:revision>2</cp:revision>
  <dcterms:created xsi:type="dcterms:W3CDTF">2024-09-24T08:20:00Z</dcterms:created>
  <dcterms:modified xsi:type="dcterms:W3CDTF">2024-09-24T08:20:00Z</dcterms:modified>
</cp:coreProperties>
</file>