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D646C0" w14:textId="77777777" w:rsidR="002F3324" w:rsidRPr="005B4647" w:rsidRDefault="002F3324" w:rsidP="002F3324">
      <w:pPr>
        <w:spacing w:after="0" w:line="240" w:lineRule="auto"/>
        <w:rPr>
          <w:rFonts w:ascii="Times New Roman" w:hAnsi="Times New Roman"/>
        </w:rPr>
      </w:pPr>
    </w:p>
    <w:p w14:paraId="0664F70A" w14:textId="77777777" w:rsidR="002F3324" w:rsidRPr="00534C57" w:rsidRDefault="002F3324" w:rsidP="002F3324">
      <w:pPr>
        <w:spacing w:after="0" w:line="240" w:lineRule="auto"/>
        <w:rPr>
          <w:rFonts w:ascii="Times New Roman" w:hAnsi="Times New Roman"/>
        </w:rPr>
      </w:pPr>
    </w:p>
    <w:p w14:paraId="6A65F274" w14:textId="77777777" w:rsidR="002F3324" w:rsidRPr="00534C57" w:rsidRDefault="002F3324" w:rsidP="002F3324">
      <w:pPr>
        <w:spacing w:after="0" w:line="240" w:lineRule="auto"/>
        <w:rPr>
          <w:rFonts w:ascii="Times New Roman" w:hAnsi="Times New Roman"/>
        </w:rPr>
      </w:pPr>
    </w:p>
    <w:p w14:paraId="64133257" w14:textId="77777777" w:rsidR="002F3324" w:rsidRPr="00534C57" w:rsidRDefault="002F3324" w:rsidP="002F3324">
      <w:pPr>
        <w:spacing w:after="0" w:line="240" w:lineRule="auto"/>
        <w:rPr>
          <w:rFonts w:ascii="Times New Roman" w:hAnsi="Times New Roman"/>
        </w:rPr>
      </w:pPr>
    </w:p>
    <w:p w14:paraId="4F7F2A84" w14:textId="77777777" w:rsidR="002F3324" w:rsidRPr="00534C57" w:rsidRDefault="002F3324" w:rsidP="002F3324">
      <w:pPr>
        <w:spacing w:after="0" w:line="240" w:lineRule="auto"/>
        <w:rPr>
          <w:rFonts w:ascii="Times New Roman" w:hAnsi="Times New Roman"/>
        </w:rPr>
      </w:pPr>
    </w:p>
    <w:p w14:paraId="5C8EEDE8" w14:textId="77777777" w:rsidR="002F3324" w:rsidRPr="00534C57" w:rsidRDefault="002F3324" w:rsidP="002F3324">
      <w:pPr>
        <w:spacing w:after="0" w:line="240" w:lineRule="auto"/>
        <w:rPr>
          <w:rFonts w:ascii="Times New Roman" w:hAnsi="Times New Roman"/>
        </w:rPr>
      </w:pPr>
    </w:p>
    <w:p w14:paraId="7249C2F5" w14:textId="77777777" w:rsidR="002F3324" w:rsidRPr="00534C57" w:rsidRDefault="002F3324" w:rsidP="002F3324">
      <w:pPr>
        <w:spacing w:after="0" w:line="240" w:lineRule="auto"/>
        <w:rPr>
          <w:rFonts w:ascii="Times New Roman" w:hAnsi="Times New Roman"/>
        </w:rPr>
      </w:pPr>
    </w:p>
    <w:p w14:paraId="12C91D81" w14:textId="77777777" w:rsidR="002F3324" w:rsidRPr="00534C57" w:rsidRDefault="002F3324" w:rsidP="002F3324">
      <w:pPr>
        <w:spacing w:after="0" w:line="240" w:lineRule="auto"/>
        <w:rPr>
          <w:rFonts w:ascii="Times New Roman" w:hAnsi="Times New Roman"/>
          <w:noProof/>
        </w:rPr>
      </w:pPr>
    </w:p>
    <w:p w14:paraId="487D91F0" w14:textId="77777777" w:rsidR="002F3324" w:rsidRPr="00534C57" w:rsidRDefault="002F3324" w:rsidP="002F3324">
      <w:pPr>
        <w:spacing w:after="0" w:line="240" w:lineRule="auto"/>
        <w:rPr>
          <w:rFonts w:ascii="Times New Roman" w:hAnsi="Times New Roman"/>
          <w:noProof/>
        </w:rPr>
      </w:pPr>
    </w:p>
    <w:p w14:paraId="1454873F" w14:textId="77777777" w:rsidR="002F3324" w:rsidRPr="00534C57" w:rsidRDefault="002F3324" w:rsidP="002F3324">
      <w:pPr>
        <w:spacing w:after="0" w:line="240" w:lineRule="auto"/>
        <w:rPr>
          <w:rFonts w:ascii="Times New Roman" w:hAnsi="Times New Roman"/>
          <w:noProof/>
        </w:rPr>
      </w:pPr>
    </w:p>
    <w:p w14:paraId="09D53450" w14:textId="77777777" w:rsidR="002F3324" w:rsidRPr="00534C57" w:rsidRDefault="002F3324" w:rsidP="002F3324">
      <w:pPr>
        <w:spacing w:after="0" w:line="240" w:lineRule="auto"/>
        <w:rPr>
          <w:rFonts w:ascii="Times New Roman" w:hAnsi="Times New Roman"/>
          <w:noProof/>
        </w:rPr>
      </w:pPr>
    </w:p>
    <w:p w14:paraId="53448BEC" w14:textId="77777777" w:rsidR="002F3324" w:rsidRPr="00534C57" w:rsidRDefault="002F3324" w:rsidP="002F3324">
      <w:pPr>
        <w:spacing w:after="0" w:line="240" w:lineRule="auto"/>
        <w:rPr>
          <w:rFonts w:ascii="Times New Roman" w:hAnsi="Times New Roman"/>
          <w:noProof/>
        </w:rPr>
      </w:pPr>
    </w:p>
    <w:p w14:paraId="07B8B2AE" w14:textId="77777777" w:rsidR="002F3324" w:rsidRPr="00534C57" w:rsidRDefault="002F3324" w:rsidP="002F3324">
      <w:pPr>
        <w:spacing w:after="0" w:line="240" w:lineRule="auto"/>
        <w:rPr>
          <w:rFonts w:ascii="Times New Roman" w:hAnsi="Times New Roman"/>
          <w:noProof/>
        </w:rPr>
      </w:pPr>
    </w:p>
    <w:p w14:paraId="53AB7DCC" w14:textId="77777777" w:rsidR="002F3324" w:rsidRPr="00534C57" w:rsidRDefault="002F3324" w:rsidP="002F3324">
      <w:pPr>
        <w:spacing w:after="0" w:line="240" w:lineRule="auto"/>
        <w:rPr>
          <w:rFonts w:ascii="Times New Roman" w:hAnsi="Times New Roman"/>
          <w:noProof/>
        </w:rPr>
      </w:pPr>
    </w:p>
    <w:p w14:paraId="7505EAF9" w14:textId="77777777" w:rsidR="002F3324" w:rsidRPr="00534C57" w:rsidRDefault="002F3324" w:rsidP="002F3324">
      <w:pPr>
        <w:spacing w:after="0" w:line="240" w:lineRule="auto"/>
        <w:rPr>
          <w:rFonts w:ascii="Times New Roman" w:hAnsi="Times New Roman"/>
          <w:noProof/>
        </w:rPr>
      </w:pPr>
    </w:p>
    <w:p w14:paraId="7F1459ED" w14:textId="77777777" w:rsidR="002F3324" w:rsidRPr="00534C57" w:rsidRDefault="002F3324" w:rsidP="002F3324">
      <w:pPr>
        <w:spacing w:after="0" w:line="240" w:lineRule="auto"/>
        <w:rPr>
          <w:rFonts w:ascii="Times New Roman" w:hAnsi="Times New Roman"/>
          <w:noProof/>
        </w:rPr>
      </w:pPr>
    </w:p>
    <w:p w14:paraId="4ACAC285" w14:textId="77777777" w:rsidR="002F3324" w:rsidRPr="00534C57" w:rsidRDefault="002F3324" w:rsidP="002F3324">
      <w:pPr>
        <w:spacing w:after="0" w:line="240" w:lineRule="auto"/>
        <w:rPr>
          <w:rFonts w:ascii="Times New Roman" w:hAnsi="Times New Roman"/>
          <w:noProof/>
        </w:rPr>
      </w:pPr>
    </w:p>
    <w:p w14:paraId="5F955808" w14:textId="77777777" w:rsidR="002F3324" w:rsidRPr="00534C57" w:rsidRDefault="002F3324" w:rsidP="002F3324">
      <w:pPr>
        <w:spacing w:after="0" w:line="240" w:lineRule="auto"/>
        <w:rPr>
          <w:rFonts w:ascii="Times New Roman" w:hAnsi="Times New Roman"/>
          <w:noProof/>
        </w:rPr>
      </w:pPr>
    </w:p>
    <w:p w14:paraId="7F5F2470" w14:textId="77777777" w:rsidR="002F3324" w:rsidRPr="00534C57" w:rsidRDefault="002F3324" w:rsidP="002F3324">
      <w:pPr>
        <w:spacing w:after="0" w:line="240" w:lineRule="auto"/>
        <w:rPr>
          <w:rFonts w:ascii="Times New Roman" w:hAnsi="Times New Roman"/>
          <w:noProof/>
        </w:rPr>
      </w:pPr>
    </w:p>
    <w:p w14:paraId="0005CE5C" w14:textId="77777777" w:rsidR="002F3324" w:rsidRPr="00534C57" w:rsidRDefault="002F3324" w:rsidP="002F3324">
      <w:pPr>
        <w:spacing w:after="0" w:line="240" w:lineRule="auto"/>
        <w:rPr>
          <w:rFonts w:ascii="Times New Roman" w:hAnsi="Times New Roman"/>
          <w:noProof/>
        </w:rPr>
      </w:pPr>
    </w:p>
    <w:p w14:paraId="79CA41A9" w14:textId="77777777" w:rsidR="002F3324" w:rsidRPr="00534C57" w:rsidRDefault="002F3324" w:rsidP="002F3324">
      <w:pPr>
        <w:tabs>
          <w:tab w:val="left" w:pos="567"/>
        </w:tabs>
        <w:spacing w:after="0" w:line="240" w:lineRule="auto"/>
        <w:ind w:left="567" w:hanging="567"/>
        <w:jc w:val="center"/>
        <w:outlineLvl w:val="0"/>
        <w:rPr>
          <w:rFonts w:ascii="Times New Roman" w:hAnsi="Times New Roman"/>
          <w:b/>
          <w:caps/>
        </w:rPr>
      </w:pPr>
      <w:bookmarkStart w:id="0" w:name="_Toc129243096"/>
      <w:bookmarkStart w:id="1" w:name="_Toc129243221"/>
    </w:p>
    <w:p w14:paraId="5F45F0F9" w14:textId="77777777" w:rsidR="002F3324" w:rsidRPr="00534C57" w:rsidRDefault="002F3324" w:rsidP="002F3324">
      <w:pPr>
        <w:tabs>
          <w:tab w:val="left" w:pos="567"/>
        </w:tabs>
        <w:spacing w:after="0" w:line="240" w:lineRule="auto"/>
        <w:ind w:left="567" w:hanging="567"/>
        <w:jc w:val="center"/>
        <w:outlineLvl w:val="0"/>
        <w:rPr>
          <w:rFonts w:ascii="Times New Roman" w:hAnsi="Times New Roman"/>
          <w:b/>
          <w:caps/>
        </w:rPr>
      </w:pPr>
    </w:p>
    <w:p w14:paraId="193A5C8C" w14:textId="77777777" w:rsidR="00951727" w:rsidRDefault="00951727" w:rsidP="00951727">
      <w:pPr>
        <w:tabs>
          <w:tab w:val="left" w:pos="567"/>
        </w:tabs>
        <w:spacing w:after="0" w:line="240" w:lineRule="auto"/>
        <w:outlineLvl w:val="0"/>
        <w:rPr>
          <w:rFonts w:ascii="Times New Roman" w:hAnsi="Times New Roman"/>
          <w:b/>
          <w:caps/>
        </w:rPr>
      </w:pPr>
    </w:p>
    <w:p w14:paraId="6EFD2366" w14:textId="77777777" w:rsidR="00951727" w:rsidRDefault="00951727" w:rsidP="002F3324">
      <w:pPr>
        <w:tabs>
          <w:tab w:val="left" w:pos="567"/>
        </w:tabs>
        <w:spacing w:after="0" w:line="240" w:lineRule="auto"/>
        <w:ind w:left="567" w:hanging="567"/>
        <w:jc w:val="center"/>
        <w:outlineLvl w:val="0"/>
        <w:rPr>
          <w:rFonts w:ascii="Times New Roman" w:hAnsi="Times New Roman"/>
          <w:b/>
          <w:caps/>
        </w:rPr>
      </w:pPr>
    </w:p>
    <w:p w14:paraId="0043F745" w14:textId="77777777" w:rsidR="002F3324" w:rsidRPr="00534C57" w:rsidRDefault="002F3324" w:rsidP="002F3324">
      <w:pPr>
        <w:tabs>
          <w:tab w:val="left" w:pos="567"/>
        </w:tabs>
        <w:spacing w:after="0" w:line="240" w:lineRule="auto"/>
        <w:ind w:left="567" w:hanging="567"/>
        <w:jc w:val="center"/>
        <w:outlineLvl w:val="0"/>
        <w:rPr>
          <w:rFonts w:ascii="Times New Roman" w:hAnsi="Times New Roman"/>
          <w:b/>
          <w:caps/>
        </w:rPr>
      </w:pPr>
      <w:r w:rsidRPr="00534C57">
        <w:rPr>
          <w:rFonts w:ascii="Times New Roman" w:hAnsi="Times New Roman"/>
          <w:b/>
          <w:caps/>
        </w:rPr>
        <w:t>I PRIEDAS</w:t>
      </w:r>
      <w:bookmarkEnd w:id="0"/>
      <w:bookmarkEnd w:id="1"/>
    </w:p>
    <w:p w14:paraId="4A71C53E" w14:textId="77777777" w:rsidR="002F3324" w:rsidRPr="00534C57" w:rsidRDefault="002F3324" w:rsidP="002F3324">
      <w:pPr>
        <w:spacing w:after="0" w:line="240" w:lineRule="auto"/>
        <w:rPr>
          <w:rFonts w:ascii="Times New Roman" w:hAnsi="Times New Roman"/>
          <w:noProof/>
        </w:rPr>
      </w:pPr>
    </w:p>
    <w:p w14:paraId="09A8B7B1" w14:textId="77777777" w:rsidR="002F3324" w:rsidRPr="00534C57" w:rsidRDefault="002F3324" w:rsidP="002F3324">
      <w:pPr>
        <w:tabs>
          <w:tab w:val="left" w:pos="567"/>
        </w:tabs>
        <w:spacing w:after="0" w:line="240" w:lineRule="auto"/>
        <w:ind w:left="567" w:hanging="567"/>
        <w:jc w:val="center"/>
        <w:outlineLvl w:val="0"/>
        <w:rPr>
          <w:rFonts w:ascii="Times New Roman" w:hAnsi="Times New Roman"/>
          <w:b/>
          <w:caps/>
        </w:rPr>
      </w:pPr>
      <w:bookmarkStart w:id="2" w:name="_Toc129243097"/>
      <w:bookmarkStart w:id="3" w:name="_Toc129243222"/>
      <w:r w:rsidRPr="00534C57">
        <w:rPr>
          <w:rFonts w:ascii="Times New Roman" w:hAnsi="Times New Roman"/>
          <w:b/>
          <w:caps/>
        </w:rPr>
        <w:t>PREPARATO CHARAKTERISTIKŲ SANTRAUKA</w:t>
      </w:r>
      <w:bookmarkEnd w:id="2"/>
      <w:bookmarkEnd w:id="3"/>
    </w:p>
    <w:p w14:paraId="289BACD6" w14:textId="77777777" w:rsidR="002F3324" w:rsidRPr="00534C57" w:rsidRDefault="002F3324" w:rsidP="002F3324">
      <w:pPr>
        <w:keepNext/>
        <w:tabs>
          <w:tab w:val="left" w:pos="567"/>
        </w:tabs>
        <w:spacing w:after="0" w:line="240" w:lineRule="auto"/>
        <w:ind w:left="567" w:hanging="567"/>
        <w:outlineLvl w:val="1"/>
        <w:rPr>
          <w:rFonts w:ascii="Times New Roman" w:hAnsi="Times New Roman"/>
          <w:b/>
        </w:rPr>
      </w:pPr>
      <w:r w:rsidRPr="00534C57">
        <w:rPr>
          <w:rFonts w:ascii="Times New Roman" w:hAnsi="Times New Roman"/>
          <w:b/>
          <w:bCs/>
          <w:iCs/>
        </w:rPr>
        <w:br w:type="page"/>
      </w:r>
      <w:bookmarkStart w:id="4" w:name="_Toc129243098"/>
      <w:bookmarkStart w:id="5" w:name="_Toc129243223"/>
      <w:r w:rsidRPr="00534C57">
        <w:rPr>
          <w:rFonts w:ascii="Times New Roman" w:hAnsi="Times New Roman"/>
          <w:b/>
        </w:rPr>
        <w:lastRenderedPageBreak/>
        <w:t>1.</w:t>
      </w:r>
      <w:r w:rsidRPr="00534C57">
        <w:rPr>
          <w:rFonts w:ascii="Times New Roman" w:hAnsi="Times New Roman"/>
          <w:b/>
        </w:rPr>
        <w:tab/>
        <w:t>VAISTINIO PREPARATO PAVADINIMAS</w:t>
      </w:r>
      <w:bookmarkEnd w:id="4"/>
      <w:bookmarkEnd w:id="5"/>
    </w:p>
    <w:p w14:paraId="774255AC" w14:textId="77777777" w:rsidR="002F3324" w:rsidRPr="00534C57" w:rsidRDefault="002F3324" w:rsidP="002F3324">
      <w:pPr>
        <w:spacing w:after="0" w:line="240" w:lineRule="auto"/>
        <w:rPr>
          <w:rFonts w:ascii="Times New Roman" w:hAnsi="Times New Roman"/>
          <w:noProof/>
        </w:rPr>
      </w:pPr>
    </w:p>
    <w:p w14:paraId="46DD8FB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200</w:t>
      </w:r>
      <w:r w:rsidR="006332D5">
        <w:rPr>
          <w:rFonts w:ascii="Times New Roman" w:hAnsi="Times New Roman"/>
          <w:color w:val="000000"/>
        </w:rPr>
        <w:t> </w:t>
      </w:r>
      <w:r w:rsidRPr="00534C57">
        <w:rPr>
          <w:rFonts w:ascii="Times New Roman" w:hAnsi="Times New Roman"/>
          <w:color w:val="000000"/>
        </w:rPr>
        <w:t>mg plėvele dengtos tabletės</w:t>
      </w:r>
    </w:p>
    <w:p w14:paraId="3CDF0612" w14:textId="77777777" w:rsidR="002F3324" w:rsidRPr="00534C57" w:rsidRDefault="002F3324" w:rsidP="002F3324">
      <w:pPr>
        <w:spacing w:after="0" w:line="240" w:lineRule="auto"/>
        <w:rPr>
          <w:rFonts w:ascii="Times New Roman" w:hAnsi="Times New Roman"/>
          <w:noProof/>
        </w:rPr>
      </w:pPr>
    </w:p>
    <w:p w14:paraId="52F8A8EB" w14:textId="77777777" w:rsidR="002F3324" w:rsidRPr="00534C57" w:rsidRDefault="002F3324" w:rsidP="002F3324">
      <w:pPr>
        <w:spacing w:after="0" w:line="240" w:lineRule="auto"/>
        <w:rPr>
          <w:rFonts w:ascii="Times New Roman" w:hAnsi="Times New Roman"/>
          <w:noProof/>
        </w:rPr>
      </w:pPr>
    </w:p>
    <w:p w14:paraId="28752B0B" w14:textId="77777777" w:rsidR="002F3324" w:rsidRPr="00534C57" w:rsidRDefault="002F3324" w:rsidP="00534C57">
      <w:pPr>
        <w:keepNext/>
        <w:tabs>
          <w:tab w:val="left" w:pos="567"/>
          <w:tab w:val="left" w:pos="7694"/>
        </w:tabs>
        <w:spacing w:after="0" w:line="240" w:lineRule="auto"/>
        <w:ind w:left="567" w:hanging="567"/>
        <w:outlineLvl w:val="1"/>
        <w:rPr>
          <w:rFonts w:ascii="Times New Roman" w:hAnsi="Times New Roman"/>
          <w:b/>
        </w:rPr>
      </w:pPr>
      <w:bookmarkStart w:id="6" w:name="_Toc129243099"/>
      <w:bookmarkStart w:id="7" w:name="_Toc129243224"/>
      <w:r w:rsidRPr="00534C57">
        <w:rPr>
          <w:rFonts w:ascii="Times New Roman" w:hAnsi="Times New Roman"/>
          <w:b/>
        </w:rPr>
        <w:t>2.</w:t>
      </w:r>
      <w:r w:rsidRPr="00534C57">
        <w:rPr>
          <w:rFonts w:ascii="Times New Roman" w:hAnsi="Times New Roman"/>
          <w:b/>
        </w:rPr>
        <w:tab/>
        <w:t>KOKYBINĖ IR KIEKYBINĖ SUDĖTIS</w:t>
      </w:r>
      <w:bookmarkEnd w:id="6"/>
      <w:bookmarkEnd w:id="7"/>
      <w:r w:rsidR="00534C57" w:rsidRPr="00534C57">
        <w:rPr>
          <w:rFonts w:ascii="Times New Roman" w:hAnsi="Times New Roman"/>
          <w:b/>
        </w:rPr>
        <w:tab/>
      </w:r>
    </w:p>
    <w:p w14:paraId="32011F83" w14:textId="77777777" w:rsidR="002F3324" w:rsidRPr="00534C57" w:rsidRDefault="002F3324" w:rsidP="002F3324">
      <w:pPr>
        <w:spacing w:after="0" w:line="240" w:lineRule="auto"/>
        <w:rPr>
          <w:rFonts w:ascii="Times New Roman" w:hAnsi="Times New Roman"/>
          <w:noProof/>
        </w:rPr>
      </w:pPr>
    </w:p>
    <w:p w14:paraId="7022A83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Kiekvienoje tabletėje yra 200</w:t>
      </w:r>
      <w:r w:rsidR="006332D5">
        <w:rPr>
          <w:rFonts w:ascii="Times New Roman" w:hAnsi="Times New Roman"/>
          <w:color w:val="000000"/>
        </w:rPr>
        <w:t> </w:t>
      </w:r>
      <w:r w:rsidRPr="00534C57">
        <w:rPr>
          <w:rFonts w:ascii="Times New Roman" w:hAnsi="Times New Roman"/>
          <w:color w:val="000000"/>
        </w:rPr>
        <w:t>mg vorikonazolo.</w:t>
      </w:r>
    </w:p>
    <w:p w14:paraId="7C9D79E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05AD7C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u w:val="single"/>
        </w:rPr>
        <w:t>Pagalbinė medžiaga, kurios poveikis žinomas:</w:t>
      </w:r>
      <w:r w:rsidRPr="00534C57">
        <w:rPr>
          <w:rFonts w:ascii="Times New Roman" w:hAnsi="Times New Roman"/>
          <w:color w:val="000000"/>
        </w:rPr>
        <w:t xml:space="preserve"> kiekvienoje tabletėje yra 250</w:t>
      </w:r>
      <w:r w:rsidR="006332D5">
        <w:rPr>
          <w:rFonts w:ascii="Times New Roman" w:hAnsi="Times New Roman"/>
          <w:color w:val="000000"/>
        </w:rPr>
        <w:t> </w:t>
      </w:r>
      <w:r w:rsidRPr="00534C57">
        <w:rPr>
          <w:rFonts w:ascii="Times New Roman" w:hAnsi="Times New Roman"/>
          <w:color w:val="000000"/>
        </w:rPr>
        <w:t>mg laktozės monohidrato.</w:t>
      </w:r>
    </w:p>
    <w:p w14:paraId="7813E78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EA6B6E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Visos pagalbinės medžiagos išvardytos 6.1 skyriuje.</w:t>
      </w:r>
    </w:p>
    <w:p w14:paraId="4CC4B6F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1AC91F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467FE27"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3. </w:t>
      </w:r>
      <w:r w:rsidR="006332D5">
        <w:rPr>
          <w:rFonts w:ascii="Times New Roman" w:hAnsi="Times New Roman"/>
          <w:b/>
          <w:bCs/>
          <w:color w:val="000000"/>
        </w:rPr>
        <w:tab/>
      </w:r>
      <w:r w:rsidRPr="00534C57">
        <w:rPr>
          <w:rFonts w:ascii="Times New Roman" w:hAnsi="Times New Roman"/>
          <w:b/>
          <w:bCs/>
          <w:color w:val="000000"/>
        </w:rPr>
        <w:t>FARMACINĖ FORMA</w:t>
      </w:r>
    </w:p>
    <w:p w14:paraId="648E0711"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37B1FC68" w14:textId="77777777" w:rsidR="002F3324" w:rsidRPr="00534C57" w:rsidRDefault="002F3324" w:rsidP="002F3324">
      <w:pPr>
        <w:autoSpaceDE w:val="0"/>
        <w:autoSpaceDN w:val="0"/>
        <w:adjustRightInd w:val="0"/>
        <w:spacing w:after="0" w:line="240" w:lineRule="auto"/>
        <w:rPr>
          <w:rFonts w:ascii="Times New Roman" w:hAnsi="Times New Roman"/>
          <w:bCs/>
          <w:color w:val="000000"/>
        </w:rPr>
      </w:pPr>
      <w:r w:rsidRPr="00534C57">
        <w:rPr>
          <w:rFonts w:ascii="Times New Roman" w:hAnsi="Times New Roman"/>
          <w:bCs/>
          <w:color w:val="000000"/>
        </w:rPr>
        <w:t>Plėvele dengta tabletė.</w:t>
      </w:r>
    </w:p>
    <w:p w14:paraId="422CE47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F459C6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Balta pailga plėvele dengta tabletė (dydis apie 17,2 mm x 7,2</w:t>
      </w:r>
      <w:r w:rsidR="006332D5">
        <w:rPr>
          <w:rFonts w:ascii="Times New Roman" w:hAnsi="Times New Roman"/>
          <w:color w:val="000000"/>
        </w:rPr>
        <w:t> </w:t>
      </w:r>
      <w:r w:rsidRPr="00534C57">
        <w:rPr>
          <w:rFonts w:ascii="Times New Roman" w:hAnsi="Times New Roman"/>
          <w:color w:val="000000"/>
        </w:rPr>
        <w:t>mm), kurios vienoje pusėje įspaustas ženklas ,,V”, kitoje – ,,200”.</w:t>
      </w:r>
    </w:p>
    <w:p w14:paraId="3C8DAF8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2928F0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B86BF7C"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 KLINIKINĖ INFORMACIJA</w:t>
      </w:r>
    </w:p>
    <w:p w14:paraId="2B6CE91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0C37DB20"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4.1 Terapinės indikacijos</w:t>
      </w:r>
    </w:p>
    <w:p w14:paraId="55DE0914"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420F35C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yra plataus priešgrybelinio poveikio triazolų grupės vaistinis preparatas, skirtas suaugusiesiems ir 2 metų bei vyresniems vaikams:</w:t>
      </w:r>
    </w:p>
    <w:p w14:paraId="5C8F1A9D" w14:textId="77777777" w:rsidR="002F3324" w:rsidRPr="00951727" w:rsidRDefault="002F3324" w:rsidP="00951727">
      <w:pPr>
        <w:pStyle w:val="Sraopastraipa"/>
        <w:numPr>
          <w:ilvl w:val="0"/>
          <w:numId w:val="40"/>
        </w:numPr>
        <w:spacing w:after="0" w:line="240" w:lineRule="auto"/>
        <w:ind w:left="426" w:hanging="284"/>
        <w:rPr>
          <w:rFonts w:ascii="Times New Roman" w:hAnsi="Times New Roman"/>
        </w:rPr>
      </w:pPr>
      <w:r w:rsidRPr="00951727">
        <w:rPr>
          <w:rFonts w:ascii="Times New Roman" w:hAnsi="Times New Roman"/>
        </w:rPr>
        <w:t>invazinės aspergiliozės gydymui;</w:t>
      </w:r>
    </w:p>
    <w:p w14:paraId="78FCD485" w14:textId="77777777" w:rsidR="002F3324" w:rsidRPr="00951727" w:rsidRDefault="002F3324" w:rsidP="00951727">
      <w:pPr>
        <w:pStyle w:val="Sraopastraipa"/>
        <w:numPr>
          <w:ilvl w:val="0"/>
          <w:numId w:val="40"/>
        </w:numPr>
        <w:spacing w:after="0" w:line="240" w:lineRule="auto"/>
        <w:ind w:left="426" w:hanging="284"/>
        <w:rPr>
          <w:rFonts w:ascii="Times New Roman" w:hAnsi="Times New Roman"/>
        </w:rPr>
      </w:pPr>
      <w:r w:rsidRPr="00951727">
        <w:rPr>
          <w:rFonts w:ascii="Times New Roman" w:hAnsi="Times New Roman"/>
        </w:rPr>
        <w:t>kandidemijos gydymui pacientams, kuriems nėra neutropenijos;</w:t>
      </w:r>
    </w:p>
    <w:p w14:paraId="1671EA34" w14:textId="77777777" w:rsidR="002F3324" w:rsidRPr="00951727" w:rsidRDefault="002F3324" w:rsidP="00951727">
      <w:pPr>
        <w:pStyle w:val="Sraopastraipa"/>
        <w:numPr>
          <w:ilvl w:val="0"/>
          <w:numId w:val="40"/>
        </w:numPr>
        <w:spacing w:after="0" w:line="240" w:lineRule="auto"/>
        <w:ind w:left="426" w:hanging="284"/>
        <w:rPr>
          <w:rFonts w:ascii="Times New Roman" w:hAnsi="Times New Roman"/>
        </w:rPr>
      </w:pPr>
      <w:r w:rsidRPr="00951727">
        <w:rPr>
          <w:rFonts w:ascii="Times New Roman" w:hAnsi="Times New Roman"/>
        </w:rPr>
        <w:t xml:space="preserve">atsparios flukonazolui, sunkios formos </w:t>
      </w:r>
      <w:r w:rsidRPr="00951727">
        <w:rPr>
          <w:rFonts w:ascii="Times New Roman" w:hAnsi="Times New Roman"/>
          <w:i/>
          <w:iCs/>
        </w:rPr>
        <w:t xml:space="preserve">Candida </w:t>
      </w:r>
      <w:r w:rsidRPr="00951727">
        <w:rPr>
          <w:rFonts w:ascii="Times New Roman" w:hAnsi="Times New Roman"/>
        </w:rPr>
        <w:t xml:space="preserve">(įskaitant </w:t>
      </w:r>
      <w:r w:rsidRPr="00951727">
        <w:rPr>
          <w:rFonts w:ascii="Times New Roman" w:hAnsi="Times New Roman"/>
          <w:i/>
          <w:iCs/>
        </w:rPr>
        <w:t>C. krusei</w:t>
      </w:r>
      <w:r w:rsidRPr="00951727">
        <w:rPr>
          <w:rFonts w:ascii="Times New Roman" w:hAnsi="Times New Roman"/>
        </w:rPr>
        <w:t>) grybelių sukeltos infekcijos gydymui;</w:t>
      </w:r>
    </w:p>
    <w:p w14:paraId="2B329858" w14:textId="77777777" w:rsidR="002F3324" w:rsidRPr="00951727" w:rsidRDefault="002F3324" w:rsidP="00951727">
      <w:pPr>
        <w:pStyle w:val="Sraopastraipa"/>
        <w:numPr>
          <w:ilvl w:val="0"/>
          <w:numId w:val="40"/>
        </w:numPr>
        <w:spacing w:after="0" w:line="240" w:lineRule="auto"/>
        <w:ind w:left="426" w:hanging="284"/>
        <w:rPr>
          <w:rFonts w:ascii="Times New Roman" w:hAnsi="Times New Roman"/>
        </w:rPr>
      </w:pPr>
      <w:r w:rsidRPr="00951727">
        <w:rPr>
          <w:rFonts w:ascii="Times New Roman" w:hAnsi="Times New Roman"/>
        </w:rPr>
        <w:t xml:space="preserve">sunkios grybelių </w:t>
      </w:r>
      <w:r w:rsidRPr="00951727">
        <w:rPr>
          <w:rFonts w:ascii="Times New Roman" w:hAnsi="Times New Roman"/>
          <w:i/>
          <w:iCs/>
        </w:rPr>
        <w:t xml:space="preserve">Scedosporium </w:t>
      </w:r>
      <w:r w:rsidRPr="00951727">
        <w:rPr>
          <w:rFonts w:ascii="Times New Roman" w:hAnsi="Times New Roman"/>
        </w:rPr>
        <w:t xml:space="preserve">ir </w:t>
      </w:r>
      <w:r w:rsidRPr="00951727">
        <w:rPr>
          <w:rFonts w:ascii="Times New Roman" w:hAnsi="Times New Roman"/>
          <w:i/>
          <w:iCs/>
        </w:rPr>
        <w:t xml:space="preserve">Fusarium </w:t>
      </w:r>
      <w:r w:rsidRPr="00951727">
        <w:rPr>
          <w:rFonts w:ascii="Times New Roman" w:hAnsi="Times New Roman"/>
        </w:rPr>
        <w:t>rūšių sukeltos infekcijos gydymui.</w:t>
      </w:r>
    </w:p>
    <w:p w14:paraId="4F0B3E6F" w14:textId="77777777" w:rsidR="002F3324" w:rsidRPr="00534C57" w:rsidRDefault="002F3324" w:rsidP="002F3324">
      <w:pPr>
        <w:spacing w:after="0" w:line="240" w:lineRule="auto"/>
        <w:ind w:left="720"/>
        <w:rPr>
          <w:rFonts w:ascii="Times New Roman" w:hAnsi="Times New Roman"/>
        </w:rPr>
      </w:pPr>
    </w:p>
    <w:p w14:paraId="7D6719B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Pirmiausiai Voriconazole Teva reikia skirti pacientams, sergantiems progresuojančia ir gyvybei pavojinga infekcine liga.</w:t>
      </w:r>
    </w:p>
    <w:p w14:paraId="77516E5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A02238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Invazinės grybelių sukeltos infekcijos profilaktikai didelės rizikos pacientams, kuriems buvo persodintos alogeninės kamieninės hematopoe</w:t>
      </w:r>
      <w:r w:rsidR="00AC61CD">
        <w:rPr>
          <w:rFonts w:ascii="Times New Roman" w:hAnsi="Times New Roman"/>
          <w:color w:val="000000"/>
        </w:rPr>
        <w:t>z</w:t>
      </w:r>
      <w:r w:rsidRPr="00534C57">
        <w:rPr>
          <w:rFonts w:ascii="Times New Roman" w:hAnsi="Times New Roman"/>
          <w:color w:val="000000"/>
        </w:rPr>
        <w:t>inės ląstelės.</w:t>
      </w:r>
    </w:p>
    <w:p w14:paraId="0F19762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ED702B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4.2 Dozavimas ir vartojimo metodas</w:t>
      </w:r>
    </w:p>
    <w:p w14:paraId="79904866"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2F365F0D"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Dozavimas</w:t>
      </w:r>
    </w:p>
    <w:p w14:paraId="53E9421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698B04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Prieš pradedant gydyti vorikonazolu bei gydymo metu reikia kontroliuoti ir, prireikus, koreguoti tokius elektrolitų sutrikimus kaip hipokalemija, hipomagnezemija ir hipokalcemija (žr. 4.4 skyrių).</w:t>
      </w:r>
    </w:p>
    <w:p w14:paraId="1AAEE09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1EBE4E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tiekiamas 200 mg plėvele dengtų tablečių farmacine forma. Rinkoje yra kitų farmacinių formų: milteliai tirpalui infuzijoms paruošti, milteliai geriamajai suspensijai.</w:t>
      </w:r>
    </w:p>
    <w:p w14:paraId="11B9C4D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EC15229"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Gydymas</w:t>
      </w:r>
    </w:p>
    <w:p w14:paraId="7979B181" w14:textId="77777777" w:rsidR="002F3324" w:rsidRPr="00534C57" w:rsidRDefault="002F3324" w:rsidP="002F3324">
      <w:pPr>
        <w:autoSpaceDE w:val="0"/>
        <w:autoSpaceDN w:val="0"/>
        <w:adjustRightInd w:val="0"/>
        <w:spacing w:after="0" w:line="240" w:lineRule="auto"/>
        <w:rPr>
          <w:rFonts w:ascii="Times New Roman" w:hAnsi="Times New Roman"/>
          <w:i/>
          <w:color w:val="000000"/>
        </w:rPr>
      </w:pPr>
      <w:r w:rsidRPr="00534C57">
        <w:rPr>
          <w:rFonts w:ascii="Times New Roman" w:hAnsi="Times New Roman"/>
          <w:i/>
          <w:color w:val="000000"/>
        </w:rPr>
        <w:t>Suaugusiesiems</w:t>
      </w:r>
    </w:p>
    <w:p w14:paraId="4C9B8E0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Gydymą būtina pradėti pagal specialų įsotinamosios dozės planą suleidžiant į veną arba vartojant per burną, kad per pirmąją parą būtų pasiekta vaistinio preparato koncentracija plazmoje, artima koncentracijai nusistovėjus pusiausvyrai. Kadangi išgerto medikamento biologinis prieinamumas yra didelis (96 %, žr. 5.2 skyrių), į veną vartojamo vaistinio preparato pakeitimas į vartojamą per burną galimas, jeigu to reikia įvertinus paciento būklę.</w:t>
      </w:r>
    </w:p>
    <w:p w14:paraId="06A5BA6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EEBE86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Išsami vaistinio preparato dozavimo informacija pateikta lentelėje.</w:t>
      </w:r>
    </w:p>
    <w:p w14:paraId="5B4007C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81"/>
        <w:gridCol w:w="2254"/>
        <w:gridCol w:w="2263"/>
        <w:gridCol w:w="2262"/>
      </w:tblGrid>
      <w:tr w:rsidR="00914B2F" w:rsidRPr="00F909DC" w14:paraId="21DE5D55" w14:textId="77777777" w:rsidTr="00914B2F">
        <w:tc>
          <w:tcPr>
            <w:tcW w:w="2322" w:type="dxa"/>
            <w:vMerge w:val="restart"/>
          </w:tcPr>
          <w:p w14:paraId="4277D60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c>
        <w:tc>
          <w:tcPr>
            <w:tcW w:w="2322" w:type="dxa"/>
            <w:vMerge w:val="restart"/>
          </w:tcPr>
          <w:p w14:paraId="0A5BB2BA" w14:textId="77777777" w:rsidR="002F3324" w:rsidRPr="00534C57" w:rsidRDefault="002F3324" w:rsidP="002F3324">
            <w:pPr>
              <w:autoSpaceDE w:val="0"/>
              <w:autoSpaceDN w:val="0"/>
              <w:adjustRightInd w:val="0"/>
              <w:spacing w:after="0" w:line="240" w:lineRule="auto"/>
              <w:jc w:val="center"/>
              <w:rPr>
                <w:rFonts w:ascii="Times New Roman" w:hAnsi="Times New Roman"/>
                <w:color w:val="000000"/>
              </w:rPr>
            </w:pPr>
            <w:r w:rsidRPr="00534C57">
              <w:rPr>
                <w:rFonts w:ascii="Times New Roman" w:hAnsi="Times New Roman"/>
                <w:b/>
                <w:bCs/>
                <w:color w:val="000000"/>
              </w:rPr>
              <w:t>Į veną</w:t>
            </w:r>
          </w:p>
        </w:tc>
        <w:tc>
          <w:tcPr>
            <w:tcW w:w="4644" w:type="dxa"/>
            <w:gridSpan w:val="2"/>
          </w:tcPr>
          <w:p w14:paraId="7AE442AA" w14:textId="77777777" w:rsidR="002F3324" w:rsidRPr="00534C57" w:rsidRDefault="002F3324" w:rsidP="002F3324">
            <w:pPr>
              <w:autoSpaceDE w:val="0"/>
              <w:autoSpaceDN w:val="0"/>
              <w:adjustRightInd w:val="0"/>
              <w:spacing w:after="0" w:line="240" w:lineRule="auto"/>
              <w:jc w:val="center"/>
              <w:rPr>
                <w:rFonts w:ascii="Times New Roman" w:hAnsi="Times New Roman"/>
                <w:color w:val="000000"/>
              </w:rPr>
            </w:pPr>
            <w:r w:rsidRPr="00534C57">
              <w:rPr>
                <w:rFonts w:ascii="Times New Roman" w:hAnsi="Times New Roman"/>
                <w:b/>
                <w:bCs/>
                <w:color w:val="000000"/>
              </w:rPr>
              <w:t>Per burną</w:t>
            </w:r>
          </w:p>
        </w:tc>
      </w:tr>
      <w:tr w:rsidR="00914B2F" w:rsidRPr="00F909DC" w14:paraId="7AA7E184" w14:textId="77777777" w:rsidTr="00914B2F">
        <w:tc>
          <w:tcPr>
            <w:tcW w:w="2322" w:type="dxa"/>
            <w:vMerge/>
          </w:tcPr>
          <w:p w14:paraId="6AAF5D2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c>
        <w:tc>
          <w:tcPr>
            <w:tcW w:w="2322" w:type="dxa"/>
            <w:vMerge/>
          </w:tcPr>
          <w:p w14:paraId="64962BE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c>
        <w:tc>
          <w:tcPr>
            <w:tcW w:w="2322" w:type="dxa"/>
          </w:tcPr>
          <w:p w14:paraId="701F7C0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40</w:t>
            </w:r>
            <w:r w:rsidR="001F31AA">
              <w:rPr>
                <w:rFonts w:ascii="Times New Roman" w:hAnsi="Times New Roman"/>
                <w:color w:val="000000"/>
              </w:rPr>
              <w:t> </w:t>
            </w:r>
            <w:r w:rsidRPr="00534C57">
              <w:rPr>
                <w:rFonts w:ascii="Times New Roman" w:hAnsi="Times New Roman"/>
                <w:color w:val="000000"/>
              </w:rPr>
              <w:t>kg ir daugiau</w:t>
            </w:r>
            <w:r w:rsidR="00204E46">
              <w:rPr>
                <w:rFonts w:ascii="Times New Roman" w:hAnsi="Times New Roman"/>
                <w:color w:val="000000"/>
              </w:rPr>
              <w:t xml:space="preserve"> </w:t>
            </w:r>
            <w:r w:rsidRPr="00534C57">
              <w:rPr>
                <w:rFonts w:ascii="Times New Roman" w:hAnsi="Times New Roman"/>
                <w:color w:val="000000"/>
              </w:rPr>
              <w:t>sveriantys pacientai*</w:t>
            </w:r>
          </w:p>
        </w:tc>
        <w:tc>
          <w:tcPr>
            <w:tcW w:w="2322" w:type="dxa"/>
          </w:tcPr>
          <w:p w14:paraId="02E7334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Mažiau kaip 40</w:t>
            </w:r>
            <w:r w:rsidR="001F31AA">
              <w:rPr>
                <w:rFonts w:ascii="Times New Roman" w:hAnsi="Times New Roman"/>
                <w:color w:val="000000"/>
              </w:rPr>
              <w:t> </w:t>
            </w:r>
            <w:r w:rsidRPr="00534C57">
              <w:rPr>
                <w:rFonts w:ascii="Times New Roman" w:hAnsi="Times New Roman"/>
                <w:color w:val="000000"/>
              </w:rPr>
              <w:t>kg</w:t>
            </w:r>
            <w:r w:rsidR="00204E46">
              <w:rPr>
                <w:rFonts w:ascii="Times New Roman" w:hAnsi="Times New Roman"/>
                <w:color w:val="000000"/>
              </w:rPr>
              <w:t xml:space="preserve"> </w:t>
            </w:r>
            <w:r w:rsidRPr="00534C57">
              <w:rPr>
                <w:rFonts w:ascii="Times New Roman" w:hAnsi="Times New Roman"/>
                <w:color w:val="000000"/>
              </w:rPr>
              <w:t>sveriantys pacientai *</w:t>
            </w:r>
          </w:p>
        </w:tc>
      </w:tr>
      <w:tr w:rsidR="00914B2F" w:rsidRPr="00F909DC" w14:paraId="0AE92DA0" w14:textId="77777777" w:rsidTr="00914B2F">
        <w:tc>
          <w:tcPr>
            <w:tcW w:w="2322" w:type="dxa"/>
          </w:tcPr>
          <w:p w14:paraId="15838F4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Įsotinamosios dozės</w:t>
            </w:r>
            <w:r w:rsidR="00204E46">
              <w:rPr>
                <w:rFonts w:ascii="Times New Roman" w:hAnsi="Times New Roman"/>
                <w:b/>
                <w:bCs/>
                <w:color w:val="000000"/>
              </w:rPr>
              <w:t xml:space="preserve"> </w:t>
            </w:r>
            <w:r w:rsidRPr="00534C57">
              <w:rPr>
                <w:rFonts w:ascii="Times New Roman" w:hAnsi="Times New Roman"/>
                <w:b/>
                <w:bCs/>
                <w:color w:val="000000"/>
              </w:rPr>
              <w:t>planas (pirmąsias</w:t>
            </w:r>
            <w:r w:rsidR="00204E46">
              <w:rPr>
                <w:rFonts w:ascii="Times New Roman" w:hAnsi="Times New Roman"/>
                <w:b/>
                <w:bCs/>
                <w:color w:val="000000"/>
              </w:rPr>
              <w:t xml:space="preserve"> </w:t>
            </w:r>
            <w:r w:rsidRPr="00534C57">
              <w:rPr>
                <w:rFonts w:ascii="Times New Roman" w:hAnsi="Times New Roman"/>
                <w:b/>
                <w:bCs/>
                <w:color w:val="000000"/>
              </w:rPr>
              <w:t>24 valandas)</w:t>
            </w:r>
          </w:p>
        </w:tc>
        <w:tc>
          <w:tcPr>
            <w:tcW w:w="2322" w:type="dxa"/>
          </w:tcPr>
          <w:p w14:paraId="731C46D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6</w:t>
            </w:r>
            <w:r w:rsidR="001F31AA">
              <w:rPr>
                <w:rFonts w:ascii="Times New Roman" w:hAnsi="Times New Roman"/>
                <w:color w:val="000000"/>
              </w:rPr>
              <w:t> </w:t>
            </w:r>
            <w:r w:rsidRPr="00534C57">
              <w:rPr>
                <w:rFonts w:ascii="Times New Roman" w:hAnsi="Times New Roman"/>
                <w:color w:val="000000"/>
              </w:rPr>
              <w:t>mg/kg kūno svorio kas 12 valandų</w:t>
            </w:r>
          </w:p>
        </w:tc>
        <w:tc>
          <w:tcPr>
            <w:tcW w:w="2322" w:type="dxa"/>
          </w:tcPr>
          <w:p w14:paraId="1ED5D0B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400</w:t>
            </w:r>
            <w:r w:rsidR="001F31AA">
              <w:rPr>
                <w:rFonts w:ascii="Times New Roman" w:hAnsi="Times New Roman"/>
                <w:color w:val="000000"/>
              </w:rPr>
              <w:t> </w:t>
            </w:r>
            <w:r w:rsidRPr="00534C57">
              <w:rPr>
                <w:rFonts w:ascii="Times New Roman" w:hAnsi="Times New Roman"/>
                <w:color w:val="000000"/>
              </w:rPr>
              <w:t>mg kas 12 valandų</w:t>
            </w:r>
          </w:p>
        </w:tc>
        <w:tc>
          <w:tcPr>
            <w:tcW w:w="2322" w:type="dxa"/>
          </w:tcPr>
          <w:p w14:paraId="0BB3C71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200</w:t>
            </w:r>
            <w:r w:rsidR="001F31AA">
              <w:rPr>
                <w:rFonts w:ascii="Times New Roman" w:hAnsi="Times New Roman"/>
                <w:color w:val="000000"/>
              </w:rPr>
              <w:t> </w:t>
            </w:r>
            <w:r w:rsidRPr="00534C57">
              <w:rPr>
                <w:rFonts w:ascii="Times New Roman" w:hAnsi="Times New Roman"/>
                <w:color w:val="000000"/>
              </w:rPr>
              <w:t>mg kas 12 valandų</w:t>
            </w:r>
          </w:p>
        </w:tc>
      </w:tr>
      <w:tr w:rsidR="00914B2F" w:rsidRPr="00F909DC" w14:paraId="7DCB671E" w14:textId="77777777" w:rsidTr="00914B2F">
        <w:tc>
          <w:tcPr>
            <w:tcW w:w="2322" w:type="dxa"/>
          </w:tcPr>
          <w:p w14:paraId="2E88010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Palaikomoji dozė</w:t>
            </w:r>
            <w:r w:rsidR="00204E46">
              <w:rPr>
                <w:rFonts w:ascii="Times New Roman" w:hAnsi="Times New Roman"/>
                <w:b/>
                <w:bCs/>
                <w:color w:val="000000"/>
              </w:rPr>
              <w:t xml:space="preserve"> </w:t>
            </w:r>
            <w:r w:rsidRPr="00534C57">
              <w:rPr>
                <w:rFonts w:ascii="Times New Roman" w:hAnsi="Times New Roman"/>
                <w:b/>
                <w:bCs/>
                <w:color w:val="000000"/>
              </w:rPr>
              <w:t>(po pirmųjų 24 valandų)</w:t>
            </w:r>
          </w:p>
        </w:tc>
        <w:tc>
          <w:tcPr>
            <w:tcW w:w="2322" w:type="dxa"/>
          </w:tcPr>
          <w:p w14:paraId="329D5D3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4</w:t>
            </w:r>
            <w:r w:rsidR="001F31AA">
              <w:rPr>
                <w:rFonts w:ascii="Times New Roman" w:hAnsi="Times New Roman"/>
                <w:color w:val="000000"/>
              </w:rPr>
              <w:t> </w:t>
            </w:r>
            <w:r w:rsidRPr="00534C57">
              <w:rPr>
                <w:rFonts w:ascii="Times New Roman" w:hAnsi="Times New Roman"/>
                <w:color w:val="000000"/>
              </w:rPr>
              <w:t>mg/kg kūno svorio du kartus per parą</w:t>
            </w:r>
          </w:p>
        </w:tc>
        <w:tc>
          <w:tcPr>
            <w:tcW w:w="2322" w:type="dxa"/>
          </w:tcPr>
          <w:p w14:paraId="5A0CD1E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200</w:t>
            </w:r>
            <w:r w:rsidR="001F31AA">
              <w:rPr>
                <w:rFonts w:ascii="Times New Roman" w:hAnsi="Times New Roman"/>
                <w:color w:val="000000"/>
              </w:rPr>
              <w:t> </w:t>
            </w:r>
            <w:r w:rsidRPr="00534C57">
              <w:rPr>
                <w:rFonts w:ascii="Times New Roman" w:hAnsi="Times New Roman"/>
                <w:color w:val="000000"/>
              </w:rPr>
              <w:t>mg du kartus per</w:t>
            </w:r>
            <w:r w:rsidR="00204E46">
              <w:rPr>
                <w:rFonts w:ascii="Times New Roman" w:hAnsi="Times New Roman"/>
                <w:color w:val="000000"/>
              </w:rPr>
              <w:t xml:space="preserve"> </w:t>
            </w:r>
            <w:r w:rsidRPr="00534C57">
              <w:rPr>
                <w:rFonts w:ascii="Times New Roman" w:hAnsi="Times New Roman"/>
                <w:color w:val="000000"/>
              </w:rPr>
              <w:t>parą</w:t>
            </w:r>
          </w:p>
        </w:tc>
        <w:tc>
          <w:tcPr>
            <w:tcW w:w="2322" w:type="dxa"/>
          </w:tcPr>
          <w:p w14:paraId="38DC7D9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100</w:t>
            </w:r>
            <w:r w:rsidR="001F31AA">
              <w:rPr>
                <w:rFonts w:ascii="Times New Roman" w:hAnsi="Times New Roman"/>
                <w:color w:val="000000"/>
              </w:rPr>
              <w:t> </w:t>
            </w:r>
            <w:r w:rsidRPr="00534C57">
              <w:rPr>
                <w:rFonts w:ascii="Times New Roman" w:hAnsi="Times New Roman"/>
                <w:color w:val="000000"/>
              </w:rPr>
              <w:t>mg du kartus per</w:t>
            </w:r>
            <w:r w:rsidR="00204E46">
              <w:rPr>
                <w:rFonts w:ascii="Times New Roman" w:hAnsi="Times New Roman"/>
                <w:color w:val="000000"/>
              </w:rPr>
              <w:t xml:space="preserve"> </w:t>
            </w:r>
            <w:r w:rsidRPr="00534C57">
              <w:rPr>
                <w:rFonts w:ascii="Times New Roman" w:hAnsi="Times New Roman"/>
                <w:color w:val="000000"/>
              </w:rPr>
              <w:t>parą</w:t>
            </w:r>
          </w:p>
        </w:tc>
      </w:tr>
    </w:tbl>
    <w:p w14:paraId="7F3FD27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Taip pat taikomas 15 metų ir vyresniems pacientams</w:t>
      </w:r>
    </w:p>
    <w:p w14:paraId="4E7B41DB" w14:textId="77777777" w:rsidR="002F3324" w:rsidRPr="00534C57" w:rsidRDefault="002F3324" w:rsidP="002F3324">
      <w:pPr>
        <w:autoSpaceDE w:val="0"/>
        <w:autoSpaceDN w:val="0"/>
        <w:adjustRightInd w:val="0"/>
        <w:spacing w:after="0" w:line="240" w:lineRule="auto"/>
        <w:rPr>
          <w:rFonts w:ascii="Times New Roman" w:hAnsi="Times New Roman"/>
          <w:i/>
        </w:rPr>
      </w:pPr>
    </w:p>
    <w:p w14:paraId="699A41CD" w14:textId="77777777" w:rsidR="002F3324" w:rsidRPr="00534C57" w:rsidRDefault="002F3324" w:rsidP="002F3324">
      <w:pPr>
        <w:autoSpaceDE w:val="0"/>
        <w:autoSpaceDN w:val="0"/>
        <w:adjustRightInd w:val="0"/>
        <w:spacing w:after="0" w:line="240" w:lineRule="auto"/>
        <w:rPr>
          <w:rFonts w:ascii="Times New Roman" w:hAnsi="Times New Roman"/>
          <w:i/>
          <w:color w:val="000000"/>
          <w:u w:val="single"/>
        </w:rPr>
      </w:pPr>
      <w:r w:rsidRPr="00534C57">
        <w:rPr>
          <w:rFonts w:ascii="Times New Roman" w:hAnsi="Times New Roman"/>
          <w:i/>
          <w:color w:val="000000"/>
          <w:u w:val="single"/>
        </w:rPr>
        <w:t>Gydymo trukmė</w:t>
      </w:r>
    </w:p>
    <w:p w14:paraId="5DDB4E1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Gydyti reikia trumpiausią būtiną laikotarpį, atsižvelgiant į paciento klinikinę būklę ir priešgrybelinį atsaką. Jeigu ilgalaikis gydymas trunka ilgiau kaip 180 parų (6 mėnesius), reikia atidžiai įvertinti naudos ir rizikos santykį (žr. 4.4 ir 5.1 skyrius).</w:t>
      </w:r>
    </w:p>
    <w:p w14:paraId="41504C95" w14:textId="77777777" w:rsidR="002F3324" w:rsidRPr="00534C57" w:rsidRDefault="002F3324" w:rsidP="002F3324">
      <w:pPr>
        <w:autoSpaceDE w:val="0"/>
        <w:autoSpaceDN w:val="0"/>
        <w:adjustRightInd w:val="0"/>
        <w:spacing w:after="0" w:line="240" w:lineRule="auto"/>
        <w:rPr>
          <w:rFonts w:ascii="Times New Roman" w:hAnsi="Times New Roman"/>
          <w:i/>
          <w:iCs/>
          <w:color w:val="000000"/>
          <w:u w:val="single"/>
        </w:rPr>
      </w:pPr>
    </w:p>
    <w:p w14:paraId="4096C3C0" w14:textId="77777777" w:rsidR="002F3324" w:rsidRPr="00534C57" w:rsidRDefault="002F3324" w:rsidP="002F3324">
      <w:pPr>
        <w:autoSpaceDE w:val="0"/>
        <w:autoSpaceDN w:val="0"/>
        <w:adjustRightInd w:val="0"/>
        <w:spacing w:after="0" w:line="240" w:lineRule="auto"/>
        <w:rPr>
          <w:rFonts w:ascii="Times New Roman" w:hAnsi="Times New Roman"/>
          <w:i/>
          <w:iCs/>
          <w:color w:val="000000"/>
          <w:u w:val="single"/>
        </w:rPr>
      </w:pPr>
      <w:r w:rsidRPr="00534C57">
        <w:rPr>
          <w:rFonts w:ascii="Times New Roman" w:hAnsi="Times New Roman"/>
          <w:i/>
          <w:iCs/>
          <w:color w:val="000000"/>
          <w:u w:val="single"/>
        </w:rPr>
        <w:t>Dozės koregavimas (suaugusiesiems)</w:t>
      </w:r>
    </w:p>
    <w:p w14:paraId="72E06B7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paciento organizmo atsakas į gydymą nepakankamas, palaikomąją dozę galima didinti ir skirti gerti po 300</w:t>
      </w:r>
      <w:r w:rsidR="001F31AA">
        <w:rPr>
          <w:rFonts w:ascii="Times New Roman" w:hAnsi="Times New Roman"/>
          <w:color w:val="000000"/>
        </w:rPr>
        <w:t> </w:t>
      </w:r>
      <w:r w:rsidRPr="00534C57">
        <w:rPr>
          <w:rFonts w:ascii="Times New Roman" w:hAnsi="Times New Roman"/>
          <w:color w:val="000000"/>
        </w:rPr>
        <w:t>mg du kartus per parą. Pacientams, sveriantiems mažiau kaip 40</w:t>
      </w:r>
      <w:r w:rsidR="001F31AA">
        <w:rPr>
          <w:rFonts w:ascii="Times New Roman" w:hAnsi="Times New Roman"/>
          <w:color w:val="000000"/>
        </w:rPr>
        <w:t> </w:t>
      </w:r>
      <w:r w:rsidRPr="00534C57">
        <w:rPr>
          <w:rFonts w:ascii="Times New Roman" w:hAnsi="Times New Roman"/>
          <w:color w:val="000000"/>
        </w:rPr>
        <w:t>kg, geriamojo vaistinio preparato dozę galima didinti ir skirti gerti po 150</w:t>
      </w:r>
      <w:r w:rsidR="001F31AA">
        <w:rPr>
          <w:rFonts w:ascii="Times New Roman" w:hAnsi="Times New Roman"/>
          <w:color w:val="000000"/>
        </w:rPr>
        <w:t> </w:t>
      </w:r>
      <w:r w:rsidRPr="00534C57">
        <w:rPr>
          <w:rFonts w:ascii="Times New Roman" w:hAnsi="Times New Roman"/>
          <w:color w:val="000000"/>
        </w:rPr>
        <w:t>mg du kartus per parą.</w:t>
      </w:r>
    </w:p>
    <w:p w14:paraId="2688E3AB" w14:textId="77777777" w:rsidR="002F3324" w:rsidRPr="00534C57" w:rsidRDefault="002F3324" w:rsidP="002F3324">
      <w:pPr>
        <w:spacing w:after="0" w:line="240" w:lineRule="auto"/>
        <w:rPr>
          <w:rFonts w:ascii="Times New Roman" w:hAnsi="Times New Roman"/>
        </w:rPr>
      </w:pPr>
    </w:p>
    <w:p w14:paraId="6C92ECC3" w14:textId="77777777" w:rsidR="002F3324" w:rsidRPr="00534C57" w:rsidRDefault="002F3324" w:rsidP="002F3324">
      <w:pPr>
        <w:spacing w:after="0" w:line="240" w:lineRule="auto"/>
        <w:rPr>
          <w:rFonts w:ascii="Times New Roman" w:hAnsi="Times New Roman"/>
          <w:color w:val="000000"/>
        </w:rPr>
      </w:pPr>
      <w:r w:rsidRPr="00534C57">
        <w:rPr>
          <w:rFonts w:ascii="Times New Roman" w:hAnsi="Times New Roman"/>
        </w:rPr>
        <w:t xml:space="preserve">Vaistinio preparato </w:t>
      </w:r>
      <w:r w:rsidRPr="00534C57">
        <w:rPr>
          <w:rFonts w:ascii="Times New Roman" w:hAnsi="Times New Roman"/>
          <w:color w:val="000000"/>
        </w:rPr>
        <w:t>Voriconazole Teva 200</w:t>
      </w:r>
      <w:r w:rsidR="001F31AA">
        <w:rPr>
          <w:rFonts w:ascii="Times New Roman" w:hAnsi="Times New Roman"/>
          <w:color w:val="000000"/>
        </w:rPr>
        <w:t> </w:t>
      </w:r>
      <w:r w:rsidRPr="00534C57">
        <w:rPr>
          <w:rFonts w:ascii="Times New Roman" w:hAnsi="Times New Roman"/>
          <w:color w:val="000000"/>
        </w:rPr>
        <w:t>mg plėvele dengtos tabletės 150</w:t>
      </w:r>
      <w:r w:rsidRPr="00534C57">
        <w:rPr>
          <w:rFonts w:ascii="Times New Roman" w:hAnsi="Times New Roman"/>
          <w:color w:val="000000"/>
          <w:lang w:eastAsia="lt-LT"/>
        </w:rPr>
        <w:t> mg, 300 mg</w:t>
      </w:r>
      <w:r w:rsidRPr="00534C57">
        <w:rPr>
          <w:rFonts w:ascii="Times New Roman" w:hAnsi="Times New Roman"/>
          <w:color w:val="000000"/>
          <w:spacing w:val="-2"/>
          <w:lang w:eastAsia="lt-LT"/>
        </w:rPr>
        <w:t xml:space="preserve"> </w:t>
      </w:r>
      <w:r w:rsidRPr="00534C57">
        <w:rPr>
          <w:rFonts w:ascii="Times New Roman" w:hAnsi="Times New Roman"/>
        </w:rPr>
        <w:t xml:space="preserve">dozės gauti neįmanoma. Reikia vartoti kito registruotojo vaistinį preparatą. </w:t>
      </w:r>
    </w:p>
    <w:p w14:paraId="5B91E64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73C324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pacientas didelės palaikomosios dozės netoleruoja, ją reikia palaipsniui po 50</w:t>
      </w:r>
      <w:r w:rsidR="001F31AA">
        <w:rPr>
          <w:rFonts w:ascii="Times New Roman" w:hAnsi="Times New Roman"/>
          <w:color w:val="000000"/>
        </w:rPr>
        <w:t> </w:t>
      </w:r>
      <w:r w:rsidRPr="00534C57">
        <w:rPr>
          <w:rFonts w:ascii="Times New Roman" w:hAnsi="Times New Roman"/>
          <w:color w:val="000000"/>
        </w:rPr>
        <w:t>mg mažinti ir gerti</w:t>
      </w:r>
      <w:r w:rsidR="001F31AA">
        <w:rPr>
          <w:rFonts w:ascii="Times New Roman" w:hAnsi="Times New Roman"/>
          <w:color w:val="000000"/>
        </w:rPr>
        <w:t xml:space="preserve"> </w:t>
      </w:r>
      <w:r w:rsidRPr="00534C57">
        <w:rPr>
          <w:rFonts w:ascii="Times New Roman" w:hAnsi="Times New Roman"/>
          <w:color w:val="000000"/>
        </w:rPr>
        <w:t>200</w:t>
      </w:r>
      <w:r w:rsidR="001F31AA">
        <w:rPr>
          <w:rFonts w:ascii="Times New Roman" w:hAnsi="Times New Roman"/>
          <w:color w:val="000000"/>
        </w:rPr>
        <w:t> </w:t>
      </w:r>
      <w:r w:rsidRPr="00534C57">
        <w:rPr>
          <w:rFonts w:ascii="Times New Roman" w:hAnsi="Times New Roman"/>
          <w:color w:val="000000"/>
        </w:rPr>
        <w:t>mg palaikomąją dozę du kartus per parą (arba pacientams, sveriantiems mažiau kaip 40</w:t>
      </w:r>
      <w:r w:rsidR="001F31AA">
        <w:rPr>
          <w:rFonts w:ascii="Times New Roman" w:hAnsi="Times New Roman"/>
          <w:color w:val="000000"/>
        </w:rPr>
        <w:t> </w:t>
      </w:r>
      <w:r w:rsidRPr="00534C57">
        <w:rPr>
          <w:rFonts w:ascii="Times New Roman" w:hAnsi="Times New Roman"/>
          <w:color w:val="000000"/>
        </w:rPr>
        <w:t>kg, po 100 mg du kartus per parą).</w:t>
      </w:r>
    </w:p>
    <w:p w14:paraId="2B6254C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65BB8A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Apie vartojimą profilaktikai žr. toliau.</w:t>
      </w:r>
    </w:p>
    <w:p w14:paraId="37C7AE64"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027A165D"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rPr>
        <w:t xml:space="preserve">Vaistinio preparato </w:t>
      </w:r>
      <w:r w:rsidRPr="00534C57">
        <w:rPr>
          <w:rFonts w:ascii="Times New Roman" w:hAnsi="Times New Roman"/>
          <w:color w:val="000000"/>
        </w:rPr>
        <w:t xml:space="preserve">Voriconazole Teva 200 mg plėvele dengtos tabletės 100 mg, </w:t>
      </w:r>
      <w:r w:rsidRPr="00534C57">
        <w:rPr>
          <w:rFonts w:ascii="Times New Roman" w:hAnsi="Times New Roman"/>
          <w:color w:val="000000"/>
          <w:lang w:eastAsia="lt-LT"/>
        </w:rPr>
        <w:t>300 mg, 350 mg</w:t>
      </w:r>
      <w:r w:rsidRPr="00534C57">
        <w:rPr>
          <w:rFonts w:ascii="Times New Roman" w:hAnsi="Times New Roman"/>
          <w:color w:val="000000"/>
          <w:spacing w:val="-2"/>
          <w:lang w:eastAsia="lt-LT"/>
        </w:rPr>
        <w:t xml:space="preserve"> </w:t>
      </w:r>
      <w:r w:rsidRPr="00534C57">
        <w:rPr>
          <w:rFonts w:ascii="Times New Roman" w:hAnsi="Times New Roman"/>
        </w:rPr>
        <w:t>dozės gauti neįmanoma. Reikia vartoti registruotojo vaistinį preparatą.</w:t>
      </w:r>
    </w:p>
    <w:p w14:paraId="20B88DB5"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63211AC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Vaikai (nuo 2 iki &lt; 12 metų) ir jauni paaugliai, kurių kūno masė yra maža (12-14 metų ir &lt; 50</w:t>
      </w:r>
      <w:r w:rsidR="001F31AA">
        <w:rPr>
          <w:rFonts w:ascii="Times New Roman" w:hAnsi="Times New Roman"/>
          <w:i/>
          <w:iCs/>
          <w:color w:val="000000"/>
        </w:rPr>
        <w:t> </w:t>
      </w:r>
      <w:r w:rsidRPr="00534C57">
        <w:rPr>
          <w:rFonts w:ascii="Times New Roman" w:hAnsi="Times New Roman"/>
          <w:i/>
          <w:iCs/>
          <w:color w:val="000000"/>
        </w:rPr>
        <w:t>kg)</w:t>
      </w:r>
      <w:r w:rsidR="00204E46">
        <w:rPr>
          <w:rFonts w:ascii="Times New Roman" w:hAnsi="Times New Roman"/>
          <w:i/>
          <w:iCs/>
          <w:color w:val="000000"/>
        </w:rPr>
        <w:t xml:space="preserve"> </w:t>
      </w:r>
      <w:r w:rsidRPr="00534C57">
        <w:rPr>
          <w:rFonts w:ascii="Times New Roman" w:hAnsi="Times New Roman"/>
          <w:color w:val="000000"/>
        </w:rPr>
        <w:t>Vorikonazolas dozuojamas taip pat kaip vaikams, nes šiems jauniems paaugliams vorikonazolo metabolizmas labiau panašus į vaikų nei į suaugusiųjų.</w:t>
      </w:r>
    </w:p>
    <w:p w14:paraId="080CC30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CA26D4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Rekomenduojamas toks dozavimo planas:</w:t>
      </w:r>
    </w:p>
    <w:p w14:paraId="2E47548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3"/>
        <w:gridCol w:w="2410"/>
        <w:gridCol w:w="2977"/>
      </w:tblGrid>
      <w:tr w:rsidR="002F3324" w:rsidRPr="00F909DC" w14:paraId="3DFC3972" w14:textId="77777777" w:rsidTr="00D21150">
        <w:tc>
          <w:tcPr>
            <w:tcW w:w="2943" w:type="dxa"/>
          </w:tcPr>
          <w:p w14:paraId="01826BC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tc>
        <w:tc>
          <w:tcPr>
            <w:tcW w:w="2410" w:type="dxa"/>
          </w:tcPr>
          <w:p w14:paraId="036D75A2" w14:textId="77777777" w:rsidR="002F3324" w:rsidRPr="00534C57" w:rsidRDefault="002F3324" w:rsidP="002F3324">
            <w:pPr>
              <w:autoSpaceDE w:val="0"/>
              <w:autoSpaceDN w:val="0"/>
              <w:adjustRightInd w:val="0"/>
              <w:spacing w:after="0" w:line="240" w:lineRule="auto"/>
              <w:jc w:val="center"/>
              <w:rPr>
                <w:rFonts w:ascii="Times New Roman" w:hAnsi="Times New Roman"/>
                <w:color w:val="000000"/>
              </w:rPr>
            </w:pPr>
            <w:r w:rsidRPr="00534C57">
              <w:rPr>
                <w:rFonts w:ascii="Times New Roman" w:hAnsi="Times New Roman"/>
                <w:b/>
                <w:bCs/>
                <w:color w:val="000000"/>
              </w:rPr>
              <w:t>Į veną</w:t>
            </w:r>
          </w:p>
        </w:tc>
        <w:tc>
          <w:tcPr>
            <w:tcW w:w="2977" w:type="dxa"/>
          </w:tcPr>
          <w:p w14:paraId="19466E25" w14:textId="77777777" w:rsidR="002F3324" w:rsidRPr="00534C57" w:rsidRDefault="002F3324" w:rsidP="002F3324">
            <w:pPr>
              <w:autoSpaceDE w:val="0"/>
              <w:autoSpaceDN w:val="0"/>
              <w:adjustRightInd w:val="0"/>
              <w:spacing w:after="0" w:line="240" w:lineRule="auto"/>
              <w:jc w:val="center"/>
              <w:rPr>
                <w:rFonts w:ascii="Times New Roman" w:hAnsi="Times New Roman"/>
                <w:color w:val="000000"/>
              </w:rPr>
            </w:pPr>
            <w:r w:rsidRPr="00534C57">
              <w:rPr>
                <w:rFonts w:ascii="Times New Roman" w:hAnsi="Times New Roman"/>
                <w:b/>
                <w:bCs/>
                <w:color w:val="000000"/>
              </w:rPr>
              <w:t>Per burną</w:t>
            </w:r>
          </w:p>
        </w:tc>
      </w:tr>
      <w:tr w:rsidR="002F3324" w:rsidRPr="00F909DC" w14:paraId="325113BC" w14:textId="77777777" w:rsidTr="00D21150">
        <w:tc>
          <w:tcPr>
            <w:tcW w:w="2943" w:type="dxa"/>
          </w:tcPr>
          <w:p w14:paraId="1034A73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Įsotinamosios dozės planas (pirmąsias 24 valandas)</w:t>
            </w:r>
          </w:p>
        </w:tc>
        <w:tc>
          <w:tcPr>
            <w:tcW w:w="2410" w:type="dxa"/>
          </w:tcPr>
          <w:p w14:paraId="4F00662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9</w:t>
            </w:r>
            <w:r w:rsidR="00204E46">
              <w:rPr>
                <w:rFonts w:ascii="Times New Roman" w:hAnsi="Times New Roman"/>
                <w:color w:val="000000"/>
              </w:rPr>
              <w:t> </w:t>
            </w:r>
            <w:r w:rsidRPr="00534C57">
              <w:rPr>
                <w:rFonts w:ascii="Times New Roman" w:hAnsi="Times New Roman"/>
                <w:color w:val="000000"/>
              </w:rPr>
              <w:t>mg/kg kūno svorio kas 12 valandų</w:t>
            </w:r>
          </w:p>
          <w:p w14:paraId="5D5C2A0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c>
        <w:tc>
          <w:tcPr>
            <w:tcW w:w="2977" w:type="dxa"/>
          </w:tcPr>
          <w:p w14:paraId="33C5476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Nerekomenduojama </w:t>
            </w:r>
          </w:p>
        </w:tc>
      </w:tr>
      <w:tr w:rsidR="002F3324" w:rsidRPr="00F909DC" w14:paraId="65E92D8A" w14:textId="77777777" w:rsidTr="00D21150">
        <w:tc>
          <w:tcPr>
            <w:tcW w:w="2943" w:type="dxa"/>
          </w:tcPr>
          <w:p w14:paraId="6B6EDA8D"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Palaikomoji dozė (po pirmųjų 24 valandų)</w:t>
            </w:r>
          </w:p>
          <w:p w14:paraId="16C3497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c>
        <w:tc>
          <w:tcPr>
            <w:tcW w:w="2410" w:type="dxa"/>
          </w:tcPr>
          <w:p w14:paraId="5CE5FF9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8</w:t>
            </w:r>
            <w:r w:rsidR="001F31AA">
              <w:rPr>
                <w:rFonts w:ascii="Times New Roman" w:hAnsi="Times New Roman"/>
                <w:color w:val="000000"/>
              </w:rPr>
              <w:t> </w:t>
            </w:r>
            <w:r w:rsidRPr="00534C57">
              <w:rPr>
                <w:rFonts w:ascii="Times New Roman" w:hAnsi="Times New Roman"/>
                <w:color w:val="000000"/>
              </w:rPr>
              <w:t>mg/kg kūno svorio du kartus per parą</w:t>
            </w:r>
          </w:p>
        </w:tc>
        <w:tc>
          <w:tcPr>
            <w:tcW w:w="2977" w:type="dxa"/>
          </w:tcPr>
          <w:p w14:paraId="7E8C42B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9</w:t>
            </w:r>
            <w:r w:rsidR="001F31AA">
              <w:rPr>
                <w:rFonts w:ascii="Times New Roman" w:hAnsi="Times New Roman"/>
                <w:color w:val="000000"/>
              </w:rPr>
              <w:t> </w:t>
            </w:r>
            <w:r w:rsidRPr="00534C57">
              <w:rPr>
                <w:rFonts w:ascii="Times New Roman" w:hAnsi="Times New Roman"/>
                <w:color w:val="000000"/>
              </w:rPr>
              <w:t>mg/kg kūno svorio du kartus per parą (didžiausia dozė yra 350</w:t>
            </w:r>
            <w:r w:rsidR="001F31AA">
              <w:rPr>
                <w:rFonts w:ascii="Times New Roman" w:hAnsi="Times New Roman"/>
                <w:color w:val="000000"/>
              </w:rPr>
              <w:t> </w:t>
            </w:r>
            <w:r w:rsidRPr="00534C57">
              <w:rPr>
                <w:rFonts w:ascii="Times New Roman" w:hAnsi="Times New Roman"/>
                <w:color w:val="000000"/>
              </w:rPr>
              <w:t>mg du kartus per parą)</w:t>
            </w:r>
          </w:p>
        </w:tc>
      </w:tr>
    </w:tbl>
    <w:p w14:paraId="3D85021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Pastaba. Remiantis nuo 2 iki &lt; 12 metų 112 vaikų bei paauglių ir 26 nuo 12 iki &lt; 17 metų paauglių, kurių imunitetas yra susilpnėjęs, populiacijos farmakokinetikos duomenų analize.</w:t>
      </w:r>
    </w:p>
    <w:p w14:paraId="32AE08F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99AD90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Gydymą rekomenduojama pradėti pagal vartojimo į veną planą, o gydymo vaistiniu preparatu per burną planą reikia apgalvotai taikyti tik paciento būklei reikšmingai pagerėjus. Reikia pastebėti, kad vartojant 8</w:t>
      </w:r>
      <w:r w:rsidR="001F31AA">
        <w:rPr>
          <w:rFonts w:ascii="Times New Roman" w:hAnsi="Times New Roman"/>
          <w:color w:val="000000"/>
        </w:rPr>
        <w:t> </w:t>
      </w:r>
      <w:r w:rsidRPr="00534C57">
        <w:rPr>
          <w:rFonts w:ascii="Times New Roman" w:hAnsi="Times New Roman"/>
          <w:color w:val="000000"/>
        </w:rPr>
        <w:t>mg/kg kūno svorio dozę į veną, vorikonazolo ekspozicija būna maždaug 2 kartus didesnė negu vartojant 9</w:t>
      </w:r>
      <w:r w:rsidR="001F31AA">
        <w:rPr>
          <w:rFonts w:ascii="Times New Roman" w:hAnsi="Times New Roman"/>
          <w:color w:val="000000"/>
        </w:rPr>
        <w:t> </w:t>
      </w:r>
      <w:r w:rsidRPr="00534C57">
        <w:rPr>
          <w:rFonts w:ascii="Times New Roman" w:hAnsi="Times New Roman"/>
          <w:color w:val="000000"/>
        </w:rPr>
        <w:t>mg/kg kūno svorio dozę per burną.</w:t>
      </w:r>
    </w:p>
    <w:p w14:paraId="2485A21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5A8021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 xml:space="preserve">Šios dozavimo per burną rekomendacijos vaikams pagrįstos tyrimais, kurių metu buvo vartoti vorikonazolo milteliai geriamajai suspensijai. Miltelių geriamajai suspensijai ir tablečių bioekvivalentiškumas vaikų populiacijoje nebuvo tirtas. Atsižvelgiant į numanomą trumpesnį slinkimo vaikų skrandžiu ir žarnynu laiką, tablečių absorbcija vaikų organizme gali skirtis nuo suaugusių pacientų. Todėl nuo 2 iki 12 metų vaikams rekomenduojama vartoti geriamosios suspensijos formą. </w:t>
      </w:r>
    </w:p>
    <w:p w14:paraId="09649C2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3C814D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Visiems kitiems paaugliams </w:t>
      </w:r>
      <w:r w:rsidRPr="00534C57">
        <w:rPr>
          <w:rFonts w:ascii="Times New Roman" w:hAnsi="Times New Roman"/>
          <w:i/>
          <w:color w:val="000000"/>
        </w:rPr>
        <w:t>(12-14 metų ir ≥ 50</w:t>
      </w:r>
      <w:r w:rsidR="001F31AA">
        <w:rPr>
          <w:rFonts w:ascii="Times New Roman" w:hAnsi="Times New Roman"/>
          <w:i/>
          <w:color w:val="000000"/>
        </w:rPr>
        <w:t> </w:t>
      </w:r>
      <w:r w:rsidRPr="00534C57">
        <w:rPr>
          <w:rFonts w:ascii="Times New Roman" w:hAnsi="Times New Roman"/>
          <w:i/>
          <w:color w:val="000000"/>
        </w:rPr>
        <w:t xml:space="preserve">kg; 15-17 metų, neatsižvelgiant į kūno masę) </w:t>
      </w:r>
      <w:r w:rsidRPr="00534C57">
        <w:rPr>
          <w:rFonts w:ascii="Times New Roman" w:hAnsi="Times New Roman"/>
          <w:color w:val="000000"/>
        </w:rPr>
        <w:t>Vorikonazolas dozuojamas kaip suaugusiesiems.</w:t>
      </w:r>
    </w:p>
    <w:p w14:paraId="5DD408D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A641BD0" w14:textId="77777777" w:rsidR="002F3324" w:rsidRPr="00534C57" w:rsidRDefault="002F3324" w:rsidP="002F3324">
      <w:pPr>
        <w:autoSpaceDE w:val="0"/>
        <w:autoSpaceDN w:val="0"/>
        <w:adjustRightInd w:val="0"/>
        <w:spacing w:after="0" w:line="240" w:lineRule="auto"/>
        <w:rPr>
          <w:rFonts w:ascii="Times New Roman" w:hAnsi="Times New Roman"/>
          <w:i/>
          <w:color w:val="000000"/>
        </w:rPr>
      </w:pPr>
      <w:r w:rsidRPr="00534C57">
        <w:rPr>
          <w:rFonts w:ascii="Times New Roman" w:hAnsi="Times New Roman"/>
          <w:i/>
          <w:iCs/>
          <w:color w:val="000000"/>
          <w:u w:val="single"/>
        </w:rPr>
        <w:t xml:space="preserve">Dozės koregavimas </w:t>
      </w:r>
      <w:r w:rsidRPr="00534C57">
        <w:rPr>
          <w:rFonts w:ascii="Times New Roman" w:hAnsi="Times New Roman"/>
          <w:i/>
          <w:color w:val="000000"/>
        </w:rPr>
        <w:t>(vaikai (2–&lt;12 metų) ir nedidelio svorio paaugliai (12–14 metų ir sveriantys &lt;50</w:t>
      </w:r>
      <w:r w:rsidR="001F31AA">
        <w:rPr>
          <w:rFonts w:ascii="Times New Roman" w:hAnsi="Times New Roman"/>
          <w:i/>
          <w:color w:val="000000"/>
        </w:rPr>
        <w:t> </w:t>
      </w:r>
      <w:r w:rsidRPr="00534C57">
        <w:rPr>
          <w:rFonts w:ascii="Times New Roman" w:hAnsi="Times New Roman"/>
          <w:i/>
          <w:color w:val="000000"/>
        </w:rPr>
        <w:t>kg))</w:t>
      </w:r>
    </w:p>
    <w:p w14:paraId="5D8BD02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paciento organizmo atsakas į gydymą yra nepakankamas, dozę galima palaipsniui didinti po 1</w:t>
      </w:r>
      <w:r w:rsidR="001F31AA">
        <w:rPr>
          <w:rFonts w:ascii="Times New Roman" w:hAnsi="Times New Roman"/>
          <w:color w:val="000000"/>
        </w:rPr>
        <w:t> </w:t>
      </w:r>
      <w:r w:rsidRPr="00534C57">
        <w:rPr>
          <w:rFonts w:ascii="Times New Roman" w:hAnsi="Times New Roman"/>
          <w:color w:val="000000"/>
        </w:rPr>
        <w:t>mg/kg kūno svorio (arba po 50</w:t>
      </w:r>
      <w:r w:rsidR="001F31AA">
        <w:rPr>
          <w:rFonts w:ascii="Times New Roman" w:hAnsi="Times New Roman"/>
          <w:color w:val="000000"/>
        </w:rPr>
        <w:t> </w:t>
      </w:r>
      <w:r w:rsidRPr="00534C57">
        <w:rPr>
          <w:rFonts w:ascii="Times New Roman" w:hAnsi="Times New Roman"/>
          <w:color w:val="000000"/>
        </w:rPr>
        <w:t>mg, jeigu iš pradžių buvo vartota didžiausia geriamoji 350 mg dozė). Jeigu pacientai negali toleruoti gydymo, dozę reikia palaipsniui mažinti po 1</w:t>
      </w:r>
      <w:r w:rsidR="00BA090F">
        <w:rPr>
          <w:rFonts w:ascii="Times New Roman" w:hAnsi="Times New Roman"/>
          <w:color w:val="000000"/>
        </w:rPr>
        <w:t> </w:t>
      </w:r>
      <w:r w:rsidRPr="00534C57">
        <w:rPr>
          <w:rFonts w:ascii="Times New Roman" w:hAnsi="Times New Roman"/>
          <w:color w:val="000000"/>
        </w:rPr>
        <w:t>mg/kg kūno svorio (arba po 50</w:t>
      </w:r>
      <w:r w:rsidR="00BA090F">
        <w:rPr>
          <w:rFonts w:ascii="Times New Roman" w:hAnsi="Times New Roman"/>
          <w:color w:val="000000"/>
        </w:rPr>
        <w:t> </w:t>
      </w:r>
      <w:r w:rsidRPr="00534C57">
        <w:rPr>
          <w:rFonts w:ascii="Times New Roman" w:hAnsi="Times New Roman"/>
          <w:color w:val="000000"/>
        </w:rPr>
        <w:t>mg, jeigu iš pradžių buvo vartota didžiausia geriamoji 350</w:t>
      </w:r>
      <w:r w:rsidR="00BA090F">
        <w:rPr>
          <w:rFonts w:ascii="Times New Roman" w:hAnsi="Times New Roman"/>
          <w:color w:val="000000"/>
        </w:rPr>
        <w:t> </w:t>
      </w:r>
      <w:r w:rsidRPr="00534C57">
        <w:rPr>
          <w:rFonts w:ascii="Times New Roman" w:hAnsi="Times New Roman"/>
          <w:color w:val="000000"/>
        </w:rPr>
        <w:t>mg dozė).</w:t>
      </w:r>
    </w:p>
    <w:p w14:paraId="57BC6C76" w14:textId="77777777" w:rsidR="002F3324" w:rsidRPr="00534C57" w:rsidRDefault="002F3324" w:rsidP="002F3324">
      <w:pPr>
        <w:autoSpaceDE w:val="0"/>
        <w:autoSpaceDN w:val="0"/>
        <w:adjustRightInd w:val="0"/>
        <w:spacing w:after="0" w:line="240" w:lineRule="auto"/>
        <w:rPr>
          <w:rFonts w:ascii="Times New Roman" w:hAnsi="Times New Roman"/>
        </w:rPr>
      </w:pPr>
    </w:p>
    <w:p w14:paraId="7299C8F9"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rPr>
        <w:t xml:space="preserve">Vaistinio preparato </w:t>
      </w:r>
      <w:r w:rsidRPr="00534C57">
        <w:rPr>
          <w:rFonts w:ascii="Times New Roman" w:hAnsi="Times New Roman"/>
          <w:color w:val="000000"/>
        </w:rPr>
        <w:t>Voriconazole Teva 200</w:t>
      </w:r>
      <w:r w:rsidR="00BA090F">
        <w:rPr>
          <w:rFonts w:ascii="Times New Roman" w:hAnsi="Times New Roman"/>
          <w:color w:val="000000"/>
        </w:rPr>
        <w:t> </w:t>
      </w:r>
      <w:r w:rsidRPr="00534C57">
        <w:rPr>
          <w:rFonts w:ascii="Times New Roman" w:hAnsi="Times New Roman"/>
          <w:color w:val="000000"/>
        </w:rPr>
        <w:t xml:space="preserve">mg plėvele dengtos tabletės 50 mg, </w:t>
      </w:r>
      <w:r w:rsidRPr="00534C57">
        <w:rPr>
          <w:rFonts w:ascii="Times New Roman" w:hAnsi="Times New Roman"/>
          <w:color w:val="000000"/>
          <w:lang w:eastAsia="lt-LT"/>
        </w:rPr>
        <w:t>300 mg</w:t>
      </w:r>
      <w:r w:rsidRPr="00534C57">
        <w:rPr>
          <w:rFonts w:ascii="Times New Roman" w:hAnsi="Times New Roman"/>
          <w:color w:val="000000"/>
          <w:spacing w:val="-2"/>
          <w:lang w:eastAsia="lt-LT"/>
        </w:rPr>
        <w:t xml:space="preserve"> </w:t>
      </w:r>
      <w:r w:rsidRPr="00534C57">
        <w:rPr>
          <w:rFonts w:ascii="Times New Roman" w:hAnsi="Times New Roman"/>
        </w:rPr>
        <w:t>dozės gauti neįmanoma. Reikia vartoti kito registruotojo vaistinį preparatą.</w:t>
      </w:r>
    </w:p>
    <w:p w14:paraId="10BFFE0F"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308233D5"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Vartojimas 2 – &lt; 12 metų vaikams, kuriems yra kepenų arba inkstų funkcijos nepakankamumas, neištirtas (žr. 4.8 ir 5.2 skyrius).</w:t>
      </w:r>
    </w:p>
    <w:p w14:paraId="0E0B3691"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5F391764" w14:textId="77777777" w:rsidR="002F3324" w:rsidRPr="00534C57" w:rsidRDefault="002F3324" w:rsidP="002F3324">
      <w:pPr>
        <w:autoSpaceDE w:val="0"/>
        <w:autoSpaceDN w:val="0"/>
        <w:adjustRightInd w:val="0"/>
        <w:spacing w:after="0" w:line="240" w:lineRule="auto"/>
        <w:rPr>
          <w:rFonts w:ascii="Times New Roman" w:hAnsi="Times New Roman"/>
          <w:u w:val="single"/>
        </w:rPr>
      </w:pPr>
      <w:r w:rsidRPr="00534C57">
        <w:rPr>
          <w:rFonts w:ascii="Times New Roman" w:hAnsi="Times New Roman"/>
          <w:u w:val="single"/>
        </w:rPr>
        <w:t>Vartojimas suaugusiesiems ir vaikams profilaktikos tikslais</w:t>
      </w:r>
    </w:p>
    <w:p w14:paraId="2C433271"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Profilaktinis gydymas turi būti pradėtas transplantacijos dieną ir gali būti tęsiamas iki 100 parų. Profilaktinis gydymas turi būti kuo trumpesnis, priklausomai nuo invazinės grybelių sukeltos infekcijos atsiradimo rizikos, kurią rodo neutropenija arba imunosupresija. Gydymas gali būti tęsiamas iki 180 parų po transplantacijos, jeigu tęsiasi imunosupresija arba atsiranda recipiento ir donoro organų nesuderinamumo liga (žr. 5.1 skyrių).</w:t>
      </w:r>
    </w:p>
    <w:p w14:paraId="28F2EE19" w14:textId="77777777" w:rsidR="002F3324" w:rsidRPr="00534C57" w:rsidRDefault="002F3324" w:rsidP="002F3324">
      <w:pPr>
        <w:autoSpaceDE w:val="0"/>
        <w:autoSpaceDN w:val="0"/>
        <w:adjustRightInd w:val="0"/>
        <w:spacing w:after="0" w:line="240" w:lineRule="auto"/>
        <w:rPr>
          <w:rFonts w:ascii="Times New Roman" w:hAnsi="Times New Roman"/>
        </w:rPr>
      </w:pPr>
    </w:p>
    <w:p w14:paraId="0AA4EEC8" w14:textId="77777777" w:rsidR="002F3324" w:rsidRPr="00534C57" w:rsidRDefault="002F3324" w:rsidP="002F3324">
      <w:pPr>
        <w:autoSpaceDE w:val="0"/>
        <w:autoSpaceDN w:val="0"/>
        <w:adjustRightInd w:val="0"/>
        <w:spacing w:after="0" w:line="240" w:lineRule="auto"/>
        <w:rPr>
          <w:rFonts w:ascii="Times New Roman" w:hAnsi="Times New Roman"/>
          <w:i/>
        </w:rPr>
      </w:pPr>
      <w:r w:rsidRPr="00534C57">
        <w:rPr>
          <w:rFonts w:ascii="Times New Roman" w:hAnsi="Times New Roman"/>
          <w:i/>
        </w:rPr>
        <w:t>Dozavimas</w:t>
      </w:r>
    </w:p>
    <w:p w14:paraId="74691CE2"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Profilaktikai rekomenduojamas toks pats dozavimo režimas kaip ir atitinkamų amžiaus grupių gydymo režimas. Žr. aukščiau pateiktas gydymo lenteles.</w:t>
      </w:r>
    </w:p>
    <w:p w14:paraId="7F860D13" w14:textId="77777777" w:rsidR="002F3324" w:rsidRPr="00534C57" w:rsidRDefault="002F3324" w:rsidP="002F3324">
      <w:pPr>
        <w:autoSpaceDE w:val="0"/>
        <w:autoSpaceDN w:val="0"/>
        <w:adjustRightInd w:val="0"/>
        <w:spacing w:after="0" w:line="240" w:lineRule="auto"/>
        <w:rPr>
          <w:rFonts w:ascii="Times New Roman" w:hAnsi="Times New Roman"/>
        </w:rPr>
      </w:pPr>
    </w:p>
    <w:p w14:paraId="54B07F39" w14:textId="77777777" w:rsidR="002F3324" w:rsidRPr="00534C57" w:rsidRDefault="002F3324" w:rsidP="002F3324">
      <w:pPr>
        <w:autoSpaceDE w:val="0"/>
        <w:autoSpaceDN w:val="0"/>
        <w:adjustRightInd w:val="0"/>
        <w:spacing w:after="0" w:line="240" w:lineRule="auto"/>
        <w:rPr>
          <w:rFonts w:ascii="Times New Roman" w:hAnsi="Times New Roman"/>
          <w:i/>
        </w:rPr>
      </w:pPr>
      <w:r w:rsidRPr="00534C57">
        <w:rPr>
          <w:rFonts w:ascii="Times New Roman" w:hAnsi="Times New Roman"/>
          <w:i/>
        </w:rPr>
        <w:t>Profilaktikos trukmė</w:t>
      </w:r>
    </w:p>
    <w:p w14:paraId="120D8826"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Vorikonazolo vartojimo ilgesnį nei 180 parų laikotarpį saugumas ir veiksmingumas nebuvo tinkamai ištirtas klinikiniuose tyrimuose.</w:t>
      </w:r>
    </w:p>
    <w:p w14:paraId="2C2CD680" w14:textId="77777777" w:rsidR="002F3324" w:rsidRPr="00534C57" w:rsidRDefault="002F3324" w:rsidP="002F3324">
      <w:pPr>
        <w:autoSpaceDE w:val="0"/>
        <w:autoSpaceDN w:val="0"/>
        <w:adjustRightInd w:val="0"/>
        <w:spacing w:after="0" w:line="240" w:lineRule="auto"/>
        <w:rPr>
          <w:rFonts w:ascii="Times New Roman" w:hAnsi="Times New Roman"/>
        </w:rPr>
      </w:pPr>
    </w:p>
    <w:p w14:paraId="4F2DA4EC"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Jeigu profilaktinis gydymas vorikonazolu trunka ilgiau kaip 180 parų (6 mėnesius), reikia atidžiai įvertinti naudos ir rizikos santykį (žr. 4.4 ir 5.1 skyrius).</w:t>
      </w:r>
    </w:p>
    <w:p w14:paraId="251CC2F5" w14:textId="77777777" w:rsidR="002F3324" w:rsidRPr="00534C57" w:rsidRDefault="002F3324" w:rsidP="002F3324">
      <w:pPr>
        <w:autoSpaceDE w:val="0"/>
        <w:autoSpaceDN w:val="0"/>
        <w:adjustRightInd w:val="0"/>
        <w:spacing w:after="0" w:line="240" w:lineRule="auto"/>
        <w:rPr>
          <w:rFonts w:ascii="Times New Roman" w:hAnsi="Times New Roman"/>
        </w:rPr>
      </w:pPr>
    </w:p>
    <w:p w14:paraId="5B7006F2"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Toliau pateikta informacija skirta ir gydymui, ir profilaktikai</w:t>
      </w:r>
    </w:p>
    <w:p w14:paraId="73C758DD" w14:textId="77777777" w:rsidR="002F3324" w:rsidRPr="00534C57" w:rsidRDefault="002F3324" w:rsidP="002F3324">
      <w:pPr>
        <w:autoSpaceDE w:val="0"/>
        <w:autoSpaceDN w:val="0"/>
        <w:adjustRightInd w:val="0"/>
        <w:spacing w:after="0" w:line="240" w:lineRule="auto"/>
        <w:rPr>
          <w:rFonts w:ascii="Times New Roman" w:hAnsi="Times New Roman"/>
        </w:rPr>
      </w:pPr>
    </w:p>
    <w:p w14:paraId="41A90627" w14:textId="77777777" w:rsidR="002F3324" w:rsidRPr="00534C57" w:rsidRDefault="002F3324" w:rsidP="002F3324">
      <w:pPr>
        <w:autoSpaceDE w:val="0"/>
        <w:autoSpaceDN w:val="0"/>
        <w:adjustRightInd w:val="0"/>
        <w:spacing w:after="0" w:line="240" w:lineRule="auto"/>
        <w:rPr>
          <w:rFonts w:ascii="Times New Roman" w:hAnsi="Times New Roman"/>
          <w:i/>
        </w:rPr>
      </w:pPr>
      <w:r w:rsidRPr="00534C57">
        <w:rPr>
          <w:rFonts w:ascii="Times New Roman" w:hAnsi="Times New Roman"/>
          <w:i/>
        </w:rPr>
        <w:t>Dozės koregavimas</w:t>
      </w:r>
    </w:p>
    <w:p w14:paraId="0C5DE75A"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Vartojant profilaktikai dozės koreguoti nerekomenduojama, jeigu veiksmingumas nepakankamas arba atsiranda su gydymu susijusių nepageidaujamų reiškinių. Jeigu atsiranda su gydymu susiję nepageidaujami reiškiniai, reikėtų apsvarstyti vorikonazolo vartojimo nutraukimą ir kitų priešgrybelinių vaistinių preparatų vartojimą (žr. 4.4 ir 4.8 skyrius).</w:t>
      </w:r>
    </w:p>
    <w:p w14:paraId="098131BA" w14:textId="77777777" w:rsidR="002F3324" w:rsidRPr="00534C57" w:rsidRDefault="002F3324" w:rsidP="002F3324">
      <w:pPr>
        <w:autoSpaceDE w:val="0"/>
        <w:autoSpaceDN w:val="0"/>
        <w:adjustRightInd w:val="0"/>
        <w:spacing w:after="0" w:line="240" w:lineRule="auto"/>
        <w:rPr>
          <w:rFonts w:ascii="Times New Roman" w:hAnsi="Times New Roman"/>
        </w:rPr>
      </w:pPr>
    </w:p>
    <w:p w14:paraId="3C5D71BB" w14:textId="77777777" w:rsidR="002F3324" w:rsidRPr="00534C57" w:rsidRDefault="002F3324" w:rsidP="002F3324">
      <w:pPr>
        <w:autoSpaceDE w:val="0"/>
        <w:autoSpaceDN w:val="0"/>
        <w:adjustRightInd w:val="0"/>
        <w:spacing w:after="0" w:line="240" w:lineRule="auto"/>
        <w:rPr>
          <w:rFonts w:ascii="Times New Roman" w:hAnsi="Times New Roman"/>
          <w:i/>
          <w:u w:val="single"/>
        </w:rPr>
      </w:pPr>
      <w:r w:rsidRPr="00534C57">
        <w:rPr>
          <w:rFonts w:ascii="Times New Roman" w:hAnsi="Times New Roman"/>
          <w:i/>
          <w:u w:val="single"/>
        </w:rPr>
        <w:t>Dozės koregavimas vartojant kartu kitus vaistinius preparatus</w:t>
      </w:r>
    </w:p>
    <w:p w14:paraId="67E0DF82"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Fenitoiną galima vartoti kartu su vorikonazolu, jeigu palaikomoji per burną vartojamo vorikonazolo dozė padidinama nuo 200</w:t>
      </w:r>
      <w:r w:rsidR="00BA090F">
        <w:rPr>
          <w:rFonts w:ascii="Times New Roman" w:hAnsi="Times New Roman"/>
        </w:rPr>
        <w:t> </w:t>
      </w:r>
      <w:r w:rsidRPr="00534C57">
        <w:rPr>
          <w:rFonts w:ascii="Times New Roman" w:hAnsi="Times New Roman"/>
        </w:rPr>
        <w:t>mg iki 400</w:t>
      </w:r>
      <w:r w:rsidR="00BA090F">
        <w:rPr>
          <w:rFonts w:ascii="Times New Roman" w:hAnsi="Times New Roman"/>
        </w:rPr>
        <w:t> </w:t>
      </w:r>
      <w:r w:rsidRPr="00534C57">
        <w:rPr>
          <w:rFonts w:ascii="Times New Roman" w:hAnsi="Times New Roman"/>
        </w:rPr>
        <w:t>mg du kartus per parą (nuo 100</w:t>
      </w:r>
      <w:r w:rsidR="00BA090F">
        <w:rPr>
          <w:rFonts w:ascii="Times New Roman" w:hAnsi="Times New Roman"/>
        </w:rPr>
        <w:t> </w:t>
      </w:r>
      <w:r w:rsidRPr="00534C57">
        <w:rPr>
          <w:rFonts w:ascii="Times New Roman" w:hAnsi="Times New Roman"/>
        </w:rPr>
        <w:t>mg iki 200</w:t>
      </w:r>
      <w:r w:rsidR="00BA090F">
        <w:rPr>
          <w:rFonts w:ascii="Times New Roman" w:hAnsi="Times New Roman"/>
        </w:rPr>
        <w:t> </w:t>
      </w:r>
      <w:r w:rsidRPr="00534C57">
        <w:rPr>
          <w:rFonts w:ascii="Times New Roman" w:hAnsi="Times New Roman"/>
        </w:rPr>
        <w:t>mg du kartus per parą tuo atveju, kai pacientas sveria mažiau kaip 40</w:t>
      </w:r>
      <w:r w:rsidR="00BA090F">
        <w:rPr>
          <w:rFonts w:ascii="Times New Roman" w:hAnsi="Times New Roman"/>
        </w:rPr>
        <w:t> </w:t>
      </w:r>
      <w:r w:rsidRPr="00534C57">
        <w:rPr>
          <w:rFonts w:ascii="Times New Roman" w:hAnsi="Times New Roman"/>
        </w:rPr>
        <w:t>kg) (žr. 4.4 ir 4.5 skyrius).</w:t>
      </w:r>
    </w:p>
    <w:p w14:paraId="38EB707E" w14:textId="77777777" w:rsidR="002F3324" w:rsidRPr="00534C57" w:rsidRDefault="002F3324" w:rsidP="002F3324">
      <w:pPr>
        <w:autoSpaceDE w:val="0"/>
        <w:autoSpaceDN w:val="0"/>
        <w:adjustRightInd w:val="0"/>
        <w:spacing w:after="0" w:line="240" w:lineRule="auto"/>
        <w:rPr>
          <w:rFonts w:ascii="Times New Roman" w:hAnsi="Times New Roman"/>
        </w:rPr>
      </w:pPr>
    </w:p>
    <w:p w14:paraId="3B476BB0"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Jeigu įmanoma, vorikonazolo geriau nevartoti kartu su rifabutinu. Vis dėlto jeigu tokį derinį vartoti neabejotinai būtina, palaikomąją per burną vartojamo vorikonazolo dozę reikia didinti nuo 200</w:t>
      </w:r>
      <w:r w:rsidR="00BA090F">
        <w:rPr>
          <w:rFonts w:ascii="Times New Roman" w:hAnsi="Times New Roman"/>
        </w:rPr>
        <w:t> </w:t>
      </w:r>
      <w:r w:rsidRPr="00534C57">
        <w:rPr>
          <w:rFonts w:ascii="Times New Roman" w:hAnsi="Times New Roman"/>
        </w:rPr>
        <w:t>mg iki 350 mg du kartus per parą (nuo 100</w:t>
      </w:r>
      <w:r w:rsidR="00BA090F">
        <w:rPr>
          <w:rFonts w:ascii="Times New Roman" w:hAnsi="Times New Roman"/>
        </w:rPr>
        <w:t> </w:t>
      </w:r>
      <w:r w:rsidRPr="00534C57">
        <w:rPr>
          <w:rFonts w:ascii="Times New Roman" w:hAnsi="Times New Roman"/>
        </w:rPr>
        <w:t>mg iki 200</w:t>
      </w:r>
      <w:r w:rsidR="00BA090F">
        <w:rPr>
          <w:rFonts w:ascii="Times New Roman" w:hAnsi="Times New Roman"/>
        </w:rPr>
        <w:t> </w:t>
      </w:r>
      <w:r w:rsidRPr="00534C57">
        <w:rPr>
          <w:rFonts w:ascii="Times New Roman" w:hAnsi="Times New Roman"/>
        </w:rPr>
        <w:t>mg du kartus per parą tuo atveju, kai pacientas sveria mažiau kaip 40</w:t>
      </w:r>
      <w:r w:rsidR="00BA090F">
        <w:rPr>
          <w:rFonts w:ascii="Times New Roman" w:hAnsi="Times New Roman"/>
        </w:rPr>
        <w:t> </w:t>
      </w:r>
      <w:r w:rsidRPr="00534C57">
        <w:rPr>
          <w:rFonts w:ascii="Times New Roman" w:hAnsi="Times New Roman"/>
        </w:rPr>
        <w:t>kg) (žr. 4.4 ir 4.5 skyrius).</w:t>
      </w:r>
    </w:p>
    <w:p w14:paraId="3DFB1794" w14:textId="77777777" w:rsidR="002F3324" w:rsidRPr="00534C57" w:rsidRDefault="002F3324" w:rsidP="002F3324">
      <w:pPr>
        <w:autoSpaceDE w:val="0"/>
        <w:autoSpaceDN w:val="0"/>
        <w:adjustRightInd w:val="0"/>
        <w:spacing w:after="0" w:line="240" w:lineRule="auto"/>
        <w:rPr>
          <w:rFonts w:ascii="Times New Roman" w:hAnsi="Times New Roman"/>
        </w:rPr>
      </w:pPr>
    </w:p>
    <w:p w14:paraId="64C45E08"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Efavirenzą galima vartoti kartu su vorikonazolu, jeigu palaikomoji vorikonazolo dozė padidinama ir vartojama po 400</w:t>
      </w:r>
      <w:r w:rsidR="00BA090F">
        <w:rPr>
          <w:rFonts w:ascii="Times New Roman" w:hAnsi="Times New Roman"/>
        </w:rPr>
        <w:t> </w:t>
      </w:r>
      <w:r w:rsidRPr="00534C57">
        <w:rPr>
          <w:rFonts w:ascii="Times New Roman" w:hAnsi="Times New Roman"/>
        </w:rPr>
        <w:t xml:space="preserve">mg kas 12 valandų, o efavirenzo dozė sumažinama 50 %, t. y. vartojama po 300 </w:t>
      </w:r>
      <w:r w:rsidR="00BA090F">
        <w:rPr>
          <w:rFonts w:ascii="Times New Roman" w:hAnsi="Times New Roman"/>
        </w:rPr>
        <w:t> </w:t>
      </w:r>
      <w:r w:rsidRPr="00534C57">
        <w:rPr>
          <w:rFonts w:ascii="Times New Roman" w:hAnsi="Times New Roman"/>
        </w:rPr>
        <w:t>mg vieną kartą per parą. Baigus gydymą vorikonazolu, reikia atnaujinti pradinės efavirenzo dozės vartojimą (žr. 4.4 ir 4.5 skyrius).</w:t>
      </w:r>
    </w:p>
    <w:p w14:paraId="5C584DDE" w14:textId="77777777" w:rsidR="002F3324" w:rsidRPr="00534C57" w:rsidRDefault="002F3324" w:rsidP="002F3324">
      <w:pPr>
        <w:autoSpaceDE w:val="0"/>
        <w:autoSpaceDN w:val="0"/>
        <w:adjustRightInd w:val="0"/>
        <w:spacing w:after="0" w:line="240" w:lineRule="auto"/>
        <w:rPr>
          <w:rFonts w:ascii="Times New Roman" w:hAnsi="Times New Roman"/>
        </w:rPr>
      </w:pPr>
    </w:p>
    <w:p w14:paraId="42B02C3E" w14:textId="77777777" w:rsidR="002F3324" w:rsidRPr="00534C57" w:rsidRDefault="002F3324" w:rsidP="002F3324">
      <w:pPr>
        <w:autoSpaceDE w:val="0"/>
        <w:autoSpaceDN w:val="0"/>
        <w:adjustRightInd w:val="0"/>
        <w:spacing w:after="0" w:line="240" w:lineRule="auto"/>
        <w:rPr>
          <w:rFonts w:ascii="Times New Roman" w:hAnsi="Times New Roman"/>
          <w:i/>
          <w:iCs/>
          <w:color w:val="000000"/>
          <w:u w:val="single"/>
        </w:rPr>
      </w:pPr>
      <w:r w:rsidRPr="00534C57">
        <w:rPr>
          <w:rFonts w:ascii="Times New Roman" w:hAnsi="Times New Roman"/>
          <w:i/>
          <w:iCs/>
          <w:color w:val="000000"/>
          <w:u w:val="single"/>
        </w:rPr>
        <w:t>Senyviems pacientams</w:t>
      </w:r>
    </w:p>
    <w:p w14:paraId="7B9E244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koreguoti nebūtina (žr. 5.2 skyrių).</w:t>
      </w:r>
    </w:p>
    <w:p w14:paraId="7CE1DABB"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7F91215B" w14:textId="77777777" w:rsidR="002E7D0A" w:rsidRPr="00534C57" w:rsidRDefault="00522C1F" w:rsidP="002E7D0A">
      <w:pPr>
        <w:autoSpaceDE w:val="0"/>
        <w:autoSpaceDN w:val="0"/>
        <w:adjustRightInd w:val="0"/>
        <w:spacing w:after="0" w:line="240" w:lineRule="auto"/>
        <w:rPr>
          <w:rFonts w:ascii="Times New Roman" w:hAnsi="Times New Roman"/>
          <w:i/>
          <w:iCs/>
          <w:color w:val="000000"/>
        </w:rPr>
      </w:pPr>
      <w:r>
        <w:rPr>
          <w:rFonts w:ascii="Times New Roman" w:hAnsi="Times New Roman"/>
          <w:i/>
          <w:iCs/>
          <w:color w:val="000000"/>
        </w:rPr>
        <w:t>Sutrikusi i</w:t>
      </w:r>
      <w:r w:rsidR="002E7D0A" w:rsidRPr="00534C57">
        <w:rPr>
          <w:rFonts w:ascii="Times New Roman" w:hAnsi="Times New Roman"/>
          <w:i/>
          <w:iCs/>
          <w:color w:val="000000"/>
        </w:rPr>
        <w:t>nkstų funkcij</w:t>
      </w:r>
      <w:r>
        <w:rPr>
          <w:rFonts w:ascii="Times New Roman" w:hAnsi="Times New Roman"/>
          <w:i/>
          <w:iCs/>
          <w:color w:val="000000"/>
        </w:rPr>
        <w:t>a</w:t>
      </w:r>
    </w:p>
    <w:p w14:paraId="7DB98FC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Geriamojo vorikonazolo farmakokinetikai inkstų funkcijos sutrikimas įtakos neturi. Todėl, jeigu inkstų funkcijos sutrikimas yra vidutinio sunkumo arba sunkus, geriamojo vorikonazolo dozės koreguoti nebūtina (žr. 5.2 skyrių).</w:t>
      </w:r>
    </w:p>
    <w:p w14:paraId="52CD988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461B87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hemodializuojamas, jo klirensas yra 121</w:t>
      </w:r>
      <w:r w:rsidR="00BA090F">
        <w:rPr>
          <w:rFonts w:ascii="Times New Roman" w:hAnsi="Times New Roman"/>
          <w:color w:val="000000"/>
        </w:rPr>
        <w:t> </w:t>
      </w:r>
      <w:r w:rsidRPr="00534C57">
        <w:rPr>
          <w:rFonts w:ascii="Times New Roman" w:hAnsi="Times New Roman"/>
          <w:color w:val="000000"/>
        </w:rPr>
        <w:t>ml/min. Keturių valandų trukmės hemodialize tiek vorikonazolo nepašalinama, kad dėl to reikėtų keisti dozę.</w:t>
      </w:r>
    </w:p>
    <w:p w14:paraId="23EF1210"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2594BF50" w14:textId="77777777" w:rsidR="002E7D0A" w:rsidRPr="00534C57" w:rsidRDefault="00522C1F" w:rsidP="002E7D0A">
      <w:pPr>
        <w:autoSpaceDE w:val="0"/>
        <w:autoSpaceDN w:val="0"/>
        <w:adjustRightInd w:val="0"/>
        <w:spacing w:after="0" w:line="240" w:lineRule="auto"/>
        <w:rPr>
          <w:rFonts w:ascii="Times New Roman" w:hAnsi="Times New Roman"/>
          <w:i/>
          <w:iCs/>
          <w:color w:val="000000"/>
        </w:rPr>
      </w:pPr>
      <w:r>
        <w:rPr>
          <w:rFonts w:ascii="Times New Roman" w:hAnsi="Times New Roman"/>
          <w:i/>
          <w:iCs/>
          <w:color w:val="000000"/>
        </w:rPr>
        <w:t>Sutrikusi k</w:t>
      </w:r>
      <w:r w:rsidR="002E7D0A" w:rsidRPr="00534C57">
        <w:rPr>
          <w:rFonts w:ascii="Times New Roman" w:hAnsi="Times New Roman"/>
          <w:i/>
          <w:iCs/>
          <w:color w:val="000000"/>
        </w:rPr>
        <w:t>epenų funkcij</w:t>
      </w:r>
      <w:r>
        <w:rPr>
          <w:rFonts w:ascii="Times New Roman" w:hAnsi="Times New Roman"/>
          <w:i/>
          <w:iCs/>
          <w:color w:val="000000"/>
        </w:rPr>
        <w:t>a</w:t>
      </w:r>
    </w:p>
    <w:p w14:paraId="567C2F3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taikyti įprastinius įsotinamosios dozės planus, tačiau palaikomoji vorikonazolo dozė pacientams, sergantiems nesunkia arba vidutinio sunkumo kepenų ciroze (A ir B klasės pagal Child-Pugh), turi būti mažinama per pusę (žr. 5.2 skyrių).</w:t>
      </w:r>
    </w:p>
    <w:p w14:paraId="752B171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12167E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poveikis ligoniams, sergantiems sunkia lėtine kepenų ciroze (C klasės pagal Child-Pugh), netirtas.</w:t>
      </w:r>
    </w:p>
    <w:p w14:paraId="499B084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B98F74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Pacientų, kurių kepenų funkcijos tyrimų rodmenys nenormalūs (aspartato transaminazės [AST], alanininės transaminazės [ALT], šarminės fosfatazės [ALP] arba bendrojo bilirubino koncentracija daugiau kaip 5 kartus viršija viršutinę normos ribą), saugumo duomenys riboti.</w:t>
      </w:r>
    </w:p>
    <w:p w14:paraId="1652A80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C04AA1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gali būti susijęs su kepenų funkcijos rodmenų suaktyvėjimu bei kepenų pažeidimo požymiais, pvz., gelta. Todėl ligoniai, kurių kepenų funkcija labai sutrikusi, vaistinį preparatą gali vartoti tik tuo atveju, jeigu nauda viršija riziką. Pacientai, kuriems yra sunkus kepenų funkcijos sutrikimas, turi būti atidžiai stebimi ar nepasireiškia vaisto toksinis poveikis (žr. 4.8 skyrių).</w:t>
      </w:r>
    </w:p>
    <w:p w14:paraId="59FF4D17"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323D3F80"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Vaikų populiacija</w:t>
      </w:r>
    </w:p>
    <w:p w14:paraId="72B9EAA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saugumas ir veiksmingumas jaunesniems kaip 2 metų kūdikiams neištirtas. Šiuo metu turimi duomenys pateikiami 4.8 ir 5.1 skyriuose, tačiau dozavimo rekomendacijų pateikti negalima.</w:t>
      </w:r>
    </w:p>
    <w:p w14:paraId="616C5B7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4FCD63F"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Vartojimo metodas</w:t>
      </w:r>
    </w:p>
    <w:p w14:paraId="42B3DA5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plėvele dengtas tabletes reikia vartoti mažiausiai 1 valandą prieš valgį arba praėjus 1 valandai po valgymo.</w:t>
      </w:r>
    </w:p>
    <w:p w14:paraId="08CC494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024AE9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4.3 Kontraindikacijos</w:t>
      </w:r>
    </w:p>
    <w:p w14:paraId="3A4AC9B9"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2298324" w14:textId="77777777" w:rsidR="002F3324" w:rsidRPr="00534C57" w:rsidRDefault="002F3324" w:rsidP="002F3324">
      <w:pPr>
        <w:spacing w:after="0" w:line="240" w:lineRule="auto"/>
        <w:ind w:left="720" w:hanging="720"/>
        <w:rPr>
          <w:rFonts w:ascii="Times New Roman" w:hAnsi="Times New Roman"/>
        </w:rPr>
      </w:pPr>
      <w:r w:rsidRPr="00534C57">
        <w:rPr>
          <w:rFonts w:ascii="Times New Roman" w:hAnsi="Times New Roman"/>
        </w:rPr>
        <w:t>Padidėjęs jautrumas veikliajai arba bet kuriai 6.1 skyriuje nurodytai pagalbinei medžiagai.</w:t>
      </w:r>
    </w:p>
    <w:p w14:paraId="6D98DA1C" w14:textId="77777777" w:rsidR="002F3324" w:rsidRPr="00534C57" w:rsidRDefault="002F3324" w:rsidP="002F3324">
      <w:pPr>
        <w:spacing w:after="0" w:line="240" w:lineRule="auto"/>
        <w:ind w:left="720" w:hanging="360"/>
        <w:rPr>
          <w:rFonts w:ascii="Times New Roman" w:hAnsi="Times New Roman"/>
        </w:rPr>
      </w:pPr>
    </w:p>
    <w:p w14:paraId="1BF462CE" w14:textId="77777777" w:rsidR="002F3324" w:rsidRPr="00534C57" w:rsidRDefault="002F3324" w:rsidP="002F3324">
      <w:pPr>
        <w:spacing w:after="0" w:line="240" w:lineRule="auto"/>
        <w:rPr>
          <w:rFonts w:ascii="Times New Roman" w:hAnsi="Times New Roman"/>
        </w:rPr>
      </w:pPr>
      <w:r w:rsidRPr="00534C57">
        <w:rPr>
          <w:rFonts w:ascii="Times New Roman" w:hAnsi="Times New Roman"/>
        </w:rPr>
        <w:t>Vartojimas kartu su CYP3A4 substratais (terfenadinu, astemizolu, cisapridu, pimozidu</w:t>
      </w:r>
      <w:r w:rsidR="003B7FB1">
        <w:rPr>
          <w:rFonts w:ascii="Times New Roman" w:hAnsi="Times New Roman"/>
        </w:rPr>
        <w:t>,</w:t>
      </w:r>
      <w:r w:rsidRPr="00534C57">
        <w:rPr>
          <w:rFonts w:ascii="Times New Roman" w:hAnsi="Times New Roman"/>
        </w:rPr>
        <w:t xml:space="preserve"> chinidinu</w:t>
      </w:r>
      <w:r w:rsidR="003B7FB1">
        <w:rPr>
          <w:rFonts w:ascii="Times New Roman" w:hAnsi="Times New Roman"/>
        </w:rPr>
        <w:t xml:space="preserve"> ar ivabradinu</w:t>
      </w:r>
      <w:r w:rsidRPr="00534C57">
        <w:rPr>
          <w:rFonts w:ascii="Times New Roman" w:hAnsi="Times New Roman"/>
        </w:rPr>
        <w:t xml:space="preserve">), nes dėl padidėjusių šių vaistinių preparatų koncentracijos plazmoje gali prailgėti QTc intervalas ir retais atvejais atsirasti </w:t>
      </w:r>
      <w:r w:rsidRPr="00534C57">
        <w:rPr>
          <w:rFonts w:ascii="Times New Roman" w:hAnsi="Times New Roman"/>
          <w:i/>
          <w:iCs/>
        </w:rPr>
        <w:t xml:space="preserve">torsades de pointes </w:t>
      </w:r>
      <w:r w:rsidRPr="00534C57">
        <w:rPr>
          <w:rFonts w:ascii="Times New Roman" w:hAnsi="Times New Roman"/>
        </w:rPr>
        <w:t>(žr. 4.5 skyrių).</w:t>
      </w:r>
    </w:p>
    <w:p w14:paraId="097F2B6B" w14:textId="77777777" w:rsidR="002F3324" w:rsidRPr="00534C57" w:rsidRDefault="002F3324" w:rsidP="002F3324">
      <w:pPr>
        <w:spacing w:after="0" w:line="240" w:lineRule="auto"/>
        <w:ind w:left="720" w:hanging="360"/>
        <w:rPr>
          <w:rFonts w:ascii="Times New Roman" w:hAnsi="Times New Roman"/>
        </w:rPr>
      </w:pPr>
    </w:p>
    <w:p w14:paraId="6EB14C49" w14:textId="77777777" w:rsidR="002F3324" w:rsidRPr="00534C57" w:rsidRDefault="002F3324" w:rsidP="002F3324">
      <w:pPr>
        <w:spacing w:after="0" w:line="240" w:lineRule="auto"/>
        <w:rPr>
          <w:rFonts w:ascii="Times New Roman" w:hAnsi="Times New Roman"/>
        </w:rPr>
      </w:pPr>
      <w:r w:rsidRPr="00534C57">
        <w:rPr>
          <w:rFonts w:ascii="Times New Roman" w:hAnsi="Times New Roman"/>
        </w:rPr>
        <w:t>Vartojimas kartu su rifampicinu, karbamazepinu</w:t>
      </w:r>
      <w:r w:rsidR="00AF4332">
        <w:rPr>
          <w:rFonts w:ascii="Times New Roman" w:hAnsi="Times New Roman"/>
        </w:rPr>
        <w:t>.</w:t>
      </w:r>
      <w:r w:rsidRPr="00534C57">
        <w:rPr>
          <w:rFonts w:ascii="Times New Roman" w:hAnsi="Times New Roman"/>
        </w:rPr>
        <w:t xml:space="preserve"> fenobarbitaliu</w:t>
      </w:r>
      <w:r w:rsidR="00AF4332">
        <w:rPr>
          <w:rFonts w:ascii="Times New Roman" w:hAnsi="Times New Roman"/>
        </w:rPr>
        <w:t xml:space="preserve"> ir paprastosios jonažolės preparatais</w:t>
      </w:r>
      <w:r w:rsidRPr="00534C57">
        <w:rPr>
          <w:rFonts w:ascii="Times New Roman" w:hAnsi="Times New Roman"/>
        </w:rPr>
        <w:t>, nes šie vaistiniai preparatai gali reikšmingai sumažinti vorikonazolo koncentraciją plazmoje (žr. 4.5 skyrių).</w:t>
      </w:r>
    </w:p>
    <w:p w14:paraId="22C87100" w14:textId="77777777" w:rsidR="002F3324" w:rsidRPr="00534C57" w:rsidRDefault="002F3324" w:rsidP="002F3324">
      <w:pPr>
        <w:spacing w:after="0" w:line="240" w:lineRule="auto"/>
        <w:rPr>
          <w:rFonts w:ascii="Times New Roman" w:hAnsi="Times New Roman"/>
        </w:rPr>
      </w:pPr>
    </w:p>
    <w:p w14:paraId="7EA3D6CD"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rPr>
        <w:t xml:space="preserve">Įprastinės vorikonazolo dozės vartojimas kartu su 400 mg ir didesne efavirenzo doze vieną kartą per parą yra negalimas, nes efavirenzas reikšmingai sumažina vorikonazolo koncentracijas sveikų </w:t>
      </w:r>
      <w:r w:rsidRPr="00534C57">
        <w:rPr>
          <w:rFonts w:ascii="Times New Roman" w:hAnsi="Times New Roman"/>
        </w:rPr>
        <w:lastRenderedPageBreak/>
        <w:t>savanorių, vartojančių šias dozes, plazmoje. Vorikonazolas taip pat reikšmingai padidina efavirenzo koncentracijas plazmoje</w:t>
      </w:r>
      <w:r w:rsidRPr="00534C57" w:rsidDel="00AA5892">
        <w:rPr>
          <w:rFonts w:ascii="Times New Roman" w:hAnsi="Times New Roman"/>
        </w:rPr>
        <w:t xml:space="preserve"> </w:t>
      </w:r>
      <w:r w:rsidRPr="00534C57">
        <w:rPr>
          <w:rFonts w:ascii="Times New Roman" w:hAnsi="Times New Roman"/>
        </w:rPr>
        <w:t>(žr. 4.5 skyrių, apie mažesnes dozes žr. 4.4 skyriuje).</w:t>
      </w:r>
    </w:p>
    <w:p w14:paraId="6E747373" w14:textId="77777777" w:rsidR="002F3324" w:rsidRPr="00534C57" w:rsidRDefault="002F3324" w:rsidP="002F3324">
      <w:pPr>
        <w:spacing w:after="0" w:line="240" w:lineRule="auto"/>
        <w:rPr>
          <w:rFonts w:ascii="Times New Roman" w:hAnsi="Times New Roman"/>
        </w:rPr>
      </w:pPr>
    </w:p>
    <w:p w14:paraId="047E0216" w14:textId="77777777" w:rsidR="002F3324" w:rsidRPr="00534C57" w:rsidRDefault="002F3324" w:rsidP="002F3324">
      <w:pPr>
        <w:spacing w:after="0" w:line="240" w:lineRule="auto"/>
        <w:rPr>
          <w:rFonts w:ascii="Times New Roman" w:hAnsi="Times New Roman"/>
        </w:rPr>
      </w:pPr>
      <w:r w:rsidRPr="00534C57">
        <w:rPr>
          <w:rFonts w:ascii="Times New Roman" w:hAnsi="Times New Roman"/>
        </w:rPr>
        <w:t>Vartojimas kartu su didele ritonaviro doze (400</w:t>
      </w:r>
      <w:r w:rsidR="00BA090F">
        <w:rPr>
          <w:rFonts w:ascii="Times New Roman" w:hAnsi="Times New Roman"/>
        </w:rPr>
        <w:t> </w:t>
      </w:r>
      <w:r w:rsidRPr="00534C57">
        <w:rPr>
          <w:rFonts w:ascii="Times New Roman" w:hAnsi="Times New Roman"/>
        </w:rPr>
        <w:t>mg ir didesne du kartus per parą), nes tokia ritonaviro dozė sveikiems asmenims reikšmingai sumažino vorikonazolo koncentraciją plazmoje (žr. 4.5 skyrių, apie mažesnes dozes žr. 4.4 skyriuje).</w:t>
      </w:r>
    </w:p>
    <w:p w14:paraId="7122AA7B" w14:textId="77777777" w:rsidR="002F3324" w:rsidRPr="00534C57" w:rsidRDefault="002F3324" w:rsidP="002F3324">
      <w:pPr>
        <w:spacing w:after="0" w:line="240" w:lineRule="auto"/>
        <w:rPr>
          <w:rFonts w:ascii="Times New Roman" w:hAnsi="Times New Roman"/>
        </w:rPr>
      </w:pPr>
    </w:p>
    <w:p w14:paraId="59F31C21" w14:textId="77777777" w:rsidR="002F3324" w:rsidRPr="00534C57" w:rsidRDefault="002F3324" w:rsidP="002F3324">
      <w:pPr>
        <w:spacing w:after="0" w:line="240" w:lineRule="auto"/>
        <w:rPr>
          <w:rFonts w:ascii="Times New Roman" w:hAnsi="Times New Roman"/>
        </w:rPr>
      </w:pPr>
      <w:r w:rsidRPr="00534C57">
        <w:rPr>
          <w:rFonts w:ascii="Times New Roman" w:hAnsi="Times New Roman"/>
        </w:rPr>
        <w:t>Vartojimas kartu su skalsių alkaloidais (ergotaminu, dihidroergotaminu), kurie yra CYP3A4 substratai, nes plazmoje padidėja šių vaistinių preparatų koncentracija ir gali pasireikšti ergotizmas (žr. 4.5 skyrių).</w:t>
      </w:r>
    </w:p>
    <w:p w14:paraId="5E8B0A1C" w14:textId="77777777" w:rsidR="002F3324" w:rsidRPr="00534C57" w:rsidRDefault="002F3324" w:rsidP="002F3324">
      <w:pPr>
        <w:spacing w:after="0" w:line="240" w:lineRule="auto"/>
        <w:rPr>
          <w:rFonts w:ascii="Times New Roman" w:hAnsi="Times New Roman"/>
        </w:rPr>
      </w:pPr>
    </w:p>
    <w:p w14:paraId="170FB223" w14:textId="77777777" w:rsidR="002F3324" w:rsidRPr="00534C57" w:rsidRDefault="002F3324" w:rsidP="002F3324">
      <w:pPr>
        <w:spacing w:after="0" w:line="240" w:lineRule="auto"/>
        <w:rPr>
          <w:rFonts w:ascii="Times New Roman" w:hAnsi="Times New Roman"/>
        </w:rPr>
      </w:pPr>
      <w:r w:rsidRPr="00534C57">
        <w:rPr>
          <w:rFonts w:ascii="Times New Roman" w:hAnsi="Times New Roman"/>
        </w:rPr>
        <w:t>Vartojimas kartu su sirolimuzu, nes vorikonazolas reikšmingai padidina sirolimuzo koncentraciją plazmoje (žr. 4.5 skyrių).</w:t>
      </w:r>
    </w:p>
    <w:p w14:paraId="503193A6" w14:textId="77777777" w:rsidR="002F3324" w:rsidRDefault="002F3324" w:rsidP="002F3324">
      <w:pPr>
        <w:spacing w:after="0" w:line="240" w:lineRule="auto"/>
        <w:rPr>
          <w:rFonts w:ascii="Times New Roman" w:hAnsi="Times New Roman"/>
        </w:rPr>
      </w:pPr>
    </w:p>
    <w:p w14:paraId="18FA2438" w14:textId="77777777" w:rsidR="00730061" w:rsidRDefault="00730061" w:rsidP="00AB0D75">
      <w:pPr>
        <w:spacing w:after="0" w:line="240" w:lineRule="auto"/>
        <w:rPr>
          <w:rFonts w:ascii="Times New Roman" w:hAnsi="Times New Roman"/>
        </w:rPr>
      </w:pPr>
      <w:r>
        <w:rPr>
          <w:rFonts w:ascii="Times New Roman" w:hAnsi="Times New Roman"/>
        </w:rPr>
        <w:t>Vartojimas kartu su CYP3A4 substratu naloks</w:t>
      </w:r>
      <w:r w:rsidR="007C4619">
        <w:rPr>
          <w:rFonts w:ascii="Times New Roman" w:hAnsi="Times New Roman"/>
        </w:rPr>
        <w:t>e</w:t>
      </w:r>
      <w:r>
        <w:rPr>
          <w:rFonts w:ascii="Times New Roman" w:hAnsi="Times New Roman"/>
        </w:rPr>
        <w:t>g</w:t>
      </w:r>
      <w:r w:rsidR="007C4619">
        <w:rPr>
          <w:rFonts w:ascii="Times New Roman" w:hAnsi="Times New Roman"/>
        </w:rPr>
        <w:t>o</w:t>
      </w:r>
      <w:r>
        <w:rPr>
          <w:rFonts w:ascii="Times New Roman" w:hAnsi="Times New Roman"/>
        </w:rPr>
        <w:t xml:space="preserve">lu, nes </w:t>
      </w:r>
      <w:r w:rsidR="00AB0D75" w:rsidRPr="00AB0D75">
        <w:rPr>
          <w:rFonts w:ascii="Times New Roman" w:hAnsi="Times New Roman"/>
        </w:rPr>
        <w:t>nes dėl padidėjusios naloksegolo</w:t>
      </w:r>
      <w:r w:rsidR="00AB0D75">
        <w:rPr>
          <w:rFonts w:ascii="Times New Roman" w:hAnsi="Times New Roman"/>
        </w:rPr>
        <w:t xml:space="preserve"> </w:t>
      </w:r>
      <w:r w:rsidR="00AB0D75" w:rsidRPr="00AB0D75">
        <w:rPr>
          <w:rFonts w:ascii="Times New Roman" w:hAnsi="Times New Roman"/>
        </w:rPr>
        <w:t>koncentracijos gali atsirasti opioidų abstinencijos simptomų</w:t>
      </w:r>
      <w:r w:rsidR="00AB0D75" w:rsidRPr="00AB0D75" w:rsidDel="00AB0D75">
        <w:rPr>
          <w:rFonts w:ascii="Times New Roman" w:hAnsi="Times New Roman"/>
        </w:rPr>
        <w:t xml:space="preserve"> </w:t>
      </w:r>
      <w:r>
        <w:rPr>
          <w:rFonts w:ascii="Times New Roman" w:hAnsi="Times New Roman"/>
        </w:rPr>
        <w:t>(žr. 4.5 skyrių).</w:t>
      </w:r>
    </w:p>
    <w:p w14:paraId="4F4C34CF" w14:textId="77777777" w:rsidR="00730061" w:rsidRDefault="00730061" w:rsidP="002F3324">
      <w:pPr>
        <w:spacing w:after="0" w:line="240" w:lineRule="auto"/>
        <w:rPr>
          <w:rFonts w:ascii="Times New Roman" w:hAnsi="Times New Roman"/>
        </w:rPr>
      </w:pPr>
    </w:p>
    <w:p w14:paraId="3992D971" w14:textId="77777777" w:rsidR="00726939" w:rsidRDefault="00730061" w:rsidP="00730061">
      <w:pPr>
        <w:spacing w:after="0" w:line="240" w:lineRule="auto"/>
        <w:rPr>
          <w:rFonts w:ascii="Times New Roman" w:hAnsi="Times New Roman"/>
        </w:rPr>
      </w:pPr>
      <w:r>
        <w:rPr>
          <w:rFonts w:ascii="Times New Roman" w:hAnsi="Times New Roman"/>
        </w:rPr>
        <w:t>Vorikonazolo vartojimas kartu su tolvaptanu, nes to</w:t>
      </w:r>
      <w:r w:rsidR="00116FEB">
        <w:rPr>
          <w:rFonts w:ascii="Times New Roman" w:hAnsi="Times New Roman"/>
        </w:rPr>
        <w:t>ie</w:t>
      </w:r>
      <w:r>
        <w:rPr>
          <w:rFonts w:ascii="Times New Roman" w:hAnsi="Times New Roman"/>
        </w:rPr>
        <w:t xml:space="preserve"> stipr</w:t>
      </w:r>
      <w:r w:rsidR="00116FEB">
        <w:rPr>
          <w:rFonts w:ascii="Times New Roman" w:hAnsi="Times New Roman"/>
        </w:rPr>
        <w:t>ūs</w:t>
      </w:r>
      <w:r>
        <w:rPr>
          <w:rFonts w:ascii="Times New Roman" w:hAnsi="Times New Roman"/>
        </w:rPr>
        <w:t xml:space="preserve"> CYP3A4 inhibitor</w:t>
      </w:r>
      <w:r w:rsidR="00116FEB">
        <w:rPr>
          <w:rFonts w:ascii="Times New Roman" w:hAnsi="Times New Roman"/>
        </w:rPr>
        <w:t>ai,</w:t>
      </w:r>
      <w:r>
        <w:rPr>
          <w:rFonts w:ascii="Times New Roman" w:hAnsi="Times New Roman"/>
        </w:rPr>
        <w:t xml:space="preserve"> kaip vorikonazol</w:t>
      </w:r>
      <w:r w:rsidR="00E50A91">
        <w:rPr>
          <w:rFonts w:ascii="Times New Roman" w:hAnsi="Times New Roman"/>
        </w:rPr>
        <w:t>a</w:t>
      </w:r>
      <w:r>
        <w:rPr>
          <w:rFonts w:ascii="Times New Roman" w:hAnsi="Times New Roman"/>
        </w:rPr>
        <w:t>s, reikšmingai padidina tolvaptano koncentraciją plazmoje (žr. 4.5 skyrių).</w:t>
      </w:r>
    </w:p>
    <w:p w14:paraId="51ACA1A3" w14:textId="77777777" w:rsidR="00730061" w:rsidRDefault="00726939" w:rsidP="00730061">
      <w:pPr>
        <w:spacing w:after="0" w:line="240" w:lineRule="auto"/>
        <w:rPr>
          <w:rFonts w:ascii="Times New Roman" w:hAnsi="Times New Roman"/>
        </w:rPr>
      </w:pPr>
      <w:r>
        <w:rPr>
          <w:rFonts w:ascii="Times New Roman" w:hAnsi="Times New Roman"/>
        </w:rPr>
        <w:t>Vartojimas kartu su lurasidonu, nes reikšmingas</w:t>
      </w:r>
      <w:r w:rsidR="00743ED1">
        <w:rPr>
          <w:rFonts w:ascii="Times New Roman" w:hAnsi="Times New Roman"/>
        </w:rPr>
        <w:t xml:space="preserve"> lura</w:t>
      </w:r>
      <w:r>
        <w:rPr>
          <w:rFonts w:ascii="Times New Roman" w:hAnsi="Times New Roman"/>
        </w:rPr>
        <w:t>sidono ekspozicijos padidėjimas gali sukelti sunkių nepageidaujamų reakcijų (žr. 4.5 skyrių).</w:t>
      </w:r>
    </w:p>
    <w:p w14:paraId="66C1BF08" w14:textId="77777777" w:rsidR="00726939" w:rsidRDefault="00726939" w:rsidP="00730061">
      <w:pPr>
        <w:spacing w:after="0" w:line="240" w:lineRule="auto"/>
        <w:rPr>
          <w:rFonts w:ascii="Times New Roman" w:hAnsi="Times New Roman"/>
        </w:rPr>
      </w:pPr>
    </w:p>
    <w:p w14:paraId="31CA876C" w14:textId="77777777" w:rsidR="003B7FB1" w:rsidRDefault="003B7FB1" w:rsidP="002F3324">
      <w:pPr>
        <w:spacing w:after="0" w:line="240" w:lineRule="auto"/>
        <w:rPr>
          <w:rFonts w:ascii="Times New Roman" w:hAnsi="Times New Roman"/>
        </w:rPr>
      </w:pPr>
      <w:r w:rsidRPr="0014289C">
        <w:rPr>
          <w:rFonts w:ascii="Times New Roman" w:hAnsi="Times New Roman"/>
        </w:rPr>
        <w:t>Vartojimas kartu su venetoklaks</w:t>
      </w:r>
      <w:r>
        <w:rPr>
          <w:rFonts w:ascii="Times New Roman" w:hAnsi="Times New Roman"/>
        </w:rPr>
        <w:t>u</w:t>
      </w:r>
      <w:r w:rsidRPr="0014289C">
        <w:rPr>
          <w:rFonts w:ascii="Times New Roman" w:hAnsi="Times New Roman"/>
        </w:rPr>
        <w:t xml:space="preserve"> pradedant ir venetoklaks</w:t>
      </w:r>
      <w:r>
        <w:rPr>
          <w:rFonts w:ascii="Times New Roman" w:hAnsi="Times New Roman"/>
        </w:rPr>
        <w:t>o</w:t>
      </w:r>
      <w:r w:rsidRPr="0014289C">
        <w:rPr>
          <w:rFonts w:ascii="Times New Roman" w:hAnsi="Times New Roman"/>
        </w:rPr>
        <w:t xml:space="preserve"> dozės titravimo fazėje, nes tikėtina, kad vorikonazolas žymiai padidins venetoklakso koncentraciją plazmoje ir padidins naviko lizės sindromo riziką (žr. 4.5 skyrių).</w:t>
      </w:r>
    </w:p>
    <w:p w14:paraId="41BA1B31" w14:textId="77777777" w:rsidR="002F3324" w:rsidRPr="00534C57" w:rsidRDefault="002F3324" w:rsidP="002F3324">
      <w:pPr>
        <w:spacing w:after="0" w:line="240" w:lineRule="auto"/>
        <w:ind w:left="720"/>
        <w:rPr>
          <w:rFonts w:ascii="Times New Roman" w:hAnsi="Times New Roman"/>
        </w:rPr>
      </w:pPr>
    </w:p>
    <w:p w14:paraId="1BB2024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4.4 Specialūs įspėjimai ir atsargumo priemonės</w:t>
      </w:r>
    </w:p>
    <w:p w14:paraId="170EA26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27793B3C"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Padidėjęs jautrumas</w:t>
      </w:r>
    </w:p>
    <w:p w14:paraId="70E2434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Gydytojas atsargiai turi skirti Voriconazole Teva ligoniui, kurio jautrumas kitiems azolo dariniams yra padidėjęs (žr. 4.8 skyrių).</w:t>
      </w:r>
    </w:p>
    <w:p w14:paraId="333B52B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5E0BCDA"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Širdies ir kraujagyslių sistema</w:t>
      </w:r>
    </w:p>
    <w:p w14:paraId="19B9BB8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Vorikonazolas buvo susijęs su QTc intervalo pailgėjimu. Buvo nustatyti reti </w:t>
      </w:r>
      <w:r w:rsidRPr="00534C57">
        <w:rPr>
          <w:rFonts w:ascii="Times New Roman" w:hAnsi="Times New Roman"/>
          <w:i/>
          <w:iCs/>
          <w:color w:val="000000"/>
        </w:rPr>
        <w:t xml:space="preserve">torsades de pointes </w:t>
      </w:r>
      <w:r w:rsidRPr="00534C57">
        <w:rPr>
          <w:rFonts w:ascii="Times New Roman" w:hAnsi="Times New Roman"/>
          <w:color w:val="000000"/>
        </w:rPr>
        <w:t>atvejai pacientams, vartojusiems vorikonazolą, kuriems buvo tokių rizikos veiksnių, kaip širdies ir kraujagyslių sistemai toksiškas chemoterapijos kursas, kardiomiopatija, hipokalemija ir kartu vartojami galintys turėti įtakos vaistiniai preparatai.</w:t>
      </w:r>
    </w:p>
    <w:p w14:paraId="055C1D1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reikia skirti atsargiai pacientams, kuriems yra širdies ritmo sutrikimo rizika, pavyzdžiui:</w:t>
      </w:r>
    </w:p>
    <w:p w14:paraId="39D39B52" w14:textId="77777777" w:rsidR="002F3324" w:rsidRPr="00534C57" w:rsidRDefault="002F3324" w:rsidP="00BE562B">
      <w:pPr>
        <w:pStyle w:val="Sraopastraipa"/>
        <w:numPr>
          <w:ilvl w:val="0"/>
          <w:numId w:val="33"/>
        </w:numPr>
        <w:spacing w:after="0" w:line="240" w:lineRule="auto"/>
        <w:rPr>
          <w:rFonts w:ascii="Times New Roman" w:hAnsi="Times New Roman"/>
        </w:rPr>
      </w:pPr>
      <w:r w:rsidRPr="00534C57">
        <w:rPr>
          <w:rFonts w:ascii="Times New Roman" w:hAnsi="Times New Roman"/>
        </w:rPr>
        <w:t>įgimtas arba įgytas QTc intervalo pailgėjimas;</w:t>
      </w:r>
    </w:p>
    <w:p w14:paraId="05FA6E96" w14:textId="77777777" w:rsidR="002F3324" w:rsidRPr="00534C57" w:rsidRDefault="002F3324" w:rsidP="00BE562B">
      <w:pPr>
        <w:pStyle w:val="Sraopastraipa"/>
        <w:numPr>
          <w:ilvl w:val="0"/>
          <w:numId w:val="33"/>
        </w:numPr>
        <w:spacing w:after="0" w:line="240" w:lineRule="auto"/>
        <w:rPr>
          <w:rFonts w:ascii="Times New Roman" w:hAnsi="Times New Roman"/>
        </w:rPr>
      </w:pPr>
      <w:r w:rsidRPr="00534C57">
        <w:rPr>
          <w:rFonts w:ascii="Times New Roman" w:hAnsi="Times New Roman"/>
        </w:rPr>
        <w:t>kardiomiopatija, ypač esant širdies nepakankamumui;</w:t>
      </w:r>
    </w:p>
    <w:p w14:paraId="73712324" w14:textId="77777777" w:rsidR="002F3324" w:rsidRPr="00534C57" w:rsidRDefault="002F3324" w:rsidP="00BE562B">
      <w:pPr>
        <w:pStyle w:val="Sraopastraipa"/>
        <w:numPr>
          <w:ilvl w:val="0"/>
          <w:numId w:val="33"/>
        </w:numPr>
        <w:spacing w:after="0" w:line="240" w:lineRule="auto"/>
        <w:rPr>
          <w:rFonts w:ascii="Times New Roman" w:hAnsi="Times New Roman"/>
        </w:rPr>
      </w:pPr>
      <w:r w:rsidRPr="00534C57">
        <w:rPr>
          <w:rFonts w:ascii="Times New Roman" w:hAnsi="Times New Roman"/>
        </w:rPr>
        <w:t>sinusinė bradikardija;</w:t>
      </w:r>
    </w:p>
    <w:p w14:paraId="565E1430" w14:textId="77777777" w:rsidR="002F3324" w:rsidRPr="00534C57" w:rsidRDefault="002F3324" w:rsidP="00BE562B">
      <w:pPr>
        <w:pStyle w:val="Sraopastraipa"/>
        <w:numPr>
          <w:ilvl w:val="0"/>
          <w:numId w:val="33"/>
        </w:numPr>
        <w:spacing w:after="0" w:line="240" w:lineRule="auto"/>
        <w:rPr>
          <w:rFonts w:ascii="Times New Roman" w:hAnsi="Times New Roman"/>
        </w:rPr>
      </w:pPr>
      <w:r w:rsidRPr="00534C57">
        <w:rPr>
          <w:rFonts w:ascii="Times New Roman" w:hAnsi="Times New Roman"/>
        </w:rPr>
        <w:t>simptominis širdies ritmo sutrikimas;</w:t>
      </w:r>
    </w:p>
    <w:p w14:paraId="723955DE" w14:textId="77777777" w:rsidR="002F3324" w:rsidRPr="00534C57" w:rsidRDefault="002F3324" w:rsidP="00BE562B">
      <w:pPr>
        <w:pStyle w:val="Sraopastraipa"/>
        <w:numPr>
          <w:ilvl w:val="0"/>
          <w:numId w:val="33"/>
        </w:numPr>
        <w:autoSpaceDE w:val="0"/>
        <w:autoSpaceDN w:val="0"/>
        <w:adjustRightInd w:val="0"/>
        <w:spacing w:after="0" w:line="240" w:lineRule="auto"/>
        <w:rPr>
          <w:rFonts w:ascii="Times New Roman" w:hAnsi="Times New Roman"/>
          <w:color w:val="000000"/>
        </w:rPr>
      </w:pPr>
      <w:r w:rsidRPr="00534C57">
        <w:rPr>
          <w:rFonts w:ascii="Times New Roman" w:hAnsi="Times New Roman"/>
        </w:rPr>
        <w:t xml:space="preserve">kartu vartojami vaistiniai preparatai, kurie ilgina QTc intervalą. Reikia stebėti ir prireikus </w:t>
      </w:r>
      <w:r w:rsidRPr="00534C57">
        <w:rPr>
          <w:rFonts w:ascii="Times New Roman" w:hAnsi="Times New Roman"/>
          <w:color w:val="000000"/>
        </w:rPr>
        <w:t>koreguoti tokius elektrolitų sutrikimus, kaip hipokalemiją, hipomagnezemiją ir hipokalcemiją prieš pradedant gydyti ir gydymo vorikonazolu metu (žr. 4.2 skyrių). Buvo atliktas tyrimas su sveikais savanoriais, kurio metu tirtas vorikonazolo poveikis QTc intervalui geriant vienkartines ir iki 4 kartų didesnes už įprastą jo paros dozes. Nei vieno iš tirtų žmonių intervalas nepasiekė kliniškai svarbios 500</w:t>
      </w:r>
      <w:r w:rsidR="00522C1F">
        <w:rPr>
          <w:rFonts w:ascii="Times New Roman" w:hAnsi="Times New Roman"/>
          <w:color w:val="000000"/>
        </w:rPr>
        <w:t> </w:t>
      </w:r>
      <w:r w:rsidRPr="00534C57">
        <w:rPr>
          <w:rFonts w:ascii="Times New Roman" w:hAnsi="Times New Roman"/>
          <w:color w:val="000000"/>
        </w:rPr>
        <w:t>ms reikšmės (žr. 5.1 skyrių).</w:t>
      </w:r>
    </w:p>
    <w:p w14:paraId="1CA01D1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5889D26"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Toksinis poveikis kepenims</w:t>
      </w:r>
    </w:p>
    <w:p w14:paraId="2501919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Klinikinių tyrimų metu nustatyta, kad gydymo vorikonazolu metu gali pasireikšti sunkus kepenų pažeidimas (hepatitas, cholestazė ir žaibinis kepenų pažeidimas, įskaitant mirtiną).</w:t>
      </w:r>
    </w:p>
    <w:p w14:paraId="483A74E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Kepenų reakcija daugiausia pasireiškia pacientams, kurie serga sunkiomis ligomis (ypač piktybine kraujo liga). Trumpalaikis kepenų veiklos sutrikimas, įskaitant hepatitą ir geltą, gali atsirasti ir tiems ligoniams, kuriems kitų rizikos faktorių nenustatyta. Paprastai kepenų funkcijos sutrikimas praeina nutraukus preparato vartojimą (žr. 4.8 skyrių).</w:t>
      </w:r>
    </w:p>
    <w:p w14:paraId="05A41DE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41C3283"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lastRenderedPageBreak/>
        <w:t>Kepenų funkcijos stebėjimas</w:t>
      </w:r>
    </w:p>
    <w:p w14:paraId="48CA8E4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Vorikonazolu gydomus pacientus reikia atidžiai stebėti, ar nepasireiškia toksinis poveikis kepenims. Pradėjus gydyti vorikonazolu ir pirmąjį mėnesį bent kartą per savaitę reikia atlikti kepenų funkcijos (ypač AST ir ALT) laboratorinį įvertinimą. Gydymas turi būti kuo trumpesnis, bet, jei įvertinus naudą ir riziką gydymas tęsiamas (žr. 4.2 skyrių) ir jei kepenų funkcijos tyrimų rodmenys nekinta, stebėjimo dažnį galima sumažinti iki vieno karto per mėnesį.</w:t>
      </w:r>
    </w:p>
    <w:p w14:paraId="1DC1069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 kepenų funkcijos tyrimų rodmenys gerokai padidėję, gydymą vorikonazolu reikia nutraukti, nebent įvertinus gydymo riziką ir naudą nusprendžiama gydyti toliau.</w:t>
      </w:r>
    </w:p>
    <w:p w14:paraId="1126D60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stebėti tiek vaikų, tiek suaugusiųjų kepenų funkciją.</w:t>
      </w:r>
    </w:p>
    <w:p w14:paraId="19ED9819" w14:textId="77777777" w:rsidR="00FF08F7" w:rsidRDefault="00FF08F7" w:rsidP="00FF08F7">
      <w:pPr>
        <w:autoSpaceDE w:val="0"/>
        <w:autoSpaceDN w:val="0"/>
        <w:adjustRightInd w:val="0"/>
        <w:spacing w:after="0" w:line="240" w:lineRule="auto"/>
        <w:rPr>
          <w:rFonts w:ascii="Times New Roman" w:hAnsi="Times New Roman"/>
          <w:color w:val="000000"/>
        </w:rPr>
      </w:pPr>
    </w:p>
    <w:p w14:paraId="4AF0AA7C" w14:textId="77777777" w:rsidR="00FF08F7" w:rsidRPr="00611333" w:rsidRDefault="00FF08F7" w:rsidP="00FF08F7">
      <w:pPr>
        <w:autoSpaceDE w:val="0"/>
        <w:autoSpaceDN w:val="0"/>
        <w:adjustRightInd w:val="0"/>
        <w:spacing w:after="0" w:line="240" w:lineRule="auto"/>
        <w:rPr>
          <w:rFonts w:ascii="Times New Roman" w:hAnsi="Times New Roman"/>
          <w:color w:val="000000"/>
          <w:u w:val="single"/>
        </w:rPr>
      </w:pPr>
      <w:r w:rsidRPr="00611333">
        <w:rPr>
          <w:rFonts w:ascii="Times New Roman" w:hAnsi="Times New Roman"/>
          <w:color w:val="000000"/>
          <w:u w:val="single"/>
        </w:rPr>
        <w:t>Sunkios nepageidaujamos dermatologinės reakcijos</w:t>
      </w:r>
    </w:p>
    <w:p w14:paraId="0DC921C1" w14:textId="77777777" w:rsidR="00FF08F7" w:rsidRDefault="00FF08F7" w:rsidP="00FF08F7">
      <w:pPr>
        <w:autoSpaceDE w:val="0"/>
        <w:autoSpaceDN w:val="0"/>
        <w:adjustRightInd w:val="0"/>
        <w:spacing w:after="0" w:line="240" w:lineRule="auto"/>
        <w:rPr>
          <w:rFonts w:ascii="Times New Roman" w:hAnsi="Times New Roman"/>
          <w:color w:val="000000"/>
        </w:rPr>
      </w:pPr>
    </w:p>
    <w:p w14:paraId="7820A042" w14:textId="77777777" w:rsidR="00FF08F7" w:rsidRPr="00611333" w:rsidRDefault="00FF08F7" w:rsidP="00611333">
      <w:pPr>
        <w:pStyle w:val="Sraopastraipa"/>
        <w:numPr>
          <w:ilvl w:val="0"/>
          <w:numId w:val="41"/>
        </w:numPr>
        <w:autoSpaceDE w:val="0"/>
        <w:autoSpaceDN w:val="0"/>
        <w:adjustRightInd w:val="0"/>
        <w:spacing w:after="0" w:line="240" w:lineRule="auto"/>
        <w:rPr>
          <w:rFonts w:ascii="Times New Roman" w:hAnsi="Times New Roman"/>
          <w:color w:val="000000"/>
          <w:u w:val="single"/>
        </w:rPr>
      </w:pPr>
      <w:r w:rsidRPr="00611333">
        <w:rPr>
          <w:rFonts w:ascii="Times New Roman" w:hAnsi="Times New Roman"/>
          <w:color w:val="000000"/>
          <w:u w:val="single"/>
        </w:rPr>
        <w:t>Fototoksiškumas</w:t>
      </w:r>
    </w:p>
    <w:p w14:paraId="16B0F831" w14:textId="47CCD76E" w:rsidR="00FF08F7" w:rsidRPr="00FF08F7" w:rsidRDefault="00FF08F7" w:rsidP="00611333">
      <w:pPr>
        <w:autoSpaceDE w:val="0"/>
        <w:autoSpaceDN w:val="0"/>
        <w:adjustRightInd w:val="0"/>
        <w:spacing w:after="0" w:line="240" w:lineRule="auto"/>
        <w:ind w:left="709"/>
        <w:rPr>
          <w:rFonts w:ascii="Times New Roman" w:hAnsi="Times New Roman"/>
          <w:color w:val="000000"/>
        </w:rPr>
      </w:pPr>
      <w:r w:rsidRPr="00FF08F7">
        <w:rPr>
          <w:rFonts w:ascii="Times New Roman" w:hAnsi="Times New Roman"/>
          <w:color w:val="000000"/>
        </w:rPr>
        <w:t xml:space="preserve">Be to, </w:t>
      </w:r>
      <w:r>
        <w:rPr>
          <w:rFonts w:ascii="Times New Roman" w:hAnsi="Times New Roman"/>
          <w:color w:val="000000"/>
        </w:rPr>
        <w:t>vorikonazolas</w:t>
      </w:r>
      <w:r w:rsidRPr="00FF08F7">
        <w:rPr>
          <w:rFonts w:ascii="Times New Roman" w:hAnsi="Times New Roman"/>
          <w:color w:val="000000"/>
        </w:rPr>
        <w:t xml:space="preserve"> buvo susijęs su fototoksiniu poveikiu, įskaitant tokias reakcijas kaip strazdanos, šlakai</w:t>
      </w:r>
      <w:r>
        <w:rPr>
          <w:rFonts w:ascii="Times New Roman" w:hAnsi="Times New Roman"/>
          <w:color w:val="000000"/>
        </w:rPr>
        <w:t xml:space="preserve"> </w:t>
      </w:r>
      <w:r w:rsidRPr="00FF08F7">
        <w:rPr>
          <w:rFonts w:ascii="Times New Roman" w:hAnsi="Times New Roman"/>
          <w:color w:val="000000"/>
        </w:rPr>
        <w:t xml:space="preserve">(lentigo), spindulinė (aktininė) keratozė, ir pseudoporfirija. </w:t>
      </w:r>
      <w:r w:rsidR="00B92818" w:rsidRPr="00B92818">
        <w:rPr>
          <w:rFonts w:ascii="Times New Roman" w:hAnsi="Times New Roman"/>
          <w:color w:val="000000"/>
        </w:rPr>
        <w:t>Kartu vartojant fotosensibilizuojanči</w:t>
      </w:r>
      <w:r w:rsidR="00B92818">
        <w:rPr>
          <w:rFonts w:ascii="Times New Roman" w:hAnsi="Times New Roman"/>
          <w:color w:val="000000"/>
        </w:rPr>
        <w:t>us</w:t>
      </w:r>
      <w:r w:rsidR="00B92818" w:rsidRPr="00B92818">
        <w:rPr>
          <w:rFonts w:ascii="Times New Roman" w:hAnsi="Times New Roman"/>
          <w:color w:val="000000"/>
        </w:rPr>
        <w:t xml:space="preserve"> </w:t>
      </w:r>
      <w:r w:rsidR="00B92818">
        <w:rPr>
          <w:rFonts w:ascii="Times New Roman" w:hAnsi="Times New Roman"/>
          <w:color w:val="000000"/>
        </w:rPr>
        <w:t>vaistinius prepratus</w:t>
      </w:r>
      <w:r w:rsidR="00B92818" w:rsidRPr="00B92818">
        <w:rPr>
          <w:rFonts w:ascii="Times New Roman" w:hAnsi="Times New Roman"/>
          <w:color w:val="000000"/>
        </w:rPr>
        <w:t xml:space="preserve"> (pvz., metotreksatą ir kt.), gali padidėti odos reakcijų / toksiškumo rizika.</w:t>
      </w:r>
      <w:r w:rsidR="00B92818">
        <w:rPr>
          <w:rFonts w:ascii="Times New Roman" w:hAnsi="Times New Roman"/>
          <w:color w:val="000000"/>
        </w:rPr>
        <w:t xml:space="preserve"> </w:t>
      </w:r>
      <w:r w:rsidRPr="00FF08F7">
        <w:rPr>
          <w:rFonts w:ascii="Times New Roman" w:hAnsi="Times New Roman"/>
          <w:color w:val="000000"/>
        </w:rPr>
        <w:t>Rekomenduojama, kad visi pacientai,</w:t>
      </w:r>
      <w:r>
        <w:rPr>
          <w:rFonts w:ascii="Times New Roman" w:hAnsi="Times New Roman"/>
          <w:color w:val="000000"/>
        </w:rPr>
        <w:t xml:space="preserve"> </w:t>
      </w:r>
      <w:r w:rsidRPr="00FF08F7">
        <w:rPr>
          <w:rFonts w:ascii="Times New Roman" w:hAnsi="Times New Roman"/>
          <w:color w:val="000000"/>
        </w:rPr>
        <w:t xml:space="preserve">įskaitant ir vaikus, vengtų tiesioginių saulės spindulių ekspozicijos gydymo </w:t>
      </w:r>
      <w:r>
        <w:rPr>
          <w:rFonts w:ascii="Times New Roman" w:hAnsi="Times New Roman"/>
          <w:color w:val="000000"/>
        </w:rPr>
        <w:t>vorikonazolu</w:t>
      </w:r>
      <w:r w:rsidRPr="00FF08F7">
        <w:rPr>
          <w:rFonts w:ascii="Times New Roman" w:hAnsi="Times New Roman"/>
          <w:color w:val="000000"/>
        </w:rPr>
        <w:t xml:space="preserve"> metu ir naudotų</w:t>
      </w:r>
      <w:r>
        <w:rPr>
          <w:rFonts w:ascii="Times New Roman" w:hAnsi="Times New Roman"/>
          <w:color w:val="000000"/>
        </w:rPr>
        <w:t xml:space="preserve"> </w:t>
      </w:r>
      <w:r w:rsidRPr="00FF08F7">
        <w:rPr>
          <w:rFonts w:ascii="Times New Roman" w:hAnsi="Times New Roman"/>
          <w:color w:val="000000"/>
        </w:rPr>
        <w:t>apsaugos priemones, pavyzdžiui: apsauginius rūbus ir nuo saulės poveikio saugančius gaminius, kurių</w:t>
      </w:r>
      <w:r>
        <w:rPr>
          <w:rFonts w:ascii="Times New Roman" w:hAnsi="Times New Roman"/>
          <w:color w:val="000000"/>
        </w:rPr>
        <w:t xml:space="preserve"> </w:t>
      </w:r>
      <w:r w:rsidRPr="00FF08F7">
        <w:rPr>
          <w:rFonts w:ascii="Times New Roman" w:hAnsi="Times New Roman"/>
          <w:color w:val="000000"/>
        </w:rPr>
        <w:t>apsaugos nuo saulės koeficientas (SPF) didelis.</w:t>
      </w:r>
    </w:p>
    <w:p w14:paraId="1E2E3F27" w14:textId="77777777" w:rsidR="00FF08F7" w:rsidRDefault="00FF08F7" w:rsidP="00FF08F7">
      <w:pPr>
        <w:autoSpaceDE w:val="0"/>
        <w:autoSpaceDN w:val="0"/>
        <w:adjustRightInd w:val="0"/>
        <w:spacing w:after="0" w:line="240" w:lineRule="auto"/>
        <w:rPr>
          <w:rFonts w:ascii="Times New Roman" w:hAnsi="Times New Roman"/>
          <w:color w:val="000000"/>
        </w:rPr>
      </w:pPr>
    </w:p>
    <w:p w14:paraId="6F397C5A" w14:textId="77777777" w:rsidR="00FF08F7" w:rsidRPr="00611333" w:rsidRDefault="00FF08F7" w:rsidP="00611333">
      <w:pPr>
        <w:pStyle w:val="Sraopastraipa"/>
        <w:numPr>
          <w:ilvl w:val="0"/>
          <w:numId w:val="42"/>
        </w:numPr>
        <w:autoSpaceDE w:val="0"/>
        <w:autoSpaceDN w:val="0"/>
        <w:adjustRightInd w:val="0"/>
        <w:spacing w:after="0" w:line="240" w:lineRule="auto"/>
        <w:rPr>
          <w:rFonts w:ascii="Times New Roman" w:hAnsi="Times New Roman"/>
          <w:color w:val="000000"/>
          <w:u w:val="single"/>
        </w:rPr>
      </w:pPr>
      <w:r w:rsidRPr="00611333">
        <w:rPr>
          <w:rFonts w:ascii="Times New Roman" w:hAnsi="Times New Roman"/>
          <w:color w:val="000000"/>
          <w:u w:val="single"/>
        </w:rPr>
        <w:t>Odos plokščiųjų ląstelių vėžys (PLV)</w:t>
      </w:r>
    </w:p>
    <w:p w14:paraId="0B6489F3" w14:textId="77777777" w:rsidR="00FF08F7" w:rsidRPr="00FF08F7" w:rsidRDefault="00FF08F7" w:rsidP="00611333">
      <w:pPr>
        <w:autoSpaceDE w:val="0"/>
        <w:autoSpaceDN w:val="0"/>
        <w:adjustRightInd w:val="0"/>
        <w:spacing w:after="0" w:line="240" w:lineRule="auto"/>
        <w:ind w:left="709"/>
        <w:rPr>
          <w:rFonts w:ascii="Times New Roman" w:hAnsi="Times New Roman"/>
          <w:color w:val="000000"/>
        </w:rPr>
      </w:pPr>
      <w:r w:rsidRPr="00FF08F7">
        <w:rPr>
          <w:rFonts w:ascii="Times New Roman" w:hAnsi="Times New Roman"/>
          <w:color w:val="000000"/>
        </w:rPr>
        <w:t>Buvo pranešta, kad pacientams, daliai kurių anksčiau buvo pasireiškusios fototoksinės reakcijos, buvo</w:t>
      </w:r>
      <w:r>
        <w:rPr>
          <w:rFonts w:ascii="Times New Roman" w:hAnsi="Times New Roman"/>
          <w:color w:val="000000"/>
        </w:rPr>
        <w:t xml:space="preserve"> </w:t>
      </w:r>
      <w:r w:rsidRPr="00FF08F7">
        <w:rPr>
          <w:rFonts w:ascii="Times New Roman" w:hAnsi="Times New Roman"/>
          <w:color w:val="000000"/>
        </w:rPr>
        <w:t>diagnozuotas odos plokščiųjų ląstelių vėžy</w:t>
      </w:r>
      <w:r w:rsidRPr="008C1323">
        <w:rPr>
          <w:rFonts w:ascii="Times New Roman" w:hAnsi="Times New Roman"/>
          <w:color w:val="000000"/>
        </w:rPr>
        <w:t>s</w:t>
      </w:r>
      <w:r w:rsidR="009619D2" w:rsidRPr="008C1323">
        <w:rPr>
          <w:rFonts w:ascii="Times New Roman" w:hAnsi="Times New Roman"/>
          <w:color w:val="000000"/>
        </w:rPr>
        <w:t xml:space="preserve"> (įskaitant odos PLV </w:t>
      </w:r>
      <w:r w:rsidR="009619D2" w:rsidRPr="008C1323">
        <w:rPr>
          <w:rFonts w:ascii="Times New Roman" w:hAnsi="Times New Roman"/>
          <w:i/>
          <w:color w:val="000000"/>
        </w:rPr>
        <w:t>in situ</w:t>
      </w:r>
      <w:r w:rsidR="009619D2" w:rsidRPr="008C1323">
        <w:rPr>
          <w:rFonts w:ascii="Times New Roman" w:hAnsi="Times New Roman"/>
          <w:color w:val="000000"/>
        </w:rPr>
        <w:t xml:space="preserve"> arba Boweno ligą)</w:t>
      </w:r>
      <w:r w:rsidRPr="008C1323">
        <w:rPr>
          <w:rFonts w:ascii="Times New Roman" w:hAnsi="Times New Roman"/>
          <w:color w:val="000000"/>
        </w:rPr>
        <w:t>.</w:t>
      </w:r>
      <w:r w:rsidRPr="00FF08F7">
        <w:rPr>
          <w:rFonts w:ascii="Times New Roman" w:hAnsi="Times New Roman"/>
          <w:color w:val="000000"/>
        </w:rPr>
        <w:t xml:space="preserve"> Jeigu pasireiškia fototoksinės reakcijos, reikia</w:t>
      </w:r>
      <w:r>
        <w:rPr>
          <w:rFonts w:ascii="Times New Roman" w:hAnsi="Times New Roman"/>
          <w:color w:val="000000"/>
        </w:rPr>
        <w:t xml:space="preserve"> </w:t>
      </w:r>
      <w:r w:rsidRPr="00FF08F7">
        <w:rPr>
          <w:rFonts w:ascii="Times New Roman" w:hAnsi="Times New Roman"/>
          <w:color w:val="000000"/>
        </w:rPr>
        <w:t xml:space="preserve">konsultuotis su įvairių sričių specialistais ir apsvarstyti </w:t>
      </w:r>
      <w:r>
        <w:rPr>
          <w:rFonts w:ascii="Times New Roman" w:hAnsi="Times New Roman"/>
          <w:color w:val="000000"/>
        </w:rPr>
        <w:t>vorikonazolo</w:t>
      </w:r>
      <w:r w:rsidRPr="00FF08F7">
        <w:rPr>
          <w:rFonts w:ascii="Times New Roman" w:hAnsi="Times New Roman"/>
          <w:color w:val="000000"/>
        </w:rPr>
        <w:t xml:space="preserve"> vartojimo nutraukimo bei kitų</w:t>
      </w:r>
      <w:r>
        <w:rPr>
          <w:rFonts w:ascii="Times New Roman" w:hAnsi="Times New Roman"/>
          <w:color w:val="000000"/>
        </w:rPr>
        <w:t xml:space="preserve"> </w:t>
      </w:r>
      <w:r w:rsidRPr="00FF08F7">
        <w:rPr>
          <w:rFonts w:ascii="Times New Roman" w:hAnsi="Times New Roman"/>
          <w:color w:val="000000"/>
        </w:rPr>
        <w:t>priešgrybelinių vaistinių preparatų vartojimo galimybę, ir pacientą nukreipti pas dermatologą. Jeigu</w:t>
      </w:r>
      <w:r>
        <w:rPr>
          <w:rFonts w:ascii="Times New Roman" w:hAnsi="Times New Roman"/>
          <w:color w:val="000000"/>
        </w:rPr>
        <w:t xml:space="preserve"> vorikonazolas</w:t>
      </w:r>
      <w:r w:rsidRPr="00FF08F7">
        <w:rPr>
          <w:rFonts w:ascii="Times New Roman" w:hAnsi="Times New Roman"/>
          <w:color w:val="000000"/>
        </w:rPr>
        <w:t xml:space="preserve"> vartojamas toliau, sisteminis ir reguliarus dermatologinis įvertinimas būtinas, nes tik taip</w:t>
      </w:r>
      <w:r>
        <w:rPr>
          <w:rFonts w:ascii="Times New Roman" w:hAnsi="Times New Roman"/>
          <w:color w:val="000000"/>
        </w:rPr>
        <w:t xml:space="preserve"> </w:t>
      </w:r>
      <w:r w:rsidRPr="00FF08F7">
        <w:rPr>
          <w:rFonts w:ascii="Times New Roman" w:hAnsi="Times New Roman"/>
          <w:color w:val="000000"/>
        </w:rPr>
        <w:t>galima anksti nustatyti ir gydyti ikivėžinius pažeidimus. Jei nustatomi ikivėžiniai odos pažeidimai arba</w:t>
      </w:r>
      <w:r>
        <w:rPr>
          <w:rFonts w:ascii="Times New Roman" w:hAnsi="Times New Roman"/>
          <w:color w:val="000000"/>
        </w:rPr>
        <w:t xml:space="preserve"> </w:t>
      </w:r>
      <w:r w:rsidRPr="00FF08F7">
        <w:rPr>
          <w:rFonts w:ascii="Times New Roman" w:hAnsi="Times New Roman"/>
          <w:color w:val="000000"/>
        </w:rPr>
        <w:t xml:space="preserve">odos plokščiųjų ląstelių vėžys, </w:t>
      </w:r>
      <w:r>
        <w:rPr>
          <w:rFonts w:ascii="Times New Roman" w:hAnsi="Times New Roman"/>
          <w:color w:val="000000"/>
        </w:rPr>
        <w:t>vorikonazolo</w:t>
      </w:r>
      <w:r w:rsidRPr="00FF08F7">
        <w:rPr>
          <w:rFonts w:ascii="Times New Roman" w:hAnsi="Times New Roman"/>
          <w:color w:val="000000"/>
        </w:rPr>
        <w:t xml:space="preserve"> vartoti nebegalima (žr. žemiau „Ilgalaikis gydymas“).</w:t>
      </w:r>
    </w:p>
    <w:p w14:paraId="2B0CEF7E" w14:textId="77777777" w:rsidR="00FF08F7" w:rsidRDefault="00FF08F7" w:rsidP="00FF08F7">
      <w:pPr>
        <w:autoSpaceDE w:val="0"/>
        <w:autoSpaceDN w:val="0"/>
        <w:adjustRightInd w:val="0"/>
        <w:spacing w:after="0" w:line="240" w:lineRule="auto"/>
        <w:rPr>
          <w:rFonts w:ascii="Times New Roman" w:hAnsi="Times New Roman"/>
          <w:color w:val="000000"/>
        </w:rPr>
      </w:pPr>
    </w:p>
    <w:p w14:paraId="2A4C81CD" w14:textId="77777777" w:rsidR="00FF08F7" w:rsidRPr="00611333" w:rsidRDefault="005010DD" w:rsidP="00611333">
      <w:pPr>
        <w:pStyle w:val="Sraopastraipa"/>
        <w:numPr>
          <w:ilvl w:val="0"/>
          <w:numId w:val="43"/>
        </w:numPr>
        <w:autoSpaceDE w:val="0"/>
        <w:autoSpaceDN w:val="0"/>
        <w:adjustRightInd w:val="0"/>
        <w:spacing w:after="0" w:line="240" w:lineRule="auto"/>
        <w:rPr>
          <w:rFonts w:ascii="Times New Roman" w:hAnsi="Times New Roman"/>
          <w:color w:val="000000"/>
          <w:u w:val="single"/>
        </w:rPr>
      </w:pPr>
      <w:r>
        <w:rPr>
          <w:rFonts w:ascii="Times New Roman" w:hAnsi="Times New Roman"/>
          <w:color w:val="000000"/>
          <w:u w:val="single"/>
        </w:rPr>
        <w:t>Sunkios nepageidaujamos</w:t>
      </w:r>
      <w:r w:rsidRPr="00611333">
        <w:rPr>
          <w:rFonts w:ascii="Times New Roman" w:hAnsi="Times New Roman"/>
          <w:color w:val="000000"/>
          <w:u w:val="single"/>
        </w:rPr>
        <w:t xml:space="preserve"> </w:t>
      </w:r>
      <w:r w:rsidR="00FF08F7" w:rsidRPr="00611333">
        <w:rPr>
          <w:rFonts w:ascii="Times New Roman" w:hAnsi="Times New Roman"/>
          <w:color w:val="000000"/>
          <w:u w:val="single"/>
        </w:rPr>
        <w:t>odos reakcijos</w:t>
      </w:r>
    </w:p>
    <w:p w14:paraId="541C64D2" w14:textId="77777777" w:rsidR="00FF08F7" w:rsidRDefault="00FF08F7" w:rsidP="00FF08F7">
      <w:pPr>
        <w:autoSpaceDE w:val="0"/>
        <w:autoSpaceDN w:val="0"/>
        <w:adjustRightInd w:val="0"/>
        <w:spacing w:after="0" w:line="240" w:lineRule="auto"/>
        <w:ind w:left="709"/>
        <w:rPr>
          <w:rFonts w:ascii="Times New Roman" w:hAnsi="Times New Roman"/>
          <w:color w:val="000000"/>
        </w:rPr>
      </w:pPr>
      <w:r w:rsidRPr="00FF08F7">
        <w:rPr>
          <w:rFonts w:ascii="Times New Roman" w:hAnsi="Times New Roman"/>
          <w:color w:val="000000"/>
        </w:rPr>
        <w:t>Gauta pranešimų apie vartojant vorikonazolą pasireiškusias sunkias nepageidaujamas odos reakcijas</w:t>
      </w:r>
      <w:r>
        <w:rPr>
          <w:rFonts w:ascii="Times New Roman" w:hAnsi="Times New Roman"/>
          <w:color w:val="000000"/>
        </w:rPr>
        <w:t xml:space="preserve"> </w:t>
      </w:r>
      <w:r w:rsidRPr="00FF08F7">
        <w:rPr>
          <w:rFonts w:ascii="Times New Roman" w:hAnsi="Times New Roman"/>
          <w:color w:val="000000"/>
        </w:rPr>
        <w:t xml:space="preserve">(SNOR), tokias kaip </w:t>
      </w:r>
      <w:r w:rsidR="00E231ED">
        <w:rPr>
          <w:rFonts w:ascii="Times New Roman" w:hAnsi="Times New Roman"/>
          <w:color w:val="000000"/>
        </w:rPr>
        <w:t>Stivenso-Džonsono (</w:t>
      </w:r>
      <w:r w:rsidRPr="00FF08F7">
        <w:rPr>
          <w:rFonts w:ascii="Times New Roman" w:hAnsi="Times New Roman"/>
          <w:color w:val="000000"/>
        </w:rPr>
        <w:t>Stevens-Johnson</w:t>
      </w:r>
      <w:r w:rsidR="00E231ED">
        <w:rPr>
          <w:rFonts w:ascii="Times New Roman" w:hAnsi="Times New Roman"/>
          <w:color w:val="000000"/>
        </w:rPr>
        <w:t>)</w:t>
      </w:r>
      <w:r w:rsidRPr="00FF08F7">
        <w:rPr>
          <w:rFonts w:ascii="Times New Roman" w:hAnsi="Times New Roman"/>
          <w:color w:val="000000"/>
        </w:rPr>
        <w:t xml:space="preserve"> sindromas (SJS), toksinė epidermio nekrolizė (TEN) ir vaisto</w:t>
      </w:r>
      <w:r>
        <w:rPr>
          <w:rFonts w:ascii="Times New Roman" w:hAnsi="Times New Roman"/>
          <w:color w:val="000000"/>
        </w:rPr>
        <w:t xml:space="preserve"> </w:t>
      </w:r>
      <w:r w:rsidRPr="00FF08F7">
        <w:rPr>
          <w:rFonts w:ascii="Times New Roman" w:hAnsi="Times New Roman"/>
          <w:color w:val="000000"/>
        </w:rPr>
        <w:t>reakcija su eozinofilija ir sisteminiais simptomais (VRESS), kurios gali būti pavojingos gyvybei arba</w:t>
      </w:r>
      <w:r>
        <w:rPr>
          <w:rFonts w:ascii="Times New Roman" w:hAnsi="Times New Roman"/>
          <w:color w:val="000000"/>
        </w:rPr>
        <w:t xml:space="preserve"> </w:t>
      </w:r>
      <w:r w:rsidRPr="00FF08F7">
        <w:rPr>
          <w:rFonts w:ascii="Times New Roman" w:hAnsi="Times New Roman"/>
          <w:color w:val="000000"/>
        </w:rPr>
        <w:t>mirtinos. Jeigu pacientui pasireiškia išbėrimas, jį reikia atidžiai stebėti ir nutraukti gydymą</w:t>
      </w:r>
      <w:r>
        <w:rPr>
          <w:rFonts w:ascii="Times New Roman" w:hAnsi="Times New Roman"/>
          <w:color w:val="000000"/>
        </w:rPr>
        <w:t xml:space="preserve"> </w:t>
      </w:r>
      <w:r w:rsidRPr="00FF08F7">
        <w:rPr>
          <w:rFonts w:ascii="Times New Roman" w:hAnsi="Times New Roman"/>
          <w:color w:val="000000"/>
        </w:rPr>
        <w:t>vorikonazolu, jeigu pažeidimas progresuoja.</w:t>
      </w:r>
    </w:p>
    <w:p w14:paraId="6054B3D7" w14:textId="77777777" w:rsidR="005010DD" w:rsidRDefault="005010DD" w:rsidP="00FF08F7">
      <w:pPr>
        <w:autoSpaceDE w:val="0"/>
        <w:autoSpaceDN w:val="0"/>
        <w:adjustRightInd w:val="0"/>
        <w:spacing w:after="0" w:line="240" w:lineRule="auto"/>
        <w:ind w:left="709"/>
        <w:rPr>
          <w:rFonts w:ascii="Times New Roman" w:hAnsi="Times New Roman"/>
          <w:color w:val="000000"/>
        </w:rPr>
      </w:pPr>
    </w:p>
    <w:p w14:paraId="2C8419FF" w14:textId="77777777" w:rsidR="005010DD" w:rsidRPr="00DC01BC" w:rsidRDefault="00597C62" w:rsidP="00DC01BC">
      <w:pPr>
        <w:pStyle w:val="Sraopastraipa"/>
        <w:numPr>
          <w:ilvl w:val="0"/>
          <w:numId w:val="43"/>
        </w:numPr>
        <w:autoSpaceDE w:val="0"/>
        <w:autoSpaceDN w:val="0"/>
        <w:adjustRightInd w:val="0"/>
        <w:spacing w:after="0" w:line="240" w:lineRule="auto"/>
        <w:rPr>
          <w:rFonts w:ascii="Times New Roman" w:hAnsi="Times New Roman"/>
          <w:color w:val="000000"/>
          <w:u w:val="single"/>
        </w:rPr>
      </w:pPr>
      <w:r w:rsidRPr="00597C62">
        <w:rPr>
          <w:rFonts w:ascii="Times New Roman" w:hAnsi="Times New Roman"/>
          <w:color w:val="000000"/>
          <w:u w:val="single"/>
        </w:rPr>
        <w:t>Su antinksčiais susiję reiškiniai</w:t>
      </w:r>
    </w:p>
    <w:p w14:paraId="62E60BC6" w14:textId="77777777" w:rsidR="005010DD" w:rsidRPr="005010DD" w:rsidRDefault="005010DD" w:rsidP="005010DD">
      <w:pPr>
        <w:autoSpaceDE w:val="0"/>
        <w:autoSpaceDN w:val="0"/>
        <w:adjustRightInd w:val="0"/>
        <w:spacing w:after="0" w:line="240" w:lineRule="auto"/>
        <w:ind w:left="709"/>
        <w:rPr>
          <w:rFonts w:ascii="Times New Roman" w:hAnsi="Times New Roman"/>
          <w:color w:val="000000"/>
        </w:rPr>
      </w:pPr>
    </w:p>
    <w:p w14:paraId="2E5E975A" w14:textId="77777777" w:rsidR="005010DD" w:rsidRPr="005010DD" w:rsidRDefault="005010DD" w:rsidP="00726939">
      <w:pPr>
        <w:autoSpaceDE w:val="0"/>
        <w:autoSpaceDN w:val="0"/>
        <w:adjustRightInd w:val="0"/>
        <w:spacing w:after="0" w:line="240" w:lineRule="auto"/>
        <w:ind w:left="709"/>
        <w:rPr>
          <w:rFonts w:ascii="Times New Roman" w:hAnsi="Times New Roman"/>
          <w:color w:val="000000"/>
        </w:rPr>
      </w:pPr>
      <w:r w:rsidRPr="005010DD">
        <w:rPr>
          <w:rFonts w:ascii="Times New Roman" w:hAnsi="Times New Roman"/>
          <w:color w:val="000000"/>
        </w:rPr>
        <w:t>Buvo pranešta apie grįžta</w:t>
      </w:r>
      <w:r w:rsidR="00A02C41">
        <w:rPr>
          <w:rFonts w:ascii="Times New Roman" w:hAnsi="Times New Roman"/>
          <w:color w:val="000000"/>
        </w:rPr>
        <w:t>mojo</w:t>
      </w:r>
      <w:r w:rsidRPr="005010DD">
        <w:rPr>
          <w:rFonts w:ascii="Times New Roman" w:hAnsi="Times New Roman"/>
          <w:color w:val="000000"/>
        </w:rPr>
        <w:t xml:space="preserve"> antinksčių nepakankamumo atvejus</w:t>
      </w:r>
      <w:r w:rsidR="00597C62">
        <w:rPr>
          <w:rFonts w:ascii="Times New Roman" w:hAnsi="Times New Roman"/>
          <w:color w:val="000000"/>
        </w:rPr>
        <w:t xml:space="preserve"> </w:t>
      </w:r>
      <w:r w:rsidR="00726939">
        <w:rPr>
          <w:rFonts w:ascii="Times New Roman" w:hAnsi="Times New Roman"/>
          <w:color w:val="000000"/>
        </w:rPr>
        <w:t xml:space="preserve">pacientams, kurie </w:t>
      </w:r>
      <w:r w:rsidR="00597C62">
        <w:rPr>
          <w:rFonts w:ascii="Times New Roman" w:hAnsi="Times New Roman"/>
          <w:color w:val="000000"/>
        </w:rPr>
        <w:t>vartoj</w:t>
      </w:r>
      <w:r w:rsidR="00726939">
        <w:rPr>
          <w:rFonts w:ascii="Times New Roman" w:hAnsi="Times New Roman"/>
          <w:color w:val="000000"/>
        </w:rPr>
        <w:t xml:space="preserve">o azolų </w:t>
      </w:r>
      <w:r w:rsidR="002A06EC">
        <w:rPr>
          <w:rFonts w:ascii="Times New Roman" w:hAnsi="Times New Roman"/>
          <w:color w:val="000000"/>
        </w:rPr>
        <w:t xml:space="preserve">grpės vaistinių </w:t>
      </w:r>
      <w:r w:rsidR="00726939">
        <w:rPr>
          <w:rFonts w:ascii="Times New Roman" w:hAnsi="Times New Roman"/>
          <w:color w:val="000000"/>
        </w:rPr>
        <w:t xml:space="preserve">preparatų, įskaitant vorikonazolą. Pranešama apie antinksčių nepakankamumą pacientams, kurie vartojo azolų kartu su kortikosteroidais arba be jų. Pacientams, vartojusiems azolo </w:t>
      </w:r>
      <w:r w:rsidR="00D7511B">
        <w:rPr>
          <w:rFonts w:ascii="Times New Roman" w:hAnsi="Times New Roman"/>
          <w:color w:val="000000"/>
        </w:rPr>
        <w:t xml:space="preserve">grupės vaistinių </w:t>
      </w:r>
      <w:r w:rsidR="00726939">
        <w:rPr>
          <w:rFonts w:ascii="Times New Roman" w:hAnsi="Times New Roman"/>
          <w:color w:val="000000"/>
        </w:rPr>
        <w:t xml:space="preserve">preparatų be kortikosteroidų, antinksčių nepakankamumas susijęs su </w:t>
      </w:r>
      <w:r w:rsidR="00832C8D">
        <w:rPr>
          <w:rFonts w:ascii="Times New Roman" w:hAnsi="Times New Roman"/>
          <w:color w:val="000000"/>
        </w:rPr>
        <w:t>tiesioginiu azolų sukeltu ste</w:t>
      </w:r>
      <w:r w:rsidR="00BA090F">
        <w:rPr>
          <w:rFonts w:ascii="Times New Roman" w:hAnsi="Times New Roman"/>
          <w:color w:val="000000"/>
        </w:rPr>
        <w:t>r</w:t>
      </w:r>
      <w:r w:rsidR="00832C8D">
        <w:rPr>
          <w:rFonts w:ascii="Times New Roman" w:hAnsi="Times New Roman"/>
          <w:color w:val="000000"/>
        </w:rPr>
        <w:t xml:space="preserve">oidogenezės slopinimu. Pacientams, kurie vartoja kortikosteroidus, su vorikonazolu susijęs CYP3A4 slopinantis poveikis jų metabolizmui gali sukelti kortikosteroidų perteklių ir antinksčių slopinimą (žr. 4.5 skyrių). </w:t>
      </w:r>
      <w:r w:rsidR="001F31AA">
        <w:rPr>
          <w:rFonts w:ascii="Times New Roman" w:hAnsi="Times New Roman"/>
          <w:color w:val="000000"/>
        </w:rPr>
        <w:t xml:space="preserve">Taip pat pranešama, kad vorikonazolą ir kortikosteroidus kartu vartojantiems pacientams, pasireiškė Kušingo sindromas su antinksčių nepakankamumu arba be jo. </w:t>
      </w:r>
    </w:p>
    <w:p w14:paraId="7DE12B29" w14:textId="77777777" w:rsidR="005010DD" w:rsidRPr="005010DD" w:rsidRDefault="005010DD" w:rsidP="005010DD">
      <w:pPr>
        <w:autoSpaceDE w:val="0"/>
        <w:autoSpaceDN w:val="0"/>
        <w:adjustRightInd w:val="0"/>
        <w:spacing w:after="0" w:line="240" w:lineRule="auto"/>
        <w:ind w:left="709"/>
        <w:rPr>
          <w:rFonts w:ascii="Times New Roman" w:hAnsi="Times New Roman"/>
          <w:color w:val="000000"/>
        </w:rPr>
      </w:pPr>
    </w:p>
    <w:p w14:paraId="4241D16F" w14:textId="77777777" w:rsidR="005010DD" w:rsidRPr="005010DD" w:rsidRDefault="005010DD" w:rsidP="005010DD">
      <w:pPr>
        <w:autoSpaceDE w:val="0"/>
        <w:autoSpaceDN w:val="0"/>
        <w:adjustRightInd w:val="0"/>
        <w:spacing w:after="0" w:line="240" w:lineRule="auto"/>
        <w:ind w:left="709"/>
        <w:rPr>
          <w:rFonts w:ascii="Times New Roman" w:hAnsi="Times New Roman"/>
          <w:color w:val="000000"/>
        </w:rPr>
      </w:pPr>
      <w:r w:rsidRPr="005010DD">
        <w:rPr>
          <w:rFonts w:ascii="Times New Roman" w:hAnsi="Times New Roman"/>
          <w:color w:val="000000"/>
        </w:rPr>
        <w:t xml:space="preserve">Pacientus, ilgai gydomus vorikonazolu ir kortikosteroidais (įskaitant </w:t>
      </w:r>
      <w:r w:rsidR="00A02C41">
        <w:rPr>
          <w:rFonts w:ascii="Times New Roman" w:hAnsi="Times New Roman"/>
          <w:color w:val="000000"/>
        </w:rPr>
        <w:t>įkvepamuosius</w:t>
      </w:r>
      <w:r w:rsidR="004823F0">
        <w:rPr>
          <w:rFonts w:ascii="Times New Roman" w:hAnsi="Times New Roman"/>
          <w:color w:val="000000"/>
        </w:rPr>
        <w:t xml:space="preserve"> kortikosteroidus, pvz., b</w:t>
      </w:r>
      <w:r w:rsidRPr="005010DD">
        <w:rPr>
          <w:rFonts w:ascii="Times New Roman" w:hAnsi="Times New Roman"/>
          <w:color w:val="000000"/>
        </w:rPr>
        <w:t xml:space="preserve">udezonidą ir </w:t>
      </w:r>
      <w:r w:rsidR="00AA5203">
        <w:rPr>
          <w:rFonts w:ascii="Times New Roman" w:hAnsi="Times New Roman"/>
          <w:color w:val="000000"/>
        </w:rPr>
        <w:t>į nosį vartojamus</w:t>
      </w:r>
      <w:r w:rsidRPr="005010DD">
        <w:rPr>
          <w:rFonts w:ascii="Times New Roman" w:hAnsi="Times New Roman"/>
          <w:color w:val="000000"/>
        </w:rPr>
        <w:t xml:space="preserve"> kortikosteroidus), reikia atidžiai stebėti dėl antinksčių žievės disfunkcijos gydymo metu</w:t>
      </w:r>
      <w:r w:rsidR="003860FB">
        <w:rPr>
          <w:rFonts w:ascii="Times New Roman" w:hAnsi="Times New Roman"/>
          <w:color w:val="000000"/>
        </w:rPr>
        <w:t xml:space="preserve"> ir</w:t>
      </w:r>
      <w:r w:rsidRPr="005010DD">
        <w:rPr>
          <w:rFonts w:ascii="Times New Roman" w:hAnsi="Times New Roman"/>
          <w:color w:val="000000"/>
        </w:rPr>
        <w:t xml:space="preserve"> nutraukus vorikonazolo vartojimą (žr. 4.5 </w:t>
      </w:r>
      <w:r w:rsidRPr="005010DD">
        <w:rPr>
          <w:rFonts w:ascii="Times New Roman" w:hAnsi="Times New Roman"/>
          <w:color w:val="000000"/>
        </w:rPr>
        <w:lastRenderedPageBreak/>
        <w:t>skyrių).</w:t>
      </w:r>
      <w:r w:rsidR="001F31AA">
        <w:rPr>
          <w:rFonts w:ascii="Times New Roman" w:hAnsi="Times New Roman"/>
          <w:color w:val="000000"/>
        </w:rPr>
        <w:t xml:space="preserve"> Pacientus reikia įspėti, kad atsiradus Kušingo sindromo arba antinksčių nepakankamumo požymiams ir simptomams, reikia nedelsiant kreiptis į gydytoją.</w:t>
      </w:r>
    </w:p>
    <w:p w14:paraId="720C6DCE" w14:textId="77777777" w:rsidR="005010DD" w:rsidRPr="00FF08F7" w:rsidRDefault="005010DD" w:rsidP="00FF08F7">
      <w:pPr>
        <w:autoSpaceDE w:val="0"/>
        <w:autoSpaceDN w:val="0"/>
        <w:adjustRightInd w:val="0"/>
        <w:spacing w:after="0" w:line="240" w:lineRule="auto"/>
        <w:ind w:left="709"/>
        <w:rPr>
          <w:rFonts w:ascii="Times New Roman" w:hAnsi="Times New Roman"/>
          <w:color w:val="000000"/>
        </w:rPr>
      </w:pPr>
    </w:p>
    <w:p w14:paraId="61DD79E9" w14:textId="77777777" w:rsidR="00FF08F7" w:rsidRPr="00611333" w:rsidRDefault="00FF08F7" w:rsidP="00611333">
      <w:pPr>
        <w:pStyle w:val="Sraopastraipa"/>
        <w:numPr>
          <w:ilvl w:val="0"/>
          <w:numId w:val="44"/>
        </w:numPr>
        <w:autoSpaceDE w:val="0"/>
        <w:autoSpaceDN w:val="0"/>
        <w:adjustRightInd w:val="0"/>
        <w:spacing w:after="0" w:line="240" w:lineRule="auto"/>
        <w:rPr>
          <w:rFonts w:ascii="Times New Roman" w:hAnsi="Times New Roman"/>
          <w:color w:val="000000"/>
          <w:u w:val="single"/>
        </w:rPr>
      </w:pPr>
      <w:r w:rsidRPr="00611333">
        <w:rPr>
          <w:rFonts w:ascii="Times New Roman" w:hAnsi="Times New Roman"/>
          <w:color w:val="000000"/>
          <w:u w:val="single"/>
        </w:rPr>
        <w:t>Ilgalaikis gydymas</w:t>
      </w:r>
    </w:p>
    <w:p w14:paraId="089AC613" w14:textId="77777777" w:rsidR="002F3324" w:rsidRDefault="00FF08F7" w:rsidP="00FF08F7">
      <w:pPr>
        <w:autoSpaceDE w:val="0"/>
        <w:autoSpaceDN w:val="0"/>
        <w:adjustRightInd w:val="0"/>
        <w:spacing w:after="0" w:line="240" w:lineRule="auto"/>
        <w:ind w:left="709"/>
        <w:rPr>
          <w:rFonts w:ascii="Times New Roman" w:hAnsi="Times New Roman"/>
          <w:color w:val="000000"/>
        </w:rPr>
      </w:pPr>
      <w:r w:rsidRPr="00FF08F7">
        <w:rPr>
          <w:rFonts w:ascii="Times New Roman" w:hAnsi="Times New Roman"/>
          <w:color w:val="000000"/>
        </w:rPr>
        <w:t>Ilgalaikės ekspozicijos (vartojant gydymui ar profilaktikai), trunkančios ilgiau kaip 180 parų</w:t>
      </w:r>
      <w:r>
        <w:rPr>
          <w:rFonts w:ascii="Times New Roman" w:hAnsi="Times New Roman"/>
          <w:color w:val="000000"/>
        </w:rPr>
        <w:t xml:space="preserve"> </w:t>
      </w:r>
      <w:r w:rsidRPr="00FF08F7">
        <w:rPr>
          <w:rFonts w:ascii="Times New Roman" w:hAnsi="Times New Roman"/>
          <w:color w:val="000000"/>
        </w:rPr>
        <w:t>(6 mėnesius) atveju, reikia atidžiai įvertinti naudos ir rizikos santykį, todėl gydytojai turi nuspręsti, ar</w:t>
      </w:r>
      <w:r>
        <w:rPr>
          <w:rFonts w:ascii="Times New Roman" w:hAnsi="Times New Roman"/>
          <w:color w:val="000000"/>
        </w:rPr>
        <w:t xml:space="preserve"> </w:t>
      </w:r>
      <w:r w:rsidRPr="00FF08F7">
        <w:rPr>
          <w:rFonts w:ascii="Times New Roman" w:hAnsi="Times New Roman"/>
          <w:color w:val="000000"/>
        </w:rPr>
        <w:t xml:space="preserve">būtina riboti </w:t>
      </w:r>
      <w:r>
        <w:rPr>
          <w:rFonts w:ascii="Times New Roman" w:hAnsi="Times New Roman"/>
          <w:color w:val="000000"/>
        </w:rPr>
        <w:t>vorikonazolo</w:t>
      </w:r>
      <w:r w:rsidRPr="00FF08F7">
        <w:rPr>
          <w:rFonts w:ascii="Times New Roman" w:hAnsi="Times New Roman"/>
          <w:color w:val="000000"/>
        </w:rPr>
        <w:t xml:space="preserve"> ekspoziciją (žr. 4.2 ir 5.1 skyrius).</w:t>
      </w:r>
    </w:p>
    <w:p w14:paraId="34AD85FE" w14:textId="77777777" w:rsidR="00FF08F7" w:rsidRDefault="00FF08F7" w:rsidP="00FF08F7">
      <w:pPr>
        <w:autoSpaceDE w:val="0"/>
        <w:autoSpaceDN w:val="0"/>
        <w:adjustRightInd w:val="0"/>
        <w:spacing w:after="0" w:line="240" w:lineRule="auto"/>
        <w:ind w:left="709"/>
        <w:rPr>
          <w:rFonts w:ascii="Times New Roman" w:hAnsi="Times New Roman"/>
          <w:color w:val="000000"/>
        </w:rPr>
      </w:pPr>
    </w:p>
    <w:p w14:paraId="7FFA38DC" w14:textId="375A920E" w:rsidR="00FF08F7" w:rsidRDefault="00FF08F7" w:rsidP="00FF08F7">
      <w:pPr>
        <w:autoSpaceDE w:val="0"/>
        <w:autoSpaceDN w:val="0"/>
        <w:adjustRightInd w:val="0"/>
        <w:spacing w:after="0" w:line="240" w:lineRule="auto"/>
        <w:ind w:left="709"/>
        <w:rPr>
          <w:rFonts w:ascii="Times New Roman" w:hAnsi="Times New Roman"/>
          <w:color w:val="000000"/>
        </w:rPr>
      </w:pPr>
      <w:r w:rsidRPr="00611333">
        <w:rPr>
          <w:rFonts w:ascii="Times New Roman" w:hAnsi="Times New Roman"/>
          <w:color w:val="000000"/>
        </w:rPr>
        <w:t>Buvo pranešta apie odos plokščiųjų ląstelių vėžį (PLV)</w:t>
      </w:r>
      <w:r w:rsidR="009619D2" w:rsidRPr="009619D2">
        <w:t xml:space="preserve"> </w:t>
      </w:r>
      <w:r w:rsidR="009619D2" w:rsidRPr="008C1323">
        <w:rPr>
          <w:rFonts w:ascii="Times New Roman" w:hAnsi="Times New Roman"/>
          <w:color w:val="000000"/>
        </w:rPr>
        <w:t xml:space="preserve">(įskaitant odos PLV </w:t>
      </w:r>
      <w:r w:rsidR="009619D2" w:rsidRPr="008C1323">
        <w:rPr>
          <w:rFonts w:ascii="Times New Roman" w:hAnsi="Times New Roman"/>
          <w:i/>
          <w:color w:val="000000"/>
        </w:rPr>
        <w:t>in situ</w:t>
      </w:r>
      <w:r w:rsidR="009619D2" w:rsidRPr="008C1323">
        <w:rPr>
          <w:rFonts w:ascii="Times New Roman" w:hAnsi="Times New Roman"/>
          <w:color w:val="000000"/>
        </w:rPr>
        <w:t xml:space="preserve"> arba Boweno ligą)</w:t>
      </w:r>
      <w:r w:rsidRPr="008C1323">
        <w:rPr>
          <w:rFonts w:ascii="Times New Roman" w:hAnsi="Times New Roman"/>
          <w:color w:val="000000"/>
        </w:rPr>
        <w:t>, susijusį</w:t>
      </w:r>
      <w:r w:rsidRPr="00611333">
        <w:rPr>
          <w:rFonts w:ascii="Times New Roman" w:hAnsi="Times New Roman"/>
          <w:color w:val="000000"/>
        </w:rPr>
        <w:t xml:space="preserve"> su ilgalaikiu gydymu </w:t>
      </w:r>
      <w:r>
        <w:rPr>
          <w:rFonts w:ascii="Times New Roman" w:hAnsi="Times New Roman"/>
          <w:color w:val="000000"/>
        </w:rPr>
        <w:t>vorikonazolu</w:t>
      </w:r>
      <w:r w:rsidR="00B92818">
        <w:rPr>
          <w:rFonts w:ascii="Times New Roman" w:hAnsi="Times New Roman"/>
          <w:color w:val="000000"/>
        </w:rPr>
        <w:t xml:space="preserve"> (žr. 4.8 skyrių)</w:t>
      </w:r>
      <w:r w:rsidRPr="00611333">
        <w:rPr>
          <w:rFonts w:ascii="Times New Roman" w:hAnsi="Times New Roman"/>
          <w:color w:val="000000"/>
        </w:rPr>
        <w:t>.</w:t>
      </w:r>
    </w:p>
    <w:p w14:paraId="3D645D16" w14:textId="77777777" w:rsidR="00FF08F7" w:rsidRDefault="00FF08F7" w:rsidP="00FF08F7">
      <w:pPr>
        <w:autoSpaceDE w:val="0"/>
        <w:autoSpaceDN w:val="0"/>
        <w:adjustRightInd w:val="0"/>
        <w:spacing w:after="0" w:line="240" w:lineRule="auto"/>
        <w:ind w:left="709"/>
        <w:rPr>
          <w:rFonts w:ascii="Times New Roman" w:hAnsi="Times New Roman"/>
          <w:color w:val="000000"/>
        </w:rPr>
      </w:pPr>
    </w:p>
    <w:p w14:paraId="4E53F6EC" w14:textId="11A3AE44" w:rsidR="00FF08F7" w:rsidRPr="00534C57" w:rsidRDefault="00FF08F7" w:rsidP="00FF08F7">
      <w:pPr>
        <w:autoSpaceDE w:val="0"/>
        <w:autoSpaceDN w:val="0"/>
        <w:adjustRightInd w:val="0"/>
        <w:spacing w:after="0" w:line="240" w:lineRule="auto"/>
        <w:ind w:left="709"/>
        <w:rPr>
          <w:rFonts w:ascii="Times New Roman" w:hAnsi="Times New Roman"/>
          <w:color w:val="000000"/>
        </w:rPr>
      </w:pPr>
      <w:r w:rsidRPr="00FF08F7">
        <w:rPr>
          <w:rFonts w:ascii="Times New Roman" w:hAnsi="Times New Roman"/>
          <w:color w:val="000000"/>
        </w:rPr>
        <w:t>Buvo pranešta, kad pacientams, kuriems buvo persodintas organas, pasireiškė neinfekcinis periostitas,</w:t>
      </w:r>
      <w:r>
        <w:rPr>
          <w:rFonts w:ascii="Times New Roman" w:hAnsi="Times New Roman"/>
          <w:color w:val="000000"/>
        </w:rPr>
        <w:t xml:space="preserve"> </w:t>
      </w:r>
      <w:r w:rsidRPr="00FF08F7">
        <w:rPr>
          <w:rFonts w:ascii="Times New Roman" w:hAnsi="Times New Roman"/>
          <w:color w:val="000000"/>
        </w:rPr>
        <w:t>kuriam esant, padidėja fluoridų ir šarminės fosfatazės koncentracijos. Jeigu pacientui pasireiškia kaulų</w:t>
      </w:r>
      <w:r>
        <w:rPr>
          <w:rFonts w:ascii="Times New Roman" w:hAnsi="Times New Roman"/>
          <w:color w:val="000000"/>
        </w:rPr>
        <w:t xml:space="preserve"> </w:t>
      </w:r>
      <w:r w:rsidRPr="00FF08F7">
        <w:rPr>
          <w:rFonts w:ascii="Times New Roman" w:hAnsi="Times New Roman"/>
          <w:color w:val="000000"/>
        </w:rPr>
        <w:t>skausmas ir radiologinio tyrimo duomenys rodo periostitą, po konsultacijų su įvairių sričių</w:t>
      </w:r>
      <w:r>
        <w:rPr>
          <w:rFonts w:ascii="Times New Roman" w:hAnsi="Times New Roman"/>
          <w:color w:val="000000"/>
        </w:rPr>
        <w:t xml:space="preserve"> </w:t>
      </w:r>
      <w:r w:rsidRPr="00FF08F7">
        <w:rPr>
          <w:rFonts w:ascii="Times New Roman" w:hAnsi="Times New Roman"/>
          <w:color w:val="000000"/>
        </w:rPr>
        <w:t xml:space="preserve">specialistais, reikia apsvarstyti </w:t>
      </w:r>
      <w:r>
        <w:rPr>
          <w:rFonts w:ascii="Times New Roman" w:hAnsi="Times New Roman"/>
          <w:color w:val="000000"/>
        </w:rPr>
        <w:t>vorikonazolo</w:t>
      </w:r>
      <w:r w:rsidRPr="00FF08F7">
        <w:rPr>
          <w:rFonts w:ascii="Times New Roman" w:hAnsi="Times New Roman"/>
          <w:color w:val="000000"/>
        </w:rPr>
        <w:t xml:space="preserve"> vartojimo nutraukimo galimybę</w:t>
      </w:r>
      <w:r w:rsidR="00B92818">
        <w:rPr>
          <w:rFonts w:ascii="Times New Roman" w:hAnsi="Times New Roman"/>
          <w:color w:val="000000"/>
        </w:rPr>
        <w:t xml:space="preserve"> (žr. 4.8 skyrių)</w:t>
      </w:r>
      <w:r w:rsidRPr="00FF08F7">
        <w:rPr>
          <w:rFonts w:ascii="Times New Roman" w:hAnsi="Times New Roman"/>
          <w:color w:val="000000"/>
        </w:rPr>
        <w:t>.</w:t>
      </w:r>
    </w:p>
    <w:p w14:paraId="0634A516" w14:textId="77777777" w:rsidR="00FF08F7" w:rsidRDefault="00FF08F7" w:rsidP="002F3324">
      <w:pPr>
        <w:autoSpaceDE w:val="0"/>
        <w:autoSpaceDN w:val="0"/>
        <w:adjustRightInd w:val="0"/>
        <w:spacing w:after="0" w:line="240" w:lineRule="auto"/>
        <w:rPr>
          <w:rFonts w:ascii="Times New Roman" w:hAnsi="Times New Roman"/>
          <w:color w:val="000000"/>
          <w:u w:val="single"/>
        </w:rPr>
      </w:pPr>
    </w:p>
    <w:p w14:paraId="2CADFF4E"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Nepageidaujamos akių reakcijos</w:t>
      </w:r>
    </w:p>
    <w:p w14:paraId="2A2823A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Gauta pranešimų apie ilgalaikes nepageidaujamas akių reakcijas, įskaitant neryškų matymą, regos nervo uždegimą ir regos nervo disko edemą (žr. 4.8 skyrių).</w:t>
      </w:r>
    </w:p>
    <w:p w14:paraId="60ECD97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95EB617"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Nepageidaujamos inkstų reakcijos</w:t>
      </w:r>
    </w:p>
    <w:p w14:paraId="417C7BB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Sunkiai sergantiems vorikonazolu gydytiems pacientams pasireiškė ūminis inkstų nepakankamumas. Tačiau tikėtina, kad pacientai, kurie buvo gydyti vorikonazolu, buvo gydomi ir nefrotoksinio poveikio vaistiniais preparatais bei sirgo ligomis, kurios galėjo silpninti inkstų funkciją (žr. 4.8 skyrių).</w:t>
      </w:r>
    </w:p>
    <w:p w14:paraId="5FA373A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C98826C"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Inkstų funkcijos stebėjimas</w:t>
      </w:r>
    </w:p>
    <w:p w14:paraId="21D017E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Būtina stebėti, ar pacientams neatsiranda inkstų funkcijos sutrikimo. Dėl to būtina atlikti laboratorinius tyrimus, ypač tirti kreatinino koncentraciją kraujo serume.</w:t>
      </w:r>
    </w:p>
    <w:p w14:paraId="47324C1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F9CFCC4"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Kasos funkcijos stebėjimas</w:t>
      </w:r>
    </w:p>
    <w:p w14:paraId="7499EE2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Gydant vorikonazolu, reikia atidžiai stebėti pacientus, ypač vaikus, kuriems yra ūminio pankreatito rizikos veiksnių (pvz., neseniai taikyta chemoterapija, kamieninių hematopoezės ląstelių persodinimas [KHLP]). Tokiomis aplinkybėmis reikėtų stebėti amilazės ar lipazės aktyvumą serume.</w:t>
      </w:r>
    </w:p>
    <w:p w14:paraId="505321A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03F7790"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Vaikų populiacija</w:t>
      </w:r>
    </w:p>
    <w:p w14:paraId="3DDA8C0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Saugumas ir veiksmingumas jaunesniems kaip 2 metų vaikams nenustatytas (žr. 4.8 ir 5.1 skyrius).</w:t>
      </w:r>
    </w:p>
    <w:p w14:paraId="0439E12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Vorikonazolas skiriamas vartoti dviejų metų ir vyresniems vaikams. </w:t>
      </w:r>
      <w:r w:rsidR="002E7D0A" w:rsidRPr="00534C57">
        <w:rPr>
          <w:rFonts w:ascii="Times New Roman" w:eastAsia="TimesNewRoman,Italic" w:hAnsi="Times New Roman"/>
          <w:iCs/>
        </w:rPr>
        <w:t xml:space="preserve">Pastebėta, kad vaikų populiacijai dažniau padidėja kepenų fermentų aktyvumas </w:t>
      </w:r>
      <w:r w:rsidR="00564808">
        <w:rPr>
          <w:rFonts w:ascii="Times New Roman" w:eastAsia="TimesNewRoman,Italic" w:hAnsi="Times New Roman"/>
          <w:iCs/>
        </w:rPr>
        <w:t xml:space="preserve">kraujyje </w:t>
      </w:r>
      <w:r w:rsidR="002E7D0A" w:rsidRPr="00534C57">
        <w:rPr>
          <w:rFonts w:ascii="Times New Roman" w:eastAsia="TimesNewRoman,Italic" w:hAnsi="Times New Roman"/>
          <w:iCs/>
        </w:rPr>
        <w:t>(žr. 4.8 skyrių).</w:t>
      </w:r>
      <w:r w:rsidR="002E7D0A" w:rsidRPr="00BE562B">
        <w:rPr>
          <w:rFonts w:ascii="Times New Roman" w:hAnsi="Times New Roman"/>
        </w:rPr>
        <w:t xml:space="preserve"> </w:t>
      </w:r>
      <w:r w:rsidRPr="00534C57">
        <w:rPr>
          <w:rFonts w:ascii="Times New Roman" w:hAnsi="Times New Roman"/>
          <w:color w:val="000000"/>
        </w:rPr>
        <w:t>Reikia stebėti ir suaugusiųjų, ir vaikų kepenų funkciją. Nuo 2 iki 12 metų vaikams, kurie serga malabsorbcija, ir kurių pagal amžių yra labai maža kūno masė, išgerto vaistinio preparato biologinis prieinamumas gali būti mažesnis. Tokiu atveju rekomenduojama skirti vartoti vorikonazolą į veną.</w:t>
      </w:r>
    </w:p>
    <w:p w14:paraId="3B7F400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BC8227D" w14:textId="77777777" w:rsidR="00C45A6D" w:rsidRPr="00611333" w:rsidRDefault="00C45A6D" w:rsidP="00611333">
      <w:pPr>
        <w:pStyle w:val="Sraopastraipa"/>
        <w:numPr>
          <w:ilvl w:val="0"/>
          <w:numId w:val="45"/>
        </w:numPr>
        <w:autoSpaceDE w:val="0"/>
        <w:autoSpaceDN w:val="0"/>
        <w:adjustRightInd w:val="0"/>
        <w:spacing w:after="0" w:line="240" w:lineRule="auto"/>
        <w:rPr>
          <w:rFonts w:ascii="Times New Roman" w:hAnsi="Times New Roman"/>
          <w:color w:val="000000"/>
          <w:u w:val="single"/>
        </w:rPr>
      </w:pPr>
      <w:r w:rsidRPr="00611333">
        <w:rPr>
          <w:rFonts w:ascii="Times New Roman" w:hAnsi="Times New Roman"/>
          <w:color w:val="000000"/>
          <w:u w:val="single"/>
        </w:rPr>
        <w:t>Sunkios nepageidaujamos dermatologinės reakcijos (įskaitant PLV)</w:t>
      </w:r>
    </w:p>
    <w:p w14:paraId="67DFD5FF" w14:textId="77777777" w:rsidR="002F3324" w:rsidRPr="00534C57" w:rsidRDefault="002F3324" w:rsidP="00611333">
      <w:pPr>
        <w:autoSpaceDE w:val="0"/>
        <w:autoSpaceDN w:val="0"/>
        <w:adjustRightInd w:val="0"/>
        <w:spacing w:after="0" w:line="240" w:lineRule="auto"/>
        <w:ind w:left="709"/>
        <w:rPr>
          <w:rFonts w:ascii="Times New Roman" w:hAnsi="Times New Roman"/>
          <w:color w:val="000000"/>
        </w:rPr>
      </w:pPr>
      <w:r w:rsidRPr="00534C57">
        <w:rPr>
          <w:rFonts w:ascii="Times New Roman" w:hAnsi="Times New Roman"/>
          <w:color w:val="000000"/>
        </w:rPr>
        <w:t>Fototoksiškumo reakcijos dažniau pasireiškia vaikų populiacijos pacientams. Kai buvo pranešta apie odos plokščiųjų ląstelių vėžio atsiradimą, buvo imtasi griežtų priemonių siekiant užtikrinti šioje pacientų populiacijoje apsaugos nuo šviesos priemones. Vaikams, kuriems atsiranda odos senėjimui būdingų pažeidimų, pavyzdžiui, pigmentinių dėmių arba strazdanų, rekomenduojama vengti saulės ir netgi nutraukus gydymą rekomenduojamas odos būklės stebėjimas.</w:t>
      </w:r>
    </w:p>
    <w:p w14:paraId="1121878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E5840F8"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Profilaktika</w:t>
      </w:r>
    </w:p>
    <w:p w14:paraId="2AC1538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Atsiradus su gydymu susijusių nepageidaujamų reiškinių (toksiniam poveikiui kepenims, sunkioms odos reakcijoms, įskaitant fototoksiškumą ir odos plokščiųjų ląstelių vėžį, arba sunkiems ar ilgalaikiams regos sutrikimams ir periostitui), reikėtų apsvarstyti galimą vorikonazolo vartojimo nutraukimą ir kitų vaistinių preparatų nuo grybelių vartojimą.</w:t>
      </w:r>
    </w:p>
    <w:p w14:paraId="55ADDE9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A415FCA"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Fenitoinas (CYP2C9 substratas ir stiprus CYP450 aktyvinantis vaistinis preparatas)</w:t>
      </w:r>
    </w:p>
    <w:p w14:paraId="0904717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 su vorikonazolu kartu vartojama fenitoino, rekomenduojama atidžiai stebėti fenitoino koncentraciją. Reikia vengti vartoti vorikonazolą kartu su fenitoinu, išskyrus tuos atvejus, kai nauda yra didesnė už riziką (žr.4.5 skyrių).</w:t>
      </w:r>
    </w:p>
    <w:p w14:paraId="0A80EA93" w14:textId="77777777" w:rsidR="002F3324" w:rsidRDefault="002F3324" w:rsidP="002F3324">
      <w:pPr>
        <w:autoSpaceDE w:val="0"/>
        <w:autoSpaceDN w:val="0"/>
        <w:adjustRightInd w:val="0"/>
        <w:spacing w:after="0" w:line="240" w:lineRule="auto"/>
        <w:rPr>
          <w:rFonts w:ascii="Times New Roman" w:hAnsi="Times New Roman"/>
          <w:color w:val="000000"/>
        </w:rPr>
      </w:pPr>
    </w:p>
    <w:p w14:paraId="0EB3B9CF" w14:textId="77777777" w:rsidR="00AB5DF2" w:rsidRPr="008C1323" w:rsidRDefault="00AB5DF2" w:rsidP="002F3324">
      <w:pPr>
        <w:autoSpaceDE w:val="0"/>
        <w:autoSpaceDN w:val="0"/>
        <w:adjustRightInd w:val="0"/>
        <w:spacing w:after="0" w:line="240" w:lineRule="auto"/>
        <w:rPr>
          <w:rFonts w:ascii="Times New Roman" w:hAnsi="Times New Roman"/>
          <w:color w:val="000000"/>
          <w:u w:val="single"/>
        </w:rPr>
      </w:pPr>
      <w:r w:rsidRPr="008C1323">
        <w:rPr>
          <w:rFonts w:ascii="Times New Roman" w:hAnsi="Times New Roman"/>
          <w:color w:val="000000"/>
          <w:u w:val="single"/>
        </w:rPr>
        <w:t>Glasdegibas (CYP3A4) substratas)</w:t>
      </w:r>
    </w:p>
    <w:p w14:paraId="1FEBFAB7" w14:textId="77777777" w:rsidR="00AB5DF2" w:rsidRDefault="00AB5DF2" w:rsidP="002F3324">
      <w:pPr>
        <w:autoSpaceDE w:val="0"/>
        <w:autoSpaceDN w:val="0"/>
        <w:adjustRightInd w:val="0"/>
        <w:spacing w:after="0" w:line="240" w:lineRule="auto"/>
        <w:rPr>
          <w:rFonts w:ascii="Times New Roman" w:hAnsi="Times New Roman"/>
          <w:color w:val="000000"/>
        </w:rPr>
      </w:pPr>
      <w:r>
        <w:rPr>
          <w:rFonts w:ascii="Times New Roman" w:hAnsi="Times New Roman"/>
          <w:color w:val="000000"/>
        </w:rPr>
        <w:t>Tikėtina, kad vartojant kartu su vorikonazolu padidės glasdegibo</w:t>
      </w:r>
      <w:r w:rsidR="00CD276F">
        <w:rPr>
          <w:rFonts w:ascii="Times New Roman" w:hAnsi="Times New Roman"/>
          <w:color w:val="000000"/>
        </w:rPr>
        <w:t xml:space="preserve"> koncentracija plazmoje ir </w:t>
      </w:r>
      <w:r>
        <w:rPr>
          <w:rFonts w:ascii="Times New Roman" w:hAnsi="Times New Roman"/>
          <w:color w:val="000000"/>
        </w:rPr>
        <w:t>QTc pailgėjimo rizika (žr. 4.5 skyrių). Jei negalima išvengti tokio vartojimo kartu, rekomenduojama dažnai kontroliuoti EKG.</w:t>
      </w:r>
    </w:p>
    <w:p w14:paraId="3AFE0104" w14:textId="77777777" w:rsidR="00AB5DF2" w:rsidRDefault="00AB5DF2" w:rsidP="002F3324">
      <w:pPr>
        <w:autoSpaceDE w:val="0"/>
        <w:autoSpaceDN w:val="0"/>
        <w:adjustRightInd w:val="0"/>
        <w:spacing w:after="0" w:line="240" w:lineRule="auto"/>
        <w:rPr>
          <w:rFonts w:ascii="Times New Roman" w:hAnsi="Times New Roman"/>
          <w:color w:val="000000"/>
        </w:rPr>
      </w:pPr>
    </w:p>
    <w:p w14:paraId="3D79DBAF" w14:textId="77777777" w:rsidR="00AB5DF2" w:rsidRPr="008C1323" w:rsidRDefault="00AB5DF2" w:rsidP="002F3324">
      <w:pPr>
        <w:autoSpaceDE w:val="0"/>
        <w:autoSpaceDN w:val="0"/>
        <w:adjustRightInd w:val="0"/>
        <w:spacing w:after="0" w:line="240" w:lineRule="auto"/>
        <w:rPr>
          <w:rFonts w:ascii="Times New Roman" w:hAnsi="Times New Roman"/>
          <w:color w:val="000000"/>
          <w:u w:val="single"/>
        </w:rPr>
      </w:pPr>
      <w:r w:rsidRPr="008C1323">
        <w:rPr>
          <w:rFonts w:ascii="Times New Roman" w:hAnsi="Times New Roman"/>
          <w:color w:val="000000"/>
          <w:u w:val="single"/>
        </w:rPr>
        <w:t xml:space="preserve">Tirozinkinazės </w:t>
      </w:r>
      <w:r w:rsidR="00CD276F" w:rsidRPr="008C1323">
        <w:rPr>
          <w:rFonts w:ascii="Times New Roman" w:hAnsi="Times New Roman"/>
          <w:color w:val="000000"/>
          <w:u w:val="single"/>
        </w:rPr>
        <w:t>inhibitoriai</w:t>
      </w:r>
      <w:r w:rsidRPr="008C1323">
        <w:rPr>
          <w:rFonts w:ascii="Times New Roman" w:hAnsi="Times New Roman"/>
          <w:color w:val="000000"/>
          <w:u w:val="single"/>
        </w:rPr>
        <w:t xml:space="preserve"> (CYP3A4 substratas)</w:t>
      </w:r>
    </w:p>
    <w:p w14:paraId="06ED8B44" w14:textId="77777777" w:rsidR="00AB5DF2" w:rsidRDefault="00AB5DF2" w:rsidP="002F3324">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Vartojant vorikonazolo kartu su tirozinkinazės </w:t>
      </w:r>
      <w:r w:rsidR="00CD276F">
        <w:rPr>
          <w:rFonts w:ascii="Times New Roman" w:hAnsi="Times New Roman"/>
          <w:color w:val="000000"/>
        </w:rPr>
        <w:t>inhibitoriais</w:t>
      </w:r>
      <w:r w:rsidR="002D6B6A">
        <w:rPr>
          <w:rFonts w:ascii="Times New Roman" w:hAnsi="Times New Roman"/>
          <w:color w:val="000000"/>
        </w:rPr>
        <w:t xml:space="preserve">, </w:t>
      </w:r>
      <w:r w:rsidR="00F064D2">
        <w:rPr>
          <w:rFonts w:ascii="Times New Roman" w:hAnsi="Times New Roman"/>
          <w:color w:val="000000"/>
        </w:rPr>
        <w:t>metabolizuojamais</w:t>
      </w:r>
      <w:r>
        <w:rPr>
          <w:rFonts w:ascii="Times New Roman" w:hAnsi="Times New Roman"/>
          <w:color w:val="000000"/>
        </w:rPr>
        <w:t xml:space="preserve"> CYP3</w:t>
      </w:r>
      <w:r w:rsidR="00E14088">
        <w:rPr>
          <w:rFonts w:ascii="Times New Roman" w:hAnsi="Times New Roman"/>
          <w:color w:val="000000"/>
        </w:rPr>
        <w:t>A4</w:t>
      </w:r>
      <w:r>
        <w:rPr>
          <w:rFonts w:ascii="Times New Roman" w:hAnsi="Times New Roman"/>
          <w:color w:val="000000"/>
        </w:rPr>
        <w:t>, tikėtinas tirozinkinazės inhibitorių koncentrac</w:t>
      </w:r>
      <w:r w:rsidR="00CD276F">
        <w:rPr>
          <w:rFonts w:ascii="Times New Roman" w:hAnsi="Times New Roman"/>
          <w:color w:val="000000"/>
        </w:rPr>
        <w:t>i</w:t>
      </w:r>
      <w:r>
        <w:rPr>
          <w:rFonts w:ascii="Times New Roman" w:hAnsi="Times New Roman"/>
          <w:color w:val="000000"/>
        </w:rPr>
        <w:t xml:space="preserve">jos kraujo plazmoje padidėjimas ir nepageidaujamų reakcijų rizika. Jei vartojimo </w:t>
      </w:r>
      <w:r w:rsidR="00CD276F">
        <w:rPr>
          <w:rFonts w:ascii="Times New Roman" w:hAnsi="Times New Roman"/>
          <w:color w:val="000000"/>
        </w:rPr>
        <w:t>kartu išvengti negalima, rekomenduojama sumažinti tirozinkinazės inhibitori</w:t>
      </w:r>
      <w:r w:rsidR="00A76803">
        <w:rPr>
          <w:rFonts w:ascii="Times New Roman" w:hAnsi="Times New Roman"/>
          <w:color w:val="000000"/>
        </w:rPr>
        <w:t>aus</w:t>
      </w:r>
      <w:r w:rsidR="00CD276F">
        <w:rPr>
          <w:rFonts w:ascii="Times New Roman" w:hAnsi="Times New Roman"/>
          <w:color w:val="000000"/>
        </w:rPr>
        <w:t xml:space="preserve"> dozę ir atidžiai </w:t>
      </w:r>
      <w:r w:rsidR="00E51339">
        <w:rPr>
          <w:rFonts w:ascii="Times New Roman" w:hAnsi="Times New Roman"/>
          <w:color w:val="000000"/>
        </w:rPr>
        <w:t>stebėti</w:t>
      </w:r>
      <w:r w:rsidR="00CD276F">
        <w:rPr>
          <w:rFonts w:ascii="Times New Roman" w:hAnsi="Times New Roman"/>
          <w:color w:val="000000"/>
        </w:rPr>
        <w:t xml:space="preserve"> </w:t>
      </w:r>
      <w:r w:rsidR="00E51339">
        <w:rPr>
          <w:rFonts w:ascii="Times New Roman" w:hAnsi="Times New Roman"/>
          <w:color w:val="000000"/>
        </w:rPr>
        <w:t xml:space="preserve">klinikinę </w:t>
      </w:r>
      <w:r w:rsidR="00CD276F">
        <w:rPr>
          <w:rFonts w:ascii="Times New Roman" w:hAnsi="Times New Roman"/>
          <w:color w:val="000000"/>
        </w:rPr>
        <w:t xml:space="preserve">būklę </w:t>
      </w:r>
      <w:r w:rsidR="00CD276F" w:rsidRPr="00534C57">
        <w:rPr>
          <w:rFonts w:ascii="Times New Roman" w:hAnsi="Times New Roman"/>
          <w:color w:val="000000"/>
        </w:rPr>
        <w:t>(žr.4.5 skyrių).</w:t>
      </w:r>
    </w:p>
    <w:p w14:paraId="62045624" w14:textId="77777777" w:rsidR="009619D2" w:rsidRPr="00534C57" w:rsidRDefault="009619D2" w:rsidP="002F3324">
      <w:pPr>
        <w:autoSpaceDE w:val="0"/>
        <w:autoSpaceDN w:val="0"/>
        <w:adjustRightInd w:val="0"/>
        <w:spacing w:after="0" w:line="240" w:lineRule="auto"/>
        <w:rPr>
          <w:rFonts w:ascii="Times New Roman" w:hAnsi="Times New Roman"/>
          <w:color w:val="000000"/>
        </w:rPr>
      </w:pPr>
    </w:p>
    <w:p w14:paraId="5B6983E2"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Efavirenzas (CYP450 sužadinantis vaistinis preparatas, CYP3A4 inhibitorius ir substratas)</w:t>
      </w:r>
    </w:p>
    <w:p w14:paraId="79F56903" w14:textId="77777777" w:rsidR="002F3324"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Vorikonazolą vartojant kartu su efavirenzu, vorikonazolo dozę reikia padidinti iki 400</w:t>
      </w:r>
      <w:r w:rsidR="001F31AA">
        <w:rPr>
          <w:rFonts w:ascii="Times New Roman" w:hAnsi="Times New Roman"/>
          <w:color w:val="000000"/>
        </w:rPr>
        <w:t> </w:t>
      </w:r>
      <w:r w:rsidRPr="00534C57">
        <w:rPr>
          <w:rFonts w:ascii="Times New Roman" w:hAnsi="Times New Roman"/>
          <w:color w:val="000000"/>
        </w:rPr>
        <w:t>mg kas 12 valandų, efavirenzo dozę sumažinti iki 300</w:t>
      </w:r>
      <w:r w:rsidR="00AB5DF2">
        <w:rPr>
          <w:rFonts w:ascii="Times New Roman" w:hAnsi="Times New Roman"/>
          <w:color w:val="000000"/>
        </w:rPr>
        <w:t> </w:t>
      </w:r>
      <w:r w:rsidRPr="00534C57">
        <w:rPr>
          <w:rFonts w:ascii="Times New Roman" w:hAnsi="Times New Roman"/>
          <w:color w:val="000000"/>
        </w:rPr>
        <w:t>mg kas 24 valandas (žr. 4.2, 4.3 ir 4.5 skyrius).</w:t>
      </w:r>
    </w:p>
    <w:p w14:paraId="56CA9837" w14:textId="77777777" w:rsidR="001F31AA" w:rsidRPr="00534C57" w:rsidRDefault="001F31AA" w:rsidP="002F3324">
      <w:pPr>
        <w:autoSpaceDE w:val="0"/>
        <w:autoSpaceDN w:val="0"/>
        <w:adjustRightInd w:val="0"/>
        <w:spacing w:after="0" w:line="240" w:lineRule="auto"/>
        <w:rPr>
          <w:rFonts w:ascii="Times New Roman" w:hAnsi="Times New Roman"/>
          <w:color w:val="000000"/>
        </w:rPr>
      </w:pPr>
    </w:p>
    <w:p w14:paraId="353E673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609D49D"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Rifabutinas (stipriai CYP450 sužadinantis vaistinis preparatas)</w:t>
      </w:r>
    </w:p>
    <w:p w14:paraId="322E50A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 rifabutino vartojama kartu su vorikonazolu, rekomenduojama atidžiai stebėti kraujo ląstelių kiekį ir nepageidaujamas reakcijas, kurias gali sukelti rifabutinas (pvz., gali pasireikšti uveitas). Reikia vengti vartoti vorikonazolą kartu su rifabutinu, išskyrus atvejus, kai nauda yra didesnė už riziką (žr. 4.5 skyrių).</w:t>
      </w:r>
    </w:p>
    <w:p w14:paraId="35D899F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1977245"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Ritonaviras (stipriai CYP450 sužadinantis vaistinis preparatas, CYP3A4 inhibitorius ir</w:t>
      </w:r>
    </w:p>
    <w:p w14:paraId="3A079D3B"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substratas)</w:t>
      </w:r>
    </w:p>
    <w:p w14:paraId="5127A3F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vengti vartoti vorikonazolą kartu su maža ritonaviro doze (100 mg du kartus per parą), išskyrus atvejus, kai įvertinus naudos ir rizikos santykį, vorikonazolo vartojimas yra pateisinamas (žr. 4.3 ir 4.5 skyrius).</w:t>
      </w:r>
    </w:p>
    <w:p w14:paraId="78C947A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CCE386A"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Everolimuzas (CYP3A4 substratas, P-gp substratas)</w:t>
      </w:r>
    </w:p>
    <w:p w14:paraId="6E57329E" w14:textId="77777777" w:rsidR="002F3324"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nerekomenduojama vartoti kartu su everolimuzu, nes tikėtina, kad vorikonazolas reikšmingai didina everolimuzo koncentraciją. Esant tokioms aplinkybėms šiuo metu nepakanka duomenų, kad būtų galima pateikti dozavimo rekomendacijas (žr. 4.5 skyrių).</w:t>
      </w:r>
    </w:p>
    <w:p w14:paraId="223DB7C2" w14:textId="77777777" w:rsidR="004823F0" w:rsidRDefault="004823F0" w:rsidP="002F3324">
      <w:pPr>
        <w:autoSpaceDE w:val="0"/>
        <w:autoSpaceDN w:val="0"/>
        <w:adjustRightInd w:val="0"/>
        <w:spacing w:after="0" w:line="240" w:lineRule="auto"/>
        <w:rPr>
          <w:rFonts w:ascii="Times New Roman" w:hAnsi="Times New Roman"/>
          <w:color w:val="000000"/>
        </w:rPr>
      </w:pPr>
    </w:p>
    <w:p w14:paraId="34BF57BB"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Metadonas (CYP3A4 substratas)</w:t>
      </w:r>
    </w:p>
    <w:p w14:paraId="2B957B0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Vartojamo kartu su vorikonazolu metadono koncentracijos padidėja, todėl vorikonazolą vartojant kartu su metadonu, reikia dažnai tikrinti, ar nepasireiškia su metadonu susijusios nepageidaujamos reakcijos ir toksinis poveikis, įskaitant QTc intervalo pailgėjimą. Gali prireikti mažinti metadono dozę (žr. 4.5 skyrių).</w:t>
      </w:r>
    </w:p>
    <w:p w14:paraId="209C6F3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C635E02"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Trumpai veikiantys opioidai (CYP3A4 substratai)</w:t>
      </w:r>
    </w:p>
    <w:p w14:paraId="7B1A421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apgalvotai sumažinti kartu su vorikonazolu vartojamų alfentanilio, fentanilio ar kitų į alfentanilį panašios sandaros trumpai veikiančių opioidų, kurie metabolizuojami veikiant CYP3A4 (pvz., sufentanilio), dozę (žr. 4.5 skyrių). Vartojant kartu su vorikonazolu, alfentanilio pusinis eliminacijos laikas pailgėjo keturis kartus; paskelbto nepriklausomo tyrimo duomenimis, fentanilį vartojant kartu su vorikonazolu, pailgėjo vidutinė fentanilio AUC</w:t>
      </w:r>
      <w:r w:rsidRPr="00534C57">
        <w:rPr>
          <w:rFonts w:ascii="Times New Roman" w:hAnsi="Times New Roman"/>
          <w:color w:val="000000"/>
          <w:vertAlign w:val="subscript"/>
        </w:rPr>
        <w:t>0-∞</w:t>
      </w:r>
      <w:r w:rsidRPr="00534C57">
        <w:rPr>
          <w:rFonts w:ascii="Times New Roman" w:hAnsi="Times New Roman"/>
          <w:color w:val="000000"/>
        </w:rPr>
        <w:t>, todėl gali prireikti dažnai stebėti, ar neatsiranda su opioidais susijusių nepageidaujamų reakcijų (įskaitant ilgesnį kvėpavimo funkcijos stebėjimo laikotarpį).</w:t>
      </w:r>
    </w:p>
    <w:p w14:paraId="3965BA7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EAECF2F"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Ilgai veikiantys opioidai (CYP3A4 substratai)</w:t>
      </w:r>
    </w:p>
    <w:p w14:paraId="634EE5C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Reikia spręsti, ar nereikia sumažinti kartu su vorikonazolu vartojamų oksikodono arba kitų ilgai veikiančių opioidų, kurie metabolizuojami veikiant CYP3A4 (pvz., hidrokodono), dozę. Gali prireikti dažnai stebėti, ar neatsiranda su opioidais susijusių nepageidaujamų reakcijų (žr. 4.5 skyrių).</w:t>
      </w:r>
    </w:p>
    <w:p w14:paraId="64D2343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F295CBF"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Flukonazolas (CYP2C9, CYP2C19 ir CYP3A4 inhibitorius)</w:t>
      </w:r>
    </w:p>
    <w:p w14:paraId="20D7EB8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Vartojant kartu per burną vorikonazolą ir flukonazolą, sveikų savanorių organizme reikšmingai padidėjo vorikonazolo C</w:t>
      </w:r>
      <w:r w:rsidRPr="00534C57">
        <w:rPr>
          <w:rFonts w:ascii="Times New Roman" w:hAnsi="Times New Roman"/>
          <w:color w:val="000000"/>
          <w:vertAlign w:val="subscript"/>
        </w:rPr>
        <w:t>max</w:t>
      </w:r>
      <w:r w:rsidRPr="00534C57">
        <w:rPr>
          <w:rFonts w:ascii="Times New Roman" w:hAnsi="Times New Roman"/>
          <w:color w:val="000000"/>
        </w:rPr>
        <w:t xml:space="preserve"> ir AUC</w:t>
      </w:r>
      <w:r w:rsidRPr="00534C57">
        <w:rPr>
          <w:rFonts w:ascii="Times New Roman" w:hAnsi="Times New Roman"/>
          <w:color w:val="000000"/>
          <w:vertAlign w:val="subscript"/>
        </w:rPr>
        <w:t>τ</w:t>
      </w:r>
      <w:r w:rsidRPr="00534C57">
        <w:rPr>
          <w:rFonts w:ascii="Times New Roman" w:hAnsi="Times New Roman"/>
          <w:color w:val="000000"/>
        </w:rPr>
        <w:t>. Kiek reikėtų sumažinti vorikonazolo ir flukonazolo dozę ir (arba) vartojimo dažnį, kad būtų išvengta tokio poveikio, nenustatyta. Jeigu vorikonazolo skiriama vartoti po to, kai buvo vartota flukonazolo, rekomenduojama stebėti, ar neatsiranda su vorikonazolu susijusių nepageidaujamų reakcijų (žr. 4.5 skyrių).</w:t>
      </w:r>
    </w:p>
    <w:p w14:paraId="167328F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AF6F819" w14:textId="77777777" w:rsidR="00C45A6D" w:rsidRDefault="00C45A6D" w:rsidP="002F3324">
      <w:pPr>
        <w:autoSpaceDE w:val="0"/>
        <w:autoSpaceDN w:val="0"/>
        <w:adjustRightInd w:val="0"/>
        <w:spacing w:after="0" w:line="240" w:lineRule="auto"/>
        <w:rPr>
          <w:rFonts w:ascii="Times New Roman" w:hAnsi="Times New Roman"/>
          <w:color w:val="000000"/>
          <w:u w:val="single"/>
        </w:rPr>
      </w:pPr>
      <w:r w:rsidRPr="00611333">
        <w:rPr>
          <w:rFonts w:ascii="Times New Roman" w:hAnsi="Times New Roman"/>
          <w:color w:val="000000"/>
          <w:u w:val="single"/>
        </w:rPr>
        <w:t>Pagalbinės medžiagos</w:t>
      </w:r>
    </w:p>
    <w:p w14:paraId="4F98C0A8" w14:textId="77777777" w:rsidR="00C45A6D" w:rsidRPr="00611333" w:rsidRDefault="00C45A6D" w:rsidP="002F3324">
      <w:pPr>
        <w:autoSpaceDE w:val="0"/>
        <w:autoSpaceDN w:val="0"/>
        <w:adjustRightInd w:val="0"/>
        <w:spacing w:after="0" w:line="240" w:lineRule="auto"/>
        <w:rPr>
          <w:rFonts w:ascii="Times New Roman" w:hAnsi="Times New Roman"/>
          <w:i/>
          <w:color w:val="000000"/>
        </w:rPr>
      </w:pPr>
      <w:r>
        <w:rPr>
          <w:rFonts w:ascii="Times New Roman" w:hAnsi="Times New Roman"/>
          <w:i/>
          <w:color w:val="000000"/>
        </w:rPr>
        <w:t>Laktozė</w:t>
      </w:r>
    </w:p>
    <w:p w14:paraId="3223C440" w14:textId="77777777" w:rsidR="002F3324" w:rsidRPr="00534C57" w:rsidRDefault="00F831B4" w:rsidP="00F831B4">
      <w:pPr>
        <w:autoSpaceDE w:val="0"/>
        <w:autoSpaceDN w:val="0"/>
        <w:adjustRightInd w:val="0"/>
        <w:spacing w:after="0" w:line="240" w:lineRule="auto"/>
        <w:rPr>
          <w:rFonts w:ascii="Times New Roman" w:hAnsi="Times New Roman"/>
          <w:color w:val="000000"/>
        </w:rPr>
      </w:pPr>
      <w:r w:rsidRPr="00F831B4">
        <w:rPr>
          <w:rFonts w:ascii="Times New Roman" w:hAnsi="Times New Roman"/>
          <w:color w:val="000000"/>
        </w:rPr>
        <w:t>Šio vaistinio preparato</w:t>
      </w:r>
      <w:r>
        <w:rPr>
          <w:rFonts w:ascii="Times New Roman" w:hAnsi="Times New Roman"/>
          <w:color w:val="000000"/>
        </w:rPr>
        <w:t xml:space="preserve"> </w:t>
      </w:r>
      <w:r w:rsidRPr="00F831B4">
        <w:rPr>
          <w:rFonts w:ascii="Times New Roman" w:hAnsi="Times New Roman"/>
          <w:color w:val="000000"/>
        </w:rPr>
        <w:t>negalima vartoti pacientams, kuriems nustatytas</w:t>
      </w:r>
      <w:r>
        <w:rPr>
          <w:rFonts w:ascii="Times New Roman" w:hAnsi="Times New Roman"/>
          <w:color w:val="000000"/>
        </w:rPr>
        <w:t xml:space="preserve"> </w:t>
      </w:r>
      <w:r w:rsidRPr="00F831B4">
        <w:rPr>
          <w:rFonts w:ascii="Times New Roman" w:hAnsi="Times New Roman"/>
          <w:color w:val="000000"/>
        </w:rPr>
        <w:t>retas paveldimas sutrikimas – galaktozės</w:t>
      </w:r>
      <w:r>
        <w:rPr>
          <w:rFonts w:ascii="Times New Roman" w:hAnsi="Times New Roman"/>
          <w:color w:val="000000"/>
        </w:rPr>
        <w:t xml:space="preserve"> </w:t>
      </w:r>
      <w:r w:rsidRPr="00F831B4">
        <w:rPr>
          <w:rFonts w:ascii="Times New Roman" w:hAnsi="Times New Roman"/>
          <w:color w:val="000000"/>
        </w:rPr>
        <w:t>netoleravimas, visiškas laktazės stygius arba</w:t>
      </w:r>
      <w:r>
        <w:rPr>
          <w:rFonts w:ascii="Times New Roman" w:hAnsi="Times New Roman"/>
          <w:color w:val="000000"/>
        </w:rPr>
        <w:t xml:space="preserve"> </w:t>
      </w:r>
      <w:r w:rsidRPr="00F831B4">
        <w:rPr>
          <w:rFonts w:ascii="Times New Roman" w:hAnsi="Times New Roman"/>
          <w:color w:val="000000"/>
        </w:rPr>
        <w:t>gliukozės ir galaktozės malabsorbcija.</w:t>
      </w:r>
    </w:p>
    <w:p w14:paraId="212C8F36" w14:textId="77777777" w:rsidR="002F3324" w:rsidRDefault="002F3324" w:rsidP="002F3324">
      <w:pPr>
        <w:autoSpaceDE w:val="0"/>
        <w:autoSpaceDN w:val="0"/>
        <w:adjustRightInd w:val="0"/>
        <w:spacing w:after="0" w:line="240" w:lineRule="auto"/>
        <w:rPr>
          <w:rFonts w:ascii="Times New Roman" w:hAnsi="Times New Roman"/>
          <w:color w:val="000000"/>
        </w:rPr>
      </w:pPr>
    </w:p>
    <w:p w14:paraId="457EDACA" w14:textId="77777777" w:rsidR="00F831B4" w:rsidRPr="00611333" w:rsidRDefault="00F831B4" w:rsidP="00F831B4">
      <w:pPr>
        <w:autoSpaceDE w:val="0"/>
        <w:autoSpaceDN w:val="0"/>
        <w:adjustRightInd w:val="0"/>
        <w:spacing w:after="0" w:line="240" w:lineRule="auto"/>
        <w:rPr>
          <w:rFonts w:ascii="Times New Roman" w:eastAsia="Times New Roman" w:hAnsi="Times New Roman"/>
          <w:i/>
        </w:rPr>
      </w:pPr>
      <w:r w:rsidRPr="00611333">
        <w:rPr>
          <w:rFonts w:ascii="Times New Roman" w:eastAsia="Times New Roman" w:hAnsi="Times New Roman"/>
          <w:i/>
        </w:rPr>
        <w:t>Natris</w:t>
      </w:r>
    </w:p>
    <w:p w14:paraId="2E9C5EDC" w14:textId="77777777" w:rsidR="00F831B4" w:rsidRPr="00611333" w:rsidRDefault="00F831B4" w:rsidP="00F831B4">
      <w:pPr>
        <w:autoSpaceDE w:val="0"/>
        <w:autoSpaceDN w:val="0"/>
        <w:adjustRightInd w:val="0"/>
        <w:spacing w:after="0" w:line="240" w:lineRule="auto"/>
        <w:rPr>
          <w:rFonts w:ascii="Times New Roman" w:eastAsia="Times New Roman" w:hAnsi="Times New Roman"/>
        </w:rPr>
      </w:pPr>
      <w:r w:rsidRPr="00611333">
        <w:rPr>
          <w:rFonts w:ascii="Times New Roman" w:eastAsia="Times New Roman" w:hAnsi="Times New Roman"/>
        </w:rPr>
        <w:t>Šio vaist</w:t>
      </w:r>
      <w:r w:rsidR="00824047">
        <w:rPr>
          <w:rFonts w:ascii="Times New Roman" w:eastAsia="Times New Roman" w:hAnsi="Times New Roman"/>
        </w:rPr>
        <w:t>inio preparato</w:t>
      </w:r>
      <w:r w:rsidRPr="00611333">
        <w:rPr>
          <w:rFonts w:ascii="Times New Roman" w:eastAsia="Times New Roman" w:hAnsi="Times New Roman"/>
        </w:rPr>
        <w:t xml:space="preserve"> tablet</w:t>
      </w:r>
      <w:r w:rsidRPr="00F831B4">
        <w:rPr>
          <w:rFonts w:ascii="Times New Roman" w:eastAsia="Times New Roman" w:hAnsi="Times New Roman"/>
        </w:rPr>
        <w:t>ėje</w:t>
      </w:r>
      <w:r w:rsidRPr="00611333">
        <w:rPr>
          <w:rFonts w:ascii="Times New Roman" w:eastAsia="Times New Roman" w:hAnsi="Times New Roman"/>
        </w:rPr>
        <w:t xml:space="preserve"> yra mažiau kaip 1</w:t>
      </w:r>
      <w:r w:rsidR="00824047">
        <w:rPr>
          <w:rFonts w:ascii="Times New Roman" w:eastAsia="Times New Roman" w:hAnsi="Times New Roman"/>
        </w:rPr>
        <w:t> </w:t>
      </w:r>
      <w:r w:rsidRPr="00611333">
        <w:rPr>
          <w:rFonts w:ascii="Times New Roman" w:eastAsia="Times New Roman" w:hAnsi="Times New Roman"/>
        </w:rPr>
        <w:t>mmol (23</w:t>
      </w:r>
      <w:r w:rsidR="00824047">
        <w:rPr>
          <w:rFonts w:ascii="Times New Roman" w:eastAsia="Times New Roman" w:hAnsi="Times New Roman"/>
        </w:rPr>
        <w:t> </w:t>
      </w:r>
      <w:r w:rsidRPr="00611333">
        <w:rPr>
          <w:rFonts w:ascii="Times New Roman" w:eastAsia="Times New Roman" w:hAnsi="Times New Roman"/>
        </w:rPr>
        <w:t>mg) natrio, t.</w:t>
      </w:r>
      <w:r w:rsidR="00DC7707">
        <w:rPr>
          <w:rFonts w:ascii="Times New Roman" w:eastAsia="Times New Roman" w:hAnsi="Times New Roman"/>
        </w:rPr>
        <w:t xml:space="preserve"> </w:t>
      </w:r>
      <w:r w:rsidRPr="00611333">
        <w:rPr>
          <w:rFonts w:ascii="Times New Roman" w:eastAsia="Times New Roman" w:hAnsi="Times New Roman"/>
        </w:rPr>
        <w:t>y. jis beveik neturi reikšmės.</w:t>
      </w:r>
    </w:p>
    <w:p w14:paraId="3FEFF1D8" w14:textId="77777777" w:rsidR="00F831B4" w:rsidRPr="00534C57" w:rsidRDefault="00F831B4" w:rsidP="002F3324">
      <w:pPr>
        <w:autoSpaceDE w:val="0"/>
        <w:autoSpaceDN w:val="0"/>
        <w:adjustRightInd w:val="0"/>
        <w:spacing w:after="0" w:line="240" w:lineRule="auto"/>
        <w:rPr>
          <w:rFonts w:ascii="Times New Roman" w:hAnsi="Times New Roman"/>
          <w:color w:val="000000"/>
        </w:rPr>
      </w:pPr>
    </w:p>
    <w:p w14:paraId="731DAFB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4.5 Sąveika su kitais vaistiniais preparatais ir kitokia sąveika</w:t>
      </w:r>
    </w:p>
    <w:p w14:paraId="54EB5E9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499AA8A" w14:textId="77777777" w:rsidR="003F73FB" w:rsidRPr="003F73FB" w:rsidRDefault="002F3324" w:rsidP="00DC01BC">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metabolizuojamas veikiant citochromo P450 CYP2C19, CYP2C9 ir CYP3A4 izofermentams ir slopina šių fermentų aktyvumą. Šiuos izofermentus slopinantys arba sužadinantys vaistiniai preparatai gali atitinkamai didinti arba mažinti vorikonazolo koncentracijas plazmoje ir vorikonazolas gali didinti medžiagų, kurios metabolizuojamos veikiant šiems citochromo P450 izofermentams, koncentraciją plazmoje</w:t>
      </w:r>
      <w:r w:rsidR="00736078">
        <w:rPr>
          <w:rFonts w:ascii="Times New Roman" w:hAnsi="Times New Roman"/>
          <w:color w:val="000000"/>
        </w:rPr>
        <w:t>. Y</w:t>
      </w:r>
      <w:r w:rsidR="003F73FB">
        <w:rPr>
          <w:rFonts w:ascii="Times New Roman" w:hAnsi="Times New Roman"/>
          <w:color w:val="000000"/>
        </w:rPr>
        <w:t xml:space="preserve">pač </w:t>
      </w:r>
      <w:r w:rsidR="00736078">
        <w:rPr>
          <w:rFonts w:ascii="Times New Roman" w:hAnsi="Times New Roman"/>
          <w:color w:val="000000"/>
        </w:rPr>
        <w:t xml:space="preserve">tai taikoma </w:t>
      </w:r>
      <w:r w:rsidR="003F73FB" w:rsidRPr="003F73FB">
        <w:rPr>
          <w:rFonts w:ascii="Times New Roman" w:hAnsi="Times New Roman"/>
          <w:color w:val="000000"/>
        </w:rPr>
        <w:t xml:space="preserve">medžiagoms, kurias metabolizuoja CYP3A4, nes vorikonazolas yra stiprus CYP3A4 inhibitorius, nors AUC </w:t>
      </w:r>
      <w:r w:rsidR="00D35206">
        <w:rPr>
          <w:rFonts w:ascii="Times New Roman" w:hAnsi="Times New Roman"/>
          <w:color w:val="000000"/>
        </w:rPr>
        <w:t>augimas</w:t>
      </w:r>
      <w:r w:rsidR="003F73FB" w:rsidRPr="003F73FB">
        <w:rPr>
          <w:rFonts w:ascii="Times New Roman" w:hAnsi="Times New Roman"/>
          <w:color w:val="000000"/>
        </w:rPr>
        <w:t xml:space="preserve"> priklauso nuo substrato (žr. toliau pateiktą lentelę).</w:t>
      </w:r>
    </w:p>
    <w:p w14:paraId="7630537C" w14:textId="77777777" w:rsidR="002F3324" w:rsidRPr="00534C57" w:rsidRDefault="002F3324" w:rsidP="003F73FB">
      <w:pPr>
        <w:autoSpaceDE w:val="0"/>
        <w:autoSpaceDN w:val="0"/>
        <w:adjustRightInd w:val="0"/>
        <w:spacing w:after="0" w:line="240" w:lineRule="auto"/>
        <w:rPr>
          <w:rFonts w:ascii="Times New Roman" w:hAnsi="Times New Roman"/>
          <w:color w:val="000000"/>
        </w:rPr>
      </w:pPr>
    </w:p>
    <w:p w14:paraId="36FFB6B5" w14:textId="77777777" w:rsidR="002F3324" w:rsidRPr="00534C57" w:rsidRDefault="002F3324" w:rsidP="003F73FB">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nenurodyta kitaip, vaistinių preparatų sąveikos tyrimai atlikti su sveikais savanoriais vyrais, kurie pusiausvyros apykaitos sąlygomis vartojo kartotines 200</w:t>
      </w:r>
      <w:r w:rsidR="00CD276F">
        <w:rPr>
          <w:rFonts w:ascii="Times New Roman" w:hAnsi="Times New Roman"/>
          <w:color w:val="000000"/>
        </w:rPr>
        <w:t> </w:t>
      </w:r>
      <w:r w:rsidRPr="00534C57">
        <w:rPr>
          <w:rFonts w:ascii="Times New Roman" w:hAnsi="Times New Roman"/>
          <w:color w:val="000000"/>
        </w:rPr>
        <w:t>mg vorikonazolo dozes du kartus per parą. Šie rezultatai aktualūs kitoms populiacijoms ir vartojimo būdams.</w:t>
      </w:r>
    </w:p>
    <w:p w14:paraId="0B10FE9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602DF1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Vorikonazolą reikia atsargiai vartoti pacientams kartu su vaistiniais preparatais, kurie ilgina QTc intervalą. Be to, negalima vartoti kartu, jeigu yra tikimybė, kad vorikonazolas padidins medžiagų, kurių metabolizmą veikia CYP3A4 izofermentai (kai kurių antihistamininių preparatų, chinidino, cisaprido, pimozido</w:t>
      </w:r>
      <w:r w:rsidR="003B7FB1">
        <w:rPr>
          <w:rFonts w:ascii="Times New Roman" w:hAnsi="Times New Roman"/>
          <w:color w:val="000000"/>
        </w:rPr>
        <w:t xml:space="preserve"> ir ivabradino</w:t>
      </w:r>
      <w:r w:rsidRPr="00534C57">
        <w:rPr>
          <w:rFonts w:ascii="Times New Roman" w:hAnsi="Times New Roman"/>
          <w:color w:val="000000"/>
        </w:rPr>
        <w:t>), koncentraciją plazmoje (žr. toliau ir 4.3 skyriuje).</w:t>
      </w:r>
    </w:p>
    <w:p w14:paraId="573523B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CA8CDD9"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Sąveikos lentelė</w:t>
      </w:r>
    </w:p>
    <w:p w14:paraId="62EDBC8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56721F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sąveika su kitais vaistiniais preparatais yra išvardyta toliau esančioje lentelėje (vieną kartą per parą nurodyta ,,1 x parą”, du kartus per parą – ,,2 x parą”, tris kartus per parą –,,3 x parą ir nenustatytas ,,NN”). Rodyklės kryptis kiekvienam farmakokinetiniam parametrui pagrįsta geometrinio vidurkio koeficiento 90 % pasikliautinuoju intervalu: (↔) reiškia neviršijant ribų, (↓) – žemiau arba (↑) – virš 80-125 % ribos. Žvaigždute (*) pažymėti abipusės sąveikos atvejai. AUCτ, AUCt ir AUC0-∞ nurodo plotą po koncentracijų ir laiko sankirtos kreive atitinkamai per dozavimo intervalą, nuo nulinio laiko iki laiko, kuriuo koncentracijos buvo išmatuojamos, ir nuo nulinio laiko iki begalybės.</w:t>
      </w:r>
    </w:p>
    <w:p w14:paraId="708F227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E2B688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Sąveikos lentelėje duomenys pateikiami tokia tvarka: kontraindikacijos, vaistiniai preparatai, kurių dozę dėl sąveikos reikia keisti ir juos vartojant būtinas atidus klinikinis ir (arba) biologinis stebėjimas, ir, galiausiai, vaistiniai preparatai, kurių farmakokinetinė sąveika nereikšminga, bet gali kelti klinikinį susidomėjimą gydant.</w:t>
      </w:r>
    </w:p>
    <w:p w14:paraId="22570AB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1"/>
        <w:gridCol w:w="3121"/>
        <w:gridCol w:w="2998"/>
      </w:tblGrid>
      <w:tr w:rsidR="00914B2F" w:rsidRPr="00F909DC" w14:paraId="612B29E3" w14:textId="77777777" w:rsidTr="00DC01BC">
        <w:tc>
          <w:tcPr>
            <w:tcW w:w="2941" w:type="dxa"/>
          </w:tcPr>
          <w:p w14:paraId="004212D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Vaistinis preparatas</w:t>
            </w:r>
          </w:p>
          <w:p w14:paraId="01D9F3E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i/>
                <w:iCs/>
                <w:color w:val="000000"/>
              </w:rPr>
              <w:t>[sąveikos mechanizmas]</w:t>
            </w:r>
          </w:p>
        </w:tc>
        <w:tc>
          <w:tcPr>
            <w:tcW w:w="3121" w:type="dxa"/>
          </w:tcPr>
          <w:p w14:paraId="216F0CC3"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Sąveika</w:t>
            </w:r>
          </w:p>
          <w:p w14:paraId="3C4951E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Geometrinio vidurkio pokytis</w:t>
            </w:r>
            <w:r w:rsidR="00CD276F">
              <w:rPr>
                <w:rFonts w:ascii="Times New Roman" w:hAnsi="Times New Roman"/>
                <w:b/>
                <w:bCs/>
                <w:color w:val="000000"/>
              </w:rPr>
              <w:t xml:space="preserve"> </w:t>
            </w:r>
            <w:r w:rsidRPr="00534C57">
              <w:rPr>
                <w:rFonts w:ascii="Times New Roman" w:hAnsi="Times New Roman"/>
                <w:b/>
                <w:bCs/>
                <w:color w:val="000000"/>
              </w:rPr>
              <w:t>(%)</w:t>
            </w:r>
          </w:p>
        </w:tc>
        <w:tc>
          <w:tcPr>
            <w:tcW w:w="2998" w:type="dxa"/>
          </w:tcPr>
          <w:p w14:paraId="63D7999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Vartojimo kartu rekomendacijos</w:t>
            </w:r>
          </w:p>
        </w:tc>
      </w:tr>
      <w:tr w:rsidR="00914B2F" w:rsidRPr="00F909DC" w14:paraId="2A85A2BE" w14:textId="77777777" w:rsidTr="00DC01BC">
        <w:tc>
          <w:tcPr>
            <w:tcW w:w="2941" w:type="dxa"/>
          </w:tcPr>
          <w:p w14:paraId="4FF2DDF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 xml:space="preserve">Astemizolas, cisapridas, pimozidas, chinidinas terfenadinas </w:t>
            </w:r>
            <w:r w:rsidR="003B7FB1">
              <w:rPr>
                <w:rFonts w:ascii="Times New Roman" w:hAnsi="Times New Roman"/>
                <w:color w:val="000000"/>
              </w:rPr>
              <w:t>ir ivabradinas</w:t>
            </w:r>
          </w:p>
          <w:p w14:paraId="333AAAF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substratai]</w:t>
            </w:r>
          </w:p>
        </w:tc>
        <w:tc>
          <w:tcPr>
            <w:tcW w:w="3121" w:type="dxa"/>
          </w:tcPr>
          <w:p w14:paraId="6CBDBC3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Nors tyrimai neatlikti, dėl šių vaistinių preparatų koncentracijų plazmoje padidėjimo gali pailgėti QTc intervalas ir retais atvejais pasireikšti </w:t>
            </w:r>
            <w:r w:rsidRPr="00534C57">
              <w:rPr>
                <w:rFonts w:ascii="Times New Roman" w:hAnsi="Times New Roman"/>
                <w:i/>
                <w:iCs/>
                <w:color w:val="000000"/>
              </w:rPr>
              <w:t>torsades de pointes</w:t>
            </w:r>
            <w:r w:rsidRPr="00534C57">
              <w:rPr>
                <w:rFonts w:ascii="Times New Roman" w:hAnsi="Times New Roman"/>
                <w:color w:val="000000"/>
              </w:rPr>
              <w:t>.</w:t>
            </w:r>
          </w:p>
        </w:tc>
        <w:tc>
          <w:tcPr>
            <w:tcW w:w="2998" w:type="dxa"/>
          </w:tcPr>
          <w:p w14:paraId="45E9844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(žr. 4.3 skyrių)</w:t>
            </w:r>
          </w:p>
        </w:tc>
      </w:tr>
      <w:tr w:rsidR="00914B2F" w:rsidRPr="00F909DC" w14:paraId="76206678" w14:textId="77777777" w:rsidTr="00DC01BC">
        <w:tc>
          <w:tcPr>
            <w:tcW w:w="2941" w:type="dxa"/>
          </w:tcPr>
          <w:p w14:paraId="63C116E8" w14:textId="7EFF3C8E"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Karbamazepinas ir ilgai veikiantys barbitūratai (</w:t>
            </w:r>
            <w:r w:rsidR="00B92818">
              <w:rPr>
                <w:rFonts w:ascii="Times New Roman" w:hAnsi="Times New Roman"/>
                <w:color w:val="000000"/>
              </w:rPr>
              <w:t>įskaitant, bet neapsiribojant:</w:t>
            </w:r>
            <w:r w:rsidRPr="00534C57">
              <w:rPr>
                <w:rFonts w:ascii="Times New Roman" w:hAnsi="Times New Roman"/>
                <w:color w:val="000000"/>
              </w:rPr>
              <w:t xml:space="preserve"> fenobarbitalis, mefobarbitalis) </w:t>
            </w:r>
            <w:r w:rsidRPr="00534C57">
              <w:rPr>
                <w:rFonts w:ascii="Times New Roman" w:hAnsi="Times New Roman"/>
                <w:i/>
                <w:iCs/>
                <w:color w:val="000000"/>
              </w:rPr>
              <w:t>[stiprus CYP450 induktorius]</w:t>
            </w:r>
          </w:p>
          <w:p w14:paraId="0198B1D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c>
        <w:tc>
          <w:tcPr>
            <w:tcW w:w="3121" w:type="dxa"/>
          </w:tcPr>
          <w:p w14:paraId="59EBBD6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Nors tyrimai neatlikti, tikėtina, kad karbamazepinas ir ilgai veikiantys barbitūratai reikšmingai mažins vorikonazolo koncentraciją plazmoje.</w:t>
            </w:r>
          </w:p>
        </w:tc>
        <w:tc>
          <w:tcPr>
            <w:tcW w:w="2998" w:type="dxa"/>
          </w:tcPr>
          <w:p w14:paraId="43CEF88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(žr. 4.3 skyrių)</w:t>
            </w:r>
          </w:p>
        </w:tc>
      </w:tr>
      <w:tr w:rsidR="00914B2F" w:rsidRPr="00F909DC" w14:paraId="41C3DE52" w14:textId="77777777" w:rsidTr="00DC01BC">
        <w:tc>
          <w:tcPr>
            <w:tcW w:w="2941" w:type="dxa"/>
          </w:tcPr>
          <w:p w14:paraId="5408023A"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color w:val="000000"/>
              </w:rPr>
              <w:t xml:space="preserve">Efavirenzas (nenukleozido atvirkštinės transkriptazės inhibitorius) </w:t>
            </w:r>
            <w:r w:rsidRPr="00534C57">
              <w:rPr>
                <w:rFonts w:ascii="Times New Roman" w:hAnsi="Times New Roman"/>
                <w:i/>
                <w:iCs/>
                <w:color w:val="000000"/>
              </w:rPr>
              <w:t xml:space="preserve">[CYP450 sužadinantis vaistinis preparatas, CYP3A4 inhibitorius ir substratas] </w:t>
            </w:r>
          </w:p>
          <w:p w14:paraId="524A55FE"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08D1D2D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400</w:t>
            </w:r>
            <w:r w:rsidR="00743ED1">
              <w:rPr>
                <w:rFonts w:ascii="Times New Roman" w:hAnsi="Times New Roman"/>
                <w:color w:val="000000"/>
              </w:rPr>
              <w:t> </w:t>
            </w:r>
            <w:r w:rsidRPr="00534C57">
              <w:rPr>
                <w:rFonts w:ascii="Times New Roman" w:hAnsi="Times New Roman"/>
                <w:color w:val="000000"/>
              </w:rPr>
              <w:t>mg efavirenzo dozė</w:t>
            </w:r>
          </w:p>
          <w:p w14:paraId="7491FBE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1 x per parą vartojama kartu su 200</w:t>
            </w:r>
            <w:r w:rsidR="00743ED1">
              <w:rPr>
                <w:rFonts w:ascii="Times New Roman" w:hAnsi="Times New Roman"/>
                <w:color w:val="000000"/>
              </w:rPr>
              <w:t> </w:t>
            </w:r>
            <w:r w:rsidRPr="00534C57">
              <w:rPr>
                <w:rFonts w:ascii="Times New Roman" w:hAnsi="Times New Roman"/>
                <w:color w:val="000000"/>
              </w:rPr>
              <w:t>mg vorikonazolo 2 x per</w:t>
            </w:r>
            <w:r w:rsidR="00743ED1">
              <w:rPr>
                <w:rFonts w:ascii="Times New Roman" w:hAnsi="Times New Roman"/>
                <w:color w:val="000000"/>
              </w:rPr>
              <w:t xml:space="preserve"> </w:t>
            </w:r>
            <w:r w:rsidRPr="00534C57">
              <w:rPr>
                <w:rFonts w:ascii="Times New Roman" w:hAnsi="Times New Roman"/>
                <w:color w:val="000000"/>
              </w:rPr>
              <w:t>parą *</w:t>
            </w:r>
          </w:p>
          <w:p w14:paraId="1F790A6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190200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12A736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499363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300</w:t>
            </w:r>
            <w:r w:rsidR="00743ED1">
              <w:rPr>
                <w:rFonts w:ascii="Times New Roman" w:hAnsi="Times New Roman"/>
                <w:color w:val="000000"/>
              </w:rPr>
              <w:t> </w:t>
            </w:r>
            <w:r w:rsidRPr="00534C57">
              <w:rPr>
                <w:rFonts w:ascii="Times New Roman" w:hAnsi="Times New Roman"/>
                <w:color w:val="000000"/>
              </w:rPr>
              <w:t>mg efavirenzo dozė 1 x parą, vartojama kartu su 400</w:t>
            </w:r>
            <w:r w:rsidR="00743ED1">
              <w:rPr>
                <w:rFonts w:ascii="Times New Roman" w:hAnsi="Times New Roman"/>
                <w:color w:val="000000"/>
              </w:rPr>
              <w:t> </w:t>
            </w:r>
            <w:r w:rsidRPr="00534C57">
              <w:rPr>
                <w:rFonts w:ascii="Times New Roman" w:hAnsi="Times New Roman"/>
                <w:color w:val="000000"/>
              </w:rPr>
              <w:t>mg vorikonazolo 2 x  parą)*</w:t>
            </w:r>
          </w:p>
        </w:tc>
        <w:tc>
          <w:tcPr>
            <w:tcW w:w="3121" w:type="dxa"/>
          </w:tcPr>
          <w:p w14:paraId="24C1C97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95B990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A09ED0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9D815E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1CCA39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2ABE66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7B34A3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4324A4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Efavirenzo Cmax ↑ 38 %</w:t>
            </w:r>
          </w:p>
          <w:p w14:paraId="7857CDF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Efavirenzo AUCτ ↑ 44 %</w:t>
            </w:r>
          </w:p>
          <w:p w14:paraId="5B8596E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61 %</w:t>
            </w:r>
          </w:p>
          <w:p w14:paraId="2EFC21C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77 %</w:t>
            </w:r>
          </w:p>
          <w:p w14:paraId="19A85F5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B5DEE6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Palyginti su 600</w:t>
            </w:r>
            <w:r w:rsidR="00743ED1">
              <w:rPr>
                <w:rFonts w:ascii="Times New Roman" w:hAnsi="Times New Roman"/>
                <w:color w:val="000000"/>
              </w:rPr>
              <w:t> </w:t>
            </w:r>
            <w:r w:rsidRPr="00534C57">
              <w:rPr>
                <w:rFonts w:ascii="Times New Roman" w:hAnsi="Times New Roman"/>
                <w:color w:val="000000"/>
              </w:rPr>
              <w:t xml:space="preserve">mg efavirenzo doze 1 x per parą, efavirenzo Cmax ↔efavirenzo AUCτ ↑ 17 % </w:t>
            </w:r>
          </w:p>
          <w:p w14:paraId="0D90044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900818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Palyginti su 200</w:t>
            </w:r>
            <w:r w:rsidR="00743ED1">
              <w:rPr>
                <w:rFonts w:ascii="Times New Roman" w:hAnsi="Times New Roman"/>
                <w:color w:val="000000"/>
              </w:rPr>
              <w:t> </w:t>
            </w:r>
            <w:r w:rsidRPr="00534C57">
              <w:rPr>
                <w:rFonts w:ascii="Times New Roman" w:hAnsi="Times New Roman"/>
                <w:color w:val="000000"/>
              </w:rPr>
              <w:t>mg vorikonazolo doze 2 x parą, vorikonazolo Cmax ↑ 23 % vorikonazolo AUCτ ↓ 7 %</w:t>
            </w:r>
          </w:p>
        </w:tc>
        <w:tc>
          <w:tcPr>
            <w:tcW w:w="2998" w:type="dxa"/>
          </w:tcPr>
          <w:p w14:paraId="537666F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005A12A4"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A89D46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34A731F1"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0D33B251"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34C8939"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7A39013B"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77F1371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vartoti įprastas vorikonazolo dozes kartu su efavirenzo 400</w:t>
            </w:r>
            <w:r w:rsidR="00743ED1">
              <w:rPr>
                <w:rFonts w:ascii="Times New Roman" w:hAnsi="Times New Roman"/>
                <w:color w:val="000000"/>
              </w:rPr>
              <w:t> </w:t>
            </w:r>
            <w:r w:rsidRPr="00534C57">
              <w:rPr>
                <w:rFonts w:ascii="Times New Roman" w:hAnsi="Times New Roman"/>
                <w:color w:val="000000"/>
              </w:rPr>
              <w:t>mg 1</w:t>
            </w:r>
            <w:r w:rsidR="00743ED1">
              <w:rPr>
                <w:rFonts w:ascii="Times New Roman" w:hAnsi="Times New Roman"/>
                <w:color w:val="000000"/>
              </w:rPr>
              <w:t> </w:t>
            </w:r>
            <w:r w:rsidRPr="00534C57">
              <w:rPr>
                <w:rFonts w:ascii="Times New Roman" w:hAnsi="Times New Roman"/>
                <w:color w:val="000000"/>
              </w:rPr>
              <w:t>x parą arba didesnėmis dozėmis (žr. 4.3 skyrių).</w:t>
            </w:r>
          </w:p>
          <w:p w14:paraId="7BDBFE9E" w14:textId="20C30BC6"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Vorikonazolą galima vartoti kartu su efavirenzu, jeigu vorikonazolo palaikomoji dozė padidinama iki 400</w:t>
            </w:r>
            <w:r w:rsidR="00743ED1">
              <w:rPr>
                <w:rFonts w:ascii="Times New Roman" w:hAnsi="Times New Roman"/>
                <w:color w:val="000000"/>
              </w:rPr>
              <w:t> </w:t>
            </w:r>
            <w:r w:rsidRPr="00534C57">
              <w:rPr>
                <w:rFonts w:ascii="Times New Roman" w:hAnsi="Times New Roman"/>
                <w:color w:val="000000"/>
              </w:rPr>
              <w:t>mg 2 x parą, o efavirenzo dozė sumažinama iki 300</w:t>
            </w:r>
            <w:r w:rsidR="00743ED1">
              <w:rPr>
                <w:rFonts w:ascii="Times New Roman" w:hAnsi="Times New Roman"/>
                <w:color w:val="000000"/>
              </w:rPr>
              <w:t> </w:t>
            </w:r>
            <w:r w:rsidRPr="00534C57">
              <w:rPr>
                <w:rFonts w:ascii="Times New Roman" w:hAnsi="Times New Roman"/>
                <w:color w:val="000000"/>
              </w:rPr>
              <w:t>mg 1 x parą. Nutraukus gydymą vorikonazolu, reikia vėl atnaujinti pradinės efavirenzo dozės vartojimą (žr. 4.2 ir 4.4 skyri</w:t>
            </w:r>
            <w:r w:rsidR="00B92818">
              <w:rPr>
                <w:rFonts w:ascii="Times New Roman" w:hAnsi="Times New Roman"/>
                <w:color w:val="000000"/>
              </w:rPr>
              <w:t>us</w:t>
            </w:r>
            <w:r w:rsidRPr="00534C57">
              <w:rPr>
                <w:rFonts w:ascii="Times New Roman" w:hAnsi="Times New Roman"/>
                <w:color w:val="000000"/>
              </w:rPr>
              <w:t>).</w:t>
            </w:r>
          </w:p>
        </w:tc>
      </w:tr>
      <w:tr w:rsidR="00914B2F" w:rsidRPr="00F909DC" w14:paraId="08843085" w14:textId="77777777" w:rsidTr="00DC01BC">
        <w:tc>
          <w:tcPr>
            <w:tcW w:w="2941" w:type="dxa"/>
          </w:tcPr>
          <w:p w14:paraId="1234D16C" w14:textId="75A76BE4"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Skalsių alkaloidai (</w:t>
            </w:r>
            <w:r w:rsidR="00B92818">
              <w:rPr>
                <w:rFonts w:ascii="Times New Roman" w:hAnsi="Times New Roman"/>
                <w:color w:val="000000"/>
              </w:rPr>
              <w:t>įskaitant, bet neapsiribojant:</w:t>
            </w:r>
            <w:r w:rsidR="00B92818" w:rsidRPr="00534C57">
              <w:rPr>
                <w:rFonts w:ascii="Times New Roman" w:hAnsi="Times New Roman"/>
                <w:color w:val="000000"/>
              </w:rPr>
              <w:t xml:space="preserve"> </w:t>
            </w:r>
            <w:r w:rsidRPr="00534C57">
              <w:rPr>
                <w:rFonts w:ascii="Times New Roman" w:hAnsi="Times New Roman"/>
                <w:color w:val="000000"/>
              </w:rPr>
              <w:t xml:space="preserve">ergotaminas ir dihidroergotaminas) </w:t>
            </w:r>
          </w:p>
          <w:p w14:paraId="0F52E9B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substratai]</w:t>
            </w:r>
          </w:p>
        </w:tc>
        <w:tc>
          <w:tcPr>
            <w:tcW w:w="3121" w:type="dxa"/>
          </w:tcPr>
          <w:p w14:paraId="7ADCBDE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Nors tyrimų neatlikta, tikėtina, kad vorikonazolas didins skalsių alkaloidų koncentracijas plazmoje ir gali sukelti ergotizmą.</w:t>
            </w:r>
          </w:p>
        </w:tc>
        <w:tc>
          <w:tcPr>
            <w:tcW w:w="2998" w:type="dxa"/>
          </w:tcPr>
          <w:p w14:paraId="016E88D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(žr. 4.3 skyrių)</w:t>
            </w:r>
          </w:p>
        </w:tc>
      </w:tr>
      <w:tr w:rsidR="00743ED1" w:rsidRPr="00F909DC" w14:paraId="27F7BDCE" w14:textId="77777777" w:rsidTr="00DC01BC">
        <w:tc>
          <w:tcPr>
            <w:tcW w:w="2941" w:type="dxa"/>
          </w:tcPr>
          <w:p w14:paraId="52460953" w14:textId="77777777" w:rsidR="00505630" w:rsidRDefault="00743ED1" w:rsidP="001A51D1">
            <w:pPr>
              <w:spacing w:after="0" w:line="240" w:lineRule="auto"/>
              <w:rPr>
                <w:rFonts w:ascii="Times New Roman" w:hAnsi="Times New Roman"/>
              </w:rPr>
            </w:pPr>
            <w:r>
              <w:rPr>
                <w:rFonts w:ascii="Times New Roman" w:hAnsi="Times New Roman"/>
                <w:color w:val="000000"/>
              </w:rPr>
              <w:t>Lura</w:t>
            </w:r>
            <w:r w:rsidR="00DC7707">
              <w:rPr>
                <w:rFonts w:ascii="Times New Roman" w:hAnsi="Times New Roman"/>
                <w:color w:val="000000"/>
              </w:rPr>
              <w:t>z</w:t>
            </w:r>
            <w:r>
              <w:rPr>
                <w:rFonts w:ascii="Times New Roman" w:hAnsi="Times New Roman"/>
                <w:color w:val="000000"/>
              </w:rPr>
              <w:t>idonas</w:t>
            </w:r>
            <w:r>
              <w:rPr>
                <w:rFonts w:ascii="Times New Roman" w:hAnsi="Times New Roman"/>
              </w:rPr>
              <w:t xml:space="preserve"> </w:t>
            </w:r>
          </w:p>
          <w:p w14:paraId="63E0A488" w14:textId="77777777" w:rsidR="00743ED1" w:rsidRPr="00534C57" w:rsidRDefault="001A51D1" w:rsidP="001A51D1">
            <w:pPr>
              <w:spacing w:after="0" w:line="240" w:lineRule="auto"/>
              <w:rPr>
                <w:rFonts w:ascii="Times New Roman" w:hAnsi="Times New Roman"/>
                <w:color w:val="000000"/>
              </w:rPr>
            </w:pPr>
            <w:r w:rsidRPr="00505630">
              <w:rPr>
                <w:rFonts w:ascii="Times New Roman" w:hAnsi="Times New Roman"/>
                <w:i/>
              </w:rPr>
              <w:t>[</w:t>
            </w:r>
            <w:r w:rsidR="00743ED1" w:rsidRPr="00026233">
              <w:rPr>
                <w:rFonts w:ascii="Times New Roman" w:hAnsi="Times New Roman"/>
                <w:i/>
              </w:rPr>
              <w:t>CYP3A4 substratas</w:t>
            </w:r>
            <w:r w:rsidRPr="00026233">
              <w:rPr>
                <w:rFonts w:ascii="Times New Roman" w:hAnsi="Times New Roman"/>
                <w:i/>
              </w:rPr>
              <w:t>]</w:t>
            </w:r>
          </w:p>
        </w:tc>
        <w:tc>
          <w:tcPr>
            <w:tcW w:w="3121" w:type="dxa"/>
          </w:tcPr>
          <w:p w14:paraId="3C14E2CD" w14:textId="77777777" w:rsidR="00743ED1" w:rsidRPr="00534C57" w:rsidRDefault="001A51D1" w:rsidP="001A51D1">
            <w:pPr>
              <w:spacing w:after="0" w:line="240" w:lineRule="auto"/>
              <w:rPr>
                <w:rFonts w:ascii="Times New Roman" w:hAnsi="Times New Roman"/>
                <w:color w:val="000000"/>
              </w:rPr>
            </w:pPr>
            <w:r>
              <w:rPr>
                <w:rFonts w:ascii="Times New Roman" w:hAnsi="Times New Roman"/>
              </w:rPr>
              <w:t xml:space="preserve">Nors nenustatyta, tikėtina, kad </w:t>
            </w:r>
            <w:r w:rsidR="00505630">
              <w:rPr>
                <w:rFonts w:ascii="Times New Roman" w:hAnsi="Times New Roman"/>
              </w:rPr>
              <w:t>vo</w:t>
            </w:r>
            <w:r>
              <w:rPr>
                <w:rFonts w:ascii="Times New Roman" w:hAnsi="Times New Roman"/>
              </w:rPr>
              <w:t>rikonazolas reikšmingai padidins lura</w:t>
            </w:r>
            <w:r w:rsidR="00DC7707">
              <w:rPr>
                <w:rFonts w:ascii="Times New Roman" w:hAnsi="Times New Roman"/>
              </w:rPr>
              <w:t>z</w:t>
            </w:r>
            <w:r>
              <w:rPr>
                <w:rFonts w:ascii="Times New Roman" w:hAnsi="Times New Roman"/>
              </w:rPr>
              <w:t>idono koncentraciją kraujo plazmoje</w:t>
            </w:r>
          </w:p>
        </w:tc>
        <w:tc>
          <w:tcPr>
            <w:tcW w:w="2998" w:type="dxa"/>
          </w:tcPr>
          <w:p w14:paraId="084DB3CF" w14:textId="77777777" w:rsidR="00743ED1" w:rsidRPr="00534C57" w:rsidRDefault="001A51D1"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(žr. 4.3 skyrių)</w:t>
            </w:r>
          </w:p>
        </w:tc>
      </w:tr>
      <w:tr w:rsidR="00743ED1" w:rsidRPr="00F909DC" w14:paraId="7114EBA7" w14:textId="77777777" w:rsidTr="00DC01BC">
        <w:tc>
          <w:tcPr>
            <w:tcW w:w="2941" w:type="dxa"/>
          </w:tcPr>
          <w:p w14:paraId="663944C0" w14:textId="77777777" w:rsidR="00505630" w:rsidRDefault="001A51D1" w:rsidP="002F3324">
            <w:pPr>
              <w:autoSpaceDE w:val="0"/>
              <w:autoSpaceDN w:val="0"/>
              <w:adjustRightInd w:val="0"/>
              <w:spacing w:after="0" w:line="240" w:lineRule="auto"/>
              <w:rPr>
                <w:rFonts w:ascii="Times New Roman" w:hAnsi="Times New Roman"/>
                <w:color w:val="000000"/>
              </w:rPr>
            </w:pPr>
            <w:r w:rsidRPr="00026233">
              <w:rPr>
                <w:rFonts w:ascii="Times New Roman" w:hAnsi="Times New Roman"/>
                <w:color w:val="000000"/>
              </w:rPr>
              <w:t xml:space="preserve">Naloksegolas </w:t>
            </w:r>
          </w:p>
          <w:p w14:paraId="3E0F6D71" w14:textId="77777777" w:rsidR="00743ED1" w:rsidRPr="00026233" w:rsidRDefault="001A51D1" w:rsidP="002F3324">
            <w:pPr>
              <w:autoSpaceDE w:val="0"/>
              <w:autoSpaceDN w:val="0"/>
              <w:adjustRightInd w:val="0"/>
              <w:spacing w:after="0" w:line="240" w:lineRule="auto"/>
              <w:rPr>
                <w:rFonts w:ascii="Times New Roman" w:hAnsi="Times New Roman"/>
                <w:color w:val="000000"/>
              </w:rPr>
            </w:pPr>
            <w:r w:rsidRPr="00026233">
              <w:rPr>
                <w:rFonts w:ascii="Times New Roman" w:hAnsi="Times New Roman"/>
                <w:i/>
                <w:color w:val="000000"/>
              </w:rPr>
              <w:t>[CYP3A4 substratas]</w:t>
            </w:r>
          </w:p>
        </w:tc>
        <w:tc>
          <w:tcPr>
            <w:tcW w:w="3121" w:type="dxa"/>
          </w:tcPr>
          <w:p w14:paraId="70E64CE8" w14:textId="77777777" w:rsidR="00743ED1" w:rsidRPr="00534C57" w:rsidRDefault="001A51D1" w:rsidP="001A51D1">
            <w:pPr>
              <w:autoSpaceDE w:val="0"/>
              <w:autoSpaceDN w:val="0"/>
              <w:adjustRightInd w:val="0"/>
              <w:spacing w:after="0" w:line="240" w:lineRule="auto"/>
              <w:rPr>
                <w:rFonts w:ascii="Times New Roman" w:hAnsi="Times New Roman"/>
                <w:color w:val="000000"/>
              </w:rPr>
            </w:pPr>
            <w:r>
              <w:rPr>
                <w:rFonts w:ascii="Times New Roman" w:hAnsi="Times New Roman"/>
              </w:rPr>
              <w:t xml:space="preserve">Nors nenustatyta, tikėtina, </w:t>
            </w:r>
            <w:r w:rsidR="00505630">
              <w:rPr>
                <w:rFonts w:ascii="Times New Roman" w:hAnsi="Times New Roman"/>
              </w:rPr>
              <w:t>kad vo</w:t>
            </w:r>
            <w:r>
              <w:rPr>
                <w:rFonts w:ascii="Times New Roman" w:hAnsi="Times New Roman"/>
              </w:rPr>
              <w:t>rikonazolas reikšmingai padidins naloksegolo koncentraciją kraujo plazmoje</w:t>
            </w:r>
          </w:p>
        </w:tc>
        <w:tc>
          <w:tcPr>
            <w:tcW w:w="2998" w:type="dxa"/>
          </w:tcPr>
          <w:p w14:paraId="4E215DB6" w14:textId="77777777" w:rsidR="00743ED1" w:rsidRPr="00534C57" w:rsidRDefault="001A51D1" w:rsidP="002F3324">
            <w:pPr>
              <w:autoSpaceDE w:val="0"/>
              <w:autoSpaceDN w:val="0"/>
              <w:adjustRightInd w:val="0"/>
              <w:spacing w:after="0" w:line="240" w:lineRule="auto"/>
              <w:rPr>
                <w:rFonts w:ascii="Times New Roman" w:hAnsi="Times New Roman"/>
                <w:b/>
                <w:bCs/>
                <w:color w:val="000000"/>
              </w:rPr>
            </w:pPr>
            <w:r>
              <w:rPr>
                <w:rFonts w:ascii="Times New Roman" w:hAnsi="Times New Roman"/>
                <w:b/>
                <w:bCs/>
                <w:color w:val="000000"/>
              </w:rPr>
              <w:t xml:space="preserve">Kontraindikacija </w:t>
            </w:r>
            <w:r>
              <w:rPr>
                <w:rFonts w:ascii="Times New Roman" w:hAnsi="Times New Roman"/>
                <w:color w:val="000000"/>
              </w:rPr>
              <w:t>(žr. 4.3 skyrių)</w:t>
            </w:r>
          </w:p>
        </w:tc>
      </w:tr>
      <w:tr w:rsidR="00914B2F" w:rsidRPr="00F909DC" w14:paraId="5ABB8CB7" w14:textId="77777777" w:rsidTr="00DC01BC">
        <w:tc>
          <w:tcPr>
            <w:tcW w:w="2941" w:type="dxa"/>
          </w:tcPr>
          <w:p w14:paraId="4AA14C0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Rifabutinas </w:t>
            </w:r>
          </w:p>
          <w:p w14:paraId="28EE3A74"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[stipraus poveikio CYP450 sužadinantis vaistinis preparatas]</w:t>
            </w:r>
          </w:p>
          <w:p w14:paraId="5645376D"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386C2EC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300</w:t>
            </w:r>
            <w:r w:rsidR="00743ED1">
              <w:rPr>
                <w:rFonts w:ascii="Times New Roman" w:hAnsi="Times New Roman"/>
                <w:color w:val="000000"/>
              </w:rPr>
              <w:t> </w:t>
            </w:r>
            <w:r w:rsidRPr="00534C57">
              <w:rPr>
                <w:rFonts w:ascii="Times New Roman" w:hAnsi="Times New Roman"/>
                <w:color w:val="000000"/>
              </w:rPr>
              <w:t>mg dozė 1 x parą</w:t>
            </w:r>
          </w:p>
          <w:p w14:paraId="294B94D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39A8C7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B0BBB8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300</w:t>
            </w:r>
            <w:r w:rsidR="00743ED1">
              <w:rPr>
                <w:rFonts w:ascii="Times New Roman" w:hAnsi="Times New Roman"/>
                <w:color w:val="000000"/>
              </w:rPr>
              <w:t> </w:t>
            </w:r>
            <w:r w:rsidRPr="00534C57">
              <w:rPr>
                <w:rFonts w:ascii="Times New Roman" w:hAnsi="Times New Roman"/>
                <w:color w:val="000000"/>
              </w:rPr>
              <w:t>mg dozė 1 x parą (vartojama kartu su 350</w:t>
            </w:r>
            <w:r w:rsidR="00743ED1">
              <w:rPr>
                <w:rFonts w:ascii="Times New Roman" w:hAnsi="Times New Roman"/>
                <w:color w:val="000000"/>
              </w:rPr>
              <w:t> </w:t>
            </w:r>
            <w:r w:rsidRPr="00534C57">
              <w:rPr>
                <w:rFonts w:ascii="Times New Roman" w:hAnsi="Times New Roman"/>
                <w:color w:val="000000"/>
              </w:rPr>
              <w:t>mg vorikonazolo 2 x parą)*</w:t>
            </w:r>
          </w:p>
          <w:p w14:paraId="3C26CF8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7F4A75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FC49603" w14:textId="77777777" w:rsidR="002F3324" w:rsidRPr="00534C57" w:rsidRDefault="002F3324" w:rsidP="00743ED1">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300</w:t>
            </w:r>
            <w:r w:rsidR="00743ED1">
              <w:rPr>
                <w:rFonts w:ascii="Times New Roman" w:hAnsi="Times New Roman"/>
                <w:color w:val="000000"/>
              </w:rPr>
              <w:t> </w:t>
            </w:r>
            <w:r w:rsidRPr="00534C57">
              <w:rPr>
                <w:rFonts w:ascii="Times New Roman" w:hAnsi="Times New Roman"/>
                <w:color w:val="000000"/>
              </w:rPr>
              <w:t>mg dozė 1 x parą (vartojama kartu su 400</w:t>
            </w:r>
            <w:r w:rsidR="00743ED1">
              <w:rPr>
                <w:rFonts w:ascii="Times New Roman" w:hAnsi="Times New Roman"/>
                <w:color w:val="000000"/>
              </w:rPr>
              <w:t> </w:t>
            </w:r>
            <w:r w:rsidRPr="00534C57">
              <w:rPr>
                <w:rFonts w:ascii="Times New Roman" w:hAnsi="Times New Roman"/>
                <w:color w:val="000000"/>
              </w:rPr>
              <w:t>mg vorikonazolo 2 x parą)*</w:t>
            </w:r>
          </w:p>
        </w:tc>
        <w:tc>
          <w:tcPr>
            <w:tcW w:w="3121" w:type="dxa"/>
          </w:tcPr>
          <w:p w14:paraId="73BBD00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728555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15EB87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9D72FC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F50C5D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8C4016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69 % Vorikonazolo AUCτ↓ 78 %</w:t>
            </w:r>
          </w:p>
          <w:p w14:paraId="6275F2B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1EDB98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Palyginti su 200</w:t>
            </w:r>
            <w:r w:rsidR="00743ED1">
              <w:rPr>
                <w:rFonts w:ascii="Times New Roman" w:hAnsi="Times New Roman"/>
                <w:color w:val="000000"/>
              </w:rPr>
              <w:t> </w:t>
            </w:r>
            <w:r w:rsidRPr="00534C57">
              <w:rPr>
                <w:rFonts w:ascii="Times New Roman" w:hAnsi="Times New Roman"/>
                <w:color w:val="000000"/>
              </w:rPr>
              <w:t xml:space="preserve">mg vorikonazolo doze 2 x parą, </w:t>
            </w:r>
          </w:p>
          <w:p w14:paraId="77F2BEA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Vorikonazolo Cmax ↓ 4 % </w:t>
            </w:r>
          </w:p>
          <w:p w14:paraId="3689651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32 %</w:t>
            </w:r>
          </w:p>
          <w:p w14:paraId="4FF6E07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D0E244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Rifabutino Cmax ↑ 195 %</w:t>
            </w:r>
          </w:p>
          <w:p w14:paraId="3292729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Rifabutino AUCτ ↑ 331 %</w:t>
            </w:r>
          </w:p>
          <w:p w14:paraId="3743BB1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Palyginti su 200</w:t>
            </w:r>
            <w:r w:rsidR="00467811">
              <w:rPr>
                <w:rFonts w:ascii="Times New Roman" w:hAnsi="Times New Roman"/>
                <w:color w:val="000000"/>
              </w:rPr>
              <w:t> </w:t>
            </w:r>
            <w:r w:rsidRPr="00534C57">
              <w:rPr>
                <w:rFonts w:ascii="Times New Roman" w:hAnsi="Times New Roman"/>
                <w:color w:val="000000"/>
              </w:rPr>
              <w:t>mg vorikonazolo doze 2 x parą</w:t>
            </w:r>
          </w:p>
          <w:p w14:paraId="3C6C405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104 %</w:t>
            </w:r>
          </w:p>
          <w:p w14:paraId="1FECEFD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87 %</w:t>
            </w:r>
          </w:p>
        </w:tc>
        <w:tc>
          <w:tcPr>
            <w:tcW w:w="2998" w:type="dxa"/>
          </w:tcPr>
          <w:p w14:paraId="5FB91731" w14:textId="77777777" w:rsidR="002F3324" w:rsidRPr="00534C57" w:rsidRDefault="002F3324" w:rsidP="00743ED1">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Reikia vengti vorikonazolą vartoti kartu su rifabutinu, išskyrus atvejus, kai nauda viršija riziką. Palaikomąją vorikonazolo dozę galima padidinti iki 5 mg/kg kūno svorio į veną 2 x parą arba nuo 200</w:t>
            </w:r>
            <w:r w:rsidR="00743ED1">
              <w:rPr>
                <w:rFonts w:ascii="Times New Roman" w:hAnsi="Times New Roman"/>
                <w:color w:val="000000"/>
              </w:rPr>
              <w:t> </w:t>
            </w:r>
            <w:r w:rsidRPr="00534C57">
              <w:rPr>
                <w:rFonts w:ascii="Times New Roman" w:hAnsi="Times New Roman"/>
                <w:color w:val="000000"/>
              </w:rPr>
              <w:t>mg iki 350</w:t>
            </w:r>
            <w:r w:rsidR="00743ED1">
              <w:rPr>
                <w:rFonts w:ascii="Times New Roman" w:hAnsi="Times New Roman"/>
                <w:color w:val="000000"/>
              </w:rPr>
              <w:t> </w:t>
            </w:r>
            <w:r w:rsidRPr="00534C57">
              <w:rPr>
                <w:rFonts w:ascii="Times New Roman" w:hAnsi="Times New Roman"/>
                <w:color w:val="000000"/>
              </w:rPr>
              <w:t xml:space="preserve">mg per burną 2 </w:t>
            </w:r>
            <w:r w:rsidRPr="00534C57">
              <w:rPr>
                <w:rFonts w:ascii="Times New Roman" w:hAnsi="Times New Roman"/>
                <w:color w:val="000000"/>
              </w:rPr>
              <w:lastRenderedPageBreak/>
              <w:t>x parą (nuo 100</w:t>
            </w:r>
            <w:r w:rsidR="00743ED1">
              <w:rPr>
                <w:rFonts w:ascii="Times New Roman" w:hAnsi="Times New Roman"/>
                <w:color w:val="000000"/>
              </w:rPr>
              <w:t> </w:t>
            </w:r>
            <w:r w:rsidRPr="00534C57">
              <w:rPr>
                <w:rFonts w:ascii="Times New Roman" w:hAnsi="Times New Roman"/>
                <w:color w:val="000000"/>
              </w:rPr>
              <w:t>mg iki 200</w:t>
            </w:r>
            <w:r w:rsidR="00743ED1">
              <w:rPr>
                <w:rFonts w:ascii="Times New Roman" w:hAnsi="Times New Roman"/>
                <w:color w:val="000000"/>
              </w:rPr>
              <w:t> </w:t>
            </w:r>
            <w:r w:rsidRPr="00534C57">
              <w:rPr>
                <w:rFonts w:ascii="Times New Roman" w:hAnsi="Times New Roman"/>
                <w:color w:val="000000"/>
              </w:rPr>
              <w:t>mg per burną 2 x parą pacientams, kurių kūno masė mažesnė kaip 40</w:t>
            </w:r>
            <w:r w:rsidR="00743ED1">
              <w:rPr>
                <w:rFonts w:ascii="Times New Roman" w:hAnsi="Times New Roman"/>
                <w:color w:val="000000"/>
              </w:rPr>
              <w:t> </w:t>
            </w:r>
            <w:r w:rsidRPr="00534C57">
              <w:rPr>
                <w:rFonts w:ascii="Times New Roman" w:hAnsi="Times New Roman"/>
                <w:color w:val="000000"/>
              </w:rPr>
              <w:t>kg) (žr. 4.2 skyrių). Rekomenduojama atidžiai stebėti visų kraujo ląstelių kiekį ir nepageidaujamas reakcijas į rifabutiną (pvz., uveitas), vartojant rifabutiną kartu su vorikonazolu.</w:t>
            </w:r>
          </w:p>
        </w:tc>
      </w:tr>
      <w:tr w:rsidR="00914B2F" w:rsidRPr="00F909DC" w14:paraId="26B1C47E" w14:textId="77777777" w:rsidTr="00DC01BC">
        <w:tc>
          <w:tcPr>
            <w:tcW w:w="2941" w:type="dxa"/>
          </w:tcPr>
          <w:p w14:paraId="6812211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Rifampicinas (600</w:t>
            </w:r>
            <w:r w:rsidR="00743ED1">
              <w:rPr>
                <w:rFonts w:ascii="Times New Roman" w:hAnsi="Times New Roman"/>
                <w:color w:val="000000"/>
              </w:rPr>
              <w:t> </w:t>
            </w:r>
            <w:r w:rsidRPr="00534C57">
              <w:rPr>
                <w:rFonts w:ascii="Times New Roman" w:hAnsi="Times New Roman"/>
                <w:color w:val="000000"/>
              </w:rPr>
              <w:t>mg dozė 1 x parą)</w:t>
            </w:r>
          </w:p>
          <w:p w14:paraId="1A8D778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[stipraus poveikio CYP450 sužadinantis vaistas]</w:t>
            </w:r>
          </w:p>
        </w:tc>
        <w:tc>
          <w:tcPr>
            <w:tcW w:w="3121" w:type="dxa"/>
          </w:tcPr>
          <w:p w14:paraId="402F6B0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93 %</w:t>
            </w:r>
          </w:p>
          <w:p w14:paraId="7628F3F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96 %</w:t>
            </w:r>
          </w:p>
        </w:tc>
        <w:tc>
          <w:tcPr>
            <w:tcW w:w="2998" w:type="dxa"/>
          </w:tcPr>
          <w:p w14:paraId="1C23DBB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(žr. 4.3 skyrių)</w:t>
            </w:r>
          </w:p>
        </w:tc>
      </w:tr>
      <w:tr w:rsidR="00914B2F" w:rsidRPr="00F909DC" w14:paraId="513E18E6" w14:textId="77777777" w:rsidTr="00DC01BC">
        <w:tc>
          <w:tcPr>
            <w:tcW w:w="2941" w:type="dxa"/>
          </w:tcPr>
          <w:p w14:paraId="0CCBDFA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Ritonaviras (proteazės inhibitorius)</w:t>
            </w:r>
          </w:p>
          <w:p w14:paraId="044FE74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[stipraus poveikio CYP450 sužadinantis vaistinis preparatas, CYP3A4 inhibitorius ir substratas]</w:t>
            </w:r>
            <w:r w:rsidRPr="00534C57">
              <w:rPr>
                <w:rFonts w:ascii="Times New Roman" w:hAnsi="Times New Roman"/>
                <w:color w:val="000000"/>
              </w:rPr>
              <w:t xml:space="preserve"> Didelė dozė (400</w:t>
            </w:r>
            <w:r w:rsidR="00743ED1">
              <w:rPr>
                <w:rFonts w:ascii="Times New Roman" w:hAnsi="Times New Roman"/>
                <w:color w:val="000000"/>
              </w:rPr>
              <w:t> </w:t>
            </w:r>
            <w:r w:rsidRPr="00534C57">
              <w:rPr>
                <w:rFonts w:ascii="Times New Roman" w:hAnsi="Times New Roman"/>
                <w:color w:val="000000"/>
              </w:rPr>
              <w:t>mg dozė)</w:t>
            </w:r>
          </w:p>
          <w:p w14:paraId="08677D7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543D67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687E74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Maža dozė (100</w:t>
            </w:r>
            <w:r w:rsidR="00743ED1">
              <w:rPr>
                <w:rFonts w:ascii="Times New Roman" w:hAnsi="Times New Roman"/>
                <w:color w:val="000000"/>
              </w:rPr>
              <w:t> </w:t>
            </w:r>
            <w:r w:rsidRPr="00534C57">
              <w:rPr>
                <w:rFonts w:ascii="Times New Roman" w:hAnsi="Times New Roman"/>
                <w:color w:val="000000"/>
              </w:rPr>
              <w:t>mg dozė</w:t>
            </w:r>
          </w:p>
          <w:p w14:paraId="76C06A4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2 x parą)*</w:t>
            </w:r>
          </w:p>
        </w:tc>
        <w:tc>
          <w:tcPr>
            <w:tcW w:w="3121" w:type="dxa"/>
          </w:tcPr>
          <w:p w14:paraId="4EBA1DA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51167A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7C2BB3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4956B1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3398AE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193637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E5B9D0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Ritonaviro Cmax ir AUCτ ↔</w:t>
            </w:r>
          </w:p>
          <w:p w14:paraId="0BA301D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66 %</w:t>
            </w:r>
          </w:p>
          <w:p w14:paraId="078B2E3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82 %</w:t>
            </w:r>
          </w:p>
          <w:p w14:paraId="0179A16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23255B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Ritonaviro Cmax ↓ 25 %</w:t>
            </w:r>
          </w:p>
          <w:p w14:paraId="50104BF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Ritonaviro AUCτ ↓ 13 %</w:t>
            </w:r>
          </w:p>
          <w:p w14:paraId="1C4018D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24 %</w:t>
            </w:r>
          </w:p>
          <w:p w14:paraId="6204DB4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39 %</w:t>
            </w:r>
          </w:p>
        </w:tc>
        <w:tc>
          <w:tcPr>
            <w:tcW w:w="2998" w:type="dxa"/>
          </w:tcPr>
          <w:p w14:paraId="6F5DD67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vartoti</w:t>
            </w:r>
          </w:p>
          <w:p w14:paraId="7DFA581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vorikonazolą kartu su</w:t>
            </w:r>
          </w:p>
          <w:p w14:paraId="0813678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didelėmis ritonaviro dozėmis (400</w:t>
            </w:r>
            <w:r w:rsidR="00743ED1">
              <w:rPr>
                <w:rFonts w:ascii="Times New Roman" w:hAnsi="Times New Roman"/>
                <w:color w:val="000000"/>
              </w:rPr>
              <w:t> </w:t>
            </w:r>
            <w:r w:rsidRPr="00534C57">
              <w:rPr>
                <w:rFonts w:ascii="Times New Roman" w:hAnsi="Times New Roman"/>
                <w:color w:val="000000"/>
              </w:rPr>
              <w:t xml:space="preserve">mg ir didesnėmis 2 x parą) (žr. 4.3 skyrių). </w:t>
            </w:r>
          </w:p>
          <w:p w14:paraId="6B770D17"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Reikia vengti vorikonazolą vartoti kartu su maža ritonaviro doze (100</w:t>
            </w:r>
            <w:r w:rsidR="00743ED1">
              <w:rPr>
                <w:rFonts w:ascii="Times New Roman" w:hAnsi="Times New Roman"/>
                <w:color w:val="000000"/>
              </w:rPr>
              <w:t> </w:t>
            </w:r>
            <w:r w:rsidRPr="00534C57">
              <w:rPr>
                <w:rFonts w:ascii="Times New Roman" w:hAnsi="Times New Roman"/>
                <w:color w:val="000000"/>
              </w:rPr>
              <w:t>mg doze 2 x parą), išskyrus atvejus, kai įvertinus naudos ir rizikos santykį, vorikonazolo vartojimas pacientui yra pateisinamas.</w:t>
            </w:r>
          </w:p>
        </w:tc>
      </w:tr>
      <w:tr w:rsidR="00914B2F" w:rsidRPr="00F909DC" w14:paraId="0D321891" w14:textId="77777777" w:rsidTr="00DC01BC">
        <w:tc>
          <w:tcPr>
            <w:tcW w:w="2941" w:type="dxa"/>
          </w:tcPr>
          <w:p w14:paraId="564E1EF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Jonažolės preparatai</w:t>
            </w:r>
          </w:p>
          <w:p w14:paraId="0E07141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[CYP450 sužadinantis vaistinis preparatas, P-gp sužadinantis vaistinis preparatas]</w:t>
            </w:r>
            <w:r w:rsidRPr="00534C57">
              <w:rPr>
                <w:rFonts w:ascii="Times New Roman" w:hAnsi="Times New Roman"/>
                <w:color w:val="000000"/>
              </w:rPr>
              <w:t xml:space="preserve"> </w:t>
            </w:r>
          </w:p>
          <w:p w14:paraId="409B9EB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300</w:t>
            </w:r>
            <w:r w:rsidR="00743ED1">
              <w:rPr>
                <w:rFonts w:ascii="Times New Roman" w:hAnsi="Times New Roman"/>
                <w:color w:val="000000"/>
              </w:rPr>
              <w:t> </w:t>
            </w:r>
            <w:r w:rsidRPr="00534C57">
              <w:rPr>
                <w:rFonts w:ascii="Times New Roman" w:hAnsi="Times New Roman"/>
                <w:color w:val="000000"/>
              </w:rPr>
              <w:t>mg dozė 3 x parą (pavartota kartu su vienkartine 400</w:t>
            </w:r>
            <w:r w:rsidR="00743ED1">
              <w:rPr>
                <w:rFonts w:ascii="Times New Roman" w:hAnsi="Times New Roman"/>
                <w:color w:val="000000"/>
              </w:rPr>
              <w:t> </w:t>
            </w:r>
            <w:r w:rsidRPr="00534C57">
              <w:rPr>
                <w:rFonts w:ascii="Times New Roman" w:hAnsi="Times New Roman"/>
                <w:color w:val="000000"/>
              </w:rPr>
              <w:t>mg vorikonazolo doze)</w:t>
            </w:r>
          </w:p>
        </w:tc>
        <w:tc>
          <w:tcPr>
            <w:tcW w:w="3121" w:type="dxa"/>
          </w:tcPr>
          <w:p w14:paraId="2D238CF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Paskelbto nepriklausomo tyrimo duomenimis vorikonazolo AUC0−∞ ↓ 59 %</w:t>
            </w:r>
          </w:p>
        </w:tc>
        <w:tc>
          <w:tcPr>
            <w:tcW w:w="2998" w:type="dxa"/>
          </w:tcPr>
          <w:p w14:paraId="47E3E76D"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(žr. 4.3 skyrių).</w:t>
            </w:r>
          </w:p>
        </w:tc>
      </w:tr>
      <w:tr w:rsidR="001A51D1" w:rsidRPr="00F909DC" w14:paraId="364C262F" w14:textId="77777777" w:rsidTr="00DC01BC">
        <w:tc>
          <w:tcPr>
            <w:tcW w:w="2941" w:type="dxa"/>
          </w:tcPr>
          <w:p w14:paraId="55E52F97" w14:textId="77777777" w:rsidR="00505630" w:rsidRDefault="001A51D1" w:rsidP="002F3324">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Tolvaptanas </w:t>
            </w:r>
          </w:p>
          <w:p w14:paraId="545FA78B" w14:textId="77777777" w:rsidR="001A51D1" w:rsidRPr="00534C57" w:rsidRDefault="001A51D1" w:rsidP="002F3324">
            <w:pPr>
              <w:autoSpaceDE w:val="0"/>
              <w:autoSpaceDN w:val="0"/>
              <w:adjustRightInd w:val="0"/>
              <w:spacing w:after="0" w:line="240" w:lineRule="auto"/>
              <w:rPr>
                <w:rFonts w:ascii="Times New Roman" w:hAnsi="Times New Roman"/>
                <w:color w:val="000000"/>
              </w:rPr>
            </w:pPr>
            <w:r w:rsidRPr="00505630">
              <w:rPr>
                <w:rFonts w:ascii="Times New Roman" w:hAnsi="Times New Roman"/>
                <w:i/>
                <w:color w:val="000000"/>
              </w:rPr>
              <w:t>[</w:t>
            </w:r>
            <w:r w:rsidRPr="00026233">
              <w:rPr>
                <w:rFonts w:ascii="Times New Roman" w:hAnsi="Times New Roman"/>
                <w:i/>
                <w:color w:val="000000"/>
              </w:rPr>
              <w:t>CYP3A substratas]</w:t>
            </w:r>
          </w:p>
        </w:tc>
        <w:tc>
          <w:tcPr>
            <w:tcW w:w="3121" w:type="dxa"/>
          </w:tcPr>
          <w:p w14:paraId="74AB6AB7" w14:textId="77777777" w:rsidR="001A51D1" w:rsidRPr="00534C57" w:rsidRDefault="001A51D1" w:rsidP="00505630">
            <w:pPr>
              <w:autoSpaceDE w:val="0"/>
              <w:autoSpaceDN w:val="0"/>
              <w:adjustRightInd w:val="0"/>
              <w:spacing w:after="0" w:line="240" w:lineRule="auto"/>
              <w:rPr>
                <w:rFonts w:ascii="Times New Roman" w:hAnsi="Times New Roman"/>
                <w:color w:val="000000"/>
              </w:rPr>
            </w:pPr>
            <w:r>
              <w:rPr>
                <w:rFonts w:ascii="Times New Roman" w:hAnsi="Times New Roman"/>
              </w:rPr>
              <w:t>Nors neištirta, tikėtina, kad v</w:t>
            </w:r>
            <w:r w:rsidR="00505630">
              <w:rPr>
                <w:rFonts w:ascii="Times New Roman" w:hAnsi="Times New Roman"/>
              </w:rPr>
              <w:t>o</w:t>
            </w:r>
            <w:r>
              <w:rPr>
                <w:rFonts w:ascii="Times New Roman" w:hAnsi="Times New Roman"/>
              </w:rPr>
              <w:t>rikonazolas reikšmingai padidins tolvaptano koncentraciją kraujo plazmoje</w:t>
            </w:r>
          </w:p>
        </w:tc>
        <w:tc>
          <w:tcPr>
            <w:tcW w:w="2998" w:type="dxa"/>
          </w:tcPr>
          <w:p w14:paraId="6F29EBE8" w14:textId="77777777" w:rsidR="001A51D1" w:rsidRPr="00534C57" w:rsidRDefault="001A51D1" w:rsidP="002F3324">
            <w:pPr>
              <w:autoSpaceDE w:val="0"/>
              <w:autoSpaceDN w:val="0"/>
              <w:adjustRightInd w:val="0"/>
              <w:spacing w:after="0" w:line="240" w:lineRule="auto"/>
              <w:rPr>
                <w:rFonts w:ascii="Times New Roman" w:hAnsi="Times New Roman"/>
                <w:b/>
                <w:bCs/>
                <w:color w:val="000000"/>
              </w:rPr>
            </w:pPr>
            <w:r>
              <w:rPr>
                <w:rFonts w:ascii="Times New Roman" w:hAnsi="Times New Roman"/>
                <w:b/>
                <w:bCs/>
                <w:color w:val="000000"/>
              </w:rPr>
              <w:t xml:space="preserve">Kontraindikacija </w:t>
            </w:r>
            <w:r>
              <w:rPr>
                <w:rFonts w:ascii="Times New Roman" w:hAnsi="Times New Roman"/>
                <w:color w:val="000000"/>
              </w:rPr>
              <w:t>(žr. 4.3 skyrių)</w:t>
            </w:r>
          </w:p>
        </w:tc>
      </w:tr>
      <w:tr w:rsidR="003B7FB1" w:rsidRPr="00F909DC" w14:paraId="5B321ECD" w14:textId="77777777" w:rsidTr="00DC01BC">
        <w:tc>
          <w:tcPr>
            <w:tcW w:w="2941" w:type="dxa"/>
          </w:tcPr>
          <w:p w14:paraId="22619924" w14:textId="77777777" w:rsidR="003B7FB1" w:rsidRDefault="003B7FB1" w:rsidP="003B7FB1">
            <w:pPr>
              <w:autoSpaceDE w:val="0"/>
              <w:autoSpaceDN w:val="0"/>
              <w:adjustRightInd w:val="0"/>
              <w:spacing w:after="0" w:line="240" w:lineRule="auto"/>
              <w:rPr>
                <w:rFonts w:ascii="Times New Roman" w:hAnsi="Times New Roman"/>
                <w:color w:val="000000"/>
              </w:rPr>
            </w:pPr>
            <w:r>
              <w:rPr>
                <w:rFonts w:ascii="Times New Roman" w:hAnsi="Times New Roman"/>
                <w:color w:val="000000"/>
              </w:rPr>
              <w:t>Venetoklaksas</w:t>
            </w:r>
          </w:p>
          <w:p w14:paraId="153CB92C" w14:textId="77777777" w:rsidR="003B7FB1" w:rsidRPr="00534C57" w:rsidRDefault="003B7FB1" w:rsidP="003B7FB1">
            <w:pPr>
              <w:autoSpaceDE w:val="0"/>
              <w:autoSpaceDN w:val="0"/>
              <w:adjustRightInd w:val="0"/>
              <w:spacing w:after="0" w:line="240" w:lineRule="auto"/>
              <w:rPr>
                <w:rFonts w:ascii="Times New Roman" w:hAnsi="Times New Roman"/>
                <w:color w:val="000000"/>
              </w:rPr>
            </w:pPr>
            <w:r>
              <w:rPr>
                <w:rFonts w:ascii="Times New Roman" w:hAnsi="Times New Roman"/>
                <w:color w:val="000000"/>
              </w:rPr>
              <w:t>[CYP3A substratas]</w:t>
            </w:r>
          </w:p>
        </w:tc>
        <w:tc>
          <w:tcPr>
            <w:tcW w:w="3121" w:type="dxa"/>
          </w:tcPr>
          <w:p w14:paraId="55987E36" w14:textId="77777777" w:rsidR="003B7FB1" w:rsidRPr="00534C57" w:rsidRDefault="003B7FB1" w:rsidP="002F3324">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Nors tyrimų neatlikta, tikėtina, kad </w:t>
            </w:r>
            <w:r w:rsidRPr="00534C57">
              <w:rPr>
                <w:rFonts w:ascii="Times New Roman" w:hAnsi="Times New Roman"/>
                <w:color w:val="000000"/>
              </w:rPr>
              <w:t xml:space="preserve">vorikonazolas reikšmingai didins </w:t>
            </w:r>
            <w:r>
              <w:rPr>
                <w:rFonts w:ascii="Times New Roman" w:hAnsi="Times New Roman"/>
                <w:color w:val="000000"/>
              </w:rPr>
              <w:t xml:space="preserve">venetoklakso </w:t>
            </w:r>
            <w:r w:rsidRPr="00534C57">
              <w:rPr>
                <w:rFonts w:ascii="Times New Roman" w:hAnsi="Times New Roman"/>
                <w:color w:val="000000"/>
              </w:rPr>
              <w:t>koncentraciją plazmoje.</w:t>
            </w:r>
          </w:p>
        </w:tc>
        <w:tc>
          <w:tcPr>
            <w:tcW w:w="2998" w:type="dxa"/>
          </w:tcPr>
          <w:p w14:paraId="562EC46B" w14:textId="77777777" w:rsidR="003B7FB1" w:rsidRPr="00534C57" w:rsidRDefault="003B7FB1" w:rsidP="002F3324">
            <w:pPr>
              <w:autoSpaceDE w:val="0"/>
              <w:autoSpaceDN w:val="0"/>
              <w:adjustRightInd w:val="0"/>
              <w:spacing w:after="0" w:line="240" w:lineRule="auto"/>
              <w:rPr>
                <w:rFonts w:ascii="Times New Roman" w:hAnsi="Times New Roman"/>
                <w:b/>
                <w:bCs/>
                <w:color w:val="000000"/>
              </w:rPr>
            </w:pPr>
            <w:r w:rsidRPr="00BD7013">
              <w:rPr>
                <w:rFonts w:ascii="Times New Roman" w:hAnsi="Times New Roman"/>
                <w:color w:val="000000"/>
              </w:rPr>
              <w:t>Pradedant gydymą</w:t>
            </w:r>
            <w:r>
              <w:rPr>
                <w:rFonts w:ascii="Times New Roman" w:hAnsi="Times New Roman"/>
                <w:color w:val="000000"/>
              </w:rPr>
              <w:t xml:space="preserve"> </w:t>
            </w:r>
            <w:r w:rsidRPr="00BD7013">
              <w:rPr>
                <w:rFonts w:ascii="Times New Roman" w:hAnsi="Times New Roman"/>
                <w:color w:val="000000"/>
              </w:rPr>
              <w:t>venetoklaksu bei venetoklakso</w:t>
            </w:r>
            <w:r>
              <w:rPr>
                <w:rFonts w:ascii="Times New Roman" w:hAnsi="Times New Roman"/>
                <w:color w:val="000000"/>
              </w:rPr>
              <w:t xml:space="preserve"> </w:t>
            </w:r>
            <w:r w:rsidRPr="00BD7013">
              <w:rPr>
                <w:rFonts w:ascii="Times New Roman" w:hAnsi="Times New Roman"/>
                <w:color w:val="000000"/>
              </w:rPr>
              <w:t>dozės titravimo fazės metu</w:t>
            </w:r>
            <w:r>
              <w:rPr>
                <w:rFonts w:ascii="Times New Roman" w:hAnsi="Times New Roman"/>
                <w:color w:val="000000"/>
              </w:rPr>
              <w:t xml:space="preserve"> </w:t>
            </w:r>
            <w:r w:rsidRPr="00BD7013">
              <w:rPr>
                <w:rFonts w:ascii="Times New Roman" w:hAnsi="Times New Roman"/>
                <w:color w:val="000000"/>
              </w:rPr>
              <w:t>kartu vartoti vorikonazolo</w:t>
            </w:r>
            <w:r>
              <w:rPr>
                <w:rFonts w:ascii="Times New Roman" w:hAnsi="Times New Roman"/>
                <w:color w:val="000000"/>
              </w:rPr>
              <w:t xml:space="preserve"> </w:t>
            </w:r>
            <w:r w:rsidRPr="00BD7013">
              <w:rPr>
                <w:rFonts w:ascii="Times New Roman" w:hAnsi="Times New Roman"/>
                <w:color w:val="000000"/>
              </w:rPr>
              <w:t>draudžiama.</w:t>
            </w:r>
            <w:r w:rsidRPr="00BD7013" w:rsidDel="00BD7013">
              <w:rPr>
                <w:rFonts w:ascii="Times New Roman" w:hAnsi="Times New Roman"/>
                <w:color w:val="000000"/>
              </w:rPr>
              <w:t xml:space="preserve"> </w:t>
            </w:r>
            <w:r w:rsidRPr="00823B71">
              <w:rPr>
                <w:rFonts w:ascii="Times New Roman" w:hAnsi="Times New Roman"/>
                <w:color w:val="000000"/>
              </w:rPr>
              <w:t>(žr. 4.3 skyrių). Re</w:t>
            </w:r>
            <w:r w:rsidRPr="00BB4696">
              <w:rPr>
                <w:rFonts w:ascii="Times New Roman" w:hAnsi="Times New Roman"/>
                <w:color w:val="000000"/>
              </w:rPr>
              <w:t>ikia nuolat mažinti venetoklakso</w:t>
            </w:r>
            <w:r w:rsidRPr="00823B71">
              <w:rPr>
                <w:rFonts w:ascii="Times New Roman" w:hAnsi="Times New Roman"/>
                <w:color w:val="000000"/>
              </w:rPr>
              <w:t xml:space="preserve"> </w:t>
            </w:r>
            <w:r w:rsidRPr="00BB4696">
              <w:rPr>
                <w:rFonts w:ascii="Times New Roman" w:hAnsi="Times New Roman"/>
                <w:color w:val="000000"/>
              </w:rPr>
              <w:t>dozę, kaip nurodyta venetoklakso</w:t>
            </w:r>
            <w:r w:rsidRPr="00823B71">
              <w:rPr>
                <w:rFonts w:ascii="Times New Roman" w:hAnsi="Times New Roman"/>
                <w:color w:val="000000"/>
              </w:rPr>
              <w:t xml:space="preserve"> </w:t>
            </w:r>
            <w:r>
              <w:rPr>
                <w:rFonts w:ascii="Times New Roman" w:hAnsi="Times New Roman"/>
                <w:color w:val="000000"/>
              </w:rPr>
              <w:t>apraše</w:t>
            </w:r>
            <w:r w:rsidRPr="00823B71">
              <w:rPr>
                <w:rFonts w:ascii="Times New Roman" w:hAnsi="Times New Roman"/>
                <w:color w:val="000000"/>
              </w:rPr>
              <w:t xml:space="preserve">, kai dozuojama pastoviai kasdien; </w:t>
            </w:r>
            <w:r>
              <w:rPr>
                <w:rFonts w:ascii="Times New Roman" w:hAnsi="Times New Roman"/>
                <w:color w:val="000000"/>
              </w:rPr>
              <w:t>rekomenduojama</w:t>
            </w:r>
            <w:r w:rsidRPr="00823B71">
              <w:rPr>
                <w:rFonts w:ascii="Times New Roman" w:hAnsi="Times New Roman"/>
                <w:color w:val="000000"/>
              </w:rPr>
              <w:t xml:space="preserve"> atidžiai stebėti toksiškumo požymius</w:t>
            </w:r>
            <w:r w:rsidR="00881749">
              <w:rPr>
                <w:rFonts w:ascii="Times New Roman" w:hAnsi="Times New Roman"/>
                <w:color w:val="000000"/>
              </w:rPr>
              <w:t>.</w:t>
            </w:r>
          </w:p>
        </w:tc>
      </w:tr>
      <w:tr w:rsidR="00914B2F" w:rsidRPr="00F909DC" w14:paraId="422B8F0D" w14:textId="77777777" w:rsidTr="00DC01BC">
        <w:tc>
          <w:tcPr>
            <w:tcW w:w="2941" w:type="dxa"/>
          </w:tcPr>
          <w:p w14:paraId="2CD487D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Flukonazolas (200 mg dozė 1 x parą)</w:t>
            </w:r>
          </w:p>
          <w:p w14:paraId="706B6BF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lastRenderedPageBreak/>
              <w:t>[CYP2C9, CYP2C19 ir CYP3A4 inhibitorius]</w:t>
            </w:r>
          </w:p>
        </w:tc>
        <w:tc>
          <w:tcPr>
            <w:tcW w:w="3121" w:type="dxa"/>
          </w:tcPr>
          <w:p w14:paraId="6419B30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Vorikonazolo Cmax ↑ 57 %</w:t>
            </w:r>
          </w:p>
          <w:p w14:paraId="48F6EF2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79 %</w:t>
            </w:r>
          </w:p>
          <w:p w14:paraId="4440DD6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Flukonazolo Cmax NN</w:t>
            </w:r>
          </w:p>
          <w:p w14:paraId="077A30B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Flukonazolo AUCτ NN</w:t>
            </w:r>
          </w:p>
        </w:tc>
        <w:tc>
          <w:tcPr>
            <w:tcW w:w="2998" w:type="dxa"/>
          </w:tcPr>
          <w:p w14:paraId="75AB280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 xml:space="preserve">Mažesnės vorikonazolo ir (arba) flukonazolo dozės ir vartojimo dažnis, kurie </w:t>
            </w:r>
            <w:r w:rsidRPr="00534C57">
              <w:rPr>
                <w:rFonts w:ascii="Times New Roman" w:hAnsi="Times New Roman"/>
                <w:color w:val="000000"/>
              </w:rPr>
              <w:lastRenderedPageBreak/>
              <w:t>panaikintų tokį poveikį, nebuvo nustatyti. Rekomenduojama stebėti, ar neatsiranda su vorikonazolo vartojimu susijusių nepageidaujamų reakcijų, jeigu vorikonazolas vartojamas nuosekliai po flukonazolo.</w:t>
            </w:r>
          </w:p>
        </w:tc>
      </w:tr>
      <w:tr w:rsidR="00914B2F" w:rsidRPr="00F909DC" w14:paraId="163EC56E" w14:textId="77777777" w:rsidTr="00DC01BC">
        <w:tc>
          <w:tcPr>
            <w:tcW w:w="2941" w:type="dxa"/>
          </w:tcPr>
          <w:p w14:paraId="1C1BBEF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Fenitoinas</w:t>
            </w:r>
          </w:p>
          <w:p w14:paraId="6F79CA04"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[CYP2C9 substratas ir stipraus poveikio CYP450 sužadinantis vaistinis preparatas]</w:t>
            </w:r>
          </w:p>
          <w:p w14:paraId="2E47F5D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9ADF7D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300</w:t>
            </w:r>
            <w:r w:rsidR="001A51D1">
              <w:rPr>
                <w:rFonts w:ascii="Times New Roman" w:hAnsi="Times New Roman"/>
                <w:color w:val="000000"/>
              </w:rPr>
              <w:t> </w:t>
            </w:r>
            <w:r w:rsidRPr="00534C57">
              <w:rPr>
                <w:rFonts w:ascii="Times New Roman" w:hAnsi="Times New Roman"/>
                <w:color w:val="000000"/>
              </w:rPr>
              <w:t>mg dozė 1 x parą</w:t>
            </w:r>
          </w:p>
          <w:p w14:paraId="420AC82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2AE5FF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6A40C46" w14:textId="77777777" w:rsidR="002F3324" w:rsidRPr="00534C57" w:rsidRDefault="002F3324" w:rsidP="001A51D1">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300</w:t>
            </w:r>
            <w:r w:rsidR="001A51D1">
              <w:rPr>
                <w:rFonts w:ascii="Times New Roman" w:hAnsi="Times New Roman"/>
                <w:color w:val="000000"/>
              </w:rPr>
              <w:t> </w:t>
            </w:r>
            <w:r w:rsidRPr="00534C57">
              <w:rPr>
                <w:rFonts w:ascii="Times New Roman" w:hAnsi="Times New Roman"/>
                <w:color w:val="000000"/>
              </w:rPr>
              <w:t>mg dozė 1 x parą (vartojama kartu su 400</w:t>
            </w:r>
            <w:r w:rsidR="001A51D1">
              <w:rPr>
                <w:rFonts w:ascii="Times New Roman" w:hAnsi="Times New Roman"/>
                <w:color w:val="000000"/>
              </w:rPr>
              <w:t> </w:t>
            </w:r>
            <w:r w:rsidRPr="00534C57">
              <w:rPr>
                <w:rFonts w:ascii="Times New Roman" w:hAnsi="Times New Roman"/>
                <w:color w:val="000000"/>
              </w:rPr>
              <w:t>mg vorikonazolo 2 x parą)*</w:t>
            </w:r>
          </w:p>
        </w:tc>
        <w:tc>
          <w:tcPr>
            <w:tcW w:w="3121" w:type="dxa"/>
          </w:tcPr>
          <w:p w14:paraId="3E77C43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3AED28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4CEBA5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9CF71C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64C8E6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200A8D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E591CC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49 %</w:t>
            </w:r>
          </w:p>
          <w:p w14:paraId="4BB13F9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69 %</w:t>
            </w:r>
          </w:p>
          <w:p w14:paraId="69E0E95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464302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Fenitoino Cmax ↑ 67 %</w:t>
            </w:r>
          </w:p>
          <w:p w14:paraId="4299276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Fenitoino AUCτ ↑ 81 %</w:t>
            </w:r>
          </w:p>
          <w:p w14:paraId="088A952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Palyginti su 200 mg vorikonazolo 2 x parą</w:t>
            </w:r>
          </w:p>
          <w:p w14:paraId="4789E6F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34 %</w:t>
            </w:r>
          </w:p>
          <w:p w14:paraId="106E891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39 %</w:t>
            </w:r>
          </w:p>
        </w:tc>
        <w:tc>
          <w:tcPr>
            <w:tcW w:w="2998" w:type="dxa"/>
          </w:tcPr>
          <w:p w14:paraId="7B8E1EC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vengti vorikonazolą vartoti kartu su fenitoinu, nebent nauda persveria riziką. Rekomenduojama atidžiai stebėti fenitoino koncentraciją plazmoje. Fenitoiną galima vartoti kartu su vorikonazolu, jeigu vorikonazolo palaikomoji dozė padidinama iki 5</w:t>
            </w:r>
            <w:r w:rsidR="001A51D1">
              <w:rPr>
                <w:rFonts w:ascii="Times New Roman" w:hAnsi="Times New Roman"/>
                <w:color w:val="000000"/>
              </w:rPr>
              <w:t> </w:t>
            </w:r>
            <w:r w:rsidRPr="00534C57">
              <w:rPr>
                <w:rFonts w:ascii="Times New Roman" w:hAnsi="Times New Roman"/>
                <w:color w:val="000000"/>
              </w:rPr>
              <w:t>mg/kg kūno svorio į veną 2 x parą arba nuo 200</w:t>
            </w:r>
            <w:r w:rsidR="001A51D1">
              <w:rPr>
                <w:rFonts w:ascii="Times New Roman" w:hAnsi="Times New Roman"/>
                <w:color w:val="000000"/>
              </w:rPr>
              <w:t> </w:t>
            </w:r>
            <w:r w:rsidRPr="00534C57">
              <w:rPr>
                <w:rFonts w:ascii="Times New Roman" w:hAnsi="Times New Roman"/>
                <w:color w:val="000000"/>
              </w:rPr>
              <w:t>mg iki 400</w:t>
            </w:r>
            <w:r w:rsidR="001A51D1">
              <w:rPr>
                <w:rFonts w:ascii="Times New Roman" w:hAnsi="Times New Roman"/>
                <w:color w:val="000000"/>
              </w:rPr>
              <w:t> </w:t>
            </w:r>
            <w:r w:rsidRPr="00534C57">
              <w:rPr>
                <w:rFonts w:ascii="Times New Roman" w:hAnsi="Times New Roman"/>
                <w:color w:val="000000"/>
              </w:rPr>
              <w:t>mg dozės per burną 2 x parą (nuo 100</w:t>
            </w:r>
            <w:r w:rsidR="001A51D1">
              <w:rPr>
                <w:rFonts w:ascii="Times New Roman" w:hAnsi="Times New Roman"/>
                <w:color w:val="000000"/>
              </w:rPr>
              <w:t> </w:t>
            </w:r>
            <w:r w:rsidRPr="00534C57">
              <w:rPr>
                <w:rFonts w:ascii="Times New Roman" w:hAnsi="Times New Roman"/>
                <w:color w:val="000000"/>
              </w:rPr>
              <w:t>mg iki 200</w:t>
            </w:r>
            <w:r w:rsidR="001A51D1">
              <w:rPr>
                <w:rFonts w:ascii="Times New Roman" w:hAnsi="Times New Roman"/>
                <w:color w:val="000000"/>
              </w:rPr>
              <w:t> </w:t>
            </w:r>
            <w:r w:rsidRPr="00534C57">
              <w:rPr>
                <w:rFonts w:ascii="Times New Roman" w:hAnsi="Times New Roman"/>
                <w:color w:val="000000"/>
              </w:rPr>
              <w:t>mg dozės per burną 2 x parą pacientams, kurių kūno masė yra mažesnė kaip 40</w:t>
            </w:r>
            <w:r w:rsidR="001A51D1">
              <w:rPr>
                <w:rFonts w:ascii="Times New Roman" w:hAnsi="Times New Roman"/>
                <w:color w:val="000000"/>
              </w:rPr>
              <w:t> </w:t>
            </w:r>
            <w:r w:rsidRPr="00534C57">
              <w:rPr>
                <w:rFonts w:ascii="Times New Roman" w:hAnsi="Times New Roman"/>
                <w:color w:val="000000"/>
              </w:rPr>
              <w:t>kg) (žr. 4.2 skyrių).</w:t>
            </w:r>
          </w:p>
        </w:tc>
      </w:tr>
      <w:tr w:rsidR="004A13FD" w:rsidRPr="00F909DC" w14:paraId="03C8228F" w14:textId="77777777" w:rsidTr="00DC01BC">
        <w:tc>
          <w:tcPr>
            <w:tcW w:w="2941" w:type="dxa"/>
          </w:tcPr>
          <w:p w14:paraId="7FAB4590" w14:textId="77777777" w:rsidR="004A13FD" w:rsidRPr="004A13FD" w:rsidRDefault="004A13FD" w:rsidP="004A13FD">
            <w:pPr>
              <w:autoSpaceDE w:val="0"/>
              <w:autoSpaceDN w:val="0"/>
              <w:adjustRightInd w:val="0"/>
              <w:spacing w:after="0" w:line="240" w:lineRule="auto"/>
              <w:rPr>
                <w:rFonts w:ascii="Times New Roman" w:hAnsi="Times New Roman"/>
                <w:color w:val="000000"/>
              </w:rPr>
            </w:pPr>
            <w:r w:rsidRPr="004A13FD">
              <w:rPr>
                <w:rFonts w:ascii="Times New Roman" w:hAnsi="Times New Roman"/>
                <w:color w:val="000000"/>
              </w:rPr>
              <w:t>Letermoviras</w:t>
            </w:r>
          </w:p>
          <w:p w14:paraId="689898C6" w14:textId="77777777" w:rsidR="004A13FD" w:rsidRPr="004A13FD" w:rsidRDefault="004A13FD" w:rsidP="004A13FD">
            <w:pPr>
              <w:autoSpaceDE w:val="0"/>
              <w:autoSpaceDN w:val="0"/>
              <w:adjustRightInd w:val="0"/>
              <w:spacing w:after="0" w:line="240" w:lineRule="auto"/>
              <w:rPr>
                <w:rFonts w:ascii="Times New Roman" w:hAnsi="Times New Roman"/>
                <w:color w:val="000000"/>
              </w:rPr>
            </w:pPr>
            <w:r w:rsidRPr="004A13FD">
              <w:rPr>
                <w:rFonts w:ascii="Times New Roman" w:hAnsi="Times New Roman"/>
                <w:color w:val="000000"/>
              </w:rPr>
              <w:t>[CYP2C9 ir CYP2C19 induktorius]</w:t>
            </w:r>
          </w:p>
          <w:p w14:paraId="4129E0AF" w14:textId="77777777" w:rsidR="004A13FD" w:rsidRPr="00534C57" w:rsidRDefault="004A13FD" w:rsidP="002F3324">
            <w:pPr>
              <w:autoSpaceDE w:val="0"/>
              <w:autoSpaceDN w:val="0"/>
              <w:adjustRightInd w:val="0"/>
              <w:spacing w:after="0" w:line="240" w:lineRule="auto"/>
              <w:rPr>
                <w:rFonts w:ascii="Times New Roman" w:hAnsi="Times New Roman"/>
                <w:color w:val="000000"/>
              </w:rPr>
            </w:pPr>
          </w:p>
        </w:tc>
        <w:tc>
          <w:tcPr>
            <w:tcW w:w="3121" w:type="dxa"/>
          </w:tcPr>
          <w:p w14:paraId="7E9D83F8" w14:textId="77777777" w:rsidR="004A13FD" w:rsidRPr="004A13FD" w:rsidRDefault="004A13FD" w:rsidP="004A13FD">
            <w:pPr>
              <w:autoSpaceDE w:val="0"/>
              <w:autoSpaceDN w:val="0"/>
              <w:adjustRightInd w:val="0"/>
              <w:spacing w:after="0" w:line="240" w:lineRule="auto"/>
              <w:rPr>
                <w:rFonts w:ascii="Times New Roman" w:hAnsi="Times New Roman"/>
                <w:color w:val="000000"/>
              </w:rPr>
            </w:pPr>
            <w:r>
              <w:rPr>
                <w:rFonts w:ascii="Times New Roman" w:hAnsi="Times New Roman"/>
                <w:color w:val="000000"/>
              </w:rPr>
              <w:t>Vorikonazolo Cmax ↓ 3</w:t>
            </w:r>
            <w:r w:rsidRPr="004A13FD">
              <w:rPr>
                <w:rFonts w:ascii="Times New Roman" w:hAnsi="Times New Roman"/>
                <w:color w:val="000000"/>
              </w:rPr>
              <w:t>9 %</w:t>
            </w:r>
          </w:p>
          <w:p w14:paraId="7BDCBE98" w14:textId="77777777" w:rsidR="004A13FD" w:rsidRDefault="004A13FD" w:rsidP="004A13FD">
            <w:pPr>
              <w:autoSpaceDE w:val="0"/>
              <w:autoSpaceDN w:val="0"/>
              <w:adjustRightInd w:val="0"/>
              <w:spacing w:after="0" w:line="240" w:lineRule="auto"/>
              <w:rPr>
                <w:rFonts w:ascii="Times New Roman" w:hAnsi="Times New Roman"/>
                <w:color w:val="000000"/>
              </w:rPr>
            </w:pPr>
            <w:r>
              <w:rPr>
                <w:rFonts w:ascii="Times New Roman" w:hAnsi="Times New Roman"/>
                <w:color w:val="000000"/>
              </w:rPr>
              <w:t>Vorikonazolo</w:t>
            </w:r>
            <w:r w:rsidRPr="004A13FD">
              <w:rPr>
                <w:rFonts w:ascii="Times New Roman" w:hAnsi="Times New Roman"/>
                <w:color w:val="000000"/>
              </w:rPr>
              <w:t xml:space="preserve"> AUC</w:t>
            </w:r>
            <w:r w:rsidRPr="00DC01BC">
              <w:rPr>
                <w:rFonts w:ascii="Times New Roman" w:hAnsi="Times New Roman"/>
                <w:color w:val="000000"/>
                <w:vertAlign w:val="subscript"/>
              </w:rPr>
              <w:t>0−</w:t>
            </w:r>
            <w:r w:rsidRPr="004A13FD">
              <w:rPr>
                <w:rFonts w:ascii="Times New Roman" w:hAnsi="Times New Roman"/>
                <w:color w:val="000000"/>
                <w:vertAlign w:val="subscript"/>
              </w:rPr>
              <w:t>12</w:t>
            </w:r>
            <w:r w:rsidRPr="004A13FD">
              <w:rPr>
                <w:rFonts w:ascii="Times New Roman" w:hAnsi="Times New Roman"/>
                <w:color w:val="000000"/>
              </w:rPr>
              <w:t xml:space="preserve"> ↓ </w:t>
            </w:r>
            <w:r>
              <w:rPr>
                <w:rFonts w:ascii="Times New Roman" w:hAnsi="Times New Roman"/>
                <w:color w:val="000000"/>
              </w:rPr>
              <w:t>44</w:t>
            </w:r>
            <w:r w:rsidRPr="004A13FD">
              <w:rPr>
                <w:rFonts w:ascii="Times New Roman" w:hAnsi="Times New Roman"/>
                <w:color w:val="000000"/>
              </w:rPr>
              <w:t xml:space="preserve"> %</w:t>
            </w:r>
          </w:p>
          <w:p w14:paraId="5E88D703" w14:textId="77777777" w:rsidR="004A13FD" w:rsidRPr="004A13FD" w:rsidRDefault="004A13FD" w:rsidP="004A13FD">
            <w:pPr>
              <w:autoSpaceDE w:val="0"/>
              <w:autoSpaceDN w:val="0"/>
              <w:adjustRightInd w:val="0"/>
              <w:spacing w:after="0" w:line="240" w:lineRule="auto"/>
              <w:rPr>
                <w:rFonts w:ascii="Times New Roman" w:hAnsi="Times New Roman"/>
                <w:color w:val="000000"/>
              </w:rPr>
            </w:pPr>
            <w:r w:rsidRPr="004A13FD">
              <w:rPr>
                <w:rFonts w:ascii="Times New Roman" w:hAnsi="Times New Roman"/>
                <w:color w:val="000000"/>
              </w:rPr>
              <w:t>Vorikonazolo C</w:t>
            </w:r>
            <w:r w:rsidRPr="00DC01BC">
              <w:rPr>
                <w:rFonts w:ascii="Times New Roman" w:hAnsi="Times New Roman"/>
                <w:color w:val="000000"/>
                <w:vertAlign w:val="subscript"/>
              </w:rPr>
              <w:t>12</w:t>
            </w:r>
            <w:r w:rsidRPr="004A13FD">
              <w:rPr>
                <w:rFonts w:ascii="Times New Roman" w:hAnsi="Times New Roman"/>
                <w:color w:val="000000"/>
              </w:rPr>
              <w:t xml:space="preserve"> ↓ </w:t>
            </w:r>
            <w:r>
              <w:rPr>
                <w:rFonts w:ascii="Times New Roman" w:hAnsi="Times New Roman"/>
                <w:color w:val="000000"/>
              </w:rPr>
              <w:t>51</w:t>
            </w:r>
            <w:r w:rsidRPr="004A13FD">
              <w:rPr>
                <w:rFonts w:ascii="Times New Roman" w:hAnsi="Times New Roman"/>
                <w:color w:val="000000"/>
              </w:rPr>
              <w:t xml:space="preserve"> %</w:t>
            </w:r>
          </w:p>
          <w:p w14:paraId="42AD696D" w14:textId="77777777" w:rsidR="004A13FD" w:rsidRPr="00534C57" w:rsidRDefault="004A13FD" w:rsidP="004A13FD">
            <w:pPr>
              <w:autoSpaceDE w:val="0"/>
              <w:autoSpaceDN w:val="0"/>
              <w:adjustRightInd w:val="0"/>
              <w:spacing w:after="0" w:line="240" w:lineRule="auto"/>
              <w:rPr>
                <w:rFonts w:ascii="Times New Roman" w:hAnsi="Times New Roman"/>
                <w:color w:val="000000"/>
              </w:rPr>
            </w:pPr>
          </w:p>
        </w:tc>
        <w:tc>
          <w:tcPr>
            <w:tcW w:w="2998" w:type="dxa"/>
          </w:tcPr>
          <w:p w14:paraId="11B2648D" w14:textId="77777777" w:rsidR="004A13FD" w:rsidRPr="00534C57" w:rsidRDefault="004A13FD" w:rsidP="002F3324">
            <w:pPr>
              <w:autoSpaceDE w:val="0"/>
              <w:autoSpaceDN w:val="0"/>
              <w:adjustRightInd w:val="0"/>
              <w:spacing w:after="0" w:line="240" w:lineRule="auto"/>
              <w:rPr>
                <w:rFonts w:ascii="Times New Roman" w:hAnsi="Times New Roman"/>
                <w:color w:val="000000"/>
              </w:rPr>
            </w:pPr>
            <w:r w:rsidRPr="004A13FD">
              <w:rPr>
                <w:rFonts w:ascii="Times New Roman" w:hAnsi="Times New Roman"/>
                <w:color w:val="000000"/>
              </w:rPr>
              <w:t xml:space="preserve">Jei </w:t>
            </w:r>
            <w:r>
              <w:rPr>
                <w:rFonts w:ascii="Times New Roman" w:hAnsi="Times New Roman"/>
                <w:color w:val="000000"/>
              </w:rPr>
              <w:t>vorikonazolo vartojamo</w:t>
            </w:r>
            <w:r w:rsidRPr="004A13FD">
              <w:rPr>
                <w:rFonts w:ascii="Times New Roman" w:hAnsi="Times New Roman"/>
                <w:color w:val="000000"/>
              </w:rPr>
              <w:t xml:space="preserve"> kartu</w:t>
            </w:r>
            <w:r>
              <w:rPr>
                <w:rFonts w:ascii="Times New Roman" w:hAnsi="Times New Roman"/>
                <w:color w:val="000000"/>
              </w:rPr>
              <w:t xml:space="preserve"> su letermoviru n</w:t>
            </w:r>
            <w:r w:rsidRPr="004A13FD">
              <w:rPr>
                <w:rFonts w:ascii="Times New Roman" w:hAnsi="Times New Roman"/>
                <w:color w:val="000000"/>
              </w:rPr>
              <w:t xml:space="preserve">egalima išvengti, </w:t>
            </w:r>
            <w:r w:rsidR="0064740C">
              <w:rPr>
                <w:rFonts w:ascii="Times New Roman" w:hAnsi="Times New Roman"/>
                <w:color w:val="000000"/>
              </w:rPr>
              <w:t>reikia stebėti</w:t>
            </w:r>
            <w:r w:rsidRPr="004A13FD">
              <w:rPr>
                <w:rFonts w:ascii="Times New Roman" w:hAnsi="Times New Roman"/>
                <w:color w:val="000000"/>
              </w:rPr>
              <w:t xml:space="preserve">, ar </w:t>
            </w:r>
            <w:r w:rsidR="00B351EB">
              <w:rPr>
                <w:rFonts w:ascii="Times New Roman" w:hAnsi="Times New Roman"/>
                <w:color w:val="000000"/>
              </w:rPr>
              <w:t>nesusilpnėja</w:t>
            </w:r>
            <w:r w:rsidRPr="004A13FD">
              <w:rPr>
                <w:rFonts w:ascii="Times New Roman" w:hAnsi="Times New Roman"/>
                <w:color w:val="000000"/>
              </w:rPr>
              <w:t xml:space="preserve"> vorikonazolo veiksmingum</w:t>
            </w:r>
            <w:r w:rsidR="00B351EB">
              <w:rPr>
                <w:rFonts w:ascii="Times New Roman" w:hAnsi="Times New Roman"/>
                <w:color w:val="000000"/>
              </w:rPr>
              <w:t>as</w:t>
            </w:r>
            <w:r w:rsidRPr="004A13FD">
              <w:rPr>
                <w:rFonts w:ascii="Times New Roman" w:hAnsi="Times New Roman"/>
                <w:color w:val="000000"/>
              </w:rPr>
              <w:t>.</w:t>
            </w:r>
          </w:p>
        </w:tc>
      </w:tr>
      <w:tr w:rsidR="00B92818" w:rsidRPr="00F909DC" w14:paraId="0F1472D8" w14:textId="77777777" w:rsidTr="00DC01BC">
        <w:tc>
          <w:tcPr>
            <w:tcW w:w="2941" w:type="dxa"/>
          </w:tcPr>
          <w:p w14:paraId="21754090" w14:textId="6E0CC5C8" w:rsidR="00B92818" w:rsidRPr="004A13FD" w:rsidRDefault="00B92818" w:rsidP="00B92818">
            <w:pPr>
              <w:autoSpaceDE w:val="0"/>
              <w:autoSpaceDN w:val="0"/>
              <w:adjustRightInd w:val="0"/>
              <w:spacing w:after="0" w:line="240" w:lineRule="auto"/>
              <w:rPr>
                <w:rFonts w:ascii="Times New Roman" w:hAnsi="Times New Roman"/>
                <w:color w:val="000000"/>
              </w:rPr>
            </w:pPr>
            <w:r w:rsidRPr="00413813">
              <w:rPr>
                <w:rFonts w:ascii="Times New Roman" w:hAnsi="Times New Roman"/>
                <w:color w:val="000000"/>
              </w:rPr>
              <w:t>Flukloksacilinas [CYP450 induktorius]</w:t>
            </w:r>
          </w:p>
        </w:tc>
        <w:tc>
          <w:tcPr>
            <w:tcW w:w="3121" w:type="dxa"/>
          </w:tcPr>
          <w:p w14:paraId="2A3A9281" w14:textId="0CD38DB7" w:rsidR="00B92818" w:rsidRDefault="00B92818" w:rsidP="00B92818">
            <w:pPr>
              <w:autoSpaceDE w:val="0"/>
              <w:autoSpaceDN w:val="0"/>
              <w:adjustRightInd w:val="0"/>
              <w:spacing w:after="0" w:line="240" w:lineRule="auto"/>
              <w:rPr>
                <w:rFonts w:ascii="Times New Roman" w:hAnsi="Times New Roman"/>
                <w:color w:val="000000"/>
              </w:rPr>
            </w:pPr>
            <w:r w:rsidRPr="00413813">
              <w:rPr>
                <w:rFonts w:ascii="Times New Roman" w:hAnsi="Times New Roman"/>
                <w:color w:val="000000"/>
              </w:rPr>
              <w:t>Gauta pranešimų apie reikšmingai sumažėjusią vorikonazolo koncentraciją plazmoje</w:t>
            </w:r>
          </w:p>
        </w:tc>
        <w:tc>
          <w:tcPr>
            <w:tcW w:w="2998" w:type="dxa"/>
          </w:tcPr>
          <w:p w14:paraId="24132F90" w14:textId="6651C790" w:rsidR="00B92818" w:rsidRPr="004A13FD" w:rsidRDefault="00B92818" w:rsidP="00B92818">
            <w:pPr>
              <w:autoSpaceDE w:val="0"/>
              <w:autoSpaceDN w:val="0"/>
              <w:adjustRightInd w:val="0"/>
              <w:spacing w:after="0" w:line="240" w:lineRule="auto"/>
              <w:rPr>
                <w:rFonts w:ascii="Times New Roman" w:hAnsi="Times New Roman"/>
                <w:color w:val="000000"/>
              </w:rPr>
            </w:pPr>
            <w:r w:rsidRPr="00413813">
              <w:rPr>
                <w:rFonts w:ascii="Times New Roman" w:hAnsi="Times New Roman"/>
                <w:color w:val="000000"/>
              </w:rPr>
              <w:t>Jei vorikonazolo ir flukloksacilino vartojimo kartu negalima išvengti, reikia stebėti, ar nesumažėja vorikonazolo veiksmingumas (pvz., atlikti vaist</w:t>
            </w:r>
            <w:r w:rsidR="00F90BC1">
              <w:rPr>
                <w:rFonts w:ascii="Times New Roman" w:hAnsi="Times New Roman"/>
                <w:color w:val="000000"/>
              </w:rPr>
              <w:t>ini</w:t>
            </w:r>
            <w:r w:rsidRPr="00413813">
              <w:rPr>
                <w:rFonts w:ascii="Times New Roman" w:hAnsi="Times New Roman"/>
                <w:color w:val="000000"/>
              </w:rPr>
              <w:t xml:space="preserve">o </w:t>
            </w:r>
            <w:r w:rsidR="00F90BC1">
              <w:rPr>
                <w:rFonts w:ascii="Times New Roman" w:hAnsi="Times New Roman"/>
                <w:color w:val="000000"/>
              </w:rPr>
              <w:t xml:space="preserve">preparato </w:t>
            </w:r>
            <w:r w:rsidRPr="00413813">
              <w:rPr>
                <w:rFonts w:ascii="Times New Roman" w:hAnsi="Times New Roman"/>
                <w:color w:val="000000"/>
              </w:rPr>
              <w:t>koncentracijos kraujyje stebėseną</w:t>
            </w:r>
            <w:r>
              <w:rPr>
                <w:rFonts w:ascii="Times New Roman" w:hAnsi="Times New Roman"/>
                <w:color w:val="000000"/>
              </w:rPr>
              <w:t>)</w:t>
            </w:r>
            <w:r w:rsidRPr="00413813">
              <w:rPr>
                <w:rFonts w:ascii="Times New Roman" w:hAnsi="Times New Roman"/>
                <w:color w:val="000000"/>
              </w:rPr>
              <w:t>; gali reikėti padidinti vorikonazolo dozę.</w:t>
            </w:r>
          </w:p>
        </w:tc>
      </w:tr>
      <w:tr w:rsidR="00B92818" w:rsidRPr="00F909DC" w14:paraId="4775A864" w14:textId="77777777" w:rsidTr="00DC01BC">
        <w:tc>
          <w:tcPr>
            <w:tcW w:w="2941" w:type="dxa"/>
          </w:tcPr>
          <w:p w14:paraId="2FE2774E"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Glasdegibas</w:t>
            </w:r>
          </w:p>
          <w:p w14:paraId="1E07BD63" w14:textId="77777777" w:rsidR="00B92818" w:rsidRPr="004A13FD"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 </w:t>
            </w:r>
            <w:r w:rsidRPr="00026233">
              <w:rPr>
                <w:rFonts w:ascii="Times New Roman" w:hAnsi="Times New Roman"/>
                <w:i/>
                <w:color w:val="000000"/>
              </w:rPr>
              <w:t>[CYP3A4 substratas]</w:t>
            </w:r>
          </w:p>
        </w:tc>
        <w:tc>
          <w:tcPr>
            <w:tcW w:w="3121" w:type="dxa"/>
          </w:tcPr>
          <w:p w14:paraId="29F92E79"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rPr>
              <w:t>Nors nenustatyta, tikėtina, kad vorikonazolas gali padidinti glasdegibo koncentraciją kraujo plazmoje ir QTc intervalo pailgėjimo riziką</w:t>
            </w:r>
          </w:p>
        </w:tc>
        <w:tc>
          <w:tcPr>
            <w:tcW w:w="2998" w:type="dxa"/>
          </w:tcPr>
          <w:p w14:paraId="57789193" w14:textId="77777777" w:rsidR="00B92818" w:rsidRPr="004A13FD"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Jei vartojimo kartu negalima išvengti, rekomenduojama dažnai kontroliuoti EKG (žr. 4.4 skyrių)</w:t>
            </w:r>
          </w:p>
        </w:tc>
      </w:tr>
      <w:tr w:rsidR="00B92818" w:rsidRPr="00F909DC" w14:paraId="793362BF" w14:textId="77777777" w:rsidTr="00DC01BC">
        <w:tc>
          <w:tcPr>
            <w:tcW w:w="2941" w:type="dxa"/>
          </w:tcPr>
          <w:p w14:paraId="07C9E510" w14:textId="32E2F62D"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Tirozinkinazės inhibitoriai (</w:t>
            </w:r>
            <w:r w:rsidR="00D01F93">
              <w:rPr>
                <w:rFonts w:ascii="Times New Roman" w:hAnsi="Times New Roman"/>
                <w:color w:val="000000"/>
              </w:rPr>
              <w:t xml:space="preserve">įskaitant, bet neapsiribojant: </w:t>
            </w:r>
            <w:r>
              <w:rPr>
                <w:rFonts w:ascii="Times New Roman" w:hAnsi="Times New Roman"/>
                <w:color w:val="000000"/>
              </w:rPr>
              <w:t xml:space="preserve">aksitinibas, bozutinibas, kabozantinibas, ceritinibas, kobimetinibas, dabrafenibas, dazatinibas, nilotinibas, sunitinibas, ibrutinibas, ribociklibas) </w:t>
            </w:r>
          </w:p>
          <w:p w14:paraId="11564952" w14:textId="480AE900" w:rsidR="00B92818" w:rsidRDefault="00B92818" w:rsidP="00B92818">
            <w:pPr>
              <w:autoSpaceDE w:val="0"/>
              <w:autoSpaceDN w:val="0"/>
              <w:adjustRightInd w:val="0"/>
              <w:spacing w:after="0" w:line="240" w:lineRule="auto"/>
              <w:rPr>
                <w:rFonts w:ascii="Times New Roman" w:hAnsi="Times New Roman"/>
                <w:i/>
                <w:color w:val="000000"/>
              </w:rPr>
            </w:pPr>
            <w:r w:rsidRPr="00026233">
              <w:rPr>
                <w:rFonts w:ascii="Times New Roman" w:hAnsi="Times New Roman"/>
                <w:i/>
                <w:color w:val="000000"/>
              </w:rPr>
              <w:t>[CYP3A4 substratai</w:t>
            </w:r>
            <w:r w:rsidR="00D01F93">
              <w:rPr>
                <w:rFonts w:ascii="Times New Roman" w:hAnsi="Times New Roman"/>
                <w:i/>
                <w:color w:val="000000"/>
              </w:rPr>
              <w:t>]</w:t>
            </w:r>
          </w:p>
          <w:p w14:paraId="67655D65" w14:textId="3F889590" w:rsidR="00D01F93" w:rsidRDefault="00D01F93" w:rsidP="00B92818">
            <w:pPr>
              <w:autoSpaceDE w:val="0"/>
              <w:autoSpaceDN w:val="0"/>
              <w:adjustRightInd w:val="0"/>
              <w:spacing w:after="0" w:line="240" w:lineRule="auto"/>
              <w:rPr>
                <w:rFonts w:ascii="Times New Roman" w:hAnsi="Times New Roman"/>
                <w:color w:val="000000"/>
              </w:rPr>
            </w:pPr>
          </w:p>
        </w:tc>
        <w:tc>
          <w:tcPr>
            <w:tcW w:w="3121" w:type="dxa"/>
          </w:tcPr>
          <w:p w14:paraId="36BCC994"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rPr>
              <w:t>Nors nenustatyta, vorikonazolas gali padidinti tirozino kinazės inhibitorių, kuriuos metabolizuoja CYP3A4, koncentraciją kraujo plazmoje</w:t>
            </w:r>
          </w:p>
        </w:tc>
        <w:tc>
          <w:tcPr>
            <w:tcW w:w="2998" w:type="dxa"/>
          </w:tcPr>
          <w:p w14:paraId="038DFD19" w14:textId="18D12C7B" w:rsidR="00B92818" w:rsidRPr="004A13FD"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Jei vartojimo kartu negalima išvengti, rekomenduojama sumažinti tirozino kinazės inhibitorių dozę</w:t>
            </w:r>
            <w:r w:rsidR="00D01F93">
              <w:rPr>
                <w:rFonts w:ascii="Times New Roman" w:hAnsi="Times New Roman"/>
                <w:color w:val="000000"/>
              </w:rPr>
              <w:t xml:space="preserve"> ir atidžiai stebėti klinikinę būklę</w:t>
            </w:r>
            <w:r>
              <w:rPr>
                <w:rFonts w:ascii="Times New Roman" w:hAnsi="Times New Roman"/>
                <w:color w:val="000000"/>
              </w:rPr>
              <w:t xml:space="preserve"> (žr. 4.4 skyrių)</w:t>
            </w:r>
            <w:r w:rsidR="00D01F93">
              <w:rPr>
                <w:rFonts w:ascii="Times New Roman" w:hAnsi="Times New Roman"/>
                <w:color w:val="000000"/>
              </w:rPr>
              <w:t>.</w:t>
            </w:r>
          </w:p>
        </w:tc>
      </w:tr>
      <w:tr w:rsidR="00B92818" w:rsidRPr="00F909DC" w14:paraId="7A6F6CD1" w14:textId="77777777" w:rsidTr="00DC01BC">
        <w:tc>
          <w:tcPr>
            <w:tcW w:w="2941" w:type="dxa"/>
          </w:tcPr>
          <w:p w14:paraId="4360423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Antikoaguliantai</w:t>
            </w:r>
          </w:p>
          <w:p w14:paraId="5ED8B8C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Varfarinas (30</w:t>
            </w:r>
            <w:r>
              <w:rPr>
                <w:rFonts w:ascii="Times New Roman" w:hAnsi="Times New Roman"/>
                <w:color w:val="000000"/>
              </w:rPr>
              <w:t> </w:t>
            </w:r>
            <w:r w:rsidRPr="00534C57">
              <w:rPr>
                <w:rFonts w:ascii="Times New Roman" w:hAnsi="Times New Roman"/>
                <w:color w:val="000000"/>
              </w:rPr>
              <w:t>mg vienkartinė dozė, vartojama kartu su 300</w:t>
            </w:r>
            <w:r>
              <w:rPr>
                <w:rFonts w:ascii="Times New Roman" w:hAnsi="Times New Roman"/>
                <w:color w:val="000000"/>
              </w:rPr>
              <w:t> </w:t>
            </w:r>
            <w:r w:rsidRPr="00534C57">
              <w:rPr>
                <w:rFonts w:ascii="Times New Roman" w:hAnsi="Times New Roman"/>
                <w:color w:val="000000"/>
              </w:rPr>
              <w:t>mg vorikonazolo 2 x parą)</w:t>
            </w:r>
          </w:p>
          <w:p w14:paraId="3B36909A"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[CYP2C9 substratas]</w:t>
            </w:r>
          </w:p>
          <w:p w14:paraId="37562EA6"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p>
          <w:p w14:paraId="004873D2" w14:textId="659977DE"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Kiti geriamieji kumarinai (</w:t>
            </w:r>
            <w:r w:rsidR="00D01F93">
              <w:rPr>
                <w:rFonts w:ascii="Times New Roman" w:hAnsi="Times New Roman"/>
                <w:color w:val="000000"/>
              </w:rPr>
              <w:t xml:space="preserve">įskaitant, bet neapsiribojant: </w:t>
            </w:r>
            <w:r w:rsidRPr="00534C57">
              <w:rPr>
                <w:rFonts w:ascii="Times New Roman" w:hAnsi="Times New Roman"/>
                <w:color w:val="000000"/>
              </w:rPr>
              <w:t xml:space="preserve">fenprokumonas, acenokumarolis) </w:t>
            </w:r>
          </w:p>
          <w:p w14:paraId="768FE6C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[CYP2C9 ir CYP3A4 substratai]</w:t>
            </w:r>
          </w:p>
        </w:tc>
        <w:tc>
          <w:tcPr>
            <w:tcW w:w="3121" w:type="dxa"/>
          </w:tcPr>
          <w:p w14:paraId="09952F9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B4EBCA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Protrombino laikas daugiausiai pailgėjo maždaug 2 kartus.</w:t>
            </w:r>
          </w:p>
          <w:p w14:paraId="56A7E02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014F2CB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5571FA5B"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109E6B8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Nors tyrimų neatlikta, vorikonazolas gali didinti kumarinų koncentraciją plazmoje ir dėl to gali pailgėti protrombino laikas.</w:t>
            </w:r>
          </w:p>
        </w:tc>
        <w:tc>
          <w:tcPr>
            <w:tcW w:w="2998" w:type="dxa"/>
          </w:tcPr>
          <w:p w14:paraId="288FB94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2CC41BE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Rekomenduojama atidžiai stebėti protrombino laiką arba </w:t>
            </w:r>
            <w:r w:rsidRPr="00534C57">
              <w:rPr>
                <w:rFonts w:ascii="Times New Roman" w:hAnsi="Times New Roman"/>
                <w:color w:val="000000"/>
              </w:rPr>
              <w:lastRenderedPageBreak/>
              <w:t>kitus tinkamus krešumo tyrimus ir atitinkamai keisti antikoaguliantų dozes.</w:t>
            </w:r>
          </w:p>
        </w:tc>
      </w:tr>
      <w:tr w:rsidR="00B92818" w:rsidRPr="00F909DC" w14:paraId="79B8537B" w14:textId="77777777" w:rsidTr="00DC01BC">
        <w:tc>
          <w:tcPr>
            <w:tcW w:w="2941" w:type="dxa"/>
          </w:tcPr>
          <w:p w14:paraId="1FAE9074" w14:textId="77777777" w:rsidR="00B92818" w:rsidRPr="00013057" w:rsidRDefault="00B92818" w:rsidP="00B92818">
            <w:pPr>
              <w:autoSpaceDE w:val="0"/>
              <w:autoSpaceDN w:val="0"/>
              <w:adjustRightInd w:val="0"/>
              <w:spacing w:after="0" w:line="240" w:lineRule="auto"/>
              <w:rPr>
                <w:rFonts w:ascii="Times New Roman" w:hAnsi="Times New Roman"/>
                <w:color w:val="000000"/>
              </w:rPr>
            </w:pPr>
            <w:r w:rsidRPr="00013057">
              <w:rPr>
                <w:rFonts w:ascii="Times New Roman" w:hAnsi="Times New Roman"/>
                <w:color w:val="000000"/>
              </w:rPr>
              <w:lastRenderedPageBreak/>
              <w:t>Ivakaftoras</w:t>
            </w:r>
          </w:p>
          <w:p w14:paraId="06E875C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013057">
              <w:rPr>
                <w:rFonts w:ascii="Times New Roman" w:hAnsi="Times New Roman"/>
                <w:color w:val="000000"/>
              </w:rPr>
              <w:t>[CYP3A4 substratas]</w:t>
            </w:r>
          </w:p>
        </w:tc>
        <w:tc>
          <w:tcPr>
            <w:tcW w:w="3121" w:type="dxa"/>
          </w:tcPr>
          <w:p w14:paraId="1EFC142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013057">
              <w:rPr>
                <w:rFonts w:ascii="Times New Roman" w:hAnsi="Times New Roman"/>
                <w:color w:val="000000"/>
              </w:rPr>
              <w:t xml:space="preserve">Nors </w:t>
            </w:r>
            <w:r w:rsidRPr="00534C57">
              <w:rPr>
                <w:rFonts w:ascii="Times New Roman" w:hAnsi="Times New Roman"/>
                <w:color w:val="000000"/>
              </w:rPr>
              <w:t>tyrimų neatlikta</w:t>
            </w:r>
            <w:r w:rsidRPr="00013057">
              <w:rPr>
                <w:rFonts w:ascii="Times New Roman" w:hAnsi="Times New Roman"/>
                <w:color w:val="000000"/>
              </w:rPr>
              <w:t xml:space="preserve">, </w:t>
            </w:r>
            <w:r w:rsidRPr="008B6942">
              <w:rPr>
                <w:rFonts w:ascii="Times New Roman" w:hAnsi="Times New Roman"/>
                <w:color w:val="000000"/>
              </w:rPr>
              <w:t>tikėtina, kad</w:t>
            </w:r>
            <w:r>
              <w:rPr>
                <w:rFonts w:ascii="Times New Roman" w:hAnsi="Times New Roman"/>
                <w:color w:val="000000"/>
              </w:rPr>
              <w:t xml:space="preserve"> </w:t>
            </w:r>
            <w:r w:rsidRPr="008B6942">
              <w:rPr>
                <w:rFonts w:ascii="Times New Roman" w:hAnsi="Times New Roman"/>
                <w:color w:val="000000"/>
              </w:rPr>
              <w:t>vorikonazolas didina ivakaftoro</w:t>
            </w:r>
            <w:r>
              <w:rPr>
                <w:rFonts w:ascii="Times New Roman" w:hAnsi="Times New Roman"/>
                <w:color w:val="000000"/>
              </w:rPr>
              <w:t xml:space="preserve"> </w:t>
            </w:r>
            <w:r w:rsidRPr="008B6942">
              <w:rPr>
                <w:rFonts w:ascii="Times New Roman" w:hAnsi="Times New Roman"/>
                <w:color w:val="000000"/>
              </w:rPr>
              <w:t>koncentraciją plazmoje, todėl gali</w:t>
            </w:r>
            <w:r>
              <w:rPr>
                <w:rFonts w:ascii="Times New Roman" w:hAnsi="Times New Roman"/>
                <w:color w:val="000000"/>
              </w:rPr>
              <w:t xml:space="preserve"> </w:t>
            </w:r>
            <w:r w:rsidRPr="008B6942">
              <w:rPr>
                <w:rFonts w:ascii="Times New Roman" w:hAnsi="Times New Roman"/>
                <w:color w:val="000000"/>
              </w:rPr>
              <w:t>padidėti nepageidaujamo poveikio</w:t>
            </w:r>
            <w:r>
              <w:rPr>
                <w:rFonts w:ascii="Times New Roman" w:hAnsi="Times New Roman"/>
                <w:color w:val="000000"/>
              </w:rPr>
              <w:t xml:space="preserve"> </w:t>
            </w:r>
            <w:r w:rsidRPr="008B6942">
              <w:rPr>
                <w:rFonts w:ascii="Times New Roman" w:hAnsi="Times New Roman"/>
                <w:color w:val="000000"/>
              </w:rPr>
              <w:t>rizika</w:t>
            </w:r>
            <w:r w:rsidRPr="00013057">
              <w:rPr>
                <w:rFonts w:ascii="Times New Roman" w:hAnsi="Times New Roman"/>
                <w:color w:val="000000"/>
              </w:rPr>
              <w:t>.</w:t>
            </w:r>
          </w:p>
        </w:tc>
        <w:tc>
          <w:tcPr>
            <w:tcW w:w="2998" w:type="dxa"/>
          </w:tcPr>
          <w:p w14:paraId="479D545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1E2F82">
              <w:rPr>
                <w:rFonts w:ascii="Times New Roman" w:hAnsi="Times New Roman"/>
                <w:color w:val="000000"/>
              </w:rPr>
              <w:t>Rekomenduojama mažinti ivakaftoro dozę.</w:t>
            </w:r>
          </w:p>
        </w:tc>
      </w:tr>
      <w:tr w:rsidR="00B92818" w:rsidRPr="00F909DC" w14:paraId="219314B4" w14:textId="77777777" w:rsidTr="00DC01BC">
        <w:tc>
          <w:tcPr>
            <w:tcW w:w="2941" w:type="dxa"/>
          </w:tcPr>
          <w:p w14:paraId="2F678E65" w14:textId="77777777" w:rsidR="00B92818"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color w:val="000000"/>
              </w:rPr>
              <w:t>Benzodiazepinai (</w:t>
            </w:r>
            <w:r w:rsidRPr="00534C57" w:rsidDel="00484A61">
              <w:rPr>
                <w:rFonts w:ascii="Times New Roman" w:hAnsi="Times New Roman"/>
                <w:color w:val="000000"/>
              </w:rPr>
              <w:t xml:space="preserve"> </w:t>
            </w:r>
            <w:r w:rsidRPr="00534C57">
              <w:rPr>
                <w:rFonts w:ascii="Times New Roman" w:hAnsi="Times New Roman"/>
                <w:i/>
                <w:iCs/>
                <w:color w:val="000000"/>
              </w:rPr>
              <w:t>[CYP3A4 substratai]</w:t>
            </w:r>
          </w:p>
          <w:p w14:paraId="32CE8425" w14:textId="77777777" w:rsidR="00B92818" w:rsidRDefault="00B92818" w:rsidP="00B92818">
            <w:pPr>
              <w:autoSpaceDE w:val="0"/>
              <w:autoSpaceDN w:val="0"/>
              <w:adjustRightInd w:val="0"/>
              <w:spacing w:after="0" w:line="240" w:lineRule="auto"/>
              <w:ind w:left="166"/>
              <w:rPr>
                <w:rFonts w:ascii="Times New Roman" w:hAnsi="Times New Roman"/>
                <w:color w:val="000000"/>
              </w:rPr>
            </w:pPr>
            <w:r>
              <w:rPr>
                <w:rFonts w:ascii="Times New Roman" w:hAnsi="Times New Roman"/>
                <w:color w:val="000000"/>
              </w:rPr>
              <w:t>Midazolamas (0,05 mg/kg į veną vienkartinė dozė)</w:t>
            </w:r>
          </w:p>
          <w:p w14:paraId="37B055E9" w14:textId="77777777" w:rsidR="00B92818" w:rsidRDefault="00B92818" w:rsidP="00B92818">
            <w:pPr>
              <w:autoSpaceDE w:val="0"/>
              <w:autoSpaceDN w:val="0"/>
              <w:adjustRightInd w:val="0"/>
              <w:spacing w:after="0" w:line="240" w:lineRule="auto"/>
              <w:rPr>
                <w:rFonts w:ascii="Times New Roman" w:hAnsi="Times New Roman"/>
                <w:color w:val="000000"/>
              </w:rPr>
            </w:pPr>
          </w:p>
          <w:p w14:paraId="02DC96A7" w14:textId="77777777" w:rsidR="00B92818" w:rsidRDefault="00B92818" w:rsidP="00B92818">
            <w:pPr>
              <w:autoSpaceDE w:val="0"/>
              <w:autoSpaceDN w:val="0"/>
              <w:adjustRightInd w:val="0"/>
              <w:spacing w:after="0" w:line="240" w:lineRule="auto"/>
              <w:rPr>
                <w:rFonts w:ascii="Times New Roman" w:hAnsi="Times New Roman"/>
                <w:color w:val="000000"/>
              </w:rPr>
            </w:pPr>
          </w:p>
          <w:p w14:paraId="638C3153" w14:textId="77777777" w:rsidR="00B92818" w:rsidRDefault="00B92818" w:rsidP="00B92818">
            <w:pPr>
              <w:autoSpaceDE w:val="0"/>
              <w:autoSpaceDN w:val="0"/>
              <w:adjustRightInd w:val="0"/>
              <w:spacing w:after="0" w:line="240" w:lineRule="auto"/>
              <w:ind w:left="166"/>
              <w:rPr>
                <w:rFonts w:ascii="Times New Roman" w:hAnsi="Times New Roman"/>
                <w:color w:val="000000"/>
              </w:rPr>
            </w:pPr>
            <w:r>
              <w:rPr>
                <w:rFonts w:ascii="Times New Roman" w:hAnsi="Times New Roman"/>
                <w:color w:val="000000"/>
              </w:rPr>
              <w:t>Midazolamas (7,5 mg vienkartinė dozė per burną)</w:t>
            </w:r>
          </w:p>
          <w:p w14:paraId="144D20E3" w14:textId="77777777" w:rsidR="00B92818" w:rsidRDefault="00B92818" w:rsidP="00B92818">
            <w:pPr>
              <w:autoSpaceDE w:val="0"/>
              <w:autoSpaceDN w:val="0"/>
              <w:adjustRightInd w:val="0"/>
              <w:spacing w:after="0" w:line="240" w:lineRule="auto"/>
              <w:rPr>
                <w:rFonts w:ascii="Times New Roman" w:hAnsi="Times New Roman"/>
                <w:color w:val="000000"/>
              </w:rPr>
            </w:pPr>
          </w:p>
          <w:p w14:paraId="6DF365E0" w14:textId="77777777" w:rsidR="00B92818" w:rsidRDefault="00B92818" w:rsidP="00B92818">
            <w:pPr>
              <w:autoSpaceDE w:val="0"/>
              <w:autoSpaceDN w:val="0"/>
              <w:adjustRightInd w:val="0"/>
              <w:spacing w:after="0" w:line="240" w:lineRule="auto"/>
              <w:rPr>
                <w:rFonts w:ascii="Times New Roman" w:hAnsi="Times New Roman"/>
                <w:color w:val="000000"/>
              </w:rPr>
            </w:pPr>
          </w:p>
          <w:p w14:paraId="2D98322B" w14:textId="77777777" w:rsidR="00B92818" w:rsidRDefault="00B92818" w:rsidP="00B92818">
            <w:pPr>
              <w:autoSpaceDE w:val="0"/>
              <w:autoSpaceDN w:val="0"/>
              <w:adjustRightInd w:val="0"/>
              <w:spacing w:after="0" w:line="240" w:lineRule="auto"/>
              <w:rPr>
                <w:rFonts w:ascii="Times New Roman" w:hAnsi="Times New Roman"/>
                <w:color w:val="000000"/>
              </w:rPr>
            </w:pPr>
          </w:p>
          <w:p w14:paraId="42C975C3" w14:textId="4B987BCE" w:rsidR="00B92818" w:rsidRPr="00534C57" w:rsidRDefault="00B92818" w:rsidP="00B92818">
            <w:pPr>
              <w:autoSpaceDE w:val="0"/>
              <w:autoSpaceDN w:val="0"/>
              <w:adjustRightInd w:val="0"/>
              <w:spacing w:after="0" w:line="240" w:lineRule="auto"/>
              <w:ind w:left="166"/>
              <w:rPr>
                <w:rFonts w:ascii="Times New Roman" w:hAnsi="Times New Roman"/>
                <w:color w:val="000000"/>
              </w:rPr>
            </w:pPr>
            <w:r>
              <w:rPr>
                <w:rFonts w:ascii="Times New Roman" w:hAnsi="Times New Roman"/>
                <w:color w:val="000000"/>
              </w:rPr>
              <w:t xml:space="preserve">Kiti benzodiazepinai </w:t>
            </w:r>
            <w:r w:rsidR="006F6EFA">
              <w:rPr>
                <w:rFonts w:ascii="Times New Roman" w:hAnsi="Times New Roman"/>
                <w:color w:val="000000"/>
              </w:rPr>
              <w:t>(</w:t>
            </w:r>
            <w:r w:rsidR="00D01F93">
              <w:rPr>
                <w:rFonts w:ascii="Times New Roman" w:hAnsi="Times New Roman"/>
                <w:color w:val="000000"/>
              </w:rPr>
              <w:t>įskaitant, bet neapsiribojant:</w:t>
            </w:r>
            <w:r>
              <w:rPr>
                <w:rFonts w:ascii="Times New Roman" w:hAnsi="Times New Roman"/>
                <w:color w:val="000000"/>
              </w:rPr>
              <w:t xml:space="preserve"> triazolamas, alprazolamas)</w:t>
            </w:r>
          </w:p>
        </w:tc>
        <w:tc>
          <w:tcPr>
            <w:tcW w:w="3121" w:type="dxa"/>
          </w:tcPr>
          <w:p w14:paraId="45B78106" w14:textId="77777777" w:rsidR="00B92818" w:rsidRDefault="00B92818" w:rsidP="00B92818">
            <w:pPr>
              <w:autoSpaceDE w:val="0"/>
              <w:autoSpaceDN w:val="0"/>
              <w:adjustRightInd w:val="0"/>
              <w:spacing w:after="0" w:line="240" w:lineRule="auto"/>
              <w:rPr>
                <w:rFonts w:ascii="Times New Roman" w:hAnsi="Times New Roman"/>
                <w:color w:val="000000"/>
              </w:rPr>
            </w:pPr>
          </w:p>
          <w:p w14:paraId="2BDD8C16" w14:textId="77777777" w:rsidR="00B92818" w:rsidRDefault="00B92818" w:rsidP="00B92818">
            <w:pPr>
              <w:autoSpaceDE w:val="0"/>
              <w:autoSpaceDN w:val="0"/>
              <w:adjustRightInd w:val="0"/>
              <w:spacing w:after="0" w:line="240" w:lineRule="auto"/>
              <w:rPr>
                <w:rFonts w:ascii="Times New Roman" w:hAnsi="Times New Roman"/>
                <w:color w:val="000000"/>
              </w:rPr>
            </w:pPr>
          </w:p>
          <w:p w14:paraId="6D53F7B7" w14:textId="77777777" w:rsidR="00B92818" w:rsidRDefault="00B92818" w:rsidP="00B92818">
            <w:pPr>
              <w:autoSpaceDE w:val="0"/>
              <w:autoSpaceDN w:val="0"/>
              <w:adjustRightInd w:val="0"/>
              <w:spacing w:after="0" w:line="240" w:lineRule="auto"/>
              <w:rPr>
                <w:rFonts w:ascii="Times New Roman" w:hAnsi="Times New Roman"/>
                <w:color w:val="000000"/>
              </w:rPr>
            </w:pPr>
          </w:p>
          <w:p w14:paraId="49530B82" w14:textId="77777777" w:rsidR="00B92818" w:rsidRDefault="00B92818" w:rsidP="00B92818">
            <w:pPr>
              <w:autoSpaceDE w:val="0"/>
              <w:autoSpaceDN w:val="0"/>
              <w:adjustRightInd w:val="0"/>
              <w:spacing w:after="0" w:line="240" w:lineRule="auto"/>
              <w:rPr>
                <w:rFonts w:ascii="Times New Roman" w:hAnsi="Times New Roman"/>
                <w:color w:val="000000"/>
              </w:rPr>
            </w:pPr>
          </w:p>
          <w:p w14:paraId="11ED66F3"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Paskelbtame nepriklausomame tyrime midazolamo AUC0-</w:t>
            </w:r>
            <w:r w:rsidRPr="00FE7B76">
              <w:rPr>
                <w:position w:val="-3"/>
                <w:lang w:val="pt-PT"/>
              </w:rPr>
              <w:t>∞</w:t>
            </w:r>
            <w:r>
              <w:rPr>
                <w:rFonts w:ascii="Times New Roman" w:hAnsi="Times New Roman"/>
                <w:color w:val="000000"/>
              </w:rPr>
              <w:t>↑ 3,7 karto</w:t>
            </w:r>
          </w:p>
          <w:p w14:paraId="5B934142" w14:textId="77777777" w:rsidR="00B92818" w:rsidRDefault="00B92818" w:rsidP="00B92818">
            <w:pPr>
              <w:autoSpaceDE w:val="0"/>
              <w:autoSpaceDN w:val="0"/>
              <w:adjustRightInd w:val="0"/>
              <w:spacing w:after="0" w:line="240" w:lineRule="auto"/>
              <w:rPr>
                <w:rFonts w:ascii="Times New Roman" w:hAnsi="Times New Roman"/>
                <w:color w:val="000000"/>
              </w:rPr>
            </w:pPr>
          </w:p>
          <w:p w14:paraId="3B3B57AB"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Paskelbtame nepriklausomame tyrime midazolamo Cmax↑ 3,8 karto, midazolamo AUC0-</w:t>
            </w:r>
            <w:r w:rsidRPr="00FE7B76">
              <w:rPr>
                <w:position w:val="-3"/>
                <w:lang w:val="pt-PT"/>
              </w:rPr>
              <w:t>∞</w:t>
            </w:r>
            <w:r>
              <w:rPr>
                <w:rFonts w:ascii="Times New Roman" w:hAnsi="Times New Roman"/>
                <w:color w:val="000000"/>
              </w:rPr>
              <w:t>↑  karto</w:t>
            </w:r>
          </w:p>
          <w:p w14:paraId="6E9F1B07" w14:textId="77777777" w:rsidR="00B92818" w:rsidRDefault="00B92818" w:rsidP="00B92818">
            <w:pPr>
              <w:autoSpaceDE w:val="0"/>
              <w:autoSpaceDN w:val="0"/>
              <w:adjustRightInd w:val="0"/>
              <w:spacing w:after="0" w:line="240" w:lineRule="auto"/>
              <w:rPr>
                <w:rFonts w:ascii="Times New Roman" w:hAnsi="Times New Roman"/>
                <w:color w:val="000000"/>
              </w:rPr>
            </w:pPr>
          </w:p>
          <w:p w14:paraId="68DCC89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Nors tyrimų neatlikta, tikėtina, kad vorikonazolas didina benzodiazepinų, kurių metabolizmą veikia CYP3A4, koncentracijas plazmoje ir pailgina sedacinį poveikį.</w:t>
            </w:r>
          </w:p>
        </w:tc>
        <w:tc>
          <w:tcPr>
            <w:tcW w:w="2998" w:type="dxa"/>
          </w:tcPr>
          <w:p w14:paraId="7907213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apsvarstyti benzodiazepinų dozės mažinimo galimybę.</w:t>
            </w:r>
          </w:p>
        </w:tc>
      </w:tr>
      <w:tr w:rsidR="00B92818" w:rsidRPr="00F909DC" w14:paraId="2FA7A2B4" w14:textId="77777777" w:rsidTr="00FE7B76">
        <w:trPr>
          <w:trHeight w:val="7078"/>
        </w:trPr>
        <w:tc>
          <w:tcPr>
            <w:tcW w:w="2941" w:type="dxa"/>
          </w:tcPr>
          <w:p w14:paraId="0B07A7A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Imunosupresantai</w:t>
            </w:r>
          </w:p>
          <w:p w14:paraId="3FB7861D"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[CYP3A4 substratai]</w:t>
            </w:r>
          </w:p>
          <w:p w14:paraId="7EA0D53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7B2047D0" w14:textId="77777777" w:rsidR="00B92818"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Sirolimuzas (vienkartinė 2</w:t>
            </w:r>
            <w:r>
              <w:rPr>
                <w:rFonts w:ascii="Times New Roman" w:hAnsi="Times New Roman"/>
                <w:color w:val="000000"/>
              </w:rPr>
              <w:t> </w:t>
            </w:r>
            <w:r w:rsidRPr="00534C57">
              <w:rPr>
                <w:rFonts w:ascii="Times New Roman" w:hAnsi="Times New Roman"/>
                <w:color w:val="000000"/>
              </w:rPr>
              <w:t>mg dozė)</w:t>
            </w:r>
          </w:p>
          <w:p w14:paraId="206FF69E" w14:textId="77777777" w:rsidR="00B92818" w:rsidRDefault="00B92818" w:rsidP="00B92818">
            <w:pPr>
              <w:autoSpaceDE w:val="0"/>
              <w:autoSpaceDN w:val="0"/>
              <w:adjustRightInd w:val="0"/>
              <w:spacing w:after="0" w:line="240" w:lineRule="auto"/>
              <w:rPr>
                <w:rFonts w:ascii="Times New Roman" w:hAnsi="Times New Roman"/>
                <w:color w:val="000000"/>
              </w:rPr>
            </w:pPr>
          </w:p>
          <w:p w14:paraId="0254CF36" w14:textId="77777777" w:rsidR="00B92818" w:rsidRDefault="00B92818" w:rsidP="00B92818">
            <w:pPr>
              <w:autoSpaceDE w:val="0"/>
              <w:autoSpaceDN w:val="0"/>
              <w:adjustRightInd w:val="0"/>
              <w:spacing w:after="0" w:line="240" w:lineRule="auto"/>
              <w:rPr>
                <w:rFonts w:ascii="Times New Roman" w:hAnsi="Times New Roman"/>
                <w:color w:val="000000"/>
              </w:rPr>
            </w:pPr>
          </w:p>
          <w:p w14:paraId="0A9E0CDB" w14:textId="77777777" w:rsidR="00B92818" w:rsidRDefault="00B92818" w:rsidP="00B92818">
            <w:pPr>
              <w:autoSpaceDE w:val="0"/>
              <w:autoSpaceDN w:val="0"/>
              <w:adjustRightInd w:val="0"/>
              <w:spacing w:after="0" w:line="240" w:lineRule="auto"/>
              <w:rPr>
                <w:rFonts w:ascii="Times New Roman" w:hAnsi="Times New Roman"/>
                <w:color w:val="000000"/>
              </w:rPr>
            </w:pPr>
          </w:p>
          <w:p w14:paraId="6C5FF6EA" w14:textId="77777777" w:rsidR="00B92818" w:rsidRDefault="00B92818" w:rsidP="00B92818">
            <w:pPr>
              <w:autoSpaceDE w:val="0"/>
              <w:autoSpaceDN w:val="0"/>
              <w:adjustRightInd w:val="0"/>
              <w:spacing w:after="0" w:line="240" w:lineRule="auto"/>
              <w:rPr>
                <w:rFonts w:ascii="Times New Roman" w:hAnsi="Times New Roman"/>
                <w:color w:val="000000"/>
              </w:rPr>
            </w:pPr>
          </w:p>
          <w:p w14:paraId="3890592C" w14:textId="77777777" w:rsidR="00B92818"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Everolimuzas </w:t>
            </w:r>
          </w:p>
          <w:p w14:paraId="14B9C66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w:t>
            </w:r>
            <w:r>
              <w:rPr>
                <w:rFonts w:ascii="Times New Roman" w:hAnsi="Times New Roman"/>
                <w:i/>
                <w:iCs/>
                <w:color w:val="000000"/>
              </w:rPr>
              <w:t xml:space="preserve">taip pat </w:t>
            </w:r>
            <w:r w:rsidRPr="00534C57">
              <w:rPr>
                <w:rFonts w:ascii="Times New Roman" w:hAnsi="Times New Roman"/>
                <w:i/>
                <w:iCs/>
                <w:color w:val="000000"/>
              </w:rPr>
              <w:t>P-gp substratas]</w:t>
            </w:r>
          </w:p>
          <w:p w14:paraId="35FC1F1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2441F43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11421482" w14:textId="77777777" w:rsidR="00B92818" w:rsidRDefault="00B92818" w:rsidP="00B92818">
            <w:pPr>
              <w:autoSpaceDE w:val="0"/>
              <w:autoSpaceDN w:val="0"/>
              <w:adjustRightInd w:val="0"/>
              <w:spacing w:after="0" w:line="240" w:lineRule="auto"/>
              <w:rPr>
                <w:rFonts w:ascii="Times New Roman" w:hAnsi="Times New Roman"/>
                <w:color w:val="000000"/>
              </w:rPr>
            </w:pPr>
          </w:p>
          <w:p w14:paraId="2F1979BF" w14:textId="77777777" w:rsidR="00B92818" w:rsidRDefault="00B92818" w:rsidP="00B92818">
            <w:pPr>
              <w:autoSpaceDE w:val="0"/>
              <w:autoSpaceDN w:val="0"/>
              <w:adjustRightInd w:val="0"/>
              <w:spacing w:after="0" w:line="240" w:lineRule="auto"/>
              <w:rPr>
                <w:rFonts w:ascii="Times New Roman" w:hAnsi="Times New Roman"/>
                <w:color w:val="000000"/>
              </w:rPr>
            </w:pPr>
          </w:p>
          <w:p w14:paraId="7F6068E7" w14:textId="77777777" w:rsidR="00B92818" w:rsidRDefault="00B92818" w:rsidP="00B92818">
            <w:pPr>
              <w:autoSpaceDE w:val="0"/>
              <w:autoSpaceDN w:val="0"/>
              <w:adjustRightInd w:val="0"/>
              <w:spacing w:after="0" w:line="240" w:lineRule="auto"/>
              <w:rPr>
                <w:rFonts w:ascii="Times New Roman" w:hAnsi="Times New Roman"/>
                <w:color w:val="000000"/>
              </w:rPr>
            </w:pPr>
          </w:p>
          <w:p w14:paraId="30A561ED" w14:textId="77777777" w:rsidR="00B92818" w:rsidRDefault="00B92818" w:rsidP="00B92818">
            <w:pPr>
              <w:autoSpaceDE w:val="0"/>
              <w:autoSpaceDN w:val="0"/>
              <w:adjustRightInd w:val="0"/>
              <w:spacing w:after="0" w:line="240" w:lineRule="auto"/>
              <w:rPr>
                <w:rFonts w:ascii="Times New Roman" w:hAnsi="Times New Roman"/>
                <w:color w:val="000000"/>
              </w:rPr>
            </w:pPr>
          </w:p>
          <w:p w14:paraId="53AA8C4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Ciklosporinas (pacientų, kurių būklė po inksto persodinimo yra stabili, ir kuriems taikomas ilgalaikis gydymas ciklosporinu)</w:t>
            </w:r>
          </w:p>
          <w:p w14:paraId="50D3543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565250BE" w14:textId="77777777" w:rsidR="00B92818" w:rsidRDefault="00B92818" w:rsidP="00B92818">
            <w:pPr>
              <w:autoSpaceDE w:val="0"/>
              <w:autoSpaceDN w:val="0"/>
              <w:adjustRightInd w:val="0"/>
              <w:spacing w:after="0" w:line="240" w:lineRule="auto"/>
              <w:rPr>
                <w:rFonts w:ascii="Times New Roman" w:hAnsi="Times New Roman"/>
                <w:color w:val="000000"/>
              </w:rPr>
            </w:pPr>
          </w:p>
          <w:p w14:paraId="2EF05A8C" w14:textId="77777777" w:rsidR="00B92818" w:rsidRDefault="00B92818" w:rsidP="00B92818">
            <w:pPr>
              <w:autoSpaceDE w:val="0"/>
              <w:autoSpaceDN w:val="0"/>
              <w:adjustRightInd w:val="0"/>
              <w:spacing w:after="0" w:line="240" w:lineRule="auto"/>
              <w:rPr>
                <w:rFonts w:ascii="Times New Roman" w:hAnsi="Times New Roman"/>
                <w:color w:val="000000"/>
              </w:rPr>
            </w:pPr>
          </w:p>
          <w:p w14:paraId="55CE7850" w14:textId="77777777" w:rsidR="00B92818" w:rsidRDefault="00B92818" w:rsidP="00B92818">
            <w:pPr>
              <w:autoSpaceDE w:val="0"/>
              <w:autoSpaceDN w:val="0"/>
              <w:adjustRightInd w:val="0"/>
              <w:spacing w:after="0" w:line="240" w:lineRule="auto"/>
              <w:rPr>
                <w:rFonts w:ascii="Times New Roman" w:hAnsi="Times New Roman"/>
                <w:color w:val="000000"/>
              </w:rPr>
            </w:pPr>
          </w:p>
          <w:p w14:paraId="6CEA6B87" w14:textId="77777777" w:rsidR="00B92818" w:rsidRDefault="00B92818" w:rsidP="00B92818">
            <w:pPr>
              <w:autoSpaceDE w:val="0"/>
              <w:autoSpaceDN w:val="0"/>
              <w:adjustRightInd w:val="0"/>
              <w:spacing w:after="0" w:line="240" w:lineRule="auto"/>
              <w:rPr>
                <w:rFonts w:ascii="Times New Roman" w:hAnsi="Times New Roman"/>
                <w:color w:val="000000"/>
              </w:rPr>
            </w:pPr>
          </w:p>
          <w:p w14:paraId="782C0B68" w14:textId="77777777" w:rsidR="00B92818" w:rsidRDefault="00B92818" w:rsidP="00B92818">
            <w:pPr>
              <w:autoSpaceDE w:val="0"/>
              <w:autoSpaceDN w:val="0"/>
              <w:adjustRightInd w:val="0"/>
              <w:spacing w:after="0" w:line="240" w:lineRule="auto"/>
              <w:rPr>
                <w:rFonts w:ascii="Times New Roman" w:hAnsi="Times New Roman"/>
                <w:color w:val="000000"/>
              </w:rPr>
            </w:pPr>
          </w:p>
          <w:p w14:paraId="4CBE8E3D" w14:textId="77777777" w:rsidR="00B92818" w:rsidRDefault="00B92818" w:rsidP="00B92818">
            <w:pPr>
              <w:autoSpaceDE w:val="0"/>
              <w:autoSpaceDN w:val="0"/>
              <w:adjustRightInd w:val="0"/>
              <w:spacing w:after="0" w:line="240" w:lineRule="auto"/>
              <w:rPr>
                <w:rFonts w:ascii="Times New Roman" w:hAnsi="Times New Roman"/>
                <w:color w:val="000000"/>
              </w:rPr>
            </w:pPr>
          </w:p>
          <w:p w14:paraId="4563A4EF" w14:textId="77777777" w:rsidR="00B92818" w:rsidRDefault="00B92818" w:rsidP="00B92818">
            <w:pPr>
              <w:autoSpaceDE w:val="0"/>
              <w:autoSpaceDN w:val="0"/>
              <w:adjustRightInd w:val="0"/>
              <w:spacing w:after="0" w:line="240" w:lineRule="auto"/>
              <w:rPr>
                <w:rFonts w:ascii="Times New Roman" w:hAnsi="Times New Roman"/>
                <w:color w:val="000000"/>
              </w:rPr>
            </w:pPr>
          </w:p>
          <w:p w14:paraId="1ABB3872" w14:textId="77777777" w:rsidR="00B92818" w:rsidRDefault="00B92818" w:rsidP="00B92818">
            <w:pPr>
              <w:autoSpaceDE w:val="0"/>
              <w:autoSpaceDN w:val="0"/>
              <w:adjustRightInd w:val="0"/>
              <w:spacing w:after="0" w:line="240" w:lineRule="auto"/>
              <w:rPr>
                <w:rFonts w:ascii="Times New Roman" w:hAnsi="Times New Roman"/>
                <w:color w:val="000000"/>
              </w:rPr>
            </w:pPr>
          </w:p>
          <w:p w14:paraId="1B713C2B" w14:textId="77777777" w:rsidR="00B92818" w:rsidRDefault="00B92818" w:rsidP="00B92818">
            <w:pPr>
              <w:autoSpaceDE w:val="0"/>
              <w:autoSpaceDN w:val="0"/>
              <w:adjustRightInd w:val="0"/>
              <w:spacing w:after="0" w:line="240" w:lineRule="auto"/>
              <w:rPr>
                <w:rFonts w:ascii="Times New Roman" w:hAnsi="Times New Roman"/>
                <w:color w:val="000000"/>
              </w:rPr>
            </w:pPr>
          </w:p>
          <w:p w14:paraId="621DED6C"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Takrolimuzas (vienkartinė 0,1</w:t>
            </w:r>
            <w:r>
              <w:rPr>
                <w:rFonts w:ascii="Times New Roman" w:hAnsi="Times New Roman"/>
                <w:color w:val="000000"/>
              </w:rPr>
              <w:t> </w:t>
            </w:r>
            <w:r w:rsidRPr="00534C57">
              <w:rPr>
                <w:rFonts w:ascii="Times New Roman" w:hAnsi="Times New Roman"/>
                <w:color w:val="000000"/>
              </w:rPr>
              <w:t xml:space="preserve"> mg/kg kūno svorio dozė)</w:t>
            </w:r>
          </w:p>
        </w:tc>
        <w:tc>
          <w:tcPr>
            <w:tcW w:w="3121" w:type="dxa"/>
          </w:tcPr>
          <w:p w14:paraId="312A441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D8309DC"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671E1F2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099DFA0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Paskelbto nepriklausomo tyrimo</w:t>
            </w:r>
          </w:p>
          <w:p w14:paraId="0C8DB6B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duomenimis, sirolimuzo Cmax ↑ 6,6 karto, sirolimuzo AUC0−∞ ↑ 11 kartų</w:t>
            </w:r>
          </w:p>
          <w:p w14:paraId="7D93841D" w14:textId="77777777" w:rsidR="00D01F93" w:rsidRDefault="00D01F93" w:rsidP="00B92818">
            <w:pPr>
              <w:autoSpaceDE w:val="0"/>
              <w:autoSpaceDN w:val="0"/>
              <w:adjustRightInd w:val="0"/>
              <w:spacing w:after="0" w:line="240" w:lineRule="auto"/>
              <w:rPr>
                <w:rFonts w:ascii="Times New Roman" w:hAnsi="Times New Roman"/>
                <w:color w:val="000000"/>
              </w:rPr>
            </w:pPr>
          </w:p>
          <w:p w14:paraId="1BE2C271" w14:textId="77777777" w:rsidR="00D01F93" w:rsidRDefault="00D01F93" w:rsidP="00B92818">
            <w:pPr>
              <w:autoSpaceDE w:val="0"/>
              <w:autoSpaceDN w:val="0"/>
              <w:adjustRightInd w:val="0"/>
              <w:spacing w:after="0" w:line="240" w:lineRule="auto"/>
              <w:rPr>
                <w:rFonts w:ascii="Times New Roman" w:hAnsi="Times New Roman"/>
                <w:color w:val="000000"/>
              </w:rPr>
            </w:pPr>
          </w:p>
          <w:p w14:paraId="33A81C1F" w14:textId="44696F61"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Nors tyrimų neatlikta, tikėtina, kad vorikonazolas reikšmingai didins everolimuzo koncentraciją plazmoje.</w:t>
            </w:r>
          </w:p>
          <w:p w14:paraId="534B9239" w14:textId="77777777" w:rsidR="00B92818" w:rsidRDefault="00B92818" w:rsidP="00B92818">
            <w:pPr>
              <w:autoSpaceDE w:val="0"/>
              <w:autoSpaceDN w:val="0"/>
              <w:adjustRightInd w:val="0"/>
              <w:spacing w:after="0" w:line="240" w:lineRule="auto"/>
              <w:rPr>
                <w:rFonts w:ascii="Times New Roman" w:hAnsi="Times New Roman"/>
                <w:color w:val="000000"/>
              </w:rPr>
            </w:pPr>
          </w:p>
          <w:p w14:paraId="1535810E" w14:textId="77777777" w:rsidR="00B92818" w:rsidRDefault="00B92818" w:rsidP="00B92818">
            <w:pPr>
              <w:autoSpaceDE w:val="0"/>
              <w:autoSpaceDN w:val="0"/>
              <w:adjustRightInd w:val="0"/>
              <w:spacing w:after="0" w:line="240" w:lineRule="auto"/>
              <w:rPr>
                <w:rFonts w:ascii="Times New Roman" w:hAnsi="Times New Roman"/>
                <w:color w:val="000000"/>
              </w:rPr>
            </w:pPr>
          </w:p>
          <w:p w14:paraId="40A4C297" w14:textId="77777777" w:rsidR="00B92818" w:rsidRDefault="00B92818" w:rsidP="00B92818">
            <w:pPr>
              <w:autoSpaceDE w:val="0"/>
              <w:autoSpaceDN w:val="0"/>
              <w:adjustRightInd w:val="0"/>
              <w:spacing w:after="0" w:line="240" w:lineRule="auto"/>
              <w:rPr>
                <w:rFonts w:ascii="Times New Roman" w:hAnsi="Times New Roman"/>
                <w:color w:val="000000"/>
              </w:rPr>
            </w:pPr>
          </w:p>
          <w:p w14:paraId="0BC9DFCB" w14:textId="77777777" w:rsidR="00B92818" w:rsidRDefault="00B92818" w:rsidP="00B92818">
            <w:pPr>
              <w:autoSpaceDE w:val="0"/>
              <w:autoSpaceDN w:val="0"/>
              <w:adjustRightInd w:val="0"/>
              <w:spacing w:after="0" w:line="240" w:lineRule="auto"/>
              <w:rPr>
                <w:rFonts w:ascii="Times New Roman" w:hAnsi="Times New Roman"/>
                <w:color w:val="000000"/>
              </w:rPr>
            </w:pPr>
          </w:p>
          <w:p w14:paraId="5A9B266B"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Ciklosporino Cmax ↑ 13 %</w:t>
            </w:r>
          </w:p>
          <w:p w14:paraId="0D1DAF2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Ciklosporino AUCτ ↑ 70 %</w:t>
            </w:r>
          </w:p>
          <w:p w14:paraId="46D4AA8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679DFA1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28F4AE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E392289"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0EEB876" w14:textId="77777777" w:rsidR="00B92818" w:rsidRDefault="00B92818" w:rsidP="00B92818">
            <w:pPr>
              <w:autoSpaceDE w:val="0"/>
              <w:autoSpaceDN w:val="0"/>
              <w:adjustRightInd w:val="0"/>
              <w:spacing w:after="0" w:line="240" w:lineRule="auto"/>
              <w:rPr>
                <w:rFonts w:ascii="Times New Roman" w:hAnsi="Times New Roman"/>
                <w:color w:val="000000"/>
              </w:rPr>
            </w:pPr>
          </w:p>
          <w:p w14:paraId="512766C6" w14:textId="77777777" w:rsidR="00B92818" w:rsidRDefault="00B92818" w:rsidP="00B92818">
            <w:pPr>
              <w:autoSpaceDE w:val="0"/>
              <w:autoSpaceDN w:val="0"/>
              <w:adjustRightInd w:val="0"/>
              <w:spacing w:after="0" w:line="240" w:lineRule="auto"/>
              <w:rPr>
                <w:rFonts w:ascii="Times New Roman" w:hAnsi="Times New Roman"/>
                <w:color w:val="000000"/>
              </w:rPr>
            </w:pPr>
          </w:p>
          <w:p w14:paraId="6F9EA6F3" w14:textId="77777777" w:rsidR="00B92818" w:rsidRDefault="00B92818" w:rsidP="00B92818">
            <w:pPr>
              <w:autoSpaceDE w:val="0"/>
              <w:autoSpaceDN w:val="0"/>
              <w:adjustRightInd w:val="0"/>
              <w:spacing w:after="0" w:line="240" w:lineRule="auto"/>
              <w:rPr>
                <w:rFonts w:ascii="Times New Roman" w:hAnsi="Times New Roman"/>
                <w:color w:val="000000"/>
              </w:rPr>
            </w:pPr>
          </w:p>
          <w:p w14:paraId="34779D22" w14:textId="77777777" w:rsidR="00B92818" w:rsidRDefault="00B92818" w:rsidP="00B92818">
            <w:pPr>
              <w:autoSpaceDE w:val="0"/>
              <w:autoSpaceDN w:val="0"/>
              <w:adjustRightInd w:val="0"/>
              <w:spacing w:after="0" w:line="240" w:lineRule="auto"/>
              <w:rPr>
                <w:rFonts w:ascii="Times New Roman" w:hAnsi="Times New Roman"/>
                <w:color w:val="000000"/>
              </w:rPr>
            </w:pPr>
          </w:p>
          <w:p w14:paraId="6BD3E7B5" w14:textId="77777777" w:rsidR="00B92818" w:rsidRDefault="00B92818" w:rsidP="00B92818">
            <w:pPr>
              <w:autoSpaceDE w:val="0"/>
              <w:autoSpaceDN w:val="0"/>
              <w:adjustRightInd w:val="0"/>
              <w:spacing w:after="0" w:line="240" w:lineRule="auto"/>
              <w:rPr>
                <w:rFonts w:ascii="Times New Roman" w:hAnsi="Times New Roman"/>
                <w:color w:val="000000"/>
              </w:rPr>
            </w:pPr>
          </w:p>
          <w:p w14:paraId="3B6CFA19" w14:textId="77777777" w:rsidR="00B92818" w:rsidRDefault="00B92818" w:rsidP="00B92818">
            <w:pPr>
              <w:autoSpaceDE w:val="0"/>
              <w:autoSpaceDN w:val="0"/>
              <w:adjustRightInd w:val="0"/>
              <w:spacing w:after="0" w:line="240" w:lineRule="auto"/>
              <w:rPr>
                <w:rFonts w:ascii="Times New Roman" w:hAnsi="Times New Roman"/>
                <w:color w:val="000000"/>
              </w:rPr>
            </w:pPr>
          </w:p>
          <w:p w14:paraId="5EC367EC" w14:textId="77777777" w:rsidR="00B92818" w:rsidRDefault="00B92818" w:rsidP="00B92818">
            <w:pPr>
              <w:autoSpaceDE w:val="0"/>
              <w:autoSpaceDN w:val="0"/>
              <w:adjustRightInd w:val="0"/>
              <w:spacing w:after="0" w:line="240" w:lineRule="auto"/>
              <w:rPr>
                <w:rFonts w:ascii="Times New Roman" w:hAnsi="Times New Roman"/>
                <w:color w:val="000000"/>
              </w:rPr>
            </w:pPr>
          </w:p>
          <w:p w14:paraId="0976B695" w14:textId="77777777" w:rsidR="00B92818" w:rsidRDefault="00B92818" w:rsidP="00B92818">
            <w:pPr>
              <w:autoSpaceDE w:val="0"/>
              <w:autoSpaceDN w:val="0"/>
              <w:adjustRightInd w:val="0"/>
              <w:spacing w:after="0" w:line="240" w:lineRule="auto"/>
              <w:rPr>
                <w:rFonts w:ascii="Times New Roman" w:hAnsi="Times New Roman"/>
                <w:color w:val="000000"/>
              </w:rPr>
            </w:pPr>
          </w:p>
          <w:p w14:paraId="2A47308C" w14:textId="77777777" w:rsidR="00B92818" w:rsidRDefault="00B92818" w:rsidP="00B92818">
            <w:pPr>
              <w:autoSpaceDE w:val="0"/>
              <w:autoSpaceDN w:val="0"/>
              <w:adjustRightInd w:val="0"/>
              <w:spacing w:after="0" w:line="240" w:lineRule="auto"/>
              <w:rPr>
                <w:rFonts w:ascii="Times New Roman" w:hAnsi="Times New Roman"/>
                <w:color w:val="000000"/>
              </w:rPr>
            </w:pPr>
          </w:p>
          <w:p w14:paraId="081E2A1A" w14:textId="3C200D90"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Takrolimuzo Cmax ↑ 117 %</w:t>
            </w:r>
          </w:p>
          <w:p w14:paraId="0841E69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Takrolimuzo AUCt ↑ 221 %</w:t>
            </w:r>
          </w:p>
        </w:tc>
        <w:tc>
          <w:tcPr>
            <w:tcW w:w="2998" w:type="dxa"/>
          </w:tcPr>
          <w:p w14:paraId="6338CD3B" w14:textId="77777777" w:rsidR="00B92818" w:rsidRDefault="00B92818" w:rsidP="00B92818">
            <w:pPr>
              <w:autoSpaceDE w:val="0"/>
              <w:autoSpaceDN w:val="0"/>
              <w:adjustRightInd w:val="0"/>
              <w:spacing w:after="0" w:line="240" w:lineRule="auto"/>
              <w:rPr>
                <w:rFonts w:ascii="Times New Roman" w:hAnsi="Times New Roman"/>
                <w:b/>
                <w:bCs/>
                <w:color w:val="000000"/>
              </w:rPr>
            </w:pPr>
          </w:p>
          <w:p w14:paraId="1526331E" w14:textId="77777777" w:rsidR="00B92818" w:rsidRDefault="00B92818" w:rsidP="00B92818">
            <w:pPr>
              <w:autoSpaceDE w:val="0"/>
              <w:autoSpaceDN w:val="0"/>
              <w:adjustRightInd w:val="0"/>
              <w:spacing w:after="0" w:line="240" w:lineRule="auto"/>
              <w:rPr>
                <w:rFonts w:ascii="Times New Roman" w:hAnsi="Times New Roman"/>
                <w:b/>
                <w:bCs/>
                <w:color w:val="000000"/>
              </w:rPr>
            </w:pPr>
          </w:p>
          <w:p w14:paraId="7583C1D7" w14:textId="77777777" w:rsidR="00B92818" w:rsidRDefault="00B92818" w:rsidP="00B92818">
            <w:pPr>
              <w:autoSpaceDE w:val="0"/>
              <w:autoSpaceDN w:val="0"/>
              <w:adjustRightInd w:val="0"/>
              <w:spacing w:after="0" w:line="240" w:lineRule="auto"/>
              <w:rPr>
                <w:rFonts w:ascii="Times New Roman" w:hAnsi="Times New Roman"/>
                <w:b/>
                <w:bCs/>
                <w:color w:val="000000"/>
              </w:rPr>
            </w:pPr>
          </w:p>
          <w:p w14:paraId="5AB03AEF" w14:textId="77777777" w:rsidR="00B92818"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b/>
                <w:bCs/>
                <w:color w:val="000000"/>
              </w:rPr>
              <w:t xml:space="preserve">Kontraindikacija </w:t>
            </w:r>
            <w:r w:rsidRPr="00534C57">
              <w:rPr>
                <w:rFonts w:ascii="Times New Roman" w:hAnsi="Times New Roman"/>
                <w:color w:val="000000"/>
              </w:rPr>
              <w:t xml:space="preserve">vartoti vorikonazolą kartu su sirolimuzu (žr. 4.3 skyrių). </w:t>
            </w:r>
          </w:p>
          <w:p w14:paraId="35D1B6F8" w14:textId="77777777" w:rsidR="00B92818" w:rsidRDefault="00B92818" w:rsidP="00B92818">
            <w:pPr>
              <w:autoSpaceDE w:val="0"/>
              <w:autoSpaceDN w:val="0"/>
              <w:adjustRightInd w:val="0"/>
              <w:spacing w:after="0" w:line="240" w:lineRule="auto"/>
              <w:rPr>
                <w:rFonts w:ascii="Times New Roman" w:hAnsi="Times New Roman"/>
                <w:color w:val="000000"/>
              </w:rPr>
            </w:pPr>
          </w:p>
          <w:p w14:paraId="49652142" w14:textId="77777777" w:rsidR="00B92818" w:rsidRDefault="00B92818" w:rsidP="00B92818">
            <w:pPr>
              <w:autoSpaceDE w:val="0"/>
              <w:autoSpaceDN w:val="0"/>
              <w:adjustRightInd w:val="0"/>
              <w:spacing w:after="0" w:line="240" w:lineRule="auto"/>
              <w:rPr>
                <w:rFonts w:ascii="Times New Roman" w:hAnsi="Times New Roman"/>
                <w:color w:val="000000"/>
              </w:rPr>
            </w:pPr>
          </w:p>
          <w:p w14:paraId="47B9C0A9" w14:textId="77777777" w:rsidR="00B92818" w:rsidRDefault="00B92818" w:rsidP="00B92818">
            <w:pPr>
              <w:autoSpaceDE w:val="0"/>
              <w:autoSpaceDN w:val="0"/>
              <w:adjustRightInd w:val="0"/>
              <w:spacing w:after="0" w:line="240" w:lineRule="auto"/>
              <w:rPr>
                <w:rFonts w:ascii="Times New Roman" w:hAnsi="Times New Roman"/>
                <w:color w:val="000000"/>
              </w:rPr>
            </w:pPr>
          </w:p>
          <w:p w14:paraId="3C20EB83"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Vorikonazolą vartoti kartu su everolimuzu nerekomenduojama, nes tikėtina, kad vorikonazolas reikšmingai padidins everolimuzo koncentraciją (žr. 4.4 skyrių).</w:t>
            </w:r>
          </w:p>
          <w:p w14:paraId="55F7CB71" w14:textId="77777777" w:rsidR="00B92818" w:rsidRDefault="00B92818" w:rsidP="00B92818">
            <w:pPr>
              <w:autoSpaceDE w:val="0"/>
              <w:autoSpaceDN w:val="0"/>
              <w:adjustRightInd w:val="0"/>
              <w:spacing w:after="0" w:line="240" w:lineRule="auto"/>
              <w:rPr>
                <w:rFonts w:ascii="Times New Roman" w:hAnsi="Times New Roman"/>
                <w:color w:val="000000"/>
              </w:rPr>
            </w:pPr>
          </w:p>
          <w:p w14:paraId="1E449980" w14:textId="77777777" w:rsidR="00B92818"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Pradedant gydymą vorikonazolu pacientams, kurie jau vartoja ciklosporiną, rekomenduojama ciklosporino dozę perpus sumažinti ir atidžiai stebėti ciklosporino koncentraciją. Ciklosporino koncentracijų padidėjimas buvo susijęs su nefrotoksiniu poveikiu. </w:t>
            </w:r>
            <w:r w:rsidRPr="00026233">
              <w:rPr>
                <w:rFonts w:ascii="Times New Roman" w:hAnsi="Times New Roman"/>
                <w:color w:val="000000"/>
                <w:u w:val="single"/>
              </w:rPr>
              <w:t>Nutraukus vorikonazolo vartojimą, reikia atidžiai stebėti ciklosporino koncentracijas ir, prireikus, padidinti dozę.</w:t>
            </w:r>
            <w:r w:rsidRPr="00534C57">
              <w:rPr>
                <w:rFonts w:ascii="Times New Roman" w:hAnsi="Times New Roman"/>
                <w:color w:val="000000"/>
              </w:rPr>
              <w:t xml:space="preserve"> </w:t>
            </w:r>
          </w:p>
          <w:p w14:paraId="48C1891C" w14:textId="77777777" w:rsidR="00B92818" w:rsidRDefault="00B92818" w:rsidP="00B92818">
            <w:pPr>
              <w:autoSpaceDE w:val="0"/>
              <w:autoSpaceDN w:val="0"/>
              <w:adjustRightInd w:val="0"/>
              <w:spacing w:after="0" w:line="240" w:lineRule="auto"/>
              <w:rPr>
                <w:rFonts w:ascii="Times New Roman" w:hAnsi="Times New Roman"/>
                <w:color w:val="000000"/>
              </w:rPr>
            </w:pPr>
          </w:p>
          <w:p w14:paraId="43B5C732" w14:textId="0974F209"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Pradedant gydymą vorikonazolu pacientams, kurie jau vartoja takrolimuzą, rekomenduojama takrolimuzo dozę sumažinti trečdaliu pradinės dozės ir atidžiai stebėti takrolimuzo koncentraciją. Takrolimuzo koncentracijų padidėjimas buvo susijęs su nefrotoksiniu poveikiu. </w:t>
            </w:r>
            <w:r w:rsidRPr="00FE7B76">
              <w:rPr>
                <w:rFonts w:ascii="Times New Roman" w:hAnsi="Times New Roman"/>
                <w:color w:val="000000"/>
                <w:u w:val="single"/>
              </w:rPr>
              <w:t>Nutraukus vorikonazolo vartojimą, reikia atidžiai stebėti takrolimuzo koncentracijas ir, jeigu reikia, padidinti dozę.</w:t>
            </w:r>
          </w:p>
        </w:tc>
      </w:tr>
      <w:tr w:rsidR="00B92818" w:rsidRPr="00F909DC" w14:paraId="68D68E85" w14:textId="77777777" w:rsidTr="00DC01BC">
        <w:tc>
          <w:tcPr>
            <w:tcW w:w="2941" w:type="dxa"/>
          </w:tcPr>
          <w:p w14:paraId="4D19AF8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Ilgai veikiantys opioidai</w:t>
            </w:r>
          </w:p>
          <w:p w14:paraId="6D709E18"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[CYP3A4 substratai]</w:t>
            </w:r>
            <w:r w:rsidRPr="00534C57">
              <w:rPr>
                <w:rFonts w:ascii="Times New Roman" w:hAnsi="Times New Roman"/>
                <w:color w:val="000000"/>
              </w:rPr>
              <w:t xml:space="preserve"> </w:t>
            </w:r>
          </w:p>
          <w:p w14:paraId="146DF1D0"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p>
          <w:p w14:paraId="58E26C09"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01578D4F"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Oksikodonas (vienkartinė 10</w:t>
            </w:r>
            <w:r>
              <w:rPr>
                <w:rFonts w:ascii="Times New Roman" w:hAnsi="Times New Roman"/>
                <w:color w:val="000000"/>
              </w:rPr>
              <w:t> </w:t>
            </w:r>
            <w:r w:rsidRPr="00534C57">
              <w:rPr>
                <w:rFonts w:ascii="Times New Roman" w:hAnsi="Times New Roman"/>
                <w:color w:val="000000"/>
              </w:rPr>
              <w:t xml:space="preserve">mg dozė) </w:t>
            </w:r>
          </w:p>
        </w:tc>
        <w:tc>
          <w:tcPr>
            <w:tcW w:w="3121" w:type="dxa"/>
          </w:tcPr>
          <w:p w14:paraId="16D4C2B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Paskelbto nepriklausomo tyrimo duomenimis, oksikodono Cmax ↑ 1,7 karto, oksikodono AUC0−∞ ↑ 3,6 karto</w:t>
            </w:r>
          </w:p>
          <w:p w14:paraId="7B3F27CB"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tc>
        <w:tc>
          <w:tcPr>
            <w:tcW w:w="2998" w:type="dxa"/>
          </w:tcPr>
          <w:p w14:paraId="40E6945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apsvarstyti oksikodono ir kitų ilgai veikiančių opioidų, kurių metabolizmą veikia CYP3A4 (pvz., hidrokodono), dozės mažinimo galimybę. Gali reikėti dažnai stebėti, ar nepasireiškia su opioidais susijusios nepageidaujamos reakcijos.</w:t>
            </w:r>
          </w:p>
        </w:tc>
      </w:tr>
      <w:tr w:rsidR="00B92818" w:rsidRPr="00F909DC" w14:paraId="57EBCA4E" w14:textId="77777777" w:rsidTr="00DC01BC">
        <w:tc>
          <w:tcPr>
            <w:tcW w:w="2941" w:type="dxa"/>
          </w:tcPr>
          <w:p w14:paraId="0A26834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Metadonas (32-100</w:t>
            </w:r>
            <w:r>
              <w:rPr>
                <w:rFonts w:ascii="Times New Roman" w:hAnsi="Times New Roman"/>
                <w:color w:val="000000"/>
              </w:rPr>
              <w:t> </w:t>
            </w:r>
            <w:r w:rsidRPr="00534C57">
              <w:rPr>
                <w:rFonts w:ascii="Times New Roman" w:hAnsi="Times New Roman"/>
                <w:color w:val="000000"/>
              </w:rPr>
              <w:t>mg 1 x parą)</w:t>
            </w:r>
          </w:p>
          <w:p w14:paraId="0285D63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substratas]</w:t>
            </w:r>
          </w:p>
        </w:tc>
        <w:tc>
          <w:tcPr>
            <w:tcW w:w="3121" w:type="dxa"/>
          </w:tcPr>
          <w:p w14:paraId="6376C22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R-metadono (aktyvus) Cmax ↑ 31%</w:t>
            </w:r>
          </w:p>
          <w:p w14:paraId="5E0366C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R-metadono (aktyvus) AUCτ ↑ 47%</w:t>
            </w:r>
          </w:p>
          <w:p w14:paraId="4389CC0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S-metadono Cmax ↑ 65 %</w:t>
            </w:r>
          </w:p>
          <w:p w14:paraId="1864570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S-metadono AUCτ ↑ 103 %</w:t>
            </w:r>
          </w:p>
          <w:p w14:paraId="5C6B430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dažnai</w:t>
            </w:r>
          </w:p>
          <w:p w14:paraId="19F7C9E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stebėti, ar nepasireiškia su</w:t>
            </w:r>
          </w:p>
          <w:p w14:paraId="520857C9"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metadono vartojimu susijusios</w:t>
            </w:r>
          </w:p>
          <w:p w14:paraId="251CA9D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nepageidaujamos reakcijos,</w:t>
            </w:r>
          </w:p>
          <w:p w14:paraId="57AB6AB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įskaitant QT intervalo pailgėjimą. Gali prireikti sumažinti metadono dozę.</w:t>
            </w:r>
          </w:p>
        </w:tc>
        <w:tc>
          <w:tcPr>
            <w:tcW w:w="2998" w:type="dxa"/>
          </w:tcPr>
          <w:p w14:paraId="6629429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Rekomenduojama dažnai stebėti, ar nepasireiškia su metadono vartojimu susijusios nepageidaujamos reakcijos, įskaitant QT intervalo pailgėjimą. Gali prireikti sumažinti metadono dozę. </w:t>
            </w:r>
          </w:p>
        </w:tc>
      </w:tr>
      <w:tr w:rsidR="00B92818" w:rsidRPr="00F909DC" w14:paraId="76CD5A42" w14:textId="77777777" w:rsidTr="00DC01BC">
        <w:tc>
          <w:tcPr>
            <w:tcW w:w="2941" w:type="dxa"/>
          </w:tcPr>
          <w:p w14:paraId="0BBD086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Nesteroidiniai vaistai nuo uždegimo (NVNU) </w:t>
            </w:r>
          </w:p>
          <w:p w14:paraId="6DF8FB43"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[CYP2C9 substratai]</w:t>
            </w:r>
          </w:p>
          <w:p w14:paraId="03CC25F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49DA1D1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Ibuprofenas (vienkartinė 400</w:t>
            </w:r>
            <w:r>
              <w:rPr>
                <w:rFonts w:ascii="Times New Roman" w:hAnsi="Times New Roman"/>
                <w:color w:val="000000"/>
              </w:rPr>
              <w:t> </w:t>
            </w:r>
            <w:r w:rsidRPr="00534C57">
              <w:rPr>
                <w:rFonts w:ascii="Times New Roman" w:hAnsi="Times New Roman"/>
                <w:color w:val="000000"/>
              </w:rPr>
              <w:t>mg dozė)</w:t>
            </w:r>
          </w:p>
          <w:p w14:paraId="4F9A244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676F022C"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Diklofenakas (vienkartinė 50</w:t>
            </w:r>
            <w:r>
              <w:rPr>
                <w:rFonts w:ascii="Times New Roman" w:hAnsi="Times New Roman"/>
                <w:color w:val="000000"/>
              </w:rPr>
              <w:t> </w:t>
            </w:r>
            <w:r w:rsidRPr="00534C57">
              <w:rPr>
                <w:rFonts w:ascii="Times New Roman" w:hAnsi="Times New Roman"/>
                <w:color w:val="000000"/>
              </w:rPr>
              <w:t>mg dozė)</w:t>
            </w:r>
          </w:p>
        </w:tc>
        <w:tc>
          <w:tcPr>
            <w:tcW w:w="3121" w:type="dxa"/>
          </w:tcPr>
          <w:p w14:paraId="28B3434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0028C6D9"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761345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2720FE3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7C45BD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S-ibuprofeno Cmax ↑ 20 %</w:t>
            </w:r>
          </w:p>
          <w:p w14:paraId="0304303C"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S-ibuprofeno AUC0−∞ ↑ 100 %</w:t>
            </w:r>
          </w:p>
          <w:p w14:paraId="52BB1B3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6F0F769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Diklofenako Cmax ↑ 114 %</w:t>
            </w:r>
          </w:p>
          <w:p w14:paraId="3F44F0B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Diklofenako AUC0−∞ ↑ 78 %</w:t>
            </w:r>
          </w:p>
        </w:tc>
        <w:tc>
          <w:tcPr>
            <w:tcW w:w="2998" w:type="dxa"/>
          </w:tcPr>
          <w:p w14:paraId="52D2A9E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dažnai stebėti, ar nepasireiškia su NVNU vartojimu susijusios nepageidaujamos reakcijos ir toksinis poveikis. Gali prireikti sumažinti NVNU dozę.</w:t>
            </w:r>
          </w:p>
        </w:tc>
      </w:tr>
      <w:tr w:rsidR="00B92818" w:rsidRPr="00F909DC" w14:paraId="5BF6666C" w14:textId="77777777" w:rsidTr="00DC01BC">
        <w:tc>
          <w:tcPr>
            <w:tcW w:w="2941" w:type="dxa"/>
          </w:tcPr>
          <w:p w14:paraId="3F0C978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Omeprazolas (40</w:t>
            </w:r>
            <w:r>
              <w:rPr>
                <w:rFonts w:ascii="Times New Roman" w:hAnsi="Times New Roman"/>
                <w:color w:val="000000"/>
              </w:rPr>
              <w:t> </w:t>
            </w:r>
            <w:r w:rsidRPr="00534C57">
              <w:rPr>
                <w:rFonts w:ascii="Times New Roman" w:hAnsi="Times New Roman"/>
                <w:color w:val="000000"/>
              </w:rPr>
              <w:t xml:space="preserve">mg 1 x parą)* </w:t>
            </w:r>
          </w:p>
          <w:p w14:paraId="611DF22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[CYP2C19 inhibitorius; CYP2C19 ir CYP3A4 substratas]</w:t>
            </w:r>
          </w:p>
        </w:tc>
        <w:tc>
          <w:tcPr>
            <w:tcW w:w="3121" w:type="dxa"/>
          </w:tcPr>
          <w:p w14:paraId="54DEBEE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Omeprazolo Cmax ↑ 116 %</w:t>
            </w:r>
          </w:p>
          <w:p w14:paraId="004E280B"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Omeprazolo AUCτ ↑ 280 %</w:t>
            </w:r>
          </w:p>
          <w:p w14:paraId="5162E119"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15 %</w:t>
            </w:r>
          </w:p>
          <w:p w14:paraId="5962514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41 %</w:t>
            </w:r>
          </w:p>
          <w:p w14:paraId="2BD4E6D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gali slopinti kitų protonų siurblio inhibitorių, kurie yra CYP2C19 substratai, metabolizmą ir dėl to gali padidėti šių vaistinių preparatų koncentracija plazmoje.</w:t>
            </w:r>
          </w:p>
        </w:tc>
        <w:tc>
          <w:tcPr>
            <w:tcW w:w="2998" w:type="dxa"/>
          </w:tcPr>
          <w:p w14:paraId="21A7811F"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Rekomenduojama nekeisti vorikonazolo dozės. </w:t>
            </w:r>
          </w:p>
          <w:p w14:paraId="321147A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Pradedant gydymą vorikonazolu pacientams, kurie jau vartoja 40</w:t>
            </w:r>
            <w:r>
              <w:rPr>
                <w:rFonts w:ascii="Times New Roman" w:hAnsi="Times New Roman"/>
                <w:color w:val="000000"/>
              </w:rPr>
              <w:t> </w:t>
            </w:r>
            <w:r w:rsidRPr="00534C57">
              <w:rPr>
                <w:rFonts w:ascii="Times New Roman" w:hAnsi="Times New Roman"/>
                <w:color w:val="000000"/>
              </w:rPr>
              <w:t>mg arba didesnes omeprazolo dozes, rekomenduojama omeprazolo dozę sumažinti per pusę.</w:t>
            </w:r>
          </w:p>
        </w:tc>
      </w:tr>
      <w:tr w:rsidR="00B92818" w:rsidRPr="00F909DC" w14:paraId="165A6449" w14:textId="77777777" w:rsidTr="00DC01BC">
        <w:tc>
          <w:tcPr>
            <w:tcW w:w="2941" w:type="dxa"/>
          </w:tcPr>
          <w:p w14:paraId="16C4232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Geriamieji kontraceptikai*</w:t>
            </w:r>
          </w:p>
          <w:p w14:paraId="7D84D0C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substratas; CYP2C19 inhibitorius]</w:t>
            </w:r>
            <w:r w:rsidRPr="00534C57">
              <w:rPr>
                <w:rFonts w:ascii="Times New Roman" w:hAnsi="Times New Roman"/>
                <w:color w:val="000000"/>
              </w:rPr>
              <w:t xml:space="preserve"> Noretisteronas/etinilestradiolis (1</w:t>
            </w:r>
            <w:r>
              <w:rPr>
                <w:rFonts w:ascii="Times New Roman" w:hAnsi="Times New Roman"/>
                <w:color w:val="000000"/>
              </w:rPr>
              <w:t> </w:t>
            </w:r>
            <w:r w:rsidRPr="00534C57">
              <w:rPr>
                <w:rFonts w:ascii="Times New Roman" w:hAnsi="Times New Roman"/>
                <w:color w:val="000000"/>
              </w:rPr>
              <w:t>mg/0,035</w:t>
            </w:r>
            <w:r>
              <w:rPr>
                <w:rFonts w:ascii="Times New Roman" w:hAnsi="Times New Roman"/>
                <w:color w:val="000000"/>
              </w:rPr>
              <w:t> </w:t>
            </w:r>
            <w:r w:rsidRPr="00534C57">
              <w:rPr>
                <w:rFonts w:ascii="Times New Roman" w:hAnsi="Times New Roman"/>
                <w:color w:val="000000"/>
              </w:rPr>
              <w:t>mg 1 x parą)</w:t>
            </w:r>
          </w:p>
        </w:tc>
        <w:tc>
          <w:tcPr>
            <w:tcW w:w="3121" w:type="dxa"/>
          </w:tcPr>
          <w:p w14:paraId="6B494A3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Etinilestradiolio Cmax ↑ 36 %</w:t>
            </w:r>
          </w:p>
          <w:p w14:paraId="75AFF7C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Etinilestradiolio AUCτ ↑ 61 %</w:t>
            </w:r>
          </w:p>
          <w:p w14:paraId="7AC0FC6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Noretisterono Cmax ↑ 15 %</w:t>
            </w:r>
          </w:p>
          <w:p w14:paraId="58A10D4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Noretisterono AUCτ ↑ 53 %</w:t>
            </w:r>
          </w:p>
          <w:p w14:paraId="35867C3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14 %</w:t>
            </w:r>
          </w:p>
          <w:p w14:paraId="0357F84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46 %</w:t>
            </w:r>
          </w:p>
        </w:tc>
        <w:tc>
          <w:tcPr>
            <w:tcW w:w="2998" w:type="dxa"/>
          </w:tcPr>
          <w:p w14:paraId="60DCEC19"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stebėti, ar nepasireiškia su geriamųjų kontraceptikų vartojimu susijusios nepageidaujamos reakcijos kartu su tomis, kurios būdingos vorikonazolui.</w:t>
            </w:r>
          </w:p>
        </w:tc>
      </w:tr>
      <w:tr w:rsidR="00B92818" w:rsidRPr="00F909DC" w14:paraId="2D000F64" w14:textId="77777777" w:rsidTr="00DC01BC">
        <w:tc>
          <w:tcPr>
            <w:tcW w:w="2941" w:type="dxa"/>
          </w:tcPr>
          <w:p w14:paraId="24C5F8E5"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color w:val="000000"/>
              </w:rPr>
              <w:t xml:space="preserve">Trumpai veikiantys opioidai </w:t>
            </w:r>
            <w:r w:rsidRPr="00534C57">
              <w:rPr>
                <w:rFonts w:ascii="Times New Roman" w:hAnsi="Times New Roman"/>
                <w:i/>
                <w:iCs/>
                <w:color w:val="000000"/>
              </w:rPr>
              <w:t>[CYP3A4 substratai]</w:t>
            </w:r>
          </w:p>
          <w:p w14:paraId="59EA41C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0AE97DC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Alfentanilis (vienkartinė 20</w:t>
            </w:r>
            <w:r>
              <w:rPr>
                <w:rFonts w:ascii="Times New Roman" w:hAnsi="Times New Roman"/>
                <w:color w:val="000000"/>
              </w:rPr>
              <w:t> </w:t>
            </w:r>
            <w:r w:rsidRPr="00534C57">
              <w:rPr>
                <w:rFonts w:ascii="Times New Roman" w:hAnsi="Times New Roman"/>
                <w:color w:val="000000"/>
              </w:rPr>
              <w:t>μg/kg kūno svorio dozė, kartu vartojant naloksoną)</w:t>
            </w:r>
          </w:p>
          <w:p w14:paraId="3A8B0E0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03A5775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Fentanilis (vienkartinė 5</w:t>
            </w:r>
            <w:r>
              <w:rPr>
                <w:rFonts w:ascii="Times New Roman" w:hAnsi="Times New Roman"/>
                <w:color w:val="000000"/>
              </w:rPr>
              <w:t> </w:t>
            </w:r>
            <w:r w:rsidRPr="00534C57">
              <w:rPr>
                <w:rFonts w:ascii="Times New Roman" w:hAnsi="Times New Roman"/>
                <w:color w:val="000000"/>
              </w:rPr>
              <w:t>μg/kg kūno svorio dozė)</w:t>
            </w:r>
          </w:p>
        </w:tc>
        <w:tc>
          <w:tcPr>
            <w:tcW w:w="3121" w:type="dxa"/>
          </w:tcPr>
          <w:p w14:paraId="7DDEF2F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6D1B720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50F1517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54CF8950"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Paskelbto nepriklausomo tyrimo duomenimis, alfentanilio AUC0−∞ ↑ 6 kartus.</w:t>
            </w:r>
          </w:p>
          <w:p w14:paraId="38D3B3A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2C9FF59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Paskelbto nepriklausomo tyrimo duomenimis, fentanilio AUC0−∞ ↑ 1,34 karto.</w:t>
            </w:r>
          </w:p>
        </w:tc>
        <w:tc>
          <w:tcPr>
            <w:tcW w:w="2998" w:type="dxa"/>
          </w:tcPr>
          <w:p w14:paraId="0F9D9F9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apsvarstyti alfentanilio, fentanilio ir kitų savo struktūra į alfentanilį panašių trumpai veikiančių opioidų, kurių metabolizmą veikia CYP3A4 (pvz., sufentanilio), dozės mažinimo galimybę. Rekomenduojama intensyviai ir dažnai stebėti, ar nepasireiškia kvėpavimo slopinimas ir kiti su opioidų vartojimu susiję nepageidaujami reiškiniai.</w:t>
            </w:r>
          </w:p>
        </w:tc>
      </w:tr>
      <w:tr w:rsidR="00B92818" w:rsidRPr="00F909DC" w14:paraId="355440DA" w14:textId="77777777" w:rsidTr="00DC01BC">
        <w:tc>
          <w:tcPr>
            <w:tcW w:w="2941" w:type="dxa"/>
          </w:tcPr>
          <w:p w14:paraId="765B374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Statinai (pvz., lovastatinas) </w:t>
            </w:r>
            <w:r w:rsidRPr="00534C57">
              <w:rPr>
                <w:rFonts w:ascii="Times New Roman" w:hAnsi="Times New Roman"/>
                <w:i/>
                <w:iCs/>
                <w:color w:val="000000"/>
              </w:rPr>
              <w:t>[CYP3A4 substratai]</w:t>
            </w:r>
          </w:p>
        </w:tc>
        <w:tc>
          <w:tcPr>
            <w:tcW w:w="3121" w:type="dxa"/>
          </w:tcPr>
          <w:p w14:paraId="2463C73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Nors klinikinių tyrimų neatlikta, tikėtina, kad vorikonazolas didins statinų, kurių metabolizmą veikia CYP3A4, </w:t>
            </w:r>
            <w:r w:rsidRPr="00534C57">
              <w:rPr>
                <w:rFonts w:ascii="Times New Roman" w:hAnsi="Times New Roman"/>
                <w:color w:val="000000"/>
              </w:rPr>
              <w:lastRenderedPageBreak/>
              <w:t xml:space="preserve">koncentraciją plazmoje ir dėl to gali pasireikšti rabdomiolizė. </w:t>
            </w:r>
          </w:p>
        </w:tc>
        <w:tc>
          <w:tcPr>
            <w:tcW w:w="2998" w:type="dxa"/>
          </w:tcPr>
          <w:p w14:paraId="22DDE2D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lastRenderedPageBreak/>
              <w:t>Jei vorikonazolo vartojimo kartu su statinais, metabolizuojamais CYP3A4, išvengti negalima, r</w:t>
            </w:r>
            <w:r w:rsidRPr="00534C57">
              <w:rPr>
                <w:rFonts w:ascii="Times New Roman" w:hAnsi="Times New Roman"/>
                <w:color w:val="000000"/>
              </w:rPr>
              <w:t xml:space="preserve">eikia </w:t>
            </w:r>
            <w:r w:rsidRPr="00534C57">
              <w:rPr>
                <w:rFonts w:ascii="Times New Roman" w:hAnsi="Times New Roman"/>
                <w:color w:val="000000"/>
              </w:rPr>
              <w:lastRenderedPageBreak/>
              <w:t xml:space="preserve">apsvarstyti statinų dozės mažinimo galimybę. </w:t>
            </w:r>
          </w:p>
        </w:tc>
      </w:tr>
      <w:tr w:rsidR="00B92818" w:rsidRPr="00F909DC" w14:paraId="15175DFA" w14:textId="77777777" w:rsidTr="00DC01BC">
        <w:tc>
          <w:tcPr>
            <w:tcW w:w="2941" w:type="dxa"/>
          </w:tcPr>
          <w:p w14:paraId="7C48B080" w14:textId="33D266DA" w:rsidR="00B92818" w:rsidRPr="00534C57"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color w:val="000000"/>
              </w:rPr>
              <w:lastRenderedPageBreak/>
              <w:t>Sulfonilkarbamido dariniai</w:t>
            </w:r>
            <w:r w:rsidRPr="00534C57">
              <w:rPr>
                <w:rFonts w:ascii="Times New Roman" w:hAnsi="Times New Roman"/>
                <w:i/>
                <w:iCs/>
                <w:color w:val="000000"/>
              </w:rPr>
              <w:t xml:space="preserve"> </w:t>
            </w:r>
            <w:r w:rsidRPr="00534C57">
              <w:rPr>
                <w:rFonts w:ascii="Times New Roman" w:hAnsi="Times New Roman"/>
                <w:color w:val="000000"/>
              </w:rPr>
              <w:t>(</w:t>
            </w:r>
            <w:r w:rsidR="006F6EFA">
              <w:rPr>
                <w:rFonts w:ascii="Times New Roman" w:hAnsi="Times New Roman"/>
                <w:color w:val="000000"/>
              </w:rPr>
              <w:t xml:space="preserve">įskaitant, bet neapsiribojant: </w:t>
            </w:r>
            <w:r w:rsidRPr="00534C57">
              <w:rPr>
                <w:rFonts w:ascii="Times New Roman" w:hAnsi="Times New Roman"/>
                <w:color w:val="000000"/>
              </w:rPr>
              <w:t>tolbutamidas, glipizidas, gliburidas)</w:t>
            </w:r>
            <w:r w:rsidRPr="00534C57">
              <w:rPr>
                <w:rFonts w:ascii="Times New Roman" w:hAnsi="Times New Roman"/>
                <w:i/>
                <w:iCs/>
                <w:color w:val="000000"/>
              </w:rPr>
              <w:t xml:space="preserve"> </w:t>
            </w:r>
          </w:p>
          <w:p w14:paraId="0BA81F6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[CYP2C9 substratai]</w:t>
            </w:r>
          </w:p>
        </w:tc>
        <w:tc>
          <w:tcPr>
            <w:tcW w:w="3121" w:type="dxa"/>
          </w:tcPr>
          <w:p w14:paraId="4BC88FE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Nors tyrimų neatlikta, tikėtina, kad vorikonazolas didins sulfonilkarbamido darinių koncentracijas plazmoje ir pasireikš hipoglikemija.</w:t>
            </w:r>
          </w:p>
        </w:tc>
        <w:tc>
          <w:tcPr>
            <w:tcW w:w="2998" w:type="dxa"/>
          </w:tcPr>
          <w:p w14:paraId="6845453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atidžiai stebėti gliukozės koncentraciją kraujyje. Reikia apgalvotai sumažinti sulfonilkarbamido darinių dozę.</w:t>
            </w:r>
          </w:p>
          <w:p w14:paraId="447D46F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tc>
      </w:tr>
      <w:tr w:rsidR="00B92818" w:rsidRPr="00F909DC" w14:paraId="016AF6BA" w14:textId="77777777" w:rsidTr="00DC01BC">
        <w:tc>
          <w:tcPr>
            <w:tcW w:w="2941" w:type="dxa"/>
          </w:tcPr>
          <w:p w14:paraId="3C7CEBCE" w14:textId="29C08AF2"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Žiemės (</w:t>
            </w:r>
            <w:r w:rsidRPr="00534C57">
              <w:rPr>
                <w:rFonts w:ascii="Times New Roman" w:hAnsi="Times New Roman"/>
                <w:i/>
                <w:iCs/>
                <w:color w:val="000000"/>
              </w:rPr>
              <w:t>vinca</w:t>
            </w:r>
            <w:r w:rsidRPr="00534C57">
              <w:rPr>
                <w:rFonts w:ascii="Times New Roman" w:hAnsi="Times New Roman"/>
                <w:color w:val="000000"/>
              </w:rPr>
              <w:t>) alkaloidai (</w:t>
            </w:r>
            <w:r w:rsidR="006F6EFA">
              <w:rPr>
                <w:rFonts w:ascii="Times New Roman" w:hAnsi="Times New Roman"/>
                <w:color w:val="000000"/>
              </w:rPr>
              <w:t xml:space="preserve">įskaitant, bet neapsiribojant: </w:t>
            </w:r>
            <w:r w:rsidRPr="00534C57">
              <w:rPr>
                <w:rFonts w:ascii="Times New Roman" w:hAnsi="Times New Roman"/>
                <w:color w:val="000000"/>
              </w:rPr>
              <w:t>vinkristinas ir vinblastinas)</w:t>
            </w:r>
          </w:p>
          <w:p w14:paraId="1F6F093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substratai]</w:t>
            </w:r>
          </w:p>
        </w:tc>
        <w:tc>
          <w:tcPr>
            <w:tcW w:w="3121" w:type="dxa"/>
          </w:tcPr>
          <w:p w14:paraId="01C1527C"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Nors tyrimų neatlikta, tikėtina, kad vorikonazolas didins žiemės</w:t>
            </w:r>
          </w:p>
          <w:p w14:paraId="708607C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alkaloidų koncentraciją plazmoje ir dėl to gali pasireikšti neurotoksinis poveikis.</w:t>
            </w:r>
          </w:p>
        </w:tc>
        <w:tc>
          <w:tcPr>
            <w:tcW w:w="2998" w:type="dxa"/>
          </w:tcPr>
          <w:p w14:paraId="60E662D9"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Reikia apsvarstyti žiemės alkaloidų dozės mažinimo galimybę. </w:t>
            </w:r>
          </w:p>
        </w:tc>
      </w:tr>
      <w:tr w:rsidR="00B92818" w:rsidRPr="00F909DC" w14:paraId="339E337B" w14:textId="77777777" w:rsidTr="00DC01BC">
        <w:tc>
          <w:tcPr>
            <w:tcW w:w="2941" w:type="dxa"/>
          </w:tcPr>
          <w:p w14:paraId="7F87F384" w14:textId="5A9F1FE8"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Kiti ŽIV proteazės inhibitoriai (</w:t>
            </w:r>
            <w:r w:rsidR="006F6EFA">
              <w:rPr>
                <w:rFonts w:ascii="Times New Roman" w:hAnsi="Times New Roman"/>
                <w:color w:val="000000"/>
              </w:rPr>
              <w:t xml:space="preserve">įskaitant, bet neapsiribojant: </w:t>
            </w:r>
            <w:r w:rsidRPr="00534C57">
              <w:rPr>
                <w:rFonts w:ascii="Times New Roman" w:hAnsi="Times New Roman"/>
                <w:color w:val="000000"/>
              </w:rPr>
              <w:t xml:space="preserve">sakvinaviras, amprenaviras ir nelfinaviras)* </w:t>
            </w:r>
            <w:r w:rsidRPr="00534C57">
              <w:rPr>
                <w:rFonts w:ascii="Times New Roman" w:hAnsi="Times New Roman"/>
                <w:i/>
                <w:iCs/>
                <w:color w:val="000000"/>
              </w:rPr>
              <w:t>[CYP3A4 substratai ir inhibitoriai]</w:t>
            </w:r>
          </w:p>
        </w:tc>
        <w:tc>
          <w:tcPr>
            <w:tcW w:w="3121" w:type="dxa"/>
          </w:tcPr>
          <w:p w14:paraId="1D9606C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Klinikinių tyrimų neatlikta. Tyrimai </w:t>
            </w:r>
            <w:r w:rsidRPr="00534C57">
              <w:rPr>
                <w:rFonts w:ascii="Times New Roman" w:hAnsi="Times New Roman"/>
                <w:i/>
                <w:iCs/>
                <w:color w:val="000000"/>
              </w:rPr>
              <w:t xml:space="preserve">in vitro </w:t>
            </w:r>
            <w:r w:rsidRPr="00534C57">
              <w:rPr>
                <w:rFonts w:ascii="Times New Roman" w:hAnsi="Times New Roman"/>
                <w:color w:val="000000"/>
              </w:rPr>
              <w:t>rodo, kad vorikonazolas gali slopinti ŽIV proteazės inhibitorių metabolizmą, o ŽIV proteazės inhibitoriai irgi gali slopinti vorikonazolo metabolizmą.</w:t>
            </w:r>
          </w:p>
        </w:tc>
        <w:tc>
          <w:tcPr>
            <w:tcW w:w="2998" w:type="dxa"/>
          </w:tcPr>
          <w:p w14:paraId="1F8E5D4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Reikia atidžiai stebėti, ar nepasireiškia koks nors vaistinių preparatų sukeltas toksinis poveikis ir (arba) ar nemažėja veiksmingumas, ir gali prireikti keisti dozę. </w:t>
            </w:r>
          </w:p>
        </w:tc>
      </w:tr>
      <w:tr w:rsidR="00B92818" w:rsidRPr="00F909DC" w14:paraId="7B3BA031" w14:textId="77777777" w:rsidTr="00DC01BC">
        <w:tc>
          <w:tcPr>
            <w:tcW w:w="2941" w:type="dxa"/>
          </w:tcPr>
          <w:p w14:paraId="5729CDB9" w14:textId="2597F7C0"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Kiti nenukleozido atvirkštinės transkriptazės inhibitoriai (NNATI) (</w:t>
            </w:r>
            <w:r w:rsidR="006F6EFA">
              <w:rPr>
                <w:rFonts w:ascii="Times New Roman" w:hAnsi="Times New Roman"/>
                <w:color w:val="000000"/>
              </w:rPr>
              <w:t xml:space="preserve">įskaitant, bet neapsiribojant: </w:t>
            </w:r>
            <w:r w:rsidRPr="00534C57">
              <w:rPr>
                <w:rFonts w:ascii="Times New Roman" w:hAnsi="Times New Roman"/>
                <w:color w:val="000000"/>
              </w:rPr>
              <w:t>delavirdinas,</w:t>
            </w:r>
          </w:p>
          <w:p w14:paraId="79C61C7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nevirapinas)*</w:t>
            </w:r>
          </w:p>
          <w:p w14:paraId="403E7DB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substratai, inhibitoriai arba CYP450 sužadinantys vaistiniai preparatai]</w:t>
            </w:r>
          </w:p>
        </w:tc>
        <w:tc>
          <w:tcPr>
            <w:tcW w:w="3121" w:type="dxa"/>
          </w:tcPr>
          <w:p w14:paraId="3869746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Klinikinių tyrimų neatlikta. Tyrimai </w:t>
            </w:r>
            <w:r w:rsidRPr="00534C57">
              <w:rPr>
                <w:rFonts w:ascii="Times New Roman" w:hAnsi="Times New Roman"/>
                <w:i/>
                <w:iCs/>
                <w:color w:val="000000"/>
              </w:rPr>
              <w:t xml:space="preserve">in vitro </w:t>
            </w:r>
            <w:r w:rsidRPr="00534C57">
              <w:rPr>
                <w:rFonts w:ascii="Times New Roman" w:hAnsi="Times New Roman"/>
                <w:color w:val="000000"/>
              </w:rPr>
              <w:t>rodo, kad NNATI gali slopinti vorikonazolo metabolizmą, o vorikonazolas gali slopinti NNATI metabolizmą. Efavirenzo poveikio vorikonazolui duomenys rodo, kad NNATI gali sužadinti vorikonazolo metabolizmą.</w:t>
            </w:r>
          </w:p>
        </w:tc>
        <w:tc>
          <w:tcPr>
            <w:tcW w:w="2998" w:type="dxa"/>
          </w:tcPr>
          <w:p w14:paraId="40A4541C"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 atidžiai stebėti, ar nepasireiškia koks nors vaistinių preparatų sukeltas toksinis poveikis ir (arba) ar nemažėja veiksmingumas, ir gali prireikti keisti dozę.</w:t>
            </w:r>
          </w:p>
        </w:tc>
      </w:tr>
      <w:tr w:rsidR="00B92818" w:rsidRPr="00F909DC" w14:paraId="732D8FFA" w14:textId="77777777" w:rsidTr="00DC01BC">
        <w:tc>
          <w:tcPr>
            <w:tcW w:w="2941" w:type="dxa"/>
          </w:tcPr>
          <w:p w14:paraId="397D78D4"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Tretinoinas </w:t>
            </w:r>
          </w:p>
          <w:p w14:paraId="1D912EC4" w14:textId="77777777" w:rsidR="00B92818" w:rsidRPr="00026233" w:rsidRDefault="00B92818" w:rsidP="00B92818">
            <w:pPr>
              <w:autoSpaceDE w:val="0"/>
              <w:autoSpaceDN w:val="0"/>
              <w:adjustRightInd w:val="0"/>
              <w:spacing w:after="0" w:line="240" w:lineRule="auto"/>
              <w:rPr>
                <w:rFonts w:ascii="Times New Roman" w:hAnsi="Times New Roman"/>
                <w:i/>
                <w:color w:val="000000"/>
              </w:rPr>
            </w:pPr>
            <w:r w:rsidRPr="00026233">
              <w:rPr>
                <w:rFonts w:ascii="Times New Roman" w:hAnsi="Times New Roman"/>
                <w:i/>
                <w:color w:val="000000"/>
              </w:rPr>
              <w:t>[CYP3A4 substratas]</w:t>
            </w:r>
          </w:p>
        </w:tc>
        <w:tc>
          <w:tcPr>
            <w:tcW w:w="3121" w:type="dxa"/>
          </w:tcPr>
          <w:p w14:paraId="65BBCF3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Nors tyrimų neatlikta, vorikonazolas gali padidinti tretinoino koncentraciją ir nepageidaujamų reakcijų riziką (smegenų pseudotumoro, hiperkalcemijos).</w:t>
            </w:r>
          </w:p>
        </w:tc>
        <w:tc>
          <w:tcPr>
            <w:tcW w:w="2998" w:type="dxa"/>
          </w:tcPr>
          <w:p w14:paraId="7108A1A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Gydant kartu su vorikonazolu ir gydymą juo užbaigus rekomenduojama koreguoti tretinoino dozę</w:t>
            </w:r>
          </w:p>
        </w:tc>
      </w:tr>
      <w:tr w:rsidR="00B92818" w:rsidRPr="00F909DC" w14:paraId="7F27B9A1" w14:textId="77777777" w:rsidTr="00DC01BC">
        <w:tc>
          <w:tcPr>
            <w:tcW w:w="2941" w:type="dxa"/>
          </w:tcPr>
          <w:p w14:paraId="35F958A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Cimetidinas (400</w:t>
            </w:r>
            <w:r>
              <w:rPr>
                <w:rFonts w:ascii="Times New Roman" w:hAnsi="Times New Roman"/>
                <w:color w:val="000000"/>
              </w:rPr>
              <w:t> </w:t>
            </w:r>
            <w:r w:rsidRPr="00534C57">
              <w:rPr>
                <w:rFonts w:ascii="Times New Roman" w:hAnsi="Times New Roman"/>
                <w:color w:val="000000"/>
              </w:rPr>
              <w:t>mg dozė 2 x parą)</w:t>
            </w:r>
          </w:p>
          <w:p w14:paraId="39CA57E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[nespecifinis CYP450 inhibitorius ir skrandžio pH didinantis vaistinis preparatas]</w:t>
            </w:r>
          </w:p>
        </w:tc>
        <w:tc>
          <w:tcPr>
            <w:tcW w:w="3121" w:type="dxa"/>
          </w:tcPr>
          <w:p w14:paraId="229C22D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 18 %</w:t>
            </w:r>
          </w:p>
          <w:p w14:paraId="5AF0B89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 23 %</w:t>
            </w:r>
          </w:p>
        </w:tc>
        <w:tc>
          <w:tcPr>
            <w:tcW w:w="2998" w:type="dxa"/>
          </w:tcPr>
          <w:p w14:paraId="5FE56A3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keisti nereikia.</w:t>
            </w:r>
          </w:p>
        </w:tc>
      </w:tr>
      <w:tr w:rsidR="00B92818" w:rsidRPr="00F909DC" w14:paraId="210F3CC1" w14:textId="77777777" w:rsidTr="00DC01BC">
        <w:tc>
          <w:tcPr>
            <w:tcW w:w="2941" w:type="dxa"/>
          </w:tcPr>
          <w:p w14:paraId="320961E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Digoksinas (0,25</w:t>
            </w:r>
            <w:r>
              <w:rPr>
                <w:rFonts w:ascii="Times New Roman" w:hAnsi="Times New Roman"/>
                <w:color w:val="000000"/>
              </w:rPr>
              <w:t> </w:t>
            </w:r>
            <w:r w:rsidRPr="00534C57">
              <w:rPr>
                <w:rFonts w:ascii="Times New Roman" w:hAnsi="Times New Roman"/>
                <w:color w:val="000000"/>
              </w:rPr>
              <w:t xml:space="preserve">mg 1 x parą) </w:t>
            </w:r>
            <w:r w:rsidRPr="00534C57">
              <w:rPr>
                <w:rFonts w:ascii="Times New Roman" w:hAnsi="Times New Roman"/>
                <w:i/>
                <w:iCs/>
                <w:color w:val="000000"/>
              </w:rPr>
              <w:t>[P-gp substratas]</w:t>
            </w:r>
          </w:p>
        </w:tc>
        <w:tc>
          <w:tcPr>
            <w:tcW w:w="3121" w:type="dxa"/>
          </w:tcPr>
          <w:p w14:paraId="2CFDC40B"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Digoksino Cmax ↔</w:t>
            </w:r>
          </w:p>
          <w:p w14:paraId="1E56ADC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Digoksino AUCτ ↔</w:t>
            </w:r>
          </w:p>
        </w:tc>
        <w:tc>
          <w:tcPr>
            <w:tcW w:w="2998" w:type="dxa"/>
          </w:tcPr>
          <w:p w14:paraId="7E5514E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keisti nereikia.</w:t>
            </w:r>
          </w:p>
        </w:tc>
      </w:tr>
      <w:tr w:rsidR="00B92818" w:rsidRPr="00F909DC" w14:paraId="74B8061C" w14:textId="77777777" w:rsidTr="00DC01BC">
        <w:tc>
          <w:tcPr>
            <w:tcW w:w="2941" w:type="dxa"/>
          </w:tcPr>
          <w:p w14:paraId="609A8E5B"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Indinaviras (800</w:t>
            </w:r>
            <w:r>
              <w:rPr>
                <w:rFonts w:ascii="Times New Roman" w:hAnsi="Times New Roman"/>
                <w:color w:val="000000"/>
              </w:rPr>
              <w:t> </w:t>
            </w:r>
            <w:r w:rsidRPr="00534C57">
              <w:rPr>
                <w:rFonts w:ascii="Times New Roman" w:hAnsi="Times New Roman"/>
                <w:color w:val="000000"/>
              </w:rPr>
              <w:t>mg dozė 3 x parą)</w:t>
            </w:r>
          </w:p>
          <w:p w14:paraId="24541586"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inhibitorius ir substratas]</w:t>
            </w:r>
          </w:p>
        </w:tc>
        <w:tc>
          <w:tcPr>
            <w:tcW w:w="3121" w:type="dxa"/>
          </w:tcPr>
          <w:p w14:paraId="48CA6EB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Indinaviro Cmax ↔</w:t>
            </w:r>
          </w:p>
          <w:p w14:paraId="1905ABA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Indinaviro AUCτ ↔</w:t>
            </w:r>
          </w:p>
          <w:p w14:paraId="0996413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w:t>
            </w:r>
          </w:p>
          <w:p w14:paraId="644FB86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AUCτ ↔</w:t>
            </w:r>
          </w:p>
        </w:tc>
        <w:tc>
          <w:tcPr>
            <w:tcW w:w="2998" w:type="dxa"/>
          </w:tcPr>
          <w:p w14:paraId="616181A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keisti nereikia.</w:t>
            </w:r>
          </w:p>
        </w:tc>
      </w:tr>
      <w:tr w:rsidR="00B92818" w:rsidRPr="00F909DC" w14:paraId="5CE2DF5E" w14:textId="77777777" w:rsidTr="00DC01BC">
        <w:tc>
          <w:tcPr>
            <w:tcW w:w="2941" w:type="dxa"/>
          </w:tcPr>
          <w:p w14:paraId="52CF589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Makrolidų grupės antibiotikai</w:t>
            </w:r>
          </w:p>
          <w:p w14:paraId="7786221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Eritromicinas (1</w:t>
            </w:r>
            <w:r>
              <w:rPr>
                <w:rFonts w:ascii="Times New Roman" w:hAnsi="Times New Roman"/>
                <w:color w:val="000000"/>
              </w:rPr>
              <w:t> </w:t>
            </w:r>
            <w:r w:rsidRPr="00534C57">
              <w:rPr>
                <w:rFonts w:ascii="Times New Roman" w:hAnsi="Times New Roman"/>
                <w:color w:val="000000"/>
              </w:rPr>
              <w:t>g 2 x parą)</w:t>
            </w:r>
          </w:p>
          <w:p w14:paraId="6FD5F37D" w14:textId="77777777" w:rsidR="00B92818" w:rsidRPr="00534C57" w:rsidRDefault="00B92818" w:rsidP="00B92818">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[CYP3A4 inhibitorius]</w:t>
            </w:r>
          </w:p>
          <w:p w14:paraId="7DEAF26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39632EB8"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Azitromicinas (500</w:t>
            </w:r>
            <w:r>
              <w:rPr>
                <w:rFonts w:ascii="Times New Roman" w:hAnsi="Times New Roman"/>
                <w:color w:val="000000"/>
              </w:rPr>
              <w:t> </w:t>
            </w:r>
            <w:r w:rsidRPr="00534C57">
              <w:rPr>
                <w:rFonts w:ascii="Times New Roman" w:hAnsi="Times New Roman"/>
                <w:color w:val="000000"/>
              </w:rPr>
              <w:t>mg 1 x parą)</w:t>
            </w:r>
          </w:p>
        </w:tc>
        <w:tc>
          <w:tcPr>
            <w:tcW w:w="3121" w:type="dxa"/>
          </w:tcPr>
          <w:p w14:paraId="2D040AB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0F1B8EA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2F3B9E44"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ir AUCτ ↔</w:t>
            </w:r>
          </w:p>
          <w:p w14:paraId="1D336023" w14:textId="77777777" w:rsidR="00B92818" w:rsidRPr="00534C57" w:rsidRDefault="00B92818" w:rsidP="00B92818">
            <w:pPr>
              <w:autoSpaceDE w:val="0"/>
              <w:autoSpaceDN w:val="0"/>
              <w:adjustRightInd w:val="0"/>
              <w:spacing w:after="0" w:line="240" w:lineRule="auto"/>
              <w:rPr>
                <w:rFonts w:ascii="Times New Roman" w:hAnsi="Times New Roman"/>
                <w:color w:val="000000"/>
              </w:rPr>
            </w:pPr>
          </w:p>
          <w:p w14:paraId="56FBD27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ir AUCτ ↔</w:t>
            </w:r>
          </w:p>
          <w:p w14:paraId="15C6F2F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poveikis eritromicinui arba azitromicinui nežinomas.</w:t>
            </w:r>
          </w:p>
        </w:tc>
        <w:tc>
          <w:tcPr>
            <w:tcW w:w="2998" w:type="dxa"/>
          </w:tcPr>
          <w:p w14:paraId="0C6369E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keisti nereikia.</w:t>
            </w:r>
          </w:p>
        </w:tc>
      </w:tr>
      <w:tr w:rsidR="00B92818" w:rsidRPr="00F909DC" w14:paraId="512B4081" w14:textId="77777777" w:rsidTr="00DC01BC">
        <w:tc>
          <w:tcPr>
            <w:tcW w:w="2941" w:type="dxa"/>
          </w:tcPr>
          <w:p w14:paraId="069FFD2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Mikofenolio rūgštis (vienkartinė 1</w:t>
            </w:r>
            <w:r>
              <w:rPr>
                <w:rFonts w:ascii="Times New Roman" w:hAnsi="Times New Roman"/>
                <w:color w:val="000000"/>
              </w:rPr>
              <w:t> </w:t>
            </w:r>
            <w:r w:rsidRPr="00534C57">
              <w:rPr>
                <w:rFonts w:ascii="Times New Roman" w:hAnsi="Times New Roman"/>
                <w:color w:val="000000"/>
              </w:rPr>
              <w:t>g dozė)</w:t>
            </w:r>
          </w:p>
          <w:p w14:paraId="42C093F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[UDF-gliukuroniltransferazės substratas]</w:t>
            </w:r>
          </w:p>
        </w:tc>
        <w:tc>
          <w:tcPr>
            <w:tcW w:w="3121" w:type="dxa"/>
          </w:tcPr>
          <w:p w14:paraId="70FA5FA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Mikofenolio rūgšties Cmax ↔</w:t>
            </w:r>
          </w:p>
          <w:p w14:paraId="50343E1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Mikofenolio rūgšties AUCt ↔</w:t>
            </w:r>
          </w:p>
        </w:tc>
        <w:tc>
          <w:tcPr>
            <w:tcW w:w="2998" w:type="dxa"/>
          </w:tcPr>
          <w:p w14:paraId="7F3FE46E"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keisti nereikia.</w:t>
            </w:r>
          </w:p>
        </w:tc>
      </w:tr>
      <w:tr w:rsidR="00B92818" w:rsidRPr="00F909DC" w14:paraId="1B13C6FB" w14:textId="77777777" w:rsidTr="00DC01BC">
        <w:tc>
          <w:tcPr>
            <w:tcW w:w="2941" w:type="dxa"/>
          </w:tcPr>
          <w:p w14:paraId="0356681D" w14:textId="77777777" w:rsidR="00B92818" w:rsidRDefault="00B92818" w:rsidP="00B92818">
            <w:pPr>
              <w:autoSpaceDE w:val="0"/>
              <w:autoSpaceDN w:val="0"/>
              <w:adjustRightInd w:val="0"/>
              <w:spacing w:after="0" w:line="240" w:lineRule="auto"/>
              <w:rPr>
                <w:rFonts w:ascii="Times New Roman" w:hAnsi="Times New Roman"/>
                <w:color w:val="000000"/>
              </w:rPr>
            </w:pPr>
            <w:r>
              <w:rPr>
                <w:rFonts w:ascii="Times New Roman" w:hAnsi="Times New Roman"/>
                <w:color w:val="000000"/>
              </w:rPr>
              <w:t>Kortikosteroidai</w:t>
            </w:r>
          </w:p>
          <w:p w14:paraId="24E4CC7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Prednizolonas (vienkartinė 60</w:t>
            </w:r>
            <w:r>
              <w:rPr>
                <w:rFonts w:ascii="Times New Roman" w:hAnsi="Times New Roman"/>
                <w:color w:val="000000"/>
              </w:rPr>
              <w:t> </w:t>
            </w:r>
            <w:r w:rsidRPr="00534C57">
              <w:rPr>
                <w:rFonts w:ascii="Times New Roman" w:hAnsi="Times New Roman"/>
                <w:color w:val="000000"/>
              </w:rPr>
              <w:t>mg dozė)</w:t>
            </w:r>
          </w:p>
          <w:p w14:paraId="7883F5D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[CYP3A4 substratas]</w:t>
            </w:r>
          </w:p>
        </w:tc>
        <w:tc>
          <w:tcPr>
            <w:tcW w:w="3121" w:type="dxa"/>
          </w:tcPr>
          <w:p w14:paraId="797A7345"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Prednizolono Cmax ↑ 11 %</w:t>
            </w:r>
          </w:p>
          <w:p w14:paraId="69A5132D"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Prednizolono AUC0−∞ ↑ 34 %</w:t>
            </w:r>
          </w:p>
        </w:tc>
        <w:tc>
          <w:tcPr>
            <w:tcW w:w="2998" w:type="dxa"/>
          </w:tcPr>
          <w:p w14:paraId="7CDDA1F3" w14:textId="77777777" w:rsidR="00B92818"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keisti nereikia.</w:t>
            </w:r>
          </w:p>
          <w:p w14:paraId="5D9AEA1A"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276FE5">
              <w:rPr>
                <w:rFonts w:ascii="Times New Roman" w:hAnsi="Times New Roman"/>
                <w:color w:val="000000"/>
              </w:rPr>
              <w:t>Pacient</w:t>
            </w:r>
            <w:r>
              <w:rPr>
                <w:rFonts w:ascii="Times New Roman" w:hAnsi="Times New Roman"/>
                <w:color w:val="000000"/>
              </w:rPr>
              <w:t>us</w:t>
            </w:r>
            <w:r w:rsidRPr="00276FE5">
              <w:rPr>
                <w:rFonts w:ascii="Times New Roman" w:hAnsi="Times New Roman"/>
                <w:color w:val="000000"/>
              </w:rPr>
              <w:t xml:space="preserve">, </w:t>
            </w:r>
            <w:r>
              <w:rPr>
                <w:rFonts w:ascii="Times New Roman" w:hAnsi="Times New Roman"/>
                <w:color w:val="000000"/>
              </w:rPr>
              <w:t xml:space="preserve">kurie </w:t>
            </w:r>
            <w:r w:rsidRPr="00276FE5">
              <w:rPr>
                <w:rFonts w:ascii="Times New Roman" w:hAnsi="Times New Roman"/>
                <w:color w:val="000000"/>
              </w:rPr>
              <w:t>ilg</w:t>
            </w:r>
            <w:r>
              <w:rPr>
                <w:rFonts w:ascii="Times New Roman" w:hAnsi="Times New Roman"/>
                <w:color w:val="000000"/>
              </w:rPr>
              <w:t>ą laiką</w:t>
            </w:r>
            <w:r w:rsidRPr="00276FE5">
              <w:rPr>
                <w:rFonts w:ascii="Times New Roman" w:hAnsi="Times New Roman"/>
                <w:color w:val="000000"/>
              </w:rPr>
              <w:t xml:space="preserve"> gydomi vorikonazolu ir kortikosteroidais (įskaitant</w:t>
            </w:r>
            <w:r>
              <w:rPr>
                <w:rFonts w:ascii="Times New Roman" w:hAnsi="Times New Roman"/>
                <w:color w:val="000000"/>
              </w:rPr>
              <w:t xml:space="preserve"> įkvepiamuosius kortikosteroidus</w:t>
            </w:r>
            <w:r w:rsidRPr="00276FE5">
              <w:rPr>
                <w:rFonts w:ascii="Times New Roman" w:hAnsi="Times New Roman"/>
                <w:color w:val="000000"/>
              </w:rPr>
              <w:t>, pvz.,</w:t>
            </w:r>
            <w:r>
              <w:rPr>
                <w:rFonts w:ascii="Times New Roman" w:hAnsi="Times New Roman"/>
                <w:color w:val="000000"/>
              </w:rPr>
              <w:t xml:space="preserve"> </w:t>
            </w:r>
            <w:r w:rsidRPr="00276FE5">
              <w:rPr>
                <w:rFonts w:ascii="Times New Roman" w:hAnsi="Times New Roman"/>
                <w:color w:val="000000"/>
              </w:rPr>
              <w:t>budezonid</w:t>
            </w:r>
            <w:r>
              <w:rPr>
                <w:rFonts w:ascii="Times New Roman" w:hAnsi="Times New Roman"/>
                <w:color w:val="000000"/>
              </w:rPr>
              <w:t>ą</w:t>
            </w:r>
            <w:r w:rsidRPr="00276FE5">
              <w:rPr>
                <w:rFonts w:ascii="Times New Roman" w:hAnsi="Times New Roman"/>
                <w:color w:val="000000"/>
              </w:rPr>
              <w:t xml:space="preserve"> ir </w:t>
            </w:r>
            <w:r>
              <w:rPr>
                <w:rFonts w:ascii="Times New Roman" w:hAnsi="Times New Roman"/>
                <w:color w:val="000000"/>
              </w:rPr>
              <w:t>į nosį vartojamus kortikosteroidus</w:t>
            </w:r>
            <w:r w:rsidRPr="00276FE5">
              <w:rPr>
                <w:rFonts w:ascii="Times New Roman" w:hAnsi="Times New Roman"/>
                <w:color w:val="000000"/>
              </w:rPr>
              <w:t>)</w:t>
            </w:r>
            <w:r>
              <w:rPr>
                <w:rFonts w:ascii="Times New Roman" w:hAnsi="Times New Roman"/>
                <w:color w:val="000000"/>
              </w:rPr>
              <w:t xml:space="preserve"> </w:t>
            </w:r>
            <w:r w:rsidRPr="00E60797">
              <w:rPr>
                <w:rFonts w:ascii="Times New Roman" w:hAnsi="Times New Roman"/>
                <w:color w:val="000000"/>
              </w:rPr>
              <w:t>reikia atidžiai stebėti dėl</w:t>
            </w:r>
            <w:r>
              <w:rPr>
                <w:rFonts w:ascii="Times New Roman" w:hAnsi="Times New Roman"/>
                <w:color w:val="000000"/>
              </w:rPr>
              <w:t xml:space="preserve"> </w:t>
            </w:r>
            <w:r w:rsidRPr="00E60797">
              <w:rPr>
                <w:rFonts w:ascii="Times New Roman" w:hAnsi="Times New Roman"/>
                <w:color w:val="000000"/>
              </w:rPr>
              <w:t>antinksčių žievės disfunkcijos</w:t>
            </w:r>
            <w:r>
              <w:rPr>
                <w:rFonts w:ascii="Times New Roman" w:hAnsi="Times New Roman"/>
                <w:color w:val="000000"/>
              </w:rPr>
              <w:t xml:space="preserve"> </w:t>
            </w:r>
            <w:r w:rsidRPr="00E60797">
              <w:rPr>
                <w:rFonts w:ascii="Times New Roman" w:hAnsi="Times New Roman"/>
                <w:color w:val="000000"/>
              </w:rPr>
              <w:t>gydymo metu ir nutraukus</w:t>
            </w:r>
            <w:r>
              <w:rPr>
                <w:rFonts w:ascii="Times New Roman" w:hAnsi="Times New Roman"/>
                <w:color w:val="000000"/>
              </w:rPr>
              <w:t xml:space="preserve"> </w:t>
            </w:r>
            <w:r w:rsidRPr="00E60797">
              <w:rPr>
                <w:rFonts w:ascii="Times New Roman" w:hAnsi="Times New Roman"/>
                <w:color w:val="000000"/>
              </w:rPr>
              <w:t>gydymą vorikonazolu</w:t>
            </w:r>
            <w:r w:rsidRPr="00E60797" w:rsidDel="00E60797">
              <w:rPr>
                <w:rFonts w:ascii="Times New Roman" w:hAnsi="Times New Roman"/>
                <w:color w:val="000000"/>
              </w:rPr>
              <w:t xml:space="preserve"> </w:t>
            </w:r>
            <w:r w:rsidRPr="00276FE5">
              <w:rPr>
                <w:rFonts w:ascii="Times New Roman" w:hAnsi="Times New Roman"/>
                <w:color w:val="000000"/>
              </w:rPr>
              <w:t>(žr. 4.4 skyrių).</w:t>
            </w:r>
          </w:p>
        </w:tc>
      </w:tr>
      <w:tr w:rsidR="00B92818" w:rsidRPr="00F909DC" w14:paraId="57915E7A" w14:textId="77777777" w:rsidTr="00DC01BC">
        <w:tc>
          <w:tcPr>
            <w:tcW w:w="2941" w:type="dxa"/>
          </w:tcPr>
          <w:p w14:paraId="60C5555C"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Ranitidinas (150</w:t>
            </w:r>
            <w:r>
              <w:rPr>
                <w:rFonts w:ascii="Times New Roman" w:hAnsi="Times New Roman"/>
                <w:color w:val="000000"/>
              </w:rPr>
              <w:t> </w:t>
            </w:r>
            <w:r w:rsidRPr="00534C57">
              <w:rPr>
                <w:rFonts w:ascii="Times New Roman" w:hAnsi="Times New Roman"/>
                <w:color w:val="000000"/>
              </w:rPr>
              <w:t>mg dozė 2 x parą)</w:t>
            </w:r>
          </w:p>
          <w:p w14:paraId="0D68A3E2"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[skrandžio pH didinantis vaistinis preparatas]</w:t>
            </w:r>
          </w:p>
        </w:tc>
        <w:tc>
          <w:tcPr>
            <w:tcW w:w="3121" w:type="dxa"/>
          </w:tcPr>
          <w:p w14:paraId="0263D971"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Cmax ir AUCτ ↔</w:t>
            </w:r>
          </w:p>
        </w:tc>
        <w:tc>
          <w:tcPr>
            <w:tcW w:w="2998" w:type="dxa"/>
          </w:tcPr>
          <w:p w14:paraId="4B996A57" w14:textId="77777777" w:rsidR="00B92818" w:rsidRPr="00534C57" w:rsidRDefault="00B92818" w:rsidP="00B92818">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Dozės keisti nereikia.</w:t>
            </w:r>
          </w:p>
        </w:tc>
      </w:tr>
    </w:tbl>
    <w:p w14:paraId="7EE25B1D"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4CCE5DD9"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4.6 Vaisingumas, nėštumo ir žindymo laikotarpis</w:t>
      </w:r>
    </w:p>
    <w:p w14:paraId="23F3207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131CF92"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Nėštumas</w:t>
      </w:r>
    </w:p>
    <w:p w14:paraId="2EF4F96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Reikiamų duomenų apie Voriconazole Teva vartojimą nėštumo metu nėra.</w:t>
      </w:r>
    </w:p>
    <w:p w14:paraId="07114E7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DFD22B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Su gyvūnais atlikti tyrimai parodė toksinį poveikį reprodukcijai (žr. 5.3 skyrių). Galimas pavojus žmogui nežinomas.</w:t>
      </w:r>
    </w:p>
    <w:p w14:paraId="3328E83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361993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nėštumo metu vartoti negalima, išskyrus atvejus, kai nauda motinai persveria galimą riziką vaisiui.</w:t>
      </w:r>
    </w:p>
    <w:p w14:paraId="123FA9E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F65AB02"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Vaisingos moterys</w:t>
      </w:r>
    </w:p>
    <w:p w14:paraId="6A5E260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Vaisingos moterys turi naudoti veiksmingą kontracepcijos metodą gydymo metu.</w:t>
      </w:r>
    </w:p>
    <w:p w14:paraId="38E573C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59814C0"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Žindymas</w:t>
      </w:r>
    </w:p>
    <w:p w14:paraId="4660FA1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Ar vorikonazolo prasiskverbia į motinos pieną, nenustatyta. Vis dėlto, pradėjus vartoti Voriconazole Teva, žindymą būtina nutraukti.</w:t>
      </w:r>
    </w:p>
    <w:p w14:paraId="116642B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B1AD0A2"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 xml:space="preserve">Vaisingumas </w:t>
      </w:r>
    </w:p>
    <w:p w14:paraId="6EC2A26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Tyrimų su gyvūnais duomenimis, žiurkių patinų ir patelių vislumo sutrikimo nepastebėta (žr. 5.3 skyrių).</w:t>
      </w:r>
    </w:p>
    <w:p w14:paraId="3BDC40A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BA9F3CF"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4.7 Poveikis gebėjimui vairuoti ir valdyti mechanizmus</w:t>
      </w:r>
    </w:p>
    <w:p w14:paraId="11FB0034"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543809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gebėjimą vairuoti ir valdyti mechanizmus veikia vidutiniškai. Vaistinis preparatas gali laikinai sukelti grįžtamų regos pokyčių, įskaitant neryškų matymą, pakitusį (arba sustiprėjusį) matymo suvokimą ir (arba) fotofobiją. Jei pacientui pasireiškia tokių simptomų, jam reikia vengti pavojingo darbo, pvz., vairavimo ar mechanizmų valdymo.</w:t>
      </w:r>
    </w:p>
    <w:p w14:paraId="69A9E9F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6809366"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4.8 Nepageidaujamas poveikis</w:t>
      </w:r>
    </w:p>
    <w:p w14:paraId="7DA38984"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05DF8884"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Saugumo duomenų santrauka</w:t>
      </w:r>
    </w:p>
    <w:p w14:paraId="6B84D14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Duomenys apie vorikonazolo vartojimo saugumą</w:t>
      </w:r>
      <w:r w:rsidR="00F21817" w:rsidRPr="00534C57">
        <w:rPr>
          <w:rFonts w:ascii="Times New Roman" w:hAnsi="Times New Roman"/>
          <w:color w:val="000000"/>
        </w:rPr>
        <w:t xml:space="preserve"> suaugusiesiems</w:t>
      </w:r>
      <w:r w:rsidRPr="00534C57">
        <w:rPr>
          <w:rFonts w:ascii="Times New Roman" w:hAnsi="Times New Roman"/>
          <w:color w:val="000000"/>
        </w:rPr>
        <w:t xml:space="preserve"> pagrįsti bendra daugiau kaip 2000 asmenų saugumo duomenų baze (įskaitant 16</w:t>
      </w:r>
      <w:r w:rsidR="00B50930" w:rsidRPr="00534C57">
        <w:rPr>
          <w:rFonts w:ascii="Times New Roman" w:hAnsi="Times New Roman"/>
          <w:color w:val="000000"/>
        </w:rPr>
        <w:t xml:space="preserve">03 </w:t>
      </w:r>
      <w:r w:rsidR="00B50930" w:rsidRPr="00534C57">
        <w:rPr>
          <w:rFonts w:ascii="Times New Roman" w:hAnsi="Times New Roman"/>
        </w:rPr>
        <w:t>suaugusius</w:t>
      </w:r>
      <w:r w:rsidRPr="00534C57">
        <w:rPr>
          <w:rFonts w:ascii="Times New Roman" w:hAnsi="Times New Roman"/>
          <w:color w:val="000000"/>
        </w:rPr>
        <w:t xml:space="preserve"> pacient</w:t>
      </w:r>
      <w:r w:rsidR="00B50930" w:rsidRPr="00534C57">
        <w:rPr>
          <w:rFonts w:ascii="Times New Roman" w:hAnsi="Times New Roman"/>
          <w:color w:val="000000"/>
        </w:rPr>
        <w:t>us</w:t>
      </w:r>
      <w:r w:rsidRPr="00534C57">
        <w:rPr>
          <w:rFonts w:ascii="Times New Roman" w:hAnsi="Times New Roman"/>
          <w:color w:val="000000"/>
        </w:rPr>
        <w:t xml:space="preserve"> klinikinių tyrimų metu vartojusius vaistinio preparato gydymui</w:t>
      </w:r>
      <w:r w:rsidR="00B50930" w:rsidRPr="00534C57">
        <w:rPr>
          <w:rFonts w:ascii="Times New Roman" w:hAnsi="Times New Roman"/>
          <w:color w:val="000000"/>
        </w:rPr>
        <w:t>)</w:t>
      </w:r>
      <w:r w:rsidRPr="00534C57">
        <w:rPr>
          <w:rFonts w:ascii="Times New Roman" w:hAnsi="Times New Roman"/>
          <w:color w:val="000000"/>
        </w:rPr>
        <w:t xml:space="preserve"> ir </w:t>
      </w:r>
      <w:r w:rsidR="00B50930" w:rsidRPr="00534C57">
        <w:rPr>
          <w:rFonts w:ascii="Times New Roman" w:hAnsi="Times New Roman"/>
          <w:color w:val="000000"/>
        </w:rPr>
        <w:t xml:space="preserve">papildomai </w:t>
      </w:r>
      <w:r w:rsidR="00564808">
        <w:rPr>
          <w:rFonts w:ascii="Times New Roman" w:hAnsi="Times New Roman"/>
          <w:color w:val="000000"/>
        </w:rPr>
        <w:t>270</w:t>
      </w:r>
      <w:r w:rsidR="00564808" w:rsidRPr="00534C57">
        <w:rPr>
          <w:rFonts w:ascii="Times New Roman" w:hAnsi="Times New Roman"/>
          <w:color w:val="000000"/>
        </w:rPr>
        <w:t xml:space="preserve"> </w:t>
      </w:r>
      <w:r w:rsidR="00B50930" w:rsidRPr="00534C57">
        <w:rPr>
          <w:rFonts w:ascii="Times New Roman" w:hAnsi="Times New Roman"/>
          <w:color w:val="000000"/>
        </w:rPr>
        <w:t>suaugusi</w:t>
      </w:r>
      <w:r w:rsidR="005813AA">
        <w:rPr>
          <w:rFonts w:ascii="Times New Roman" w:hAnsi="Times New Roman"/>
          <w:color w:val="000000"/>
        </w:rPr>
        <w:t>ų</w:t>
      </w:r>
      <w:r w:rsidR="00B50930" w:rsidRPr="00534C57">
        <w:rPr>
          <w:rFonts w:ascii="Times New Roman" w:hAnsi="Times New Roman"/>
          <w:color w:val="000000"/>
        </w:rPr>
        <w:t xml:space="preserve"> </w:t>
      </w:r>
      <w:r w:rsidRPr="00534C57">
        <w:rPr>
          <w:rFonts w:ascii="Times New Roman" w:hAnsi="Times New Roman"/>
          <w:color w:val="000000"/>
        </w:rPr>
        <w:t>pacient</w:t>
      </w:r>
      <w:r w:rsidR="005813AA">
        <w:rPr>
          <w:rFonts w:ascii="Times New Roman" w:hAnsi="Times New Roman"/>
          <w:color w:val="000000"/>
        </w:rPr>
        <w:t>ų</w:t>
      </w:r>
      <w:r w:rsidRPr="00534C57">
        <w:rPr>
          <w:rFonts w:ascii="Times New Roman" w:hAnsi="Times New Roman"/>
          <w:color w:val="000000"/>
        </w:rPr>
        <w:t xml:space="preserve"> klinikinių tyrimų metu </w:t>
      </w:r>
      <w:r w:rsidRPr="00534C57">
        <w:rPr>
          <w:rFonts w:ascii="Times New Roman" w:hAnsi="Times New Roman"/>
          <w:color w:val="000000"/>
        </w:rPr>
        <w:lastRenderedPageBreak/>
        <w:t xml:space="preserve">vaistinio preparato vartojusius profilaktikai. Tai heterogeninė populiacija, įskaitant pacientus, sergančius kraujo piktybinėmis ligomis, ŽIV užsikrėtusius pacientus, sirgusius stemplės kandidoze ir medikamentams atsparia grybelių sukelta infekcine liga, pacientus, kuriems nebuvo neutropenijos, bet buvo kandidemija ar aspergiliozė, bei sveikus savanorius. </w:t>
      </w:r>
    </w:p>
    <w:p w14:paraId="615E23EE" w14:textId="77777777" w:rsidR="003E70BB" w:rsidRPr="00534C57" w:rsidRDefault="003E70BB" w:rsidP="002F3324">
      <w:pPr>
        <w:autoSpaceDE w:val="0"/>
        <w:autoSpaceDN w:val="0"/>
        <w:adjustRightInd w:val="0"/>
        <w:spacing w:after="0" w:line="240" w:lineRule="auto"/>
        <w:rPr>
          <w:rFonts w:ascii="Times New Roman" w:hAnsi="Times New Roman"/>
          <w:color w:val="000000"/>
        </w:rPr>
      </w:pPr>
    </w:p>
    <w:p w14:paraId="73953AB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Nepageidaujamos reakcijos, apie kurias buvo pranešta dažniausiai, buvo regėjimo sutrikimai, karščiavimas, išbėrimas, vėmimas, pykinimas, viduriavimas, galvos skausmas, periferinė edema, nukrypę nuo normos kepenų funkcijos tyrimai, kvėpavimo sutrikimo sindromas ir pilvo skausmas.</w:t>
      </w:r>
    </w:p>
    <w:p w14:paraId="3EF9CBA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007A65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Nepageidaujamos reakcijos dažniausiai buvo lengvos ar vidutinio sunkumo. Kliniškai reikšmingų saugumo pokyčių atsižvelgiant į amžių, rasę ar lytį nepastebėta.</w:t>
      </w:r>
    </w:p>
    <w:p w14:paraId="1085CA3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7ABCC63"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Nepageidaujamos reakcijos lentelėje</w:t>
      </w:r>
    </w:p>
    <w:p w14:paraId="14CCF072" w14:textId="77777777" w:rsidR="003E70BB" w:rsidRPr="00534C57" w:rsidRDefault="005813AA" w:rsidP="002F3324">
      <w:pPr>
        <w:autoSpaceDE w:val="0"/>
        <w:autoSpaceDN w:val="0"/>
        <w:adjustRightInd w:val="0"/>
        <w:spacing w:after="0" w:line="240" w:lineRule="auto"/>
        <w:rPr>
          <w:rFonts w:ascii="Times New Roman" w:hAnsi="Times New Roman"/>
          <w:color w:val="000000"/>
        </w:rPr>
      </w:pPr>
      <w:r w:rsidRPr="00A22C76">
        <w:rPr>
          <w:rFonts w:ascii="Times New Roman" w:hAnsi="Times New Roman"/>
          <w:color w:val="000000"/>
        </w:rPr>
        <w:t>Toliau</w:t>
      </w:r>
      <w:r w:rsidRPr="00534C57">
        <w:rPr>
          <w:rFonts w:ascii="Times New Roman" w:hAnsi="Times New Roman"/>
          <w:color w:val="000000"/>
        </w:rPr>
        <w:t xml:space="preserve"> </w:t>
      </w:r>
      <w:r w:rsidR="002F3324" w:rsidRPr="00534C57">
        <w:rPr>
          <w:rFonts w:ascii="Times New Roman" w:hAnsi="Times New Roman"/>
          <w:color w:val="000000"/>
        </w:rPr>
        <w:t xml:space="preserve">esančioje lentelėje nurodytos atvirų klinikinių tyrimų metu nustatytos dėl įvairių priežasčių </w:t>
      </w:r>
      <w:r w:rsidR="003E70BB" w:rsidRPr="00534C57">
        <w:rPr>
          <w:rFonts w:ascii="Times New Roman" w:hAnsi="Times New Roman"/>
          <w:color w:val="000000"/>
        </w:rPr>
        <w:t>bendrai 1873</w:t>
      </w:r>
      <w:r w:rsidR="003E70BB" w:rsidRPr="00534C57">
        <w:rPr>
          <w:rFonts w:ascii="Times New Roman" w:hAnsi="Times New Roman"/>
        </w:rPr>
        <w:t xml:space="preserve"> suaugusiesiems iš gydomųjų (1603) ir profilaktinių (270) tyrimų </w:t>
      </w:r>
      <w:r w:rsidR="003E70BB" w:rsidRPr="00BE562B">
        <w:rPr>
          <w:rFonts w:ascii="Times New Roman" w:hAnsi="Times New Roman"/>
        </w:rPr>
        <w:t>pasireiškusios nepageidaujamos reakcijos</w:t>
      </w:r>
      <w:r w:rsidR="003E70BB" w:rsidRPr="00534C57">
        <w:rPr>
          <w:rFonts w:ascii="Times New Roman" w:hAnsi="Times New Roman"/>
        </w:rPr>
        <w:t xml:space="preserve"> ir jų dažnio kategorijos</w:t>
      </w:r>
      <w:r w:rsidR="002F3324" w:rsidRPr="00534C57">
        <w:rPr>
          <w:rFonts w:ascii="Times New Roman" w:hAnsi="Times New Roman"/>
          <w:color w:val="000000"/>
        </w:rPr>
        <w:t>, kurios išvardytos pagal organų sistemų</w:t>
      </w:r>
      <w:r w:rsidR="00A22C76">
        <w:rPr>
          <w:rFonts w:ascii="Times New Roman" w:hAnsi="Times New Roman"/>
          <w:color w:val="000000"/>
        </w:rPr>
        <w:t xml:space="preserve"> klases</w:t>
      </w:r>
      <w:r w:rsidR="002F3324" w:rsidRPr="00534C57">
        <w:rPr>
          <w:rFonts w:ascii="Times New Roman" w:hAnsi="Times New Roman"/>
          <w:color w:val="000000"/>
        </w:rPr>
        <w:t xml:space="preserve">. </w:t>
      </w:r>
    </w:p>
    <w:p w14:paraId="15311045" w14:textId="77777777" w:rsidR="003E70BB" w:rsidRPr="00534C57" w:rsidRDefault="003E70BB" w:rsidP="002F3324">
      <w:pPr>
        <w:autoSpaceDE w:val="0"/>
        <w:autoSpaceDN w:val="0"/>
        <w:adjustRightInd w:val="0"/>
        <w:spacing w:after="0" w:line="240" w:lineRule="auto"/>
        <w:rPr>
          <w:rFonts w:ascii="Times New Roman" w:hAnsi="Times New Roman"/>
          <w:color w:val="000000"/>
        </w:rPr>
      </w:pPr>
    </w:p>
    <w:p w14:paraId="1649EC2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Nepageidaujamo poveikio dažnis apibūdinamas taip: labai dažnas (≥ 1/10), dažnas (nuo ≥ 1/100 iki &lt;1/10), nedažnas (nuo ≥ 1/1000 iki &lt; 1/100), retas (nuo ≥ 1/10000 iki &lt; 1/1000), labai retas (&lt; 1/10000) ir nežinomas (negali būti apskaičiuotas pagal turimus duomenis).</w:t>
      </w:r>
    </w:p>
    <w:p w14:paraId="2CF559C7" w14:textId="77777777" w:rsidR="003E70BB" w:rsidRPr="00534C57" w:rsidRDefault="003E70BB" w:rsidP="002F3324">
      <w:pPr>
        <w:autoSpaceDE w:val="0"/>
        <w:autoSpaceDN w:val="0"/>
        <w:adjustRightInd w:val="0"/>
        <w:spacing w:after="0" w:line="240" w:lineRule="auto"/>
        <w:rPr>
          <w:rFonts w:ascii="Times New Roman" w:hAnsi="Times New Roman"/>
          <w:color w:val="000000"/>
        </w:rPr>
      </w:pPr>
    </w:p>
    <w:p w14:paraId="5B81F75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Kiekvienoje grupėje nepageidaujamas poveikis pateiktas pagal jo sunkumo pobūdį.</w:t>
      </w:r>
    </w:p>
    <w:p w14:paraId="23F9B7F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E135AE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Nepageidaujamas poveikis, nustatytas asmenims, vartojantiems vorikonazolą</w:t>
      </w:r>
    </w:p>
    <w:tbl>
      <w:tblPr>
        <w:tblW w:w="10271" w:type="dxa"/>
        <w:tblInd w:w="-289" w:type="dxa"/>
        <w:tblCellMar>
          <w:left w:w="0" w:type="dxa"/>
          <w:right w:w="0" w:type="dxa"/>
        </w:tblCellMar>
        <w:tblLook w:val="01E0" w:firstRow="1" w:lastRow="1" w:firstColumn="1" w:lastColumn="1" w:noHBand="0" w:noVBand="0"/>
      </w:tblPr>
      <w:tblGrid>
        <w:gridCol w:w="1470"/>
        <w:gridCol w:w="1561"/>
        <w:gridCol w:w="1919"/>
        <w:gridCol w:w="2008"/>
        <w:gridCol w:w="1736"/>
        <w:gridCol w:w="1577"/>
      </w:tblGrid>
      <w:tr w:rsidR="007E716C" w:rsidRPr="00F909DC" w14:paraId="62AD14A2" w14:textId="77777777" w:rsidTr="00914B2F">
        <w:trPr>
          <w:trHeight w:hRule="exact" w:val="2284"/>
        </w:trPr>
        <w:tc>
          <w:tcPr>
            <w:tcW w:w="1470" w:type="dxa"/>
            <w:tcBorders>
              <w:top w:val="single" w:sz="4" w:space="0" w:color="000000"/>
              <w:left w:val="single" w:sz="4" w:space="0" w:color="000000"/>
              <w:bottom w:val="single" w:sz="4" w:space="0" w:color="000000"/>
              <w:right w:val="single" w:sz="4" w:space="0" w:color="000000"/>
            </w:tcBorders>
          </w:tcPr>
          <w:p w14:paraId="0792C6B5" w14:textId="77777777" w:rsidR="003E70BB" w:rsidRPr="00F909DC" w:rsidRDefault="003E70BB" w:rsidP="00BE562B">
            <w:pPr>
              <w:widowControl w:val="0"/>
              <w:spacing w:before="1" w:after="0" w:line="252" w:lineRule="exact"/>
              <w:ind w:left="138" w:right="79" w:firstLine="252"/>
              <w:rPr>
                <w:rFonts w:ascii="Times New Roman" w:hAnsi="Times New Roman"/>
              </w:rPr>
            </w:pPr>
            <w:r w:rsidRPr="00F909DC">
              <w:rPr>
                <w:rFonts w:ascii="Times New Roman" w:hAnsi="Times New Roman"/>
                <w:b/>
              </w:rPr>
              <w:t xml:space="preserve">Organų sistemų </w:t>
            </w:r>
            <w:r w:rsidRPr="00534C57">
              <w:rPr>
                <w:rFonts w:ascii="Times New Roman" w:eastAsia="Times New Roman" w:hAnsi="Times New Roman"/>
                <w:b/>
                <w:bCs/>
              </w:rPr>
              <w:t>klasė</w:t>
            </w:r>
          </w:p>
        </w:tc>
        <w:tc>
          <w:tcPr>
            <w:tcW w:w="1561" w:type="dxa"/>
            <w:tcBorders>
              <w:top w:val="single" w:sz="4" w:space="0" w:color="000000"/>
              <w:left w:val="single" w:sz="4" w:space="0" w:color="000000"/>
              <w:bottom w:val="single" w:sz="4" w:space="0" w:color="000000"/>
              <w:right w:val="single" w:sz="4" w:space="0" w:color="000000"/>
            </w:tcBorders>
          </w:tcPr>
          <w:p w14:paraId="24DDB41F" w14:textId="77777777" w:rsidR="003E70BB" w:rsidRPr="00534C57" w:rsidRDefault="003E70BB" w:rsidP="003E70BB">
            <w:pPr>
              <w:widowControl w:val="0"/>
              <w:spacing w:after="0" w:line="251" w:lineRule="exact"/>
              <w:ind w:left="207" w:right="191"/>
              <w:jc w:val="center"/>
              <w:rPr>
                <w:rFonts w:ascii="Times New Roman" w:eastAsia="Times New Roman" w:hAnsi="Times New Roman"/>
              </w:rPr>
            </w:pPr>
            <w:r w:rsidRPr="00534C57">
              <w:rPr>
                <w:rFonts w:ascii="Times New Roman" w:eastAsia="Times New Roman" w:hAnsi="Times New Roman"/>
                <w:b/>
                <w:bCs/>
              </w:rPr>
              <w:t>Labai dažni</w:t>
            </w:r>
          </w:p>
          <w:p w14:paraId="6853BCBC" w14:textId="77777777" w:rsidR="003E70BB" w:rsidRPr="00F909DC" w:rsidRDefault="003E70BB" w:rsidP="00BE562B">
            <w:pPr>
              <w:widowControl w:val="0"/>
              <w:spacing w:after="0" w:line="252" w:lineRule="exact"/>
              <w:ind w:left="483" w:right="466"/>
              <w:jc w:val="center"/>
              <w:rPr>
                <w:rFonts w:ascii="Times New Roman" w:hAnsi="Times New Roman"/>
              </w:rPr>
            </w:pPr>
            <w:r w:rsidRPr="00534C57">
              <w:rPr>
                <w:rFonts w:ascii="Times New Roman" w:eastAsia="Times New Roman" w:hAnsi="Times New Roman"/>
                <w:b/>
                <w:bCs/>
              </w:rPr>
              <w:t>≥ 1/10</w:t>
            </w:r>
          </w:p>
        </w:tc>
        <w:tc>
          <w:tcPr>
            <w:tcW w:w="1919" w:type="dxa"/>
            <w:tcBorders>
              <w:top w:val="single" w:sz="4" w:space="0" w:color="000000"/>
              <w:left w:val="single" w:sz="4" w:space="0" w:color="000000"/>
              <w:bottom w:val="single" w:sz="4" w:space="0" w:color="000000"/>
              <w:right w:val="single" w:sz="4" w:space="0" w:color="000000"/>
            </w:tcBorders>
          </w:tcPr>
          <w:p w14:paraId="6F7C7054" w14:textId="77777777" w:rsidR="00A22C76" w:rsidRDefault="003E70BB" w:rsidP="003E70BB">
            <w:pPr>
              <w:widowControl w:val="0"/>
              <w:spacing w:before="1" w:after="0" w:line="252" w:lineRule="exact"/>
              <w:ind w:left="419" w:right="402" w:hanging="4"/>
              <w:jc w:val="center"/>
              <w:rPr>
                <w:rFonts w:ascii="Times New Roman" w:eastAsia="Times New Roman" w:hAnsi="Times New Roman"/>
                <w:b/>
                <w:bCs/>
                <w:spacing w:val="-1"/>
              </w:rPr>
            </w:pPr>
            <w:r w:rsidRPr="00534C57">
              <w:rPr>
                <w:rFonts w:ascii="Times New Roman" w:eastAsia="Times New Roman" w:hAnsi="Times New Roman"/>
                <w:b/>
                <w:bCs/>
                <w:spacing w:val="-1"/>
              </w:rPr>
              <w:t xml:space="preserve">Dažni </w:t>
            </w:r>
          </w:p>
          <w:p w14:paraId="13EE4645" w14:textId="77777777" w:rsidR="003E70BB" w:rsidRPr="00534C57" w:rsidRDefault="003E70BB" w:rsidP="003E70BB">
            <w:pPr>
              <w:widowControl w:val="0"/>
              <w:spacing w:before="1" w:after="0" w:line="252" w:lineRule="exact"/>
              <w:ind w:left="419" w:right="402" w:hanging="4"/>
              <w:jc w:val="center"/>
              <w:rPr>
                <w:rFonts w:ascii="Times New Roman" w:eastAsia="Times New Roman" w:hAnsi="Times New Roman"/>
              </w:rPr>
            </w:pPr>
            <w:r w:rsidRPr="00534C57">
              <w:rPr>
                <w:rFonts w:ascii="Times New Roman" w:eastAsia="Times New Roman" w:hAnsi="Times New Roman"/>
                <w:b/>
                <w:bCs/>
              </w:rPr>
              <w:t>nuo ≥ 1/100</w:t>
            </w:r>
          </w:p>
          <w:p w14:paraId="370A935E" w14:textId="77777777" w:rsidR="003E70BB" w:rsidRPr="00534C57" w:rsidRDefault="003E70BB" w:rsidP="003E70BB">
            <w:pPr>
              <w:widowControl w:val="0"/>
              <w:spacing w:after="0" w:line="252" w:lineRule="exact"/>
              <w:ind w:left="510" w:right="492"/>
              <w:jc w:val="center"/>
              <w:rPr>
                <w:rFonts w:ascii="Times New Roman" w:eastAsia="Times New Roman" w:hAnsi="Times New Roman"/>
              </w:rPr>
            </w:pPr>
            <w:r w:rsidRPr="00534C57">
              <w:rPr>
                <w:rFonts w:ascii="Times New Roman" w:eastAsia="Times New Roman" w:hAnsi="Times New Roman"/>
                <w:b/>
                <w:bCs/>
              </w:rPr>
              <w:t>iki &lt; 1/10</w:t>
            </w:r>
          </w:p>
        </w:tc>
        <w:tc>
          <w:tcPr>
            <w:tcW w:w="2008" w:type="dxa"/>
            <w:tcBorders>
              <w:top w:val="single" w:sz="4" w:space="0" w:color="000000"/>
              <w:left w:val="single" w:sz="4" w:space="0" w:color="000000"/>
              <w:bottom w:val="single" w:sz="4" w:space="0" w:color="000000"/>
              <w:right w:val="single" w:sz="4" w:space="0" w:color="000000"/>
            </w:tcBorders>
          </w:tcPr>
          <w:p w14:paraId="2BC44FDF" w14:textId="77777777" w:rsidR="003E70BB" w:rsidRPr="00534C57" w:rsidRDefault="003E70BB" w:rsidP="003E70BB">
            <w:pPr>
              <w:widowControl w:val="0"/>
              <w:spacing w:after="0" w:line="251" w:lineRule="exact"/>
              <w:ind w:left="560" w:right="546"/>
              <w:jc w:val="center"/>
              <w:rPr>
                <w:rFonts w:ascii="Times New Roman" w:eastAsia="Times New Roman" w:hAnsi="Times New Roman"/>
              </w:rPr>
            </w:pPr>
            <w:r w:rsidRPr="00534C57">
              <w:rPr>
                <w:rFonts w:ascii="Times New Roman" w:eastAsia="Times New Roman" w:hAnsi="Times New Roman"/>
                <w:b/>
                <w:bCs/>
                <w:spacing w:val="-1"/>
              </w:rPr>
              <w:t>Nedažni</w:t>
            </w:r>
          </w:p>
          <w:p w14:paraId="2538E5DF" w14:textId="77777777" w:rsidR="003E70BB" w:rsidRPr="00534C57" w:rsidRDefault="003E70BB" w:rsidP="003E70BB">
            <w:pPr>
              <w:widowControl w:val="0"/>
              <w:spacing w:before="1" w:after="0" w:line="240" w:lineRule="auto"/>
              <w:ind w:left="694" w:right="677"/>
              <w:jc w:val="center"/>
              <w:rPr>
                <w:rFonts w:ascii="Times New Roman" w:eastAsia="Times New Roman" w:hAnsi="Times New Roman"/>
              </w:rPr>
            </w:pPr>
            <w:r w:rsidRPr="00534C57">
              <w:rPr>
                <w:rFonts w:ascii="Times New Roman" w:eastAsia="Times New Roman" w:hAnsi="Times New Roman"/>
                <w:b/>
                <w:bCs/>
              </w:rPr>
              <w:t>nuo ≥ 1/1000 iki &lt;1/100</w:t>
            </w:r>
          </w:p>
        </w:tc>
        <w:tc>
          <w:tcPr>
            <w:tcW w:w="1736" w:type="dxa"/>
            <w:tcBorders>
              <w:top w:val="single" w:sz="4" w:space="0" w:color="000000"/>
              <w:left w:val="single" w:sz="4" w:space="0" w:color="000000"/>
              <w:bottom w:val="single" w:sz="4" w:space="0" w:color="000000"/>
              <w:right w:val="single" w:sz="4" w:space="0" w:color="000000"/>
            </w:tcBorders>
          </w:tcPr>
          <w:p w14:paraId="12D756E9" w14:textId="77777777" w:rsidR="003E70BB" w:rsidRPr="00534C57" w:rsidRDefault="003E70BB" w:rsidP="003E70BB">
            <w:pPr>
              <w:widowControl w:val="0"/>
              <w:spacing w:after="0" w:line="251" w:lineRule="exact"/>
              <w:ind w:left="613" w:right="599"/>
              <w:jc w:val="center"/>
              <w:rPr>
                <w:rFonts w:ascii="Times New Roman" w:eastAsia="Times New Roman" w:hAnsi="Times New Roman"/>
              </w:rPr>
            </w:pPr>
            <w:r w:rsidRPr="00534C57">
              <w:rPr>
                <w:rFonts w:ascii="Times New Roman" w:eastAsia="Times New Roman" w:hAnsi="Times New Roman"/>
                <w:b/>
                <w:bCs/>
              </w:rPr>
              <w:t>Reti</w:t>
            </w:r>
          </w:p>
          <w:p w14:paraId="6A2DD347" w14:textId="77777777" w:rsidR="003E70BB" w:rsidRPr="00534C57" w:rsidRDefault="003E70BB" w:rsidP="008F384C">
            <w:pPr>
              <w:widowControl w:val="0"/>
              <w:spacing w:after="0" w:line="249" w:lineRule="exact"/>
              <w:ind w:left="502" w:right="487"/>
              <w:jc w:val="center"/>
              <w:rPr>
                <w:rFonts w:ascii="Times New Roman" w:eastAsia="Times New Roman" w:hAnsi="Times New Roman"/>
              </w:rPr>
            </w:pPr>
            <w:r w:rsidRPr="00534C57">
              <w:rPr>
                <w:rFonts w:ascii="Times New Roman" w:eastAsia="Times New Roman" w:hAnsi="Times New Roman"/>
                <w:b/>
                <w:bCs/>
              </w:rPr>
              <w:t>nuo ≥ 1/10000 iki</w:t>
            </w:r>
            <w:r w:rsidRPr="00534C57">
              <w:rPr>
                <w:rFonts w:ascii="Times New Roman" w:eastAsia="Times New Roman" w:hAnsi="Times New Roman"/>
                <w:b/>
                <w:bCs/>
                <w:spacing w:val="1"/>
              </w:rPr>
              <w:t xml:space="preserve"> </w:t>
            </w:r>
            <w:r w:rsidRPr="00534C57">
              <w:rPr>
                <w:rFonts w:ascii="Times New Roman" w:eastAsia="Times New Roman" w:hAnsi="Times New Roman"/>
                <w:b/>
                <w:bCs/>
              </w:rPr>
              <w:t>&lt;1/1000</w:t>
            </w:r>
          </w:p>
        </w:tc>
        <w:tc>
          <w:tcPr>
            <w:tcW w:w="1577" w:type="dxa"/>
            <w:tcBorders>
              <w:top w:val="single" w:sz="4" w:space="0" w:color="000000"/>
              <w:left w:val="single" w:sz="4" w:space="0" w:color="000000"/>
              <w:bottom w:val="single" w:sz="4" w:space="0" w:color="000000"/>
              <w:right w:val="single" w:sz="4" w:space="0" w:color="000000"/>
            </w:tcBorders>
          </w:tcPr>
          <w:p w14:paraId="7B0F3231" w14:textId="77777777" w:rsidR="003E70BB" w:rsidRPr="00534C57" w:rsidRDefault="003E70BB" w:rsidP="003E70BB">
            <w:pPr>
              <w:widowControl w:val="0"/>
              <w:spacing w:before="1" w:after="0" w:line="252" w:lineRule="exact"/>
              <w:ind w:left="110" w:right="88" w:hanging="2"/>
              <w:jc w:val="center"/>
              <w:rPr>
                <w:rFonts w:ascii="Times New Roman" w:eastAsia="Times New Roman" w:hAnsi="Times New Roman"/>
              </w:rPr>
            </w:pPr>
            <w:r w:rsidRPr="00534C57">
              <w:rPr>
                <w:rFonts w:ascii="Times New Roman" w:eastAsia="Times New Roman" w:hAnsi="Times New Roman"/>
                <w:b/>
                <w:bCs/>
              </w:rPr>
              <w:t>Dažnis nežinomas</w:t>
            </w:r>
          </w:p>
          <w:p w14:paraId="1105751E" w14:textId="77777777" w:rsidR="003E70BB" w:rsidRPr="00534C57" w:rsidRDefault="003E70BB" w:rsidP="003E70BB">
            <w:pPr>
              <w:widowControl w:val="0"/>
              <w:spacing w:before="2" w:after="0" w:line="252" w:lineRule="exact"/>
              <w:ind w:left="285" w:right="267"/>
              <w:jc w:val="center"/>
              <w:rPr>
                <w:rFonts w:ascii="Times New Roman" w:eastAsia="Times New Roman" w:hAnsi="Times New Roman"/>
              </w:rPr>
            </w:pPr>
            <w:r w:rsidRPr="00534C57">
              <w:rPr>
                <w:rFonts w:ascii="Times New Roman" w:eastAsia="Times New Roman" w:hAnsi="Times New Roman"/>
                <w:b/>
                <w:bCs/>
              </w:rPr>
              <w:t>(negali būti</w:t>
            </w:r>
          </w:p>
          <w:p w14:paraId="196AC85B" w14:textId="77777777" w:rsidR="003E70BB" w:rsidRPr="00534C57" w:rsidRDefault="00A22C76" w:rsidP="003E70BB">
            <w:pPr>
              <w:widowControl w:val="0"/>
              <w:spacing w:before="2" w:after="0" w:line="252" w:lineRule="exact"/>
              <w:ind w:left="158" w:right="137"/>
              <w:jc w:val="center"/>
              <w:rPr>
                <w:rFonts w:ascii="Times New Roman" w:eastAsia="Times New Roman" w:hAnsi="Times New Roman"/>
              </w:rPr>
            </w:pPr>
            <w:r>
              <w:rPr>
                <w:rFonts w:ascii="Times New Roman" w:eastAsia="Times New Roman" w:hAnsi="Times New Roman"/>
                <w:b/>
                <w:bCs/>
              </w:rPr>
              <w:t>apskaičiuotas</w:t>
            </w:r>
            <w:r w:rsidRPr="00534C57">
              <w:rPr>
                <w:rFonts w:ascii="Times New Roman" w:eastAsia="Times New Roman" w:hAnsi="Times New Roman"/>
                <w:b/>
                <w:bCs/>
              </w:rPr>
              <w:t xml:space="preserve"> </w:t>
            </w:r>
            <w:r w:rsidR="003E70BB" w:rsidRPr="00534C57">
              <w:rPr>
                <w:rFonts w:ascii="Times New Roman" w:eastAsia="Times New Roman" w:hAnsi="Times New Roman"/>
                <w:b/>
                <w:bCs/>
              </w:rPr>
              <w:t>pagal turimus</w:t>
            </w:r>
          </w:p>
          <w:p w14:paraId="30951756" w14:textId="77777777" w:rsidR="003E70BB" w:rsidRPr="00534C57" w:rsidRDefault="003E70BB" w:rsidP="003E70BB">
            <w:pPr>
              <w:widowControl w:val="0"/>
              <w:spacing w:after="0" w:line="251" w:lineRule="exact"/>
              <w:ind w:left="97" w:right="78"/>
              <w:jc w:val="center"/>
              <w:rPr>
                <w:rFonts w:ascii="Times New Roman" w:eastAsia="Times New Roman" w:hAnsi="Times New Roman"/>
              </w:rPr>
            </w:pPr>
            <w:r w:rsidRPr="00534C57">
              <w:rPr>
                <w:rFonts w:ascii="Times New Roman" w:eastAsia="Times New Roman" w:hAnsi="Times New Roman"/>
                <w:b/>
                <w:bCs/>
              </w:rPr>
              <w:t>duomenis)</w:t>
            </w:r>
          </w:p>
        </w:tc>
      </w:tr>
      <w:tr w:rsidR="007E716C" w:rsidRPr="00F909DC" w14:paraId="7717D10F" w14:textId="77777777" w:rsidTr="00D21150">
        <w:trPr>
          <w:trHeight w:hRule="exact" w:val="600"/>
        </w:trPr>
        <w:tc>
          <w:tcPr>
            <w:tcW w:w="1470" w:type="dxa"/>
            <w:tcBorders>
              <w:top w:val="single" w:sz="4" w:space="0" w:color="000000"/>
              <w:left w:val="single" w:sz="4" w:space="0" w:color="000000"/>
              <w:bottom w:val="single" w:sz="4" w:space="0" w:color="000000"/>
              <w:right w:val="single" w:sz="4" w:space="0" w:color="000000"/>
            </w:tcBorders>
          </w:tcPr>
          <w:p w14:paraId="24FD7540"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F909DC">
              <w:rPr>
                <w:rFonts w:ascii="Times New Roman" w:hAnsi="Times New Roman"/>
              </w:rPr>
              <w:t>Infekcijos ir</w:t>
            </w:r>
          </w:p>
          <w:p w14:paraId="2A87EF65" w14:textId="77777777" w:rsidR="003E70BB" w:rsidRPr="00F909DC" w:rsidRDefault="003E70BB" w:rsidP="00BE562B">
            <w:pPr>
              <w:widowControl w:val="0"/>
              <w:spacing w:before="1" w:after="0" w:line="240" w:lineRule="auto"/>
              <w:ind w:left="102" w:right="-20"/>
              <w:rPr>
                <w:rFonts w:ascii="Times New Roman" w:hAnsi="Times New Roman"/>
              </w:rPr>
            </w:pPr>
            <w:r w:rsidRPr="00F909DC">
              <w:rPr>
                <w:rFonts w:ascii="Times New Roman" w:hAnsi="Times New Roman"/>
              </w:rPr>
              <w:t>infestacijos</w:t>
            </w:r>
          </w:p>
        </w:tc>
        <w:tc>
          <w:tcPr>
            <w:tcW w:w="1561" w:type="dxa"/>
            <w:tcBorders>
              <w:top w:val="single" w:sz="4" w:space="0" w:color="000000"/>
              <w:left w:val="single" w:sz="4" w:space="0" w:color="000000"/>
              <w:bottom w:val="single" w:sz="4" w:space="0" w:color="000000"/>
              <w:right w:val="single" w:sz="4" w:space="0" w:color="000000"/>
            </w:tcBorders>
          </w:tcPr>
          <w:p w14:paraId="3BF7B2AF" w14:textId="77777777" w:rsidR="003E70BB" w:rsidRPr="00951727" w:rsidRDefault="003E70BB" w:rsidP="003E70BB">
            <w:pPr>
              <w:widowControl w:val="0"/>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288EB7DF"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sinusitas</w:t>
            </w:r>
          </w:p>
        </w:tc>
        <w:tc>
          <w:tcPr>
            <w:tcW w:w="2008" w:type="dxa"/>
            <w:tcBorders>
              <w:top w:val="single" w:sz="4" w:space="0" w:color="000000"/>
              <w:left w:val="single" w:sz="4" w:space="0" w:color="000000"/>
              <w:bottom w:val="single" w:sz="4" w:space="0" w:color="000000"/>
              <w:right w:val="single" w:sz="4" w:space="0" w:color="000000"/>
            </w:tcBorders>
          </w:tcPr>
          <w:p w14:paraId="0630A6C1"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pseudomembran</w:t>
            </w:r>
            <w:r w:rsidRPr="00534C57">
              <w:rPr>
                <w:rFonts w:ascii="Times New Roman" w:eastAsia="Times New Roman" w:hAnsi="Times New Roman"/>
                <w:spacing w:val="1"/>
              </w:rPr>
              <w:t>i</w:t>
            </w:r>
            <w:r w:rsidRPr="00534C57">
              <w:rPr>
                <w:rFonts w:ascii="Times New Roman" w:eastAsia="Times New Roman" w:hAnsi="Times New Roman"/>
              </w:rPr>
              <w:t>-</w:t>
            </w:r>
          </w:p>
          <w:p w14:paraId="1379EB32" w14:textId="77777777" w:rsidR="003E70BB" w:rsidRPr="00534C57" w:rsidRDefault="003E70BB" w:rsidP="003E70BB">
            <w:pPr>
              <w:widowControl w:val="0"/>
              <w:spacing w:before="1" w:after="0" w:line="240" w:lineRule="auto"/>
              <w:ind w:left="100" w:right="-20"/>
              <w:rPr>
                <w:rFonts w:ascii="Times New Roman" w:eastAsia="Times New Roman" w:hAnsi="Times New Roman"/>
              </w:rPr>
            </w:pPr>
            <w:r w:rsidRPr="00534C57">
              <w:rPr>
                <w:rFonts w:ascii="Times New Roman" w:eastAsia="Times New Roman" w:hAnsi="Times New Roman"/>
              </w:rPr>
              <w:t>nis kolitas</w:t>
            </w:r>
          </w:p>
        </w:tc>
        <w:tc>
          <w:tcPr>
            <w:tcW w:w="1736" w:type="dxa"/>
            <w:tcBorders>
              <w:top w:val="single" w:sz="4" w:space="0" w:color="000000"/>
              <w:left w:val="single" w:sz="4" w:space="0" w:color="000000"/>
              <w:bottom w:val="single" w:sz="4" w:space="0" w:color="000000"/>
              <w:right w:val="single" w:sz="4" w:space="0" w:color="000000"/>
            </w:tcBorders>
          </w:tcPr>
          <w:p w14:paraId="47408FAA" w14:textId="77777777" w:rsidR="003E70BB" w:rsidRPr="00951727" w:rsidRDefault="003E70BB" w:rsidP="003E70BB">
            <w:pPr>
              <w:widowControl w:val="0"/>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12D456EF" w14:textId="77777777" w:rsidR="003E70BB" w:rsidRPr="00951727" w:rsidRDefault="003E70BB" w:rsidP="003E70BB">
            <w:pPr>
              <w:widowControl w:val="0"/>
              <w:spacing w:after="200" w:line="276" w:lineRule="auto"/>
            </w:pPr>
          </w:p>
        </w:tc>
      </w:tr>
      <w:tr w:rsidR="007E716C" w:rsidRPr="00F909DC" w14:paraId="4D60B938" w14:textId="77777777" w:rsidTr="008C1323">
        <w:trPr>
          <w:trHeight w:hRule="exact" w:val="1822"/>
        </w:trPr>
        <w:tc>
          <w:tcPr>
            <w:tcW w:w="1470" w:type="dxa"/>
            <w:tcBorders>
              <w:top w:val="single" w:sz="4" w:space="0" w:color="000000"/>
              <w:left w:val="single" w:sz="4" w:space="0" w:color="000000"/>
              <w:bottom w:val="single" w:sz="4" w:space="0" w:color="000000"/>
              <w:right w:val="single" w:sz="4" w:space="0" w:color="000000"/>
            </w:tcBorders>
          </w:tcPr>
          <w:p w14:paraId="67BC1C2A"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F909DC">
              <w:rPr>
                <w:rFonts w:ascii="Times New Roman" w:hAnsi="Times New Roman"/>
              </w:rPr>
              <w:t>Gerybiniai,</w:t>
            </w:r>
          </w:p>
          <w:p w14:paraId="369170DE" w14:textId="77777777" w:rsidR="003E70BB" w:rsidRPr="00534C57" w:rsidRDefault="003E70BB" w:rsidP="003E70BB">
            <w:pPr>
              <w:widowControl w:val="0"/>
              <w:spacing w:before="1" w:after="0" w:line="254" w:lineRule="exact"/>
              <w:ind w:left="102" w:right="212"/>
              <w:rPr>
                <w:rFonts w:ascii="Times New Roman" w:eastAsia="Times New Roman" w:hAnsi="Times New Roman"/>
              </w:rPr>
            </w:pPr>
            <w:r w:rsidRPr="00F909DC">
              <w:rPr>
                <w:rFonts w:ascii="Times New Roman" w:hAnsi="Times New Roman"/>
              </w:rPr>
              <w:t>piktybiniai ir nepatikslinti</w:t>
            </w:r>
          </w:p>
          <w:p w14:paraId="04A3C6EC" w14:textId="77777777" w:rsidR="003E70BB" w:rsidRPr="00534C57" w:rsidRDefault="003E70BB" w:rsidP="003E70BB">
            <w:pPr>
              <w:widowControl w:val="0"/>
              <w:spacing w:after="0" w:line="249" w:lineRule="exact"/>
              <w:ind w:left="102" w:right="-20"/>
              <w:rPr>
                <w:rFonts w:ascii="Times New Roman" w:eastAsia="Times New Roman" w:hAnsi="Times New Roman"/>
              </w:rPr>
            </w:pPr>
            <w:r w:rsidRPr="00F909DC">
              <w:rPr>
                <w:rFonts w:ascii="Times New Roman" w:hAnsi="Times New Roman"/>
              </w:rPr>
              <w:t>navikai (tarp</w:t>
            </w:r>
          </w:p>
          <w:p w14:paraId="1A131026" w14:textId="77777777" w:rsidR="003E70BB" w:rsidRPr="00F909DC" w:rsidRDefault="003E70BB" w:rsidP="00BE562B">
            <w:pPr>
              <w:widowControl w:val="0"/>
              <w:spacing w:before="5" w:after="0" w:line="252" w:lineRule="exact"/>
              <w:ind w:left="102" w:right="438"/>
              <w:rPr>
                <w:rFonts w:ascii="Times New Roman" w:hAnsi="Times New Roman"/>
              </w:rPr>
            </w:pPr>
            <w:r w:rsidRPr="00F909DC">
              <w:rPr>
                <w:rFonts w:ascii="Times New Roman" w:hAnsi="Times New Roman"/>
              </w:rPr>
              <w:t>jų cistos ir polipai)</w:t>
            </w:r>
          </w:p>
        </w:tc>
        <w:tc>
          <w:tcPr>
            <w:tcW w:w="1561" w:type="dxa"/>
            <w:tcBorders>
              <w:top w:val="single" w:sz="4" w:space="0" w:color="000000"/>
              <w:left w:val="single" w:sz="4" w:space="0" w:color="000000"/>
              <w:bottom w:val="single" w:sz="4" w:space="0" w:color="000000"/>
              <w:right w:val="single" w:sz="4" w:space="0" w:color="000000"/>
            </w:tcBorders>
          </w:tcPr>
          <w:p w14:paraId="685F2F0F" w14:textId="77777777" w:rsidR="003E70BB" w:rsidRPr="00951727" w:rsidRDefault="003E70BB" w:rsidP="003E70BB">
            <w:pPr>
              <w:widowControl w:val="0"/>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269D4790" w14:textId="173040DB" w:rsidR="003E70BB" w:rsidRPr="00951727" w:rsidRDefault="00807F4A" w:rsidP="003E70BB">
            <w:pPr>
              <w:widowControl w:val="0"/>
              <w:spacing w:after="200" w:line="276" w:lineRule="auto"/>
            </w:pPr>
            <w:r w:rsidRPr="00FE7B76">
              <w:rPr>
                <w:rFonts w:ascii="Times New Roman" w:hAnsi="Times New Roman"/>
              </w:rPr>
              <w:t xml:space="preserve">plokščialąstelinė karcinoma (įskaitant odos </w:t>
            </w:r>
            <w:r>
              <w:rPr>
                <w:rFonts w:ascii="Times New Roman" w:hAnsi="Times New Roman"/>
              </w:rPr>
              <w:t>PLV</w:t>
            </w:r>
            <w:r w:rsidRPr="00FE7B76">
              <w:rPr>
                <w:rFonts w:ascii="Times New Roman" w:hAnsi="Times New Roman"/>
              </w:rPr>
              <w:t xml:space="preserve"> </w:t>
            </w:r>
            <w:r w:rsidRPr="00FE7B76">
              <w:rPr>
                <w:rFonts w:ascii="Times New Roman" w:hAnsi="Times New Roman"/>
                <w:i/>
              </w:rPr>
              <w:t>in situ</w:t>
            </w:r>
            <w:r w:rsidRPr="00FE7B76">
              <w:rPr>
                <w:rFonts w:ascii="Times New Roman" w:hAnsi="Times New Roman"/>
              </w:rPr>
              <w:t xml:space="preserve"> arba Boweno ligą)*,**</w:t>
            </w:r>
          </w:p>
        </w:tc>
        <w:tc>
          <w:tcPr>
            <w:tcW w:w="2008" w:type="dxa"/>
            <w:tcBorders>
              <w:top w:val="single" w:sz="4" w:space="0" w:color="000000"/>
              <w:left w:val="single" w:sz="4" w:space="0" w:color="000000"/>
              <w:bottom w:val="single" w:sz="4" w:space="0" w:color="000000"/>
              <w:right w:val="single" w:sz="4" w:space="0" w:color="000000"/>
            </w:tcBorders>
          </w:tcPr>
          <w:p w14:paraId="7ACF357A" w14:textId="77777777" w:rsidR="003E70BB" w:rsidRPr="00951727" w:rsidRDefault="003E70BB" w:rsidP="003E70BB">
            <w:pPr>
              <w:widowControl w:val="0"/>
              <w:spacing w:after="200" w:line="276" w:lineRule="auto"/>
            </w:pPr>
          </w:p>
        </w:tc>
        <w:tc>
          <w:tcPr>
            <w:tcW w:w="1736" w:type="dxa"/>
            <w:tcBorders>
              <w:top w:val="single" w:sz="4" w:space="0" w:color="000000"/>
              <w:left w:val="single" w:sz="4" w:space="0" w:color="000000"/>
              <w:bottom w:val="single" w:sz="4" w:space="0" w:color="000000"/>
              <w:right w:val="single" w:sz="4" w:space="0" w:color="000000"/>
            </w:tcBorders>
          </w:tcPr>
          <w:p w14:paraId="7A43852C" w14:textId="77777777" w:rsidR="003E70BB" w:rsidRPr="00951727" w:rsidRDefault="003E70BB" w:rsidP="003E70BB">
            <w:pPr>
              <w:widowControl w:val="0"/>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6E6C575F" w14:textId="60DC34CD" w:rsidR="003E70BB" w:rsidRPr="00534C57" w:rsidRDefault="003E70BB" w:rsidP="003E70BB">
            <w:pPr>
              <w:widowControl w:val="0"/>
              <w:spacing w:before="1" w:after="0" w:line="254" w:lineRule="exact"/>
              <w:ind w:left="102" w:right="49"/>
              <w:rPr>
                <w:rFonts w:ascii="Times New Roman" w:eastAsia="Times New Roman" w:hAnsi="Times New Roman"/>
              </w:rPr>
            </w:pPr>
          </w:p>
        </w:tc>
      </w:tr>
      <w:tr w:rsidR="007E716C" w:rsidRPr="00F909DC" w14:paraId="66B88A50" w14:textId="77777777" w:rsidTr="00D21150">
        <w:trPr>
          <w:trHeight w:hRule="exact" w:val="1277"/>
        </w:trPr>
        <w:tc>
          <w:tcPr>
            <w:tcW w:w="1470" w:type="dxa"/>
            <w:tcBorders>
              <w:top w:val="single" w:sz="4" w:space="0" w:color="000000"/>
              <w:left w:val="single" w:sz="4" w:space="0" w:color="000000"/>
              <w:bottom w:val="single" w:sz="4" w:space="0" w:color="000000"/>
              <w:right w:val="single" w:sz="4" w:space="0" w:color="000000"/>
            </w:tcBorders>
          </w:tcPr>
          <w:p w14:paraId="12AE6DCB" w14:textId="77777777" w:rsidR="003E70BB" w:rsidRPr="00534C57" w:rsidRDefault="003E70BB" w:rsidP="003E70BB">
            <w:pPr>
              <w:widowControl w:val="0"/>
              <w:spacing w:after="0" w:line="248" w:lineRule="exact"/>
              <w:ind w:left="102" w:right="-20"/>
              <w:rPr>
                <w:rFonts w:ascii="Times New Roman" w:eastAsia="Times New Roman" w:hAnsi="Times New Roman"/>
              </w:rPr>
            </w:pPr>
            <w:r w:rsidRPr="00534C57">
              <w:rPr>
                <w:rFonts w:ascii="Times New Roman" w:eastAsia="Times New Roman" w:hAnsi="Times New Roman"/>
              </w:rPr>
              <w:t>Kraujo ir</w:t>
            </w:r>
          </w:p>
          <w:p w14:paraId="48B6AD0F" w14:textId="77777777" w:rsidR="003E70BB" w:rsidRPr="00534C57" w:rsidRDefault="003E70BB" w:rsidP="003E70BB">
            <w:pPr>
              <w:widowControl w:val="0"/>
              <w:spacing w:before="3" w:after="0" w:line="252" w:lineRule="exact"/>
              <w:ind w:left="102" w:right="599"/>
              <w:rPr>
                <w:rFonts w:ascii="Times New Roman" w:eastAsia="Times New Roman" w:hAnsi="Times New Roman"/>
              </w:rPr>
            </w:pPr>
            <w:r w:rsidRPr="00534C57">
              <w:rPr>
                <w:rFonts w:ascii="Times New Roman" w:eastAsia="Times New Roman" w:hAnsi="Times New Roman"/>
              </w:rPr>
              <w:t>limfinės sistemos</w:t>
            </w:r>
          </w:p>
          <w:p w14:paraId="2319E7A7" w14:textId="77777777" w:rsidR="003E70BB" w:rsidRPr="00F909DC" w:rsidRDefault="003E70BB" w:rsidP="00BE562B">
            <w:pPr>
              <w:widowControl w:val="0"/>
              <w:spacing w:after="0" w:line="252" w:lineRule="exact"/>
              <w:ind w:left="102" w:right="-20"/>
              <w:rPr>
                <w:rFonts w:ascii="Times New Roman" w:hAnsi="Times New Roman"/>
              </w:rPr>
            </w:pPr>
            <w:r w:rsidRPr="00534C57">
              <w:rPr>
                <w:rFonts w:ascii="Times New Roman" w:eastAsia="Times New Roman" w:hAnsi="Times New Roman"/>
              </w:rPr>
              <w:t>sutrikimai</w:t>
            </w:r>
          </w:p>
        </w:tc>
        <w:tc>
          <w:tcPr>
            <w:tcW w:w="1561" w:type="dxa"/>
            <w:tcBorders>
              <w:top w:val="single" w:sz="4" w:space="0" w:color="000000"/>
              <w:left w:val="single" w:sz="4" w:space="0" w:color="000000"/>
              <w:bottom w:val="single" w:sz="4" w:space="0" w:color="000000"/>
              <w:right w:val="single" w:sz="4" w:space="0" w:color="000000"/>
            </w:tcBorders>
          </w:tcPr>
          <w:p w14:paraId="33D8A4EC" w14:textId="77777777" w:rsidR="003E70BB" w:rsidRPr="00951727" w:rsidRDefault="003E70BB" w:rsidP="003E70BB">
            <w:pPr>
              <w:widowControl w:val="0"/>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193BAE81" w14:textId="77777777" w:rsidR="003E70BB" w:rsidRPr="00534C57" w:rsidRDefault="003E70BB" w:rsidP="003E70BB">
            <w:pPr>
              <w:widowControl w:val="0"/>
              <w:spacing w:after="0" w:line="248" w:lineRule="exact"/>
              <w:ind w:left="100" w:right="-20"/>
              <w:rPr>
                <w:rFonts w:ascii="Times New Roman" w:eastAsia="Times New Roman" w:hAnsi="Times New Roman"/>
              </w:rPr>
            </w:pPr>
            <w:r w:rsidRPr="00534C57">
              <w:rPr>
                <w:rFonts w:ascii="Times New Roman" w:eastAsia="Times New Roman" w:hAnsi="Times New Roman"/>
              </w:rPr>
              <w:t>agranulocitozė</w:t>
            </w:r>
            <w:r w:rsidRPr="00534C57">
              <w:rPr>
                <w:rFonts w:ascii="Times New Roman" w:eastAsia="Times New Roman" w:hAnsi="Times New Roman"/>
                <w:position w:val="10"/>
                <w:sz w:val="14"/>
                <w:szCs w:val="14"/>
              </w:rPr>
              <w:t>1</w:t>
            </w:r>
            <w:r w:rsidRPr="00534C57">
              <w:rPr>
                <w:rFonts w:ascii="Times New Roman" w:eastAsia="Times New Roman" w:hAnsi="Times New Roman"/>
              </w:rPr>
              <w:t>,</w:t>
            </w:r>
          </w:p>
          <w:p w14:paraId="21A24A41" w14:textId="77777777" w:rsidR="003E70BB" w:rsidRPr="00534C57" w:rsidRDefault="003E70BB" w:rsidP="003E70BB">
            <w:pPr>
              <w:widowControl w:val="0"/>
              <w:spacing w:before="6" w:after="0" w:line="231" w:lineRule="auto"/>
              <w:ind w:left="100" w:right="177"/>
              <w:rPr>
                <w:rFonts w:ascii="Times New Roman" w:eastAsia="Times New Roman" w:hAnsi="Times New Roman"/>
              </w:rPr>
            </w:pPr>
            <w:r w:rsidRPr="00534C57">
              <w:rPr>
                <w:rFonts w:ascii="Times New Roman" w:eastAsia="Times New Roman" w:hAnsi="Times New Roman"/>
              </w:rPr>
              <w:t>pancitopenija, trombocitopenija</w:t>
            </w:r>
            <w:r w:rsidRPr="00534C57">
              <w:rPr>
                <w:rFonts w:ascii="Times New Roman" w:eastAsia="Times New Roman" w:hAnsi="Times New Roman"/>
                <w:position w:val="10"/>
                <w:sz w:val="14"/>
                <w:szCs w:val="14"/>
              </w:rPr>
              <w:t>2</w:t>
            </w:r>
            <w:r w:rsidRPr="00534C57">
              <w:rPr>
                <w:rFonts w:ascii="Times New Roman" w:eastAsia="Times New Roman" w:hAnsi="Times New Roman"/>
              </w:rPr>
              <w:t>, leukopenija, anemija</w:t>
            </w:r>
          </w:p>
        </w:tc>
        <w:tc>
          <w:tcPr>
            <w:tcW w:w="2008" w:type="dxa"/>
            <w:tcBorders>
              <w:top w:val="single" w:sz="4" w:space="0" w:color="000000"/>
              <w:left w:val="single" w:sz="4" w:space="0" w:color="000000"/>
              <w:bottom w:val="single" w:sz="4" w:space="0" w:color="000000"/>
              <w:right w:val="single" w:sz="4" w:space="0" w:color="000000"/>
            </w:tcBorders>
          </w:tcPr>
          <w:p w14:paraId="6A076CB6" w14:textId="77777777" w:rsidR="003E70BB" w:rsidRPr="00534C57" w:rsidRDefault="003E70BB" w:rsidP="003E70BB">
            <w:pPr>
              <w:widowControl w:val="0"/>
              <w:spacing w:after="0" w:line="248" w:lineRule="exact"/>
              <w:ind w:left="100" w:right="-20"/>
              <w:rPr>
                <w:rFonts w:ascii="Times New Roman" w:eastAsia="Times New Roman" w:hAnsi="Times New Roman"/>
              </w:rPr>
            </w:pPr>
            <w:r w:rsidRPr="00F909DC">
              <w:rPr>
                <w:rFonts w:ascii="Times New Roman" w:hAnsi="Times New Roman"/>
              </w:rPr>
              <w:t>kaulų čiulpų</w:t>
            </w:r>
          </w:p>
          <w:p w14:paraId="39E27ECC" w14:textId="77777777" w:rsidR="003E70BB" w:rsidRPr="00534C57" w:rsidRDefault="003E70BB" w:rsidP="003E70BB">
            <w:pPr>
              <w:widowControl w:val="0"/>
              <w:spacing w:before="3" w:after="0" w:line="252" w:lineRule="exact"/>
              <w:ind w:left="100" w:right="181"/>
              <w:rPr>
                <w:rFonts w:ascii="Times New Roman" w:eastAsia="Times New Roman" w:hAnsi="Times New Roman"/>
              </w:rPr>
            </w:pPr>
            <w:r w:rsidRPr="00F909DC">
              <w:rPr>
                <w:rFonts w:ascii="Times New Roman" w:hAnsi="Times New Roman"/>
              </w:rPr>
              <w:t>nepakankamumas, limfadenopatija,</w:t>
            </w:r>
          </w:p>
          <w:p w14:paraId="41273B8A" w14:textId="77777777" w:rsidR="003E70BB" w:rsidRPr="00F909DC" w:rsidRDefault="003E70BB" w:rsidP="00BE562B">
            <w:pPr>
              <w:widowControl w:val="0"/>
              <w:spacing w:after="0" w:line="252" w:lineRule="exact"/>
              <w:ind w:left="100" w:right="-20"/>
              <w:rPr>
                <w:rFonts w:ascii="Times New Roman" w:hAnsi="Times New Roman"/>
              </w:rPr>
            </w:pPr>
            <w:r w:rsidRPr="00F909DC">
              <w:rPr>
                <w:rFonts w:ascii="Times New Roman" w:hAnsi="Times New Roman"/>
              </w:rPr>
              <w:t>eozinofilija</w:t>
            </w:r>
          </w:p>
        </w:tc>
        <w:tc>
          <w:tcPr>
            <w:tcW w:w="1736" w:type="dxa"/>
            <w:tcBorders>
              <w:top w:val="single" w:sz="4" w:space="0" w:color="000000"/>
              <w:left w:val="single" w:sz="4" w:space="0" w:color="000000"/>
              <w:bottom w:val="single" w:sz="4" w:space="0" w:color="000000"/>
              <w:right w:val="single" w:sz="4" w:space="0" w:color="000000"/>
            </w:tcBorders>
          </w:tcPr>
          <w:p w14:paraId="1923F866" w14:textId="77777777" w:rsidR="003E70BB" w:rsidRPr="00534C57" w:rsidRDefault="003E70BB" w:rsidP="003E70BB">
            <w:pPr>
              <w:widowControl w:val="0"/>
              <w:spacing w:after="0" w:line="248" w:lineRule="exact"/>
              <w:ind w:left="100" w:right="-20"/>
              <w:rPr>
                <w:rFonts w:ascii="Times New Roman" w:eastAsia="Times New Roman" w:hAnsi="Times New Roman"/>
              </w:rPr>
            </w:pPr>
            <w:r w:rsidRPr="00534C57">
              <w:rPr>
                <w:rFonts w:ascii="Times New Roman" w:eastAsia="Times New Roman" w:hAnsi="Times New Roman"/>
              </w:rPr>
              <w:t>diseminuota</w:t>
            </w:r>
          </w:p>
          <w:p w14:paraId="13FD1DAD" w14:textId="77777777" w:rsidR="003E70BB" w:rsidRPr="00534C57" w:rsidRDefault="003E70BB" w:rsidP="00A22C76">
            <w:pPr>
              <w:widowControl w:val="0"/>
              <w:spacing w:before="3" w:after="0" w:line="252" w:lineRule="exact"/>
              <w:ind w:left="100" w:right="58"/>
              <w:rPr>
                <w:rFonts w:ascii="Times New Roman" w:eastAsia="Times New Roman" w:hAnsi="Times New Roman"/>
              </w:rPr>
            </w:pPr>
            <w:r w:rsidRPr="00534C57">
              <w:rPr>
                <w:rFonts w:ascii="Times New Roman" w:eastAsia="Times New Roman" w:hAnsi="Times New Roman"/>
              </w:rPr>
              <w:t>intravaskulinė koaguliacija</w:t>
            </w:r>
          </w:p>
        </w:tc>
        <w:tc>
          <w:tcPr>
            <w:tcW w:w="1577" w:type="dxa"/>
            <w:tcBorders>
              <w:top w:val="single" w:sz="4" w:space="0" w:color="000000"/>
              <w:left w:val="single" w:sz="4" w:space="0" w:color="000000"/>
              <w:bottom w:val="single" w:sz="4" w:space="0" w:color="000000"/>
              <w:right w:val="single" w:sz="4" w:space="0" w:color="000000"/>
            </w:tcBorders>
          </w:tcPr>
          <w:p w14:paraId="7068274C" w14:textId="77777777" w:rsidR="003E70BB" w:rsidRPr="00951727" w:rsidRDefault="003E70BB" w:rsidP="003E70BB">
            <w:pPr>
              <w:widowControl w:val="0"/>
              <w:spacing w:after="200" w:line="276" w:lineRule="auto"/>
            </w:pPr>
          </w:p>
        </w:tc>
      </w:tr>
      <w:tr w:rsidR="007E716C" w:rsidRPr="00F909DC" w14:paraId="1291DA18" w14:textId="77777777" w:rsidTr="00D21150">
        <w:trPr>
          <w:trHeight w:hRule="exact" w:val="799"/>
        </w:trPr>
        <w:tc>
          <w:tcPr>
            <w:tcW w:w="1470" w:type="dxa"/>
            <w:tcBorders>
              <w:top w:val="single" w:sz="4" w:space="0" w:color="000000"/>
              <w:left w:val="single" w:sz="4" w:space="0" w:color="000000"/>
              <w:bottom w:val="single" w:sz="4" w:space="0" w:color="000000"/>
              <w:right w:val="single" w:sz="4" w:space="0" w:color="000000"/>
            </w:tcBorders>
          </w:tcPr>
          <w:p w14:paraId="509F1B11"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F909DC">
              <w:rPr>
                <w:rFonts w:ascii="Times New Roman" w:hAnsi="Times New Roman"/>
              </w:rPr>
              <w:t>Imuninės</w:t>
            </w:r>
          </w:p>
          <w:p w14:paraId="02DE4C9F" w14:textId="77777777" w:rsidR="003E70BB" w:rsidRPr="00F909DC" w:rsidRDefault="003E70BB" w:rsidP="00BE562B">
            <w:pPr>
              <w:widowControl w:val="0"/>
              <w:spacing w:before="1" w:after="0" w:line="254" w:lineRule="exact"/>
              <w:ind w:left="102" w:right="465"/>
              <w:rPr>
                <w:rFonts w:ascii="Times New Roman" w:hAnsi="Times New Roman"/>
              </w:rPr>
            </w:pPr>
            <w:r w:rsidRPr="00F909DC">
              <w:rPr>
                <w:rFonts w:ascii="Times New Roman" w:hAnsi="Times New Roman"/>
              </w:rPr>
              <w:t>sistemos sutrikimai</w:t>
            </w:r>
          </w:p>
        </w:tc>
        <w:tc>
          <w:tcPr>
            <w:tcW w:w="1561" w:type="dxa"/>
            <w:tcBorders>
              <w:top w:val="single" w:sz="4" w:space="0" w:color="000000"/>
              <w:left w:val="single" w:sz="4" w:space="0" w:color="000000"/>
              <w:bottom w:val="single" w:sz="4" w:space="0" w:color="000000"/>
              <w:right w:val="single" w:sz="4" w:space="0" w:color="000000"/>
            </w:tcBorders>
          </w:tcPr>
          <w:p w14:paraId="252E2364" w14:textId="77777777" w:rsidR="003E70BB" w:rsidRPr="00951727" w:rsidRDefault="003E70BB" w:rsidP="003E70BB">
            <w:pPr>
              <w:widowControl w:val="0"/>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76106C93" w14:textId="77777777" w:rsidR="003E70BB" w:rsidRPr="00951727" w:rsidRDefault="003E70BB" w:rsidP="003E70BB">
            <w:pPr>
              <w:widowControl w:val="0"/>
              <w:spacing w:after="200" w:line="276" w:lineRule="auto"/>
            </w:pPr>
          </w:p>
        </w:tc>
        <w:tc>
          <w:tcPr>
            <w:tcW w:w="2008" w:type="dxa"/>
            <w:tcBorders>
              <w:top w:val="single" w:sz="4" w:space="0" w:color="000000"/>
              <w:left w:val="single" w:sz="4" w:space="0" w:color="000000"/>
              <w:bottom w:val="single" w:sz="4" w:space="0" w:color="000000"/>
              <w:right w:val="single" w:sz="4" w:space="0" w:color="000000"/>
            </w:tcBorders>
          </w:tcPr>
          <w:p w14:paraId="6F222B8D"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padidėj</w:t>
            </w:r>
            <w:r w:rsidRPr="00534C57">
              <w:rPr>
                <w:rFonts w:ascii="Times New Roman" w:eastAsia="Times New Roman" w:hAnsi="Times New Roman"/>
                <w:spacing w:val="-2"/>
              </w:rPr>
              <w:t>ę</w:t>
            </w:r>
            <w:r w:rsidRPr="00534C57">
              <w:rPr>
                <w:rFonts w:ascii="Times New Roman" w:eastAsia="Times New Roman" w:hAnsi="Times New Roman"/>
              </w:rPr>
              <w:t>s</w:t>
            </w:r>
            <w:r w:rsidRPr="00534C57">
              <w:rPr>
                <w:rFonts w:ascii="Times New Roman" w:eastAsia="Times New Roman" w:hAnsi="Times New Roman"/>
                <w:spacing w:val="-1"/>
              </w:rPr>
              <w:t xml:space="preserve"> </w:t>
            </w:r>
            <w:r w:rsidRPr="00534C57">
              <w:rPr>
                <w:rFonts w:ascii="Times New Roman" w:eastAsia="Times New Roman" w:hAnsi="Times New Roman"/>
              </w:rPr>
              <w:t>jautrumas</w:t>
            </w:r>
          </w:p>
        </w:tc>
        <w:tc>
          <w:tcPr>
            <w:tcW w:w="1736" w:type="dxa"/>
            <w:tcBorders>
              <w:top w:val="single" w:sz="4" w:space="0" w:color="000000"/>
              <w:left w:val="single" w:sz="4" w:space="0" w:color="000000"/>
              <w:bottom w:val="single" w:sz="4" w:space="0" w:color="000000"/>
              <w:right w:val="single" w:sz="4" w:space="0" w:color="000000"/>
            </w:tcBorders>
          </w:tcPr>
          <w:p w14:paraId="0CEDACA6"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anafilaktoidinė</w:t>
            </w:r>
          </w:p>
          <w:p w14:paraId="1505097D" w14:textId="77777777" w:rsidR="003E70BB" w:rsidRPr="00534C57" w:rsidRDefault="003E70BB" w:rsidP="003E70BB">
            <w:pPr>
              <w:widowControl w:val="0"/>
              <w:spacing w:after="0" w:line="252" w:lineRule="exact"/>
              <w:ind w:left="100" w:right="-20"/>
              <w:rPr>
                <w:rFonts w:ascii="Times New Roman" w:eastAsia="Times New Roman" w:hAnsi="Times New Roman"/>
              </w:rPr>
            </w:pPr>
            <w:r w:rsidRPr="00534C57">
              <w:rPr>
                <w:rFonts w:ascii="Times New Roman" w:eastAsia="Times New Roman" w:hAnsi="Times New Roman"/>
              </w:rPr>
              <w:t>reakcija</w:t>
            </w:r>
          </w:p>
        </w:tc>
        <w:tc>
          <w:tcPr>
            <w:tcW w:w="1577" w:type="dxa"/>
            <w:tcBorders>
              <w:top w:val="single" w:sz="4" w:space="0" w:color="000000"/>
              <w:left w:val="single" w:sz="4" w:space="0" w:color="000000"/>
              <w:bottom w:val="single" w:sz="4" w:space="0" w:color="000000"/>
              <w:right w:val="single" w:sz="4" w:space="0" w:color="000000"/>
            </w:tcBorders>
          </w:tcPr>
          <w:p w14:paraId="7D49C830" w14:textId="77777777" w:rsidR="003E70BB" w:rsidRPr="00951727" w:rsidRDefault="003E70BB" w:rsidP="003E70BB">
            <w:pPr>
              <w:widowControl w:val="0"/>
              <w:spacing w:after="200" w:line="276" w:lineRule="auto"/>
            </w:pPr>
          </w:p>
        </w:tc>
      </w:tr>
      <w:tr w:rsidR="007E716C" w:rsidRPr="00F909DC" w14:paraId="2DD0D871" w14:textId="77777777" w:rsidTr="00D21150">
        <w:trPr>
          <w:trHeight w:hRule="exact" w:val="799"/>
        </w:trPr>
        <w:tc>
          <w:tcPr>
            <w:tcW w:w="1470" w:type="dxa"/>
            <w:tcBorders>
              <w:top w:val="single" w:sz="4" w:space="0" w:color="000000"/>
              <w:left w:val="single" w:sz="4" w:space="0" w:color="000000"/>
              <w:bottom w:val="single" w:sz="4" w:space="0" w:color="000000"/>
              <w:right w:val="single" w:sz="4" w:space="0" w:color="000000"/>
            </w:tcBorders>
          </w:tcPr>
          <w:p w14:paraId="0068798E"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534C57">
              <w:rPr>
                <w:rFonts w:ascii="Times New Roman" w:eastAsia="Times New Roman" w:hAnsi="Times New Roman"/>
              </w:rPr>
              <w:t>Endokrininiai</w:t>
            </w:r>
          </w:p>
          <w:p w14:paraId="430BDDDB" w14:textId="77777777" w:rsidR="003E70BB" w:rsidRPr="00F909DC" w:rsidRDefault="003E70BB" w:rsidP="00BE562B">
            <w:pPr>
              <w:widowControl w:val="0"/>
              <w:spacing w:after="0" w:line="252" w:lineRule="exact"/>
              <w:ind w:left="102" w:right="-20"/>
              <w:rPr>
                <w:rFonts w:ascii="Times New Roman" w:hAnsi="Times New Roman"/>
              </w:rPr>
            </w:pPr>
            <w:r w:rsidRPr="00534C57">
              <w:rPr>
                <w:rFonts w:ascii="Times New Roman" w:eastAsia="Times New Roman" w:hAnsi="Times New Roman"/>
              </w:rPr>
              <w:t>sutrikimai</w:t>
            </w:r>
          </w:p>
        </w:tc>
        <w:tc>
          <w:tcPr>
            <w:tcW w:w="1561" w:type="dxa"/>
            <w:tcBorders>
              <w:top w:val="single" w:sz="4" w:space="0" w:color="000000"/>
              <w:left w:val="single" w:sz="4" w:space="0" w:color="000000"/>
              <w:bottom w:val="single" w:sz="4" w:space="0" w:color="000000"/>
              <w:right w:val="single" w:sz="4" w:space="0" w:color="000000"/>
            </w:tcBorders>
          </w:tcPr>
          <w:p w14:paraId="394AE6EA" w14:textId="77777777" w:rsidR="003E70BB" w:rsidRPr="00951727" w:rsidRDefault="003E70BB" w:rsidP="003E70BB">
            <w:pPr>
              <w:widowControl w:val="0"/>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09896465" w14:textId="77777777" w:rsidR="003E70BB" w:rsidRPr="00951727" w:rsidRDefault="003E70BB" w:rsidP="003E70BB">
            <w:pPr>
              <w:widowControl w:val="0"/>
              <w:spacing w:after="200" w:line="276" w:lineRule="auto"/>
            </w:pPr>
          </w:p>
        </w:tc>
        <w:tc>
          <w:tcPr>
            <w:tcW w:w="2008" w:type="dxa"/>
            <w:tcBorders>
              <w:top w:val="single" w:sz="4" w:space="0" w:color="000000"/>
              <w:left w:val="single" w:sz="4" w:space="0" w:color="000000"/>
              <w:bottom w:val="single" w:sz="4" w:space="0" w:color="000000"/>
              <w:right w:val="single" w:sz="4" w:space="0" w:color="000000"/>
            </w:tcBorders>
          </w:tcPr>
          <w:p w14:paraId="76DD31CF"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antinksčių</w:t>
            </w:r>
          </w:p>
          <w:p w14:paraId="1ECCB81B" w14:textId="77777777" w:rsidR="003E70BB" w:rsidRPr="00F909DC" w:rsidRDefault="003E70BB" w:rsidP="00524D44">
            <w:pPr>
              <w:widowControl w:val="0"/>
              <w:spacing w:before="1" w:after="0" w:line="254" w:lineRule="exact"/>
              <w:ind w:left="100" w:right="181"/>
              <w:rPr>
                <w:rFonts w:ascii="Times New Roman" w:hAnsi="Times New Roman"/>
              </w:rPr>
            </w:pPr>
            <w:r w:rsidRPr="00F909DC">
              <w:rPr>
                <w:rFonts w:ascii="Times New Roman" w:hAnsi="Times New Roman"/>
              </w:rPr>
              <w:t>nepakankamumas, hipotiro</w:t>
            </w:r>
            <w:r w:rsidR="00524D44" w:rsidRPr="00F909DC">
              <w:rPr>
                <w:rFonts w:ascii="Times New Roman" w:hAnsi="Times New Roman"/>
              </w:rPr>
              <w:t>zė</w:t>
            </w:r>
          </w:p>
        </w:tc>
        <w:tc>
          <w:tcPr>
            <w:tcW w:w="1736" w:type="dxa"/>
            <w:tcBorders>
              <w:top w:val="single" w:sz="4" w:space="0" w:color="000000"/>
              <w:left w:val="single" w:sz="4" w:space="0" w:color="000000"/>
              <w:bottom w:val="single" w:sz="4" w:space="0" w:color="000000"/>
              <w:right w:val="single" w:sz="4" w:space="0" w:color="000000"/>
            </w:tcBorders>
          </w:tcPr>
          <w:p w14:paraId="2EBF987C"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spacing w:val="-1"/>
              </w:rPr>
              <w:t>hipertiroidizmas</w:t>
            </w:r>
          </w:p>
        </w:tc>
        <w:tc>
          <w:tcPr>
            <w:tcW w:w="1577" w:type="dxa"/>
            <w:tcBorders>
              <w:top w:val="single" w:sz="4" w:space="0" w:color="000000"/>
              <w:left w:val="single" w:sz="4" w:space="0" w:color="000000"/>
              <w:bottom w:val="single" w:sz="4" w:space="0" w:color="000000"/>
              <w:right w:val="single" w:sz="4" w:space="0" w:color="000000"/>
            </w:tcBorders>
          </w:tcPr>
          <w:p w14:paraId="07499B20" w14:textId="77777777" w:rsidR="003E70BB" w:rsidRPr="00951727" w:rsidRDefault="003E70BB" w:rsidP="003E70BB">
            <w:pPr>
              <w:widowControl w:val="0"/>
              <w:spacing w:after="200" w:line="276" w:lineRule="auto"/>
            </w:pPr>
          </w:p>
        </w:tc>
      </w:tr>
      <w:tr w:rsidR="007E716C" w:rsidRPr="00F909DC" w14:paraId="4E955021" w14:textId="77777777" w:rsidTr="00D21150">
        <w:trPr>
          <w:trHeight w:hRule="exact" w:val="802"/>
        </w:trPr>
        <w:tc>
          <w:tcPr>
            <w:tcW w:w="1470" w:type="dxa"/>
            <w:tcBorders>
              <w:top w:val="single" w:sz="4" w:space="0" w:color="000000"/>
              <w:left w:val="single" w:sz="4" w:space="0" w:color="000000"/>
              <w:bottom w:val="single" w:sz="4" w:space="0" w:color="000000"/>
              <w:right w:val="single" w:sz="4" w:space="0" w:color="000000"/>
            </w:tcBorders>
          </w:tcPr>
          <w:p w14:paraId="400C3B45"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F909DC">
              <w:rPr>
                <w:rFonts w:ascii="Times New Roman" w:hAnsi="Times New Roman"/>
                <w:spacing w:val="-1"/>
              </w:rPr>
              <w:lastRenderedPageBreak/>
              <w:t>Metabolizmo</w:t>
            </w:r>
          </w:p>
          <w:p w14:paraId="304AA633" w14:textId="77777777" w:rsidR="003E70BB" w:rsidRPr="00F909DC" w:rsidRDefault="003E70BB" w:rsidP="00BE562B">
            <w:pPr>
              <w:widowControl w:val="0"/>
              <w:spacing w:before="5" w:after="0" w:line="252" w:lineRule="exact"/>
              <w:ind w:left="102" w:right="457"/>
              <w:rPr>
                <w:rFonts w:ascii="Times New Roman" w:hAnsi="Times New Roman"/>
              </w:rPr>
            </w:pPr>
            <w:r w:rsidRPr="00F909DC">
              <w:rPr>
                <w:rFonts w:ascii="Times New Roman" w:hAnsi="Times New Roman"/>
              </w:rPr>
              <w:t>ir mitybos sutrikimai</w:t>
            </w:r>
          </w:p>
        </w:tc>
        <w:tc>
          <w:tcPr>
            <w:tcW w:w="1561" w:type="dxa"/>
            <w:tcBorders>
              <w:top w:val="single" w:sz="4" w:space="0" w:color="000000"/>
              <w:left w:val="single" w:sz="4" w:space="0" w:color="000000"/>
              <w:bottom w:val="single" w:sz="4" w:space="0" w:color="000000"/>
              <w:right w:val="single" w:sz="4" w:space="0" w:color="000000"/>
            </w:tcBorders>
          </w:tcPr>
          <w:p w14:paraId="3AD6CE17"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534C57">
              <w:rPr>
                <w:rFonts w:ascii="Times New Roman" w:eastAsia="Times New Roman" w:hAnsi="Times New Roman"/>
              </w:rPr>
              <w:t>periferinė</w:t>
            </w:r>
          </w:p>
          <w:p w14:paraId="5DAD20D8" w14:textId="77777777" w:rsidR="003E70BB" w:rsidRPr="00534C57" w:rsidRDefault="003E70BB" w:rsidP="003E70BB">
            <w:pPr>
              <w:widowControl w:val="0"/>
              <w:spacing w:before="1" w:after="0" w:line="240" w:lineRule="auto"/>
              <w:ind w:left="102" w:right="-20"/>
              <w:rPr>
                <w:rFonts w:ascii="Times New Roman" w:eastAsia="Times New Roman" w:hAnsi="Times New Roman"/>
              </w:rPr>
            </w:pPr>
            <w:r w:rsidRPr="00534C57">
              <w:rPr>
                <w:rFonts w:ascii="Times New Roman" w:eastAsia="Times New Roman" w:hAnsi="Times New Roman"/>
                <w:spacing w:val="-1"/>
              </w:rPr>
              <w:t>edema</w:t>
            </w:r>
          </w:p>
        </w:tc>
        <w:tc>
          <w:tcPr>
            <w:tcW w:w="1919" w:type="dxa"/>
            <w:tcBorders>
              <w:top w:val="single" w:sz="4" w:space="0" w:color="000000"/>
              <w:left w:val="single" w:sz="4" w:space="0" w:color="000000"/>
              <w:bottom w:val="single" w:sz="4" w:space="0" w:color="000000"/>
              <w:right w:val="single" w:sz="4" w:space="0" w:color="000000"/>
            </w:tcBorders>
          </w:tcPr>
          <w:p w14:paraId="55D1EC2A"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hipoglikemija,</w:t>
            </w:r>
          </w:p>
          <w:p w14:paraId="715DDE19" w14:textId="77777777" w:rsidR="003E70BB" w:rsidRPr="00534C57" w:rsidRDefault="003E70BB" w:rsidP="003E70BB">
            <w:pPr>
              <w:widowControl w:val="0"/>
              <w:spacing w:before="5" w:after="0" w:line="252" w:lineRule="exact"/>
              <w:ind w:left="100" w:right="587"/>
              <w:rPr>
                <w:rFonts w:ascii="Times New Roman" w:eastAsia="Times New Roman" w:hAnsi="Times New Roman"/>
              </w:rPr>
            </w:pPr>
            <w:r w:rsidRPr="00534C57">
              <w:rPr>
                <w:rFonts w:ascii="Times New Roman" w:eastAsia="Times New Roman" w:hAnsi="Times New Roman"/>
              </w:rPr>
              <w:t>hipokalemija, hiponatremija</w:t>
            </w:r>
          </w:p>
        </w:tc>
        <w:tc>
          <w:tcPr>
            <w:tcW w:w="2008" w:type="dxa"/>
            <w:tcBorders>
              <w:top w:val="single" w:sz="4" w:space="0" w:color="000000"/>
              <w:left w:val="single" w:sz="4" w:space="0" w:color="000000"/>
              <w:bottom w:val="single" w:sz="4" w:space="0" w:color="000000"/>
              <w:right w:val="single" w:sz="4" w:space="0" w:color="000000"/>
            </w:tcBorders>
          </w:tcPr>
          <w:p w14:paraId="391E52ED" w14:textId="77777777" w:rsidR="003E70BB" w:rsidRPr="00951727" w:rsidRDefault="003E70BB" w:rsidP="003E70BB">
            <w:pPr>
              <w:widowControl w:val="0"/>
              <w:spacing w:after="200" w:line="276" w:lineRule="auto"/>
            </w:pPr>
          </w:p>
        </w:tc>
        <w:tc>
          <w:tcPr>
            <w:tcW w:w="1736" w:type="dxa"/>
            <w:tcBorders>
              <w:top w:val="single" w:sz="4" w:space="0" w:color="000000"/>
              <w:left w:val="single" w:sz="4" w:space="0" w:color="000000"/>
              <w:bottom w:val="single" w:sz="4" w:space="0" w:color="000000"/>
              <w:right w:val="single" w:sz="4" w:space="0" w:color="000000"/>
            </w:tcBorders>
          </w:tcPr>
          <w:p w14:paraId="5B603306" w14:textId="77777777" w:rsidR="003E70BB" w:rsidRPr="00951727" w:rsidRDefault="003E70BB" w:rsidP="003E70BB">
            <w:pPr>
              <w:widowControl w:val="0"/>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149260B9" w14:textId="77777777" w:rsidR="003E70BB" w:rsidRPr="00951727" w:rsidRDefault="003E70BB" w:rsidP="003E70BB">
            <w:pPr>
              <w:widowControl w:val="0"/>
              <w:spacing w:after="200" w:line="276" w:lineRule="auto"/>
            </w:pPr>
          </w:p>
        </w:tc>
      </w:tr>
      <w:tr w:rsidR="007E716C" w:rsidRPr="00F909DC" w14:paraId="29154E84" w14:textId="77777777" w:rsidTr="00D21150">
        <w:trPr>
          <w:trHeight w:hRule="exact" w:val="1705"/>
        </w:trPr>
        <w:tc>
          <w:tcPr>
            <w:tcW w:w="1470" w:type="dxa"/>
            <w:tcBorders>
              <w:top w:val="single" w:sz="4" w:space="0" w:color="000000"/>
              <w:left w:val="single" w:sz="4" w:space="0" w:color="000000"/>
              <w:bottom w:val="single" w:sz="4" w:space="0" w:color="000000"/>
              <w:right w:val="single" w:sz="4" w:space="0" w:color="000000"/>
            </w:tcBorders>
          </w:tcPr>
          <w:p w14:paraId="512FE14C"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534C57">
              <w:rPr>
                <w:rFonts w:ascii="Times New Roman" w:eastAsia="Times New Roman" w:hAnsi="Times New Roman"/>
              </w:rPr>
              <w:t>Psichikos</w:t>
            </w:r>
          </w:p>
          <w:p w14:paraId="34E2FC3F" w14:textId="77777777" w:rsidR="003E70BB" w:rsidRPr="00F909DC" w:rsidRDefault="003E70BB" w:rsidP="00BE562B">
            <w:pPr>
              <w:widowControl w:val="0"/>
              <w:spacing w:after="0" w:line="252" w:lineRule="exact"/>
              <w:ind w:left="102" w:right="-20"/>
              <w:rPr>
                <w:rFonts w:ascii="Times New Roman" w:hAnsi="Times New Roman"/>
              </w:rPr>
            </w:pPr>
            <w:r w:rsidRPr="00534C57">
              <w:rPr>
                <w:rFonts w:ascii="Times New Roman" w:eastAsia="Times New Roman" w:hAnsi="Times New Roman"/>
              </w:rPr>
              <w:t>sutrikimai</w:t>
            </w:r>
          </w:p>
        </w:tc>
        <w:tc>
          <w:tcPr>
            <w:tcW w:w="1561" w:type="dxa"/>
            <w:tcBorders>
              <w:top w:val="single" w:sz="4" w:space="0" w:color="000000"/>
              <w:left w:val="single" w:sz="4" w:space="0" w:color="000000"/>
              <w:bottom w:val="single" w:sz="4" w:space="0" w:color="000000"/>
              <w:right w:val="single" w:sz="4" w:space="0" w:color="000000"/>
            </w:tcBorders>
          </w:tcPr>
          <w:p w14:paraId="02F3DC59" w14:textId="77777777" w:rsidR="003E70BB" w:rsidRPr="00951727" w:rsidRDefault="003E70BB" w:rsidP="003E70BB">
            <w:pPr>
              <w:widowControl w:val="0"/>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6059058B"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depresi</w:t>
            </w:r>
            <w:r w:rsidRPr="00534C57">
              <w:rPr>
                <w:rFonts w:ascii="Times New Roman" w:eastAsia="Times New Roman" w:hAnsi="Times New Roman"/>
                <w:spacing w:val="1"/>
              </w:rPr>
              <w:t>j</w:t>
            </w:r>
            <w:r w:rsidRPr="00534C57">
              <w:rPr>
                <w:rFonts w:ascii="Times New Roman" w:eastAsia="Times New Roman" w:hAnsi="Times New Roman"/>
              </w:rPr>
              <w:t>a,</w:t>
            </w:r>
          </w:p>
          <w:p w14:paraId="52367CB7" w14:textId="77777777" w:rsidR="003E70BB" w:rsidRPr="00534C57" w:rsidRDefault="003E70BB" w:rsidP="003E70BB">
            <w:pPr>
              <w:widowControl w:val="0"/>
              <w:spacing w:before="1" w:after="0" w:line="254" w:lineRule="exact"/>
              <w:ind w:left="100" w:right="301"/>
              <w:rPr>
                <w:rFonts w:ascii="Times New Roman" w:eastAsia="Times New Roman" w:hAnsi="Times New Roman"/>
              </w:rPr>
            </w:pPr>
            <w:r w:rsidRPr="00F909DC">
              <w:rPr>
                <w:rFonts w:ascii="Times New Roman" w:hAnsi="Times New Roman"/>
              </w:rPr>
              <w:t>haliucinacijos, nerimas, nemiga,</w:t>
            </w:r>
          </w:p>
          <w:p w14:paraId="0F5B5372" w14:textId="77777777" w:rsidR="003E70BB" w:rsidRPr="00534C57" w:rsidRDefault="003E70BB" w:rsidP="003E70BB">
            <w:pPr>
              <w:widowControl w:val="0"/>
              <w:spacing w:after="0" w:line="249" w:lineRule="exact"/>
              <w:ind w:left="100" w:right="-20"/>
              <w:rPr>
                <w:rFonts w:ascii="Times New Roman" w:eastAsia="Times New Roman" w:hAnsi="Times New Roman"/>
              </w:rPr>
            </w:pPr>
            <w:r w:rsidRPr="00F909DC">
              <w:rPr>
                <w:rFonts w:ascii="Times New Roman" w:hAnsi="Times New Roman"/>
              </w:rPr>
              <w:t>ažitacija, sumišimo</w:t>
            </w:r>
          </w:p>
          <w:p w14:paraId="3D9D0386" w14:textId="77777777" w:rsidR="003E70BB" w:rsidRPr="00F909DC" w:rsidRDefault="003E70BB" w:rsidP="00BE562B">
            <w:pPr>
              <w:widowControl w:val="0"/>
              <w:spacing w:after="0" w:line="252" w:lineRule="exact"/>
              <w:ind w:left="100" w:right="-20"/>
              <w:rPr>
                <w:rFonts w:ascii="Times New Roman" w:hAnsi="Times New Roman"/>
              </w:rPr>
            </w:pPr>
            <w:r w:rsidRPr="00F909DC">
              <w:rPr>
                <w:rFonts w:ascii="Times New Roman" w:hAnsi="Times New Roman"/>
              </w:rPr>
              <w:t>būklė</w:t>
            </w:r>
          </w:p>
        </w:tc>
        <w:tc>
          <w:tcPr>
            <w:tcW w:w="2008" w:type="dxa"/>
            <w:tcBorders>
              <w:top w:val="single" w:sz="4" w:space="0" w:color="000000"/>
              <w:left w:val="single" w:sz="4" w:space="0" w:color="000000"/>
              <w:bottom w:val="single" w:sz="4" w:space="0" w:color="000000"/>
              <w:right w:val="single" w:sz="4" w:space="0" w:color="000000"/>
            </w:tcBorders>
          </w:tcPr>
          <w:p w14:paraId="4B9CED9E" w14:textId="77777777" w:rsidR="003E70BB" w:rsidRPr="00951727" w:rsidRDefault="003E70BB" w:rsidP="003E70BB">
            <w:pPr>
              <w:widowControl w:val="0"/>
              <w:spacing w:after="200" w:line="276" w:lineRule="auto"/>
            </w:pPr>
          </w:p>
        </w:tc>
        <w:tc>
          <w:tcPr>
            <w:tcW w:w="1736" w:type="dxa"/>
            <w:tcBorders>
              <w:top w:val="single" w:sz="4" w:space="0" w:color="000000"/>
              <w:left w:val="single" w:sz="4" w:space="0" w:color="000000"/>
              <w:bottom w:val="single" w:sz="4" w:space="0" w:color="000000"/>
              <w:right w:val="single" w:sz="4" w:space="0" w:color="000000"/>
            </w:tcBorders>
          </w:tcPr>
          <w:p w14:paraId="5E549A3E" w14:textId="77777777" w:rsidR="003E70BB" w:rsidRPr="00951727" w:rsidRDefault="003E70BB" w:rsidP="003E70BB">
            <w:pPr>
              <w:widowControl w:val="0"/>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6EAE202D" w14:textId="77777777" w:rsidR="003E70BB" w:rsidRPr="00951727" w:rsidRDefault="003E70BB" w:rsidP="003E70BB">
            <w:pPr>
              <w:widowControl w:val="0"/>
              <w:spacing w:after="200" w:line="276" w:lineRule="auto"/>
            </w:pPr>
          </w:p>
        </w:tc>
      </w:tr>
      <w:tr w:rsidR="007E716C" w:rsidRPr="00F909DC" w14:paraId="3200D9CD" w14:textId="77777777" w:rsidTr="00D21150">
        <w:trPr>
          <w:trHeight w:hRule="exact" w:val="2287"/>
        </w:trPr>
        <w:tc>
          <w:tcPr>
            <w:tcW w:w="1470" w:type="dxa"/>
            <w:tcBorders>
              <w:top w:val="single" w:sz="4" w:space="0" w:color="000000"/>
              <w:left w:val="single" w:sz="4" w:space="0" w:color="000000"/>
              <w:bottom w:val="single" w:sz="4" w:space="0" w:color="000000"/>
              <w:right w:val="single" w:sz="4" w:space="0" w:color="000000"/>
            </w:tcBorders>
          </w:tcPr>
          <w:p w14:paraId="3171F4A5"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534C57">
              <w:rPr>
                <w:rFonts w:ascii="Times New Roman" w:eastAsia="Times New Roman" w:hAnsi="Times New Roman"/>
              </w:rPr>
              <w:t>Nervų</w:t>
            </w:r>
          </w:p>
          <w:p w14:paraId="7BC33DD9" w14:textId="77777777" w:rsidR="003E70BB" w:rsidRPr="00F909DC" w:rsidRDefault="003E70BB" w:rsidP="00BE562B">
            <w:pPr>
              <w:widowControl w:val="0"/>
              <w:spacing w:before="1" w:after="0" w:line="254" w:lineRule="exact"/>
              <w:ind w:left="102" w:right="465"/>
              <w:rPr>
                <w:rFonts w:ascii="Times New Roman" w:hAnsi="Times New Roman"/>
              </w:rPr>
            </w:pPr>
            <w:r w:rsidRPr="00534C57">
              <w:rPr>
                <w:rFonts w:ascii="Times New Roman" w:eastAsia="Times New Roman" w:hAnsi="Times New Roman"/>
              </w:rPr>
              <w:t>sistemos sutrikimai</w:t>
            </w:r>
          </w:p>
        </w:tc>
        <w:tc>
          <w:tcPr>
            <w:tcW w:w="1561" w:type="dxa"/>
            <w:tcBorders>
              <w:top w:val="single" w:sz="4" w:space="0" w:color="000000"/>
              <w:left w:val="single" w:sz="4" w:space="0" w:color="000000"/>
              <w:bottom w:val="single" w:sz="4" w:space="0" w:color="000000"/>
              <w:right w:val="single" w:sz="4" w:space="0" w:color="000000"/>
            </w:tcBorders>
          </w:tcPr>
          <w:p w14:paraId="0C289ADB"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534C57">
              <w:rPr>
                <w:rFonts w:ascii="Times New Roman" w:eastAsia="Times New Roman" w:hAnsi="Times New Roman"/>
              </w:rPr>
              <w:t>galvos</w:t>
            </w:r>
          </w:p>
          <w:p w14:paraId="0CC98221" w14:textId="77777777" w:rsidR="003E70BB" w:rsidRPr="00534C57" w:rsidRDefault="003E70BB" w:rsidP="003E70BB">
            <w:pPr>
              <w:widowControl w:val="0"/>
              <w:spacing w:after="0" w:line="252" w:lineRule="exact"/>
              <w:ind w:left="102" w:right="-20"/>
              <w:rPr>
                <w:rFonts w:ascii="Times New Roman" w:eastAsia="Times New Roman" w:hAnsi="Times New Roman"/>
              </w:rPr>
            </w:pPr>
            <w:r w:rsidRPr="00534C57">
              <w:rPr>
                <w:rFonts w:ascii="Times New Roman" w:eastAsia="Times New Roman" w:hAnsi="Times New Roman"/>
                <w:spacing w:val="-1"/>
              </w:rPr>
              <w:t>skausmas</w:t>
            </w:r>
          </w:p>
        </w:tc>
        <w:tc>
          <w:tcPr>
            <w:tcW w:w="1919" w:type="dxa"/>
            <w:tcBorders>
              <w:top w:val="single" w:sz="4" w:space="0" w:color="000000"/>
              <w:left w:val="single" w:sz="4" w:space="0" w:color="000000"/>
              <w:bottom w:val="single" w:sz="4" w:space="0" w:color="000000"/>
              <w:right w:val="single" w:sz="4" w:space="0" w:color="000000"/>
            </w:tcBorders>
          </w:tcPr>
          <w:p w14:paraId="2991D2CE"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traukuliai, sinkopė,</w:t>
            </w:r>
          </w:p>
          <w:p w14:paraId="5A50DFC2" w14:textId="77777777" w:rsidR="003E70BB" w:rsidRPr="00534C57" w:rsidRDefault="003E70BB" w:rsidP="00524D44">
            <w:pPr>
              <w:widowControl w:val="0"/>
              <w:spacing w:before="4" w:after="0" w:line="234" w:lineRule="auto"/>
              <w:ind w:left="100" w:right="298"/>
              <w:rPr>
                <w:rFonts w:ascii="Times New Roman" w:eastAsia="Times New Roman" w:hAnsi="Times New Roman"/>
              </w:rPr>
            </w:pPr>
            <w:r w:rsidRPr="00534C57">
              <w:rPr>
                <w:rFonts w:ascii="Times New Roman" w:eastAsia="Times New Roman" w:hAnsi="Times New Roman"/>
              </w:rPr>
              <w:t>drebulys, hipertonija</w:t>
            </w:r>
            <w:r w:rsidRPr="00534C57">
              <w:rPr>
                <w:rFonts w:ascii="Times New Roman" w:eastAsia="Times New Roman" w:hAnsi="Times New Roman"/>
                <w:position w:val="10"/>
                <w:sz w:val="14"/>
                <w:szCs w:val="14"/>
              </w:rPr>
              <w:t>3</w:t>
            </w:r>
            <w:r w:rsidRPr="00534C57">
              <w:rPr>
                <w:rFonts w:ascii="Times New Roman" w:eastAsia="Times New Roman" w:hAnsi="Times New Roman"/>
              </w:rPr>
              <w:t xml:space="preserve">, parestezija, mieguistumas, </w:t>
            </w:r>
            <w:r w:rsidR="00524D44">
              <w:rPr>
                <w:rFonts w:ascii="Times New Roman" w:eastAsia="Times New Roman" w:hAnsi="Times New Roman"/>
              </w:rPr>
              <w:t>svaigulys</w:t>
            </w:r>
          </w:p>
        </w:tc>
        <w:tc>
          <w:tcPr>
            <w:tcW w:w="2008" w:type="dxa"/>
            <w:tcBorders>
              <w:top w:val="single" w:sz="4" w:space="0" w:color="000000"/>
              <w:left w:val="single" w:sz="4" w:space="0" w:color="000000"/>
              <w:bottom w:val="single" w:sz="4" w:space="0" w:color="000000"/>
              <w:right w:val="single" w:sz="4" w:space="0" w:color="000000"/>
            </w:tcBorders>
          </w:tcPr>
          <w:p w14:paraId="6BA4F4C8" w14:textId="77777777" w:rsidR="003E70BB" w:rsidRPr="00534C57" w:rsidRDefault="003E70BB" w:rsidP="003E70BB">
            <w:pPr>
              <w:widowControl w:val="0"/>
              <w:spacing w:after="0" w:line="231" w:lineRule="auto"/>
              <w:ind w:left="100" w:right="278"/>
              <w:rPr>
                <w:rFonts w:ascii="Times New Roman" w:eastAsia="Times New Roman" w:hAnsi="Times New Roman"/>
              </w:rPr>
            </w:pPr>
            <w:r w:rsidRPr="00534C57">
              <w:rPr>
                <w:rFonts w:ascii="Times New Roman" w:eastAsia="Times New Roman" w:hAnsi="Times New Roman"/>
              </w:rPr>
              <w:t>smegenų</w:t>
            </w:r>
            <w:r w:rsidRPr="00F909DC">
              <w:rPr>
                <w:rFonts w:ascii="Times New Roman" w:hAnsi="Times New Roman"/>
              </w:rPr>
              <w:t xml:space="preserve"> edema, </w:t>
            </w:r>
            <w:r w:rsidRPr="00534C57">
              <w:rPr>
                <w:rFonts w:ascii="Times New Roman" w:eastAsia="Times New Roman" w:hAnsi="Times New Roman"/>
              </w:rPr>
              <w:t>encefalopatija</w:t>
            </w:r>
            <w:r w:rsidRPr="00534C57">
              <w:rPr>
                <w:rFonts w:ascii="Times New Roman" w:eastAsia="Times New Roman" w:hAnsi="Times New Roman"/>
                <w:position w:val="10"/>
                <w:sz w:val="14"/>
                <w:szCs w:val="14"/>
              </w:rPr>
              <w:t>4</w:t>
            </w:r>
            <w:r w:rsidRPr="00F909DC">
              <w:rPr>
                <w:rFonts w:ascii="Times New Roman" w:hAnsi="Times New Roman"/>
              </w:rPr>
              <w:t xml:space="preserve">, ekstrapiramidinis </w:t>
            </w:r>
            <w:r w:rsidRPr="00534C57">
              <w:rPr>
                <w:rFonts w:ascii="Times New Roman" w:eastAsia="Times New Roman" w:hAnsi="Times New Roman"/>
                <w:spacing w:val="-1"/>
              </w:rPr>
              <w:t>sutrikim</w:t>
            </w:r>
            <w:r w:rsidRPr="00534C57">
              <w:rPr>
                <w:rFonts w:ascii="Times New Roman" w:eastAsia="Times New Roman" w:hAnsi="Times New Roman"/>
              </w:rPr>
              <w:t>a</w:t>
            </w:r>
            <w:r w:rsidRPr="00534C57">
              <w:rPr>
                <w:rFonts w:ascii="Times New Roman" w:eastAsia="Times New Roman" w:hAnsi="Times New Roman"/>
                <w:spacing w:val="1"/>
              </w:rPr>
              <w:t>s</w:t>
            </w:r>
            <w:r w:rsidRPr="00534C57">
              <w:rPr>
                <w:rFonts w:ascii="Times New Roman" w:eastAsia="Times New Roman" w:hAnsi="Times New Roman"/>
                <w:position w:val="10"/>
                <w:sz w:val="14"/>
                <w:szCs w:val="14"/>
              </w:rPr>
              <w:t>5</w:t>
            </w:r>
            <w:r w:rsidRPr="00F909DC">
              <w:rPr>
                <w:rFonts w:ascii="Times New Roman" w:hAnsi="Times New Roman"/>
              </w:rPr>
              <w:t>, periferinė neuropatija, ataksija,</w:t>
            </w:r>
          </w:p>
          <w:p w14:paraId="324F9EA8" w14:textId="77777777" w:rsidR="003E70BB" w:rsidRPr="00F909DC" w:rsidRDefault="003E70BB" w:rsidP="00BE562B">
            <w:pPr>
              <w:widowControl w:val="0"/>
              <w:spacing w:before="7" w:after="0" w:line="252" w:lineRule="exact"/>
              <w:ind w:left="100" w:right="701"/>
              <w:rPr>
                <w:rFonts w:ascii="Times New Roman" w:hAnsi="Times New Roman"/>
              </w:rPr>
            </w:pPr>
            <w:r w:rsidRPr="00F909DC">
              <w:rPr>
                <w:rFonts w:ascii="Times New Roman" w:hAnsi="Times New Roman"/>
              </w:rPr>
              <w:t>hipestezija, disgeuzija</w:t>
            </w:r>
          </w:p>
        </w:tc>
        <w:tc>
          <w:tcPr>
            <w:tcW w:w="1736" w:type="dxa"/>
            <w:tcBorders>
              <w:top w:val="single" w:sz="4" w:space="0" w:color="000000"/>
              <w:left w:val="single" w:sz="4" w:space="0" w:color="000000"/>
              <w:bottom w:val="single" w:sz="4" w:space="0" w:color="000000"/>
              <w:right w:val="single" w:sz="4" w:space="0" w:color="000000"/>
            </w:tcBorders>
          </w:tcPr>
          <w:p w14:paraId="33867291"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hepatinė</w:t>
            </w:r>
          </w:p>
          <w:p w14:paraId="47E5EEDB" w14:textId="77777777" w:rsidR="003E70BB" w:rsidRPr="00534C57" w:rsidRDefault="003E70BB" w:rsidP="003E70BB">
            <w:pPr>
              <w:widowControl w:val="0"/>
              <w:spacing w:after="0" w:line="252" w:lineRule="exact"/>
              <w:ind w:left="100" w:right="-20"/>
              <w:rPr>
                <w:rFonts w:ascii="Times New Roman" w:eastAsia="Times New Roman" w:hAnsi="Times New Roman"/>
              </w:rPr>
            </w:pPr>
            <w:r w:rsidRPr="00534C57">
              <w:rPr>
                <w:rFonts w:ascii="Times New Roman" w:eastAsia="Times New Roman" w:hAnsi="Times New Roman"/>
              </w:rPr>
              <w:t>encefalopatija,</w:t>
            </w:r>
          </w:p>
          <w:p w14:paraId="5B091AA7" w14:textId="77777777" w:rsidR="003E70BB" w:rsidRPr="00534C57" w:rsidRDefault="003E70BB" w:rsidP="003E70BB">
            <w:pPr>
              <w:widowControl w:val="0"/>
              <w:spacing w:before="1" w:after="0" w:line="240" w:lineRule="auto"/>
              <w:ind w:left="100" w:right="218"/>
              <w:rPr>
                <w:rFonts w:ascii="Times New Roman" w:eastAsia="Times New Roman" w:hAnsi="Times New Roman"/>
              </w:rPr>
            </w:pPr>
            <w:r w:rsidRPr="00534C57">
              <w:rPr>
                <w:rFonts w:ascii="Times New Roman" w:eastAsia="Times New Roman" w:hAnsi="Times New Roman"/>
                <w:i/>
              </w:rPr>
              <w:t>Guillai</w:t>
            </w:r>
            <w:r w:rsidRPr="00534C57">
              <w:rPr>
                <w:rFonts w:ascii="Times New Roman" w:eastAsia="Times New Roman" w:hAnsi="Times New Roman"/>
                <w:i/>
                <w:spacing w:val="-2"/>
              </w:rPr>
              <w:t>n</w:t>
            </w:r>
            <w:r w:rsidRPr="00534C57">
              <w:rPr>
                <w:rFonts w:ascii="Times New Roman" w:eastAsia="Times New Roman" w:hAnsi="Times New Roman"/>
                <w:i/>
                <w:spacing w:val="1"/>
              </w:rPr>
              <w:t>-</w:t>
            </w:r>
            <w:r w:rsidRPr="00534C57">
              <w:rPr>
                <w:rFonts w:ascii="Times New Roman" w:eastAsia="Times New Roman" w:hAnsi="Times New Roman"/>
                <w:i/>
              </w:rPr>
              <w:t xml:space="preserve">Barre </w:t>
            </w:r>
            <w:r w:rsidRPr="00534C57">
              <w:rPr>
                <w:rFonts w:ascii="Times New Roman" w:eastAsia="Times New Roman" w:hAnsi="Times New Roman"/>
              </w:rPr>
              <w:t xml:space="preserve">sindromas, </w:t>
            </w:r>
            <w:r w:rsidRPr="00534C57">
              <w:rPr>
                <w:rFonts w:ascii="Times New Roman" w:eastAsia="Times New Roman" w:hAnsi="Times New Roman"/>
                <w:spacing w:val="-1"/>
              </w:rPr>
              <w:t>nistagmas</w:t>
            </w:r>
          </w:p>
        </w:tc>
        <w:tc>
          <w:tcPr>
            <w:tcW w:w="1577" w:type="dxa"/>
            <w:tcBorders>
              <w:top w:val="single" w:sz="4" w:space="0" w:color="000000"/>
              <w:left w:val="single" w:sz="4" w:space="0" w:color="000000"/>
              <w:bottom w:val="single" w:sz="4" w:space="0" w:color="000000"/>
              <w:right w:val="single" w:sz="4" w:space="0" w:color="000000"/>
            </w:tcBorders>
          </w:tcPr>
          <w:p w14:paraId="0750635F" w14:textId="77777777" w:rsidR="003E70BB" w:rsidRPr="00951727" w:rsidRDefault="003E70BB" w:rsidP="003E70BB">
            <w:pPr>
              <w:widowControl w:val="0"/>
              <w:spacing w:after="200" w:line="276" w:lineRule="auto"/>
            </w:pPr>
          </w:p>
        </w:tc>
      </w:tr>
      <w:tr w:rsidR="007E716C" w:rsidRPr="00F909DC" w14:paraId="1095416F" w14:textId="77777777" w:rsidTr="00D21150">
        <w:trPr>
          <w:trHeight w:hRule="exact" w:val="1526"/>
        </w:trPr>
        <w:tc>
          <w:tcPr>
            <w:tcW w:w="1470" w:type="dxa"/>
            <w:tcBorders>
              <w:top w:val="single" w:sz="4" w:space="0" w:color="000000"/>
              <w:left w:val="single" w:sz="4" w:space="0" w:color="000000"/>
              <w:bottom w:val="single" w:sz="4" w:space="0" w:color="000000"/>
              <w:right w:val="single" w:sz="4" w:space="0" w:color="000000"/>
            </w:tcBorders>
          </w:tcPr>
          <w:p w14:paraId="65B06057"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534C57">
              <w:rPr>
                <w:rFonts w:ascii="Times New Roman" w:eastAsia="Times New Roman" w:hAnsi="Times New Roman"/>
                <w:spacing w:val="-1"/>
              </w:rPr>
              <w:t>Akių</w:t>
            </w:r>
          </w:p>
          <w:p w14:paraId="3A6CE5C3" w14:textId="77777777" w:rsidR="003E70BB" w:rsidRPr="00F909DC" w:rsidRDefault="003E70BB" w:rsidP="00BE562B">
            <w:pPr>
              <w:widowControl w:val="0"/>
              <w:spacing w:after="0" w:line="252" w:lineRule="exact"/>
              <w:ind w:left="102" w:right="-20"/>
              <w:rPr>
                <w:rFonts w:ascii="Times New Roman" w:hAnsi="Times New Roman"/>
              </w:rPr>
            </w:pPr>
            <w:r w:rsidRPr="00534C57">
              <w:rPr>
                <w:rFonts w:ascii="Times New Roman" w:eastAsia="Times New Roman" w:hAnsi="Times New Roman"/>
              </w:rPr>
              <w:t>sutrikimai</w:t>
            </w:r>
          </w:p>
        </w:tc>
        <w:tc>
          <w:tcPr>
            <w:tcW w:w="1561" w:type="dxa"/>
            <w:tcBorders>
              <w:top w:val="single" w:sz="4" w:space="0" w:color="000000"/>
              <w:left w:val="single" w:sz="4" w:space="0" w:color="000000"/>
              <w:bottom w:val="single" w:sz="4" w:space="0" w:color="000000"/>
              <w:right w:val="single" w:sz="4" w:space="0" w:color="000000"/>
            </w:tcBorders>
          </w:tcPr>
          <w:p w14:paraId="7EB742DA" w14:textId="77777777" w:rsidR="003E70BB" w:rsidRPr="00534C57" w:rsidRDefault="003E70BB" w:rsidP="003E70BB">
            <w:pPr>
              <w:widowControl w:val="0"/>
              <w:spacing w:before="14" w:after="0" w:line="215" w:lineRule="auto"/>
              <w:ind w:left="102" w:right="460"/>
              <w:rPr>
                <w:rFonts w:ascii="Times New Roman" w:eastAsia="Times New Roman" w:hAnsi="Times New Roman"/>
                <w:sz w:val="14"/>
                <w:szCs w:val="14"/>
              </w:rPr>
            </w:pPr>
            <w:r w:rsidRPr="00534C57">
              <w:rPr>
                <w:rFonts w:ascii="Times New Roman" w:eastAsia="Times New Roman" w:hAnsi="Times New Roman"/>
              </w:rPr>
              <w:t>regėjimo sutrikimas</w:t>
            </w:r>
            <w:r w:rsidRPr="00534C57">
              <w:rPr>
                <w:rFonts w:ascii="Times New Roman" w:eastAsia="Times New Roman" w:hAnsi="Times New Roman"/>
                <w:position w:val="10"/>
                <w:sz w:val="14"/>
                <w:szCs w:val="14"/>
              </w:rPr>
              <w:t>6</w:t>
            </w:r>
          </w:p>
        </w:tc>
        <w:tc>
          <w:tcPr>
            <w:tcW w:w="1919" w:type="dxa"/>
            <w:tcBorders>
              <w:top w:val="single" w:sz="4" w:space="0" w:color="000000"/>
              <w:left w:val="single" w:sz="4" w:space="0" w:color="000000"/>
              <w:bottom w:val="single" w:sz="4" w:space="0" w:color="000000"/>
              <w:right w:val="single" w:sz="4" w:space="0" w:color="000000"/>
            </w:tcBorders>
          </w:tcPr>
          <w:p w14:paraId="578C9D4E"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tinklainės</w:t>
            </w:r>
          </w:p>
          <w:p w14:paraId="487B99C5" w14:textId="77777777" w:rsidR="003E70BB" w:rsidRPr="00534C57" w:rsidRDefault="003E70BB" w:rsidP="003E70BB">
            <w:pPr>
              <w:widowControl w:val="0"/>
              <w:spacing w:after="0" w:line="252" w:lineRule="exact"/>
              <w:ind w:left="100" w:right="-20"/>
              <w:rPr>
                <w:rFonts w:ascii="Times New Roman" w:eastAsia="Times New Roman" w:hAnsi="Times New Roman"/>
              </w:rPr>
            </w:pPr>
            <w:r w:rsidRPr="00534C57">
              <w:rPr>
                <w:rFonts w:ascii="Times New Roman" w:eastAsia="Times New Roman" w:hAnsi="Times New Roman"/>
              </w:rPr>
              <w:t>kraujosruva</w:t>
            </w:r>
          </w:p>
        </w:tc>
        <w:tc>
          <w:tcPr>
            <w:tcW w:w="2008" w:type="dxa"/>
            <w:tcBorders>
              <w:top w:val="single" w:sz="4" w:space="0" w:color="000000"/>
              <w:left w:val="single" w:sz="4" w:space="0" w:color="000000"/>
              <w:bottom w:val="single" w:sz="4" w:space="0" w:color="000000"/>
              <w:right w:val="single" w:sz="4" w:space="0" w:color="000000"/>
            </w:tcBorders>
          </w:tcPr>
          <w:p w14:paraId="48C6EBA3" w14:textId="77777777" w:rsidR="003E70BB" w:rsidRPr="00F909DC" w:rsidRDefault="003E70BB" w:rsidP="00BE562B">
            <w:pPr>
              <w:widowControl w:val="0"/>
              <w:spacing w:after="0" w:line="230" w:lineRule="auto"/>
              <w:ind w:left="100" w:right="124"/>
              <w:rPr>
                <w:rFonts w:ascii="Times New Roman" w:hAnsi="Times New Roman"/>
              </w:rPr>
            </w:pPr>
            <w:r w:rsidRPr="00F909DC">
              <w:rPr>
                <w:rFonts w:ascii="Times New Roman" w:hAnsi="Times New Roman"/>
              </w:rPr>
              <w:t xml:space="preserve">regos nervo </w:t>
            </w:r>
            <w:r w:rsidRPr="00534C57">
              <w:rPr>
                <w:rFonts w:ascii="Times New Roman" w:eastAsia="Times New Roman" w:hAnsi="Times New Roman"/>
              </w:rPr>
              <w:t>sutrikimas</w:t>
            </w:r>
            <w:r w:rsidRPr="00534C57">
              <w:rPr>
                <w:rFonts w:ascii="Times New Roman" w:eastAsia="Times New Roman" w:hAnsi="Times New Roman"/>
                <w:position w:val="10"/>
                <w:sz w:val="14"/>
                <w:szCs w:val="14"/>
              </w:rPr>
              <w:t>7</w:t>
            </w:r>
            <w:r w:rsidRPr="00534C57">
              <w:rPr>
                <w:rFonts w:ascii="Times New Roman" w:eastAsia="Times New Roman" w:hAnsi="Times New Roman"/>
              </w:rPr>
              <w:t xml:space="preserve">, </w:t>
            </w:r>
            <w:r w:rsidRPr="00534C57">
              <w:rPr>
                <w:rFonts w:ascii="Times New Roman" w:eastAsia="Times New Roman" w:hAnsi="Times New Roman"/>
                <w:spacing w:val="-1"/>
              </w:rPr>
              <w:t>papiloedem</w:t>
            </w:r>
            <w:r w:rsidRPr="00534C57">
              <w:rPr>
                <w:rFonts w:ascii="Times New Roman" w:eastAsia="Times New Roman" w:hAnsi="Times New Roman"/>
              </w:rPr>
              <w:t>a</w:t>
            </w:r>
            <w:r w:rsidRPr="00534C57">
              <w:rPr>
                <w:rFonts w:ascii="Times New Roman" w:eastAsia="Times New Roman" w:hAnsi="Times New Roman"/>
                <w:position w:val="10"/>
                <w:sz w:val="14"/>
                <w:szCs w:val="14"/>
              </w:rPr>
              <w:t>8</w:t>
            </w:r>
            <w:r w:rsidRPr="00534C57">
              <w:rPr>
                <w:rFonts w:ascii="Times New Roman" w:eastAsia="Times New Roman" w:hAnsi="Times New Roman"/>
              </w:rPr>
              <w:t>, okulogirinė krizė, diplopija,</w:t>
            </w:r>
            <w:r w:rsidRPr="00F909DC">
              <w:rPr>
                <w:rFonts w:ascii="Times New Roman" w:hAnsi="Times New Roman"/>
                <w:spacing w:val="-2"/>
              </w:rPr>
              <w:t xml:space="preserve"> </w:t>
            </w:r>
            <w:r w:rsidRPr="00F909DC">
              <w:rPr>
                <w:rFonts w:ascii="Times New Roman" w:hAnsi="Times New Roman"/>
              </w:rPr>
              <w:t>skleritas, blefaritas</w:t>
            </w:r>
          </w:p>
        </w:tc>
        <w:tc>
          <w:tcPr>
            <w:tcW w:w="1736" w:type="dxa"/>
            <w:tcBorders>
              <w:top w:val="single" w:sz="4" w:space="0" w:color="000000"/>
              <w:left w:val="single" w:sz="4" w:space="0" w:color="000000"/>
              <w:bottom w:val="single" w:sz="4" w:space="0" w:color="000000"/>
              <w:right w:val="single" w:sz="4" w:space="0" w:color="000000"/>
            </w:tcBorders>
          </w:tcPr>
          <w:p w14:paraId="124ABA96" w14:textId="77777777" w:rsidR="003E70BB" w:rsidRPr="00534C57" w:rsidRDefault="003E70BB" w:rsidP="003E70BB">
            <w:pPr>
              <w:widowControl w:val="0"/>
              <w:spacing w:after="0" w:line="246" w:lineRule="exact"/>
              <w:ind w:left="100" w:right="-20"/>
              <w:rPr>
                <w:rFonts w:ascii="Times New Roman" w:eastAsia="Times New Roman" w:hAnsi="Times New Roman"/>
              </w:rPr>
            </w:pPr>
            <w:r w:rsidRPr="00534C57">
              <w:rPr>
                <w:rFonts w:ascii="Times New Roman" w:eastAsia="Times New Roman" w:hAnsi="Times New Roman"/>
              </w:rPr>
              <w:t>regos nervo</w:t>
            </w:r>
          </w:p>
          <w:p w14:paraId="57E4D552" w14:textId="77777777" w:rsidR="003E70BB" w:rsidRPr="00534C57" w:rsidRDefault="003E70BB" w:rsidP="003E70BB">
            <w:pPr>
              <w:widowControl w:val="0"/>
              <w:spacing w:before="1" w:after="0" w:line="254" w:lineRule="exact"/>
              <w:ind w:left="100" w:right="106"/>
              <w:rPr>
                <w:rFonts w:ascii="Times New Roman" w:eastAsia="Times New Roman" w:hAnsi="Times New Roman"/>
              </w:rPr>
            </w:pPr>
            <w:r w:rsidRPr="00534C57">
              <w:rPr>
                <w:rFonts w:ascii="Times New Roman" w:eastAsia="Times New Roman" w:hAnsi="Times New Roman"/>
              </w:rPr>
              <w:t>atrofija, ragenos drumstis</w:t>
            </w:r>
          </w:p>
        </w:tc>
        <w:tc>
          <w:tcPr>
            <w:tcW w:w="1577" w:type="dxa"/>
            <w:tcBorders>
              <w:top w:val="single" w:sz="4" w:space="0" w:color="000000"/>
              <w:left w:val="single" w:sz="4" w:space="0" w:color="000000"/>
              <w:bottom w:val="single" w:sz="4" w:space="0" w:color="000000"/>
              <w:right w:val="single" w:sz="4" w:space="0" w:color="000000"/>
            </w:tcBorders>
          </w:tcPr>
          <w:p w14:paraId="00D899E9" w14:textId="77777777" w:rsidR="003E70BB" w:rsidRPr="00951727" w:rsidRDefault="003E70BB" w:rsidP="003E70BB">
            <w:pPr>
              <w:widowControl w:val="0"/>
              <w:spacing w:after="200" w:line="276" w:lineRule="auto"/>
            </w:pPr>
          </w:p>
        </w:tc>
      </w:tr>
      <w:tr w:rsidR="007E716C" w:rsidRPr="00F909DC" w14:paraId="01877B21" w14:textId="77777777" w:rsidTr="00D21150">
        <w:trPr>
          <w:trHeight w:hRule="exact" w:val="1848"/>
        </w:trPr>
        <w:tc>
          <w:tcPr>
            <w:tcW w:w="1470" w:type="dxa"/>
            <w:tcBorders>
              <w:top w:val="single" w:sz="4" w:space="0" w:color="000000"/>
              <w:left w:val="single" w:sz="4" w:space="0" w:color="000000"/>
              <w:bottom w:val="single" w:sz="4" w:space="0" w:color="000000"/>
              <w:right w:val="single" w:sz="4" w:space="0" w:color="000000"/>
            </w:tcBorders>
          </w:tcPr>
          <w:p w14:paraId="48FC053C" w14:textId="77777777" w:rsidR="003E70BB" w:rsidRPr="00534C57" w:rsidRDefault="003E70BB" w:rsidP="003E70BB">
            <w:pPr>
              <w:widowControl w:val="0"/>
              <w:spacing w:after="0" w:line="246" w:lineRule="exact"/>
              <w:ind w:left="102" w:right="-20"/>
              <w:rPr>
                <w:rFonts w:ascii="Times New Roman" w:eastAsia="Times New Roman" w:hAnsi="Times New Roman"/>
              </w:rPr>
            </w:pPr>
            <w:r w:rsidRPr="00534C57">
              <w:rPr>
                <w:rFonts w:ascii="Times New Roman" w:eastAsia="Times New Roman" w:hAnsi="Times New Roman"/>
              </w:rPr>
              <w:t>Ausų ir</w:t>
            </w:r>
          </w:p>
          <w:p w14:paraId="07619FD6" w14:textId="77777777" w:rsidR="003E70BB" w:rsidRPr="00F909DC" w:rsidRDefault="003E70BB" w:rsidP="00BE562B">
            <w:pPr>
              <w:widowControl w:val="0"/>
              <w:spacing w:before="5" w:after="0" w:line="252" w:lineRule="exact"/>
              <w:ind w:left="102" w:right="465"/>
              <w:rPr>
                <w:rFonts w:ascii="Times New Roman" w:hAnsi="Times New Roman"/>
              </w:rPr>
            </w:pPr>
            <w:r w:rsidRPr="00534C57">
              <w:rPr>
                <w:rFonts w:ascii="Times New Roman" w:eastAsia="Times New Roman" w:hAnsi="Times New Roman"/>
              </w:rPr>
              <w:t>labirintų sutrikimai</w:t>
            </w:r>
          </w:p>
        </w:tc>
        <w:tc>
          <w:tcPr>
            <w:tcW w:w="1561" w:type="dxa"/>
            <w:tcBorders>
              <w:top w:val="single" w:sz="4" w:space="0" w:color="000000"/>
              <w:left w:val="single" w:sz="4" w:space="0" w:color="000000"/>
              <w:bottom w:val="single" w:sz="4" w:space="0" w:color="000000"/>
              <w:right w:val="single" w:sz="4" w:space="0" w:color="000000"/>
            </w:tcBorders>
          </w:tcPr>
          <w:p w14:paraId="473D860B" w14:textId="77777777" w:rsidR="003E70BB" w:rsidRPr="00951727" w:rsidRDefault="003E70BB" w:rsidP="003E70BB">
            <w:pPr>
              <w:widowControl w:val="0"/>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1E4C41C5" w14:textId="77777777" w:rsidR="003E70BB" w:rsidRPr="00951727" w:rsidRDefault="003E70BB" w:rsidP="003E70BB">
            <w:pPr>
              <w:widowControl w:val="0"/>
              <w:spacing w:after="200" w:line="276" w:lineRule="auto"/>
            </w:pPr>
          </w:p>
        </w:tc>
        <w:tc>
          <w:tcPr>
            <w:tcW w:w="2008" w:type="dxa"/>
            <w:tcBorders>
              <w:top w:val="single" w:sz="4" w:space="0" w:color="000000"/>
              <w:left w:val="single" w:sz="4" w:space="0" w:color="000000"/>
              <w:bottom w:val="single" w:sz="4" w:space="0" w:color="000000"/>
              <w:right w:val="single" w:sz="4" w:space="0" w:color="000000"/>
            </w:tcBorders>
          </w:tcPr>
          <w:p w14:paraId="6E83DA03" w14:textId="77777777" w:rsidR="003E70BB" w:rsidRPr="00534C57" w:rsidRDefault="003E70BB" w:rsidP="003E70BB">
            <w:pPr>
              <w:widowControl w:val="0"/>
              <w:spacing w:after="0" w:line="240" w:lineRule="auto"/>
              <w:ind w:left="102" w:right="-20"/>
              <w:rPr>
                <w:rFonts w:ascii="Times New Roman" w:eastAsia="Times New Roman" w:hAnsi="Times New Roman"/>
              </w:rPr>
            </w:pPr>
            <w:r w:rsidRPr="00534C57">
              <w:rPr>
                <w:rFonts w:ascii="Times New Roman" w:eastAsia="Times New Roman" w:hAnsi="Times New Roman"/>
              </w:rPr>
              <w:t>klausos</w:t>
            </w:r>
            <w:r w:rsidRPr="00F909DC">
              <w:rPr>
                <w:rFonts w:ascii="Times New Roman" w:hAnsi="Times New Roman"/>
                <w:spacing w:val="-1"/>
              </w:rPr>
              <w:t xml:space="preserve"> </w:t>
            </w:r>
            <w:r w:rsidRPr="00F909DC">
              <w:rPr>
                <w:rFonts w:ascii="Times New Roman" w:hAnsi="Times New Roman"/>
              </w:rPr>
              <w:t>aštrumo</w:t>
            </w:r>
          </w:p>
          <w:p w14:paraId="534F8ED0" w14:textId="77777777" w:rsidR="003E70BB" w:rsidRPr="00F909DC" w:rsidRDefault="003E70BB" w:rsidP="00524D44">
            <w:pPr>
              <w:widowControl w:val="0"/>
              <w:spacing w:after="0" w:line="240" w:lineRule="auto"/>
              <w:ind w:left="102" w:right="246"/>
              <w:rPr>
                <w:rFonts w:ascii="Times New Roman" w:hAnsi="Times New Roman"/>
              </w:rPr>
            </w:pPr>
            <w:r w:rsidRPr="00F909DC">
              <w:rPr>
                <w:rFonts w:ascii="Times New Roman" w:hAnsi="Times New Roman"/>
              </w:rPr>
              <w:t>sumažėjimas, galvos svaigimas</w:t>
            </w:r>
            <w:r w:rsidR="00524D44" w:rsidRPr="00F909DC">
              <w:rPr>
                <w:rFonts w:ascii="Times New Roman" w:hAnsi="Times New Roman"/>
              </w:rPr>
              <w:t xml:space="preserve"> (</w:t>
            </w:r>
            <w:r w:rsidR="00524D44" w:rsidRPr="00F909DC">
              <w:rPr>
                <w:rFonts w:ascii="Times New Roman" w:hAnsi="Times New Roman"/>
                <w:i/>
              </w:rPr>
              <w:t>vertigo</w:t>
            </w:r>
            <w:r w:rsidR="00524D44" w:rsidRPr="00F909DC">
              <w:rPr>
                <w:rFonts w:ascii="Times New Roman" w:hAnsi="Times New Roman"/>
              </w:rPr>
              <w:t>)</w:t>
            </w:r>
            <w:r w:rsidRPr="00F909DC">
              <w:rPr>
                <w:rFonts w:ascii="Times New Roman" w:hAnsi="Times New Roman"/>
              </w:rPr>
              <w:t xml:space="preserve">, </w:t>
            </w:r>
            <w:r w:rsidR="00524D44" w:rsidRPr="00F909DC">
              <w:rPr>
                <w:rFonts w:ascii="Times New Roman" w:hAnsi="Times New Roman"/>
              </w:rPr>
              <w:t>ūžesys (</w:t>
            </w:r>
            <w:r w:rsidR="00524D44" w:rsidRPr="00F909DC">
              <w:rPr>
                <w:rFonts w:ascii="Times New Roman" w:hAnsi="Times New Roman"/>
                <w:i/>
              </w:rPr>
              <w:t>tinnitus</w:t>
            </w:r>
            <w:r w:rsidR="00524D44" w:rsidRPr="00F909DC">
              <w:rPr>
                <w:rFonts w:ascii="Times New Roman" w:hAnsi="Times New Roman"/>
              </w:rPr>
              <w:t>)</w:t>
            </w:r>
          </w:p>
        </w:tc>
        <w:tc>
          <w:tcPr>
            <w:tcW w:w="1736" w:type="dxa"/>
            <w:tcBorders>
              <w:top w:val="single" w:sz="4" w:space="0" w:color="000000"/>
              <w:left w:val="single" w:sz="4" w:space="0" w:color="000000"/>
              <w:bottom w:val="single" w:sz="4" w:space="0" w:color="000000"/>
              <w:right w:val="single" w:sz="4" w:space="0" w:color="000000"/>
            </w:tcBorders>
          </w:tcPr>
          <w:p w14:paraId="2E26A6CB" w14:textId="77777777" w:rsidR="003E70BB" w:rsidRPr="00951727" w:rsidRDefault="003E70BB" w:rsidP="003E70BB">
            <w:pPr>
              <w:widowControl w:val="0"/>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1BD97C6F" w14:textId="77777777" w:rsidR="003E70BB" w:rsidRPr="00951727" w:rsidRDefault="003E70BB" w:rsidP="003E70BB">
            <w:pPr>
              <w:widowControl w:val="0"/>
              <w:spacing w:after="200" w:line="276" w:lineRule="auto"/>
            </w:pPr>
          </w:p>
        </w:tc>
      </w:tr>
      <w:tr w:rsidR="007E716C" w:rsidRPr="00F909DC" w14:paraId="7130D443" w14:textId="77777777" w:rsidTr="00D21150">
        <w:trPr>
          <w:trHeight w:hRule="exact" w:val="3046"/>
        </w:trPr>
        <w:tc>
          <w:tcPr>
            <w:tcW w:w="1470" w:type="dxa"/>
            <w:tcBorders>
              <w:top w:val="single" w:sz="4" w:space="0" w:color="000000"/>
              <w:left w:val="single" w:sz="4" w:space="0" w:color="000000"/>
              <w:bottom w:val="single" w:sz="4" w:space="0" w:color="000000"/>
              <w:right w:val="single" w:sz="4" w:space="0" w:color="000000"/>
            </w:tcBorders>
          </w:tcPr>
          <w:p w14:paraId="458B5B6F"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rPr>
              <w:t>Širdies</w:t>
            </w:r>
          </w:p>
          <w:p w14:paraId="0E3F7EE1" w14:textId="77777777" w:rsidR="003E70BB" w:rsidRPr="00F909DC" w:rsidRDefault="003E70BB" w:rsidP="00BE562B">
            <w:pPr>
              <w:spacing w:before="1" w:after="0" w:line="240" w:lineRule="auto"/>
              <w:ind w:left="102" w:right="-20"/>
              <w:rPr>
                <w:rFonts w:ascii="Times New Roman" w:hAnsi="Times New Roman"/>
              </w:rPr>
            </w:pPr>
            <w:r w:rsidRPr="00534C57">
              <w:rPr>
                <w:rFonts w:ascii="Times New Roman" w:eastAsia="Times New Roman" w:hAnsi="Times New Roman"/>
              </w:rPr>
              <w:t>sutrikimai</w:t>
            </w:r>
          </w:p>
        </w:tc>
        <w:tc>
          <w:tcPr>
            <w:tcW w:w="1561" w:type="dxa"/>
            <w:tcBorders>
              <w:top w:val="single" w:sz="4" w:space="0" w:color="000000"/>
              <w:left w:val="single" w:sz="4" w:space="0" w:color="000000"/>
              <w:bottom w:val="single" w:sz="4" w:space="0" w:color="000000"/>
              <w:right w:val="single" w:sz="4" w:space="0" w:color="000000"/>
            </w:tcBorders>
          </w:tcPr>
          <w:p w14:paraId="34F33C9B" w14:textId="77777777" w:rsidR="003E70BB" w:rsidRPr="00951727" w:rsidRDefault="003E70BB" w:rsidP="003E70BB">
            <w:pPr>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7268C8FE"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supraventrikulinė</w:t>
            </w:r>
          </w:p>
          <w:p w14:paraId="38F3AB70" w14:textId="77777777" w:rsidR="003E70BB" w:rsidRPr="00534C57" w:rsidRDefault="003E70BB" w:rsidP="003E70BB">
            <w:pPr>
              <w:spacing w:before="1" w:after="0" w:line="240" w:lineRule="auto"/>
              <w:ind w:left="100" w:right="714"/>
              <w:rPr>
                <w:rFonts w:ascii="Times New Roman" w:eastAsia="Times New Roman" w:hAnsi="Times New Roman"/>
              </w:rPr>
            </w:pPr>
            <w:r w:rsidRPr="00534C57">
              <w:rPr>
                <w:rFonts w:ascii="Times New Roman" w:eastAsia="Times New Roman" w:hAnsi="Times New Roman"/>
              </w:rPr>
              <w:t>aritmija, tachikardija, bradikardija</w:t>
            </w:r>
          </w:p>
        </w:tc>
        <w:tc>
          <w:tcPr>
            <w:tcW w:w="2008" w:type="dxa"/>
            <w:tcBorders>
              <w:top w:val="single" w:sz="4" w:space="0" w:color="000000"/>
              <w:left w:val="single" w:sz="4" w:space="0" w:color="000000"/>
              <w:bottom w:val="single" w:sz="4" w:space="0" w:color="000000"/>
              <w:right w:val="single" w:sz="4" w:space="0" w:color="000000"/>
            </w:tcBorders>
          </w:tcPr>
          <w:p w14:paraId="7704C891" w14:textId="77777777" w:rsidR="003E70BB" w:rsidRPr="00534C57" w:rsidRDefault="003E70BB" w:rsidP="003E70BB">
            <w:pPr>
              <w:spacing w:after="0" w:line="246" w:lineRule="exact"/>
              <w:ind w:left="100" w:right="-20"/>
              <w:rPr>
                <w:rFonts w:ascii="Times New Roman" w:eastAsia="Times New Roman" w:hAnsi="Times New Roman"/>
              </w:rPr>
            </w:pPr>
            <w:r w:rsidRPr="00F909DC">
              <w:rPr>
                <w:rFonts w:ascii="Times New Roman" w:hAnsi="Times New Roman"/>
              </w:rPr>
              <w:t>skilvelių</w:t>
            </w:r>
          </w:p>
          <w:p w14:paraId="0D8F5D90" w14:textId="77777777" w:rsidR="003E70BB" w:rsidRPr="00F909DC" w:rsidRDefault="003E70BB" w:rsidP="00BE562B">
            <w:pPr>
              <w:spacing w:before="1" w:after="0" w:line="240" w:lineRule="auto"/>
              <w:ind w:left="100" w:right="269"/>
              <w:rPr>
                <w:rFonts w:ascii="Times New Roman" w:hAnsi="Times New Roman"/>
              </w:rPr>
            </w:pPr>
            <w:r w:rsidRPr="00F909DC">
              <w:rPr>
                <w:rFonts w:ascii="Times New Roman" w:hAnsi="Times New Roman"/>
              </w:rPr>
              <w:t>virpėji</w:t>
            </w:r>
            <w:r w:rsidRPr="00F909DC">
              <w:rPr>
                <w:rFonts w:ascii="Times New Roman" w:hAnsi="Times New Roman"/>
                <w:spacing w:val="-4"/>
              </w:rPr>
              <w:t>m</w:t>
            </w:r>
            <w:r w:rsidRPr="00F909DC">
              <w:rPr>
                <w:rFonts w:ascii="Times New Roman" w:hAnsi="Times New Roman"/>
              </w:rPr>
              <w:t xml:space="preserve">as, skilvelių ekstrasistolės, </w:t>
            </w:r>
            <w:r w:rsidRPr="00534C57">
              <w:rPr>
                <w:rFonts w:ascii="Times New Roman" w:eastAsia="Times New Roman" w:hAnsi="Times New Roman"/>
              </w:rPr>
              <w:t xml:space="preserve">skilvelių tachikardija, pailgėjęs QT intervalas elektrokardiogra- </w:t>
            </w:r>
            <w:r w:rsidRPr="00534C57">
              <w:rPr>
                <w:rFonts w:ascii="Times New Roman" w:eastAsia="Times New Roman" w:hAnsi="Times New Roman"/>
                <w:spacing w:val="-2"/>
              </w:rPr>
              <w:t>mo</w:t>
            </w:r>
            <w:r w:rsidRPr="00534C57">
              <w:rPr>
                <w:rFonts w:ascii="Times New Roman" w:eastAsia="Times New Roman" w:hAnsi="Times New Roman"/>
                <w:spacing w:val="3"/>
              </w:rPr>
              <w:t>j</w:t>
            </w:r>
            <w:r w:rsidRPr="00534C57">
              <w:rPr>
                <w:rFonts w:ascii="Times New Roman" w:eastAsia="Times New Roman" w:hAnsi="Times New Roman"/>
              </w:rPr>
              <w:t>e,</w:t>
            </w:r>
            <w:r w:rsidRPr="00F909DC">
              <w:rPr>
                <w:rFonts w:ascii="Times New Roman" w:hAnsi="Times New Roman"/>
              </w:rPr>
              <w:t xml:space="preserve"> supraventrikulinė tachikardija</w:t>
            </w:r>
          </w:p>
        </w:tc>
        <w:tc>
          <w:tcPr>
            <w:tcW w:w="1736" w:type="dxa"/>
            <w:tcBorders>
              <w:top w:val="single" w:sz="4" w:space="0" w:color="000000"/>
              <w:left w:val="single" w:sz="4" w:space="0" w:color="000000"/>
              <w:bottom w:val="single" w:sz="4" w:space="0" w:color="000000"/>
              <w:right w:val="single" w:sz="4" w:space="0" w:color="000000"/>
            </w:tcBorders>
          </w:tcPr>
          <w:p w14:paraId="50050C97"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i/>
              </w:rPr>
              <w:t>torsades de</w:t>
            </w:r>
          </w:p>
          <w:p w14:paraId="6CC0EE4B" w14:textId="77777777" w:rsidR="003E70BB" w:rsidRPr="00534C57" w:rsidRDefault="003E70BB" w:rsidP="003E70BB">
            <w:pPr>
              <w:spacing w:before="1" w:after="0" w:line="240" w:lineRule="auto"/>
              <w:ind w:left="100" w:right="70"/>
              <w:rPr>
                <w:rFonts w:ascii="Times New Roman" w:eastAsia="Times New Roman" w:hAnsi="Times New Roman"/>
              </w:rPr>
            </w:pPr>
            <w:r w:rsidRPr="00534C57">
              <w:rPr>
                <w:rFonts w:ascii="Times New Roman" w:eastAsia="Times New Roman" w:hAnsi="Times New Roman"/>
                <w:i/>
              </w:rPr>
              <w:t xml:space="preserve">pointes, </w:t>
            </w:r>
            <w:r w:rsidRPr="00534C57">
              <w:rPr>
                <w:rFonts w:ascii="Times New Roman" w:eastAsia="Times New Roman" w:hAnsi="Times New Roman"/>
                <w:spacing w:val="-1"/>
              </w:rPr>
              <w:t xml:space="preserve">visiška </w:t>
            </w:r>
            <w:r w:rsidRPr="00534C57">
              <w:rPr>
                <w:rFonts w:ascii="Times New Roman" w:eastAsia="Times New Roman" w:hAnsi="Times New Roman"/>
              </w:rPr>
              <w:t xml:space="preserve">atrioventrikulinė blokada, Hiso pluošto kojytės blokada, </w:t>
            </w:r>
            <w:r w:rsidRPr="00534C57">
              <w:rPr>
                <w:rFonts w:ascii="Times New Roman" w:eastAsia="Times New Roman" w:hAnsi="Times New Roman"/>
                <w:spacing w:val="-4"/>
              </w:rPr>
              <w:t>m</w:t>
            </w:r>
            <w:r w:rsidRPr="00534C57">
              <w:rPr>
                <w:rFonts w:ascii="Times New Roman" w:eastAsia="Times New Roman" w:hAnsi="Times New Roman"/>
                <w:spacing w:val="3"/>
              </w:rPr>
              <w:t>a</w:t>
            </w:r>
            <w:r w:rsidRPr="00534C57">
              <w:rPr>
                <w:rFonts w:ascii="Times New Roman" w:eastAsia="Times New Roman" w:hAnsi="Times New Roman"/>
              </w:rPr>
              <w:t>zginis</w:t>
            </w:r>
            <w:r w:rsidRPr="00534C57">
              <w:rPr>
                <w:rFonts w:ascii="Times New Roman" w:eastAsia="Times New Roman" w:hAnsi="Times New Roman"/>
                <w:spacing w:val="-1"/>
              </w:rPr>
              <w:t xml:space="preserve"> </w:t>
            </w:r>
            <w:r w:rsidRPr="00534C57">
              <w:rPr>
                <w:rFonts w:ascii="Times New Roman" w:eastAsia="Times New Roman" w:hAnsi="Times New Roman"/>
              </w:rPr>
              <w:t>ritmas</w:t>
            </w:r>
          </w:p>
        </w:tc>
        <w:tc>
          <w:tcPr>
            <w:tcW w:w="1577" w:type="dxa"/>
            <w:tcBorders>
              <w:top w:val="single" w:sz="4" w:space="0" w:color="000000"/>
              <w:left w:val="single" w:sz="4" w:space="0" w:color="000000"/>
              <w:bottom w:val="single" w:sz="4" w:space="0" w:color="000000"/>
              <w:right w:val="single" w:sz="4" w:space="0" w:color="000000"/>
            </w:tcBorders>
          </w:tcPr>
          <w:p w14:paraId="4082B399" w14:textId="77777777" w:rsidR="003E70BB" w:rsidRPr="00951727" w:rsidRDefault="003E70BB" w:rsidP="003E70BB">
            <w:pPr>
              <w:spacing w:after="200" w:line="276" w:lineRule="auto"/>
            </w:pPr>
          </w:p>
        </w:tc>
      </w:tr>
      <w:tr w:rsidR="007E716C" w:rsidRPr="00F909DC" w14:paraId="599A8F8D" w14:textId="77777777" w:rsidTr="00D21150">
        <w:trPr>
          <w:trHeight w:hRule="exact" w:val="802"/>
        </w:trPr>
        <w:tc>
          <w:tcPr>
            <w:tcW w:w="1470" w:type="dxa"/>
            <w:tcBorders>
              <w:top w:val="single" w:sz="4" w:space="0" w:color="000000"/>
              <w:left w:val="single" w:sz="4" w:space="0" w:color="000000"/>
              <w:bottom w:val="single" w:sz="4" w:space="0" w:color="000000"/>
              <w:right w:val="single" w:sz="4" w:space="0" w:color="000000"/>
            </w:tcBorders>
          </w:tcPr>
          <w:p w14:paraId="794C0CD1" w14:textId="77777777" w:rsidR="003E70BB" w:rsidRPr="00534C57" w:rsidRDefault="003E70BB" w:rsidP="003E70BB">
            <w:pPr>
              <w:spacing w:after="0" w:line="246" w:lineRule="exact"/>
              <w:ind w:left="102" w:right="-20"/>
              <w:rPr>
                <w:rFonts w:ascii="Times New Roman" w:eastAsia="Times New Roman" w:hAnsi="Times New Roman"/>
              </w:rPr>
            </w:pPr>
            <w:r w:rsidRPr="00F909DC">
              <w:rPr>
                <w:rFonts w:ascii="Times New Roman" w:hAnsi="Times New Roman"/>
              </w:rPr>
              <w:t>Kraujagyslių</w:t>
            </w:r>
          </w:p>
          <w:p w14:paraId="75949F24" w14:textId="77777777" w:rsidR="003E70BB" w:rsidRPr="00F909DC" w:rsidRDefault="003E70BB" w:rsidP="00BE562B">
            <w:pPr>
              <w:spacing w:before="1" w:after="0" w:line="240" w:lineRule="auto"/>
              <w:ind w:left="102" w:right="-20"/>
              <w:rPr>
                <w:rFonts w:ascii="Times New Roman" w:hAnsi="Times New Roman"/>
              </w:rPr>
            </w:pPr>
            <w:r w:rsidRPr="00F909DC">
              <w:rPr>
                <w:rFonts w:ascii="Times New Roman" w:hAnsi="Times New Roman"/>
              </w:rPr>
              <w:t>sutrik</w:t>
            </w:r>
            <w:r w:rsidRPr="00F909DC">
              <w:rPr>
                <w:rFonts w:ascii="Times New Roman" w:hAnsi="Times New Roman"/>
                <w:spacing w:val="1"/>
              </w:rPr>
              <w:t>i</w:t>
            </w:r>
            <w:r w:rsidRPr="00F909DC">
              <w:rPr>
                <w:rFonts w:ascii="Times New Roman" w:hAnsi="Times New Roman"/>
                <w:spacing w:val="-2"/>
              </w:rPr>
              <w:t>mai</w:t>
            </w:r>
          </w:p>
        </w:tc>
        <w:tc>
          <w:tcPr>
            <w:tcW w:w="1561" w:type="dxa"/>
            <w:tcBorders>
              <w:top w:val="single" w:sz="4" w:space="0" w:color="000000"/>
              <w:left w:val="single" w:sz="4" w:space="0" w:color="000000"/>
              <w:bottom w:val="single" w:sz="4" w:space="0" w:color="000000"/>
              <w:right w:val="single" w:sz="4" w:space="0" w:color="000000"/>
            </w:tcBorders>
          </w:tcPr>
          <w:p w14:paraId="61AA1399" w14:textId="77777777" w:rsidR="003E70BB" w:rsidRPr="00951727" w:rsidRDefault="003E70BB" w:rsidP="003E70BB">
            <w:pPr>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54BEC799"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hipotenzija, flebitas</w:t>
            </w:r>
          </w:p>
        </w:tc>
        <w:tc>
          <w:tcPr>
            <w:tcW w:w="2008" w:type="dxa"/>
            <w:tcBorders>
              <w:top w:val="single" w:sz="4" w:space="0" w:color="000000"/>
              <w:left w:val="single" w:sz="4" w:space="0" w:color="000000"/>
              <w:bottom w:val="single" w:sz="4" w:space="0" w:color="000000"/>
              <w:right w:val="single" w:sz="4" w:space="0" w:color="000000"/>
            </w:tcBorders>
          </w:tcPr>
          <w:p w14:paraId="35FC0B74"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tromboflebitas,</w:t>
            </w:r>
          </w:p>
          <w:p w14:paraId="215036F0" w14:textId="77777777" w:rsidR="003E70BB" w:rsidRPr="00534C57" w:rsidRDefault="003E70BB" w:rsidP="003E70BB">
            <w:pPr>
              <w:spacing w:before="1" w:after="0" w:line="240" w:lineRule="auto"/>
              <w:ind w:left="100" w:right="-20"/>
              <w:rPr>
                <w:rFonts w:ascii="Times New Roman" w:eastAsia="Times New Roman" w:hAnsi="Times New Roman"/>
              </w:rPr>
            </w:pPr>
            <w:r w:rsidRPr="00534C57">
              <w:rPr>
                <w:rFonts w:ascii="Times New Roman" w:eastAsia="Times New Roman" w:hAnsi="Times New Roman"/>
              </w:rPr>
              <w:t>limfa</w:t>
            </w:r>
            <w:r w:rsidR="00524D44">
              <w:rPr>
                <w:rFonts w:ascii="Times New Roman" w:eastAsia="Times New Roman" w:hAnsi="Times New Roman"/>
              </w:rPr>
              <w:t>n</w:t>
            </w:r>
            <w:r w:rsidRPr="00534C57">
              <w:rPr>
                <w:rFonts w:ascii="Times New Roman" w:eastAsia="Times New Roman" w:hAnsi="Times New Roman"/>
              </w:rPr>
              <w:t>gitas</w:t>
            </w:r>
          </w:p>
        </w:tc>
        <w:tc>
          <w:tcPr>
            <w:tcW w:w="1736" w:type="dxa"/>
            <w:tcBorders>
              <w:top w:val="single" w:sz="4" w:space="0" w:color="000000"/>
              <w:left w:val="single" w:sz="4" w:space="0" w:color="000000"/>
              <w:bottom w:val="single" w:sz="4" w:space="0" w:color="000000"/>
              <w:right w:val="single" w:sz="4" w:space="0" w:color="000000"/>
            </w:tcBorders>
          </w:tcPr>
          <w:p w14:paraId="1D5847D7"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5EC8D4DA" w14:textId="77777777" w:rsidR="003E70BB" w:rsidRPr="00951727" w:rsidRDefault="003E70BB" w:rsidP="003E70BB">
            <w:pPr>
              <w:spacing w:after="200" w:line="276" w:lineRule="auto"/>
            </w:pPr>
          </w:p>
        </w:tc>
      </w:tr>
      <w:tr w:rsidR="007E716C" w:rsidRPr="00F909DC" w14:paraId="2FFA1F41" w14:textId="77777777" w:rsidTr="00D21150">
        <w:trPr>
          <w:trHeight w:hRule="exact" w:val="1274"/>
        </w:trPr>
        <w:tc>
          <w:tcPr>
            <w:tcW w:w="1470" w:type="dxa"/>
            <w:tcBorders>
              <w:top w:val="single" w:sz="4" w:space="0" w:color="000000"/>
              <w:left w:val="single" w:sz="4" w:space="0" w:color="000000"/>
              <w:bottom w:val="single" w:sz="4" w:space="0" w:color="000000"/>
              <w:right w:val="single" w:sz="4" w:space="0" w:color="000000"/>
            </w:tcBorders>
          </w:tcPr>
          <w:p w14:paraId="198204B1" w14:textId="77777777" w:rsidR="003E70BB" w:rsidRPr="00534C57" w:rsidRDefault="003E70BB" w:rsidP="00AC7A35">
            <w:pPr>
              <w:spacing w:after="0" w:line="246" w:lineRule="exact"/>
              <w:ind w:left="102" w:right="-20"/>
              <w:rPr>
                <w:rFonts w:ascii="Times New Roman" w:eastAsia="Times New Roman" w:hAnsi="Times New Roman"/>
              </w:rPr>
            </w:pPr>
            <w:r w:rsidRPr="00534C57">
              <w:rPr>
                <w:rFonts w:ascii="Times New Roman" w:eastAsia="Times New Roman" w:hAnsi="Times New Roman"/>
                <w:spacing w:val="-1"/>
              </w:rPr>
              <w:t>Kvėpavimo</w:t>
            </w:r>
            <w:r w:rsidR="00AC7A35">
              <w:rPr>
                <w:rFonts w:ascii="Times New Roman" w:eastAsia="Times New Roman" w:hAnsi="Times New Roman"/>
              </w:rPr>
              <w:t xml:space="preserve"> </w:t>
            </w:r>
            <w:r w:rsidRPr="00534C57">
              <w:rPr>
                <w:rFonts w:ascii="Times New Roman" w:eastAsia="Times New Roman" w:hAnsi="Times New Roman"/>
              </w:rPr>
              <w:t>sistemos, krūtinės ląstos</w:t>
            </w:r>
          </w:p>
          <w:p w14:paraId="2BFAC66E" w14:textId="77777777" w:rsidR="003E70BB" w:rsidRPr="00534C57" w:rsidRDefault="003E70BB" w:rsidP="003E70BB">
            <w:pPr>
              <w:spacing w:after="0" w:line="249" w:lineRule="exact"/>
              <w:ind w:left="102" w:right="-20"/>
              <w:rPr>
                <w:rFonts w:ascii="Times New Roman" w:eastAsia="Times New Roman" w:hAnsi="Times New Roman"/>
              </w:rPr>
            </w:pPr>
            <w:r w:rsidRPr="00534C57">
              <w:rPr>
                <w:rFonts w:ascii="Times New Roman" w:eastAsia="Times New Roman" w:hAnsi="Times New Roman"/>
              </w:rPr>
              <w:t>ir tarpuplaučio</w:t>
            </w:r>
          </w:p>
          <w:p w14:paraId="4E9B326B" w14:textId="77777777" w:rsidR="003E70BB" w:rsidRPr="00F909DC" w:rsidRDefault="003E70BB" w:rsidP="00BE562B">
            <w:pPr>
              <w:spacing w:after="0" w:line="252" w:lineRule="exact"/>
              <w:ind w:left="102" w:right="-20"/>
              <w:rPr>
                <w:rFonts w:ascii="Times New Roman" w:hAnsi="Times New Roman"/>
              </w:rPr>
            </w:pPr>
            <w:r w:rsidRPr="00534C57">
              <w:rPr>
                <w:rFonts w:ascii="Times New Roman" w:eastAsia="Times New Roman" w:hAnsi="Times New Roman"/>
              </w:rPr>
              <w:t>sutrikimai</w:t>
            </w:r>
          </w:p>
        </w:tc>
        <w:tc>
          <w:tcPr>
            <w:tcW w:w="1561" w:type="dxa"/>
            <w:tcBorders>
              <w:top w:val="single" w:sz="4" w:space="0" w:color="000000"/>
              <w:left w:val="single" w:sz="4" w:space="0" w:color="000000"/>
              <w:bottom w:val="single" w:sz="4" w:space="0" w:color="000000"/>
              <w:right w:val="single" w:sz="4" w:space="0" w:color="000000"/>
            </w:tcBorders>
          </w:tcPr>
          <w:p w14:paraId="32E9FF26" w14:textId="77777777" w:rsidR="003E70BB" w:rsidRPr="00534C57" w:rsidRDefault="00524D44" w:rsidP="003E70BB">
            <w:pPr>
              <w:spacing w:after="0" w:line="246" w:lineRule="exact"/>
              <w:ind w:left="102" w:right="-20"/>
              <w:rPr>
                <w:rFonts w:ascii="Times New Roman" w:eastAsia="Times New Roman" w:hAnsi="Times New Roman"/>
              </w:rPr>
            </w:pPr>
            <w:r>
              <w:rPr>
                <w:rFonts w:ascii="Times New Roman" w:eastAsia="Times New Roman" w:hAnsi="Times New Roman"/>
              </w:rPr>
              <w:t>respiracinis</w:t>
            </w:r>
          </w:p>
          <w:p w14:paraId="55EE2B32" w14:textId="77777777" w:rsidR="003E70BB" w:rsidRPr="00534C57" w:rsidRDefault="00524D44" w:rsidP="003E70BB">
            <w:pPr>
              <w:spacing w:before="1" w:after="0" w:line="254" w:lineRule="exact"/>
              <w:ind w:left="102" w:right="472"/>
              <w:rPr>
                <w:rFonts w:ascii="Times New Roman" w:eastAsia="Times New Roman" w:hAnsi="Times New Roman"/>
                <w:sz w:val="14"/>
                <w:szCs w:val="14"/>
              </w:rPr>
            </w:pPr>
            <w:r>
              <w:rPr>
                <w:rFonts w:ascii="Times New Roman" w:eastAsia="Times New Roman" w:hAnsi="Times New Roman"/>
              </w:rPr>
              <w:t>(</w:t>
            </w:r>
            <w:r w:rsidR="003E70BB" w:rsidRPr="00534C57">
              <w:rPr>
                <w:rFonts w:ascii="Times New Roman" w:eastAsia="Times New Roman" w:hAnsi="Times New Roman"/>
              </w:rPr>
              <w:t>distreso</w:t>
            </w:r>
            <w:r>
              <w:rPr>
                <w:rFonts w:ascii="Times New Roman" w:eastAsia="Times New Roman" w:hAnsi="Times New Roman"/>
              </w:rPr>
              <w:t>)</w:t>
            </w:r>
            <w:r w:rsidR="003E70BB" w:rsidRPr="00534C57">
              <w:rPr>
                <w:rFonts w:ascii="Times New Roman" w:eastAsia="Times New Roman" w:hAnsi="Times New Roman"/>
              </w:rPr>
              <w:t xml:space="preserve"> sindromas</w:t>
            </w:r>
            <w:r w:rsidR="003E70BB" w:rsidRPr="00534C57">
              <w:rPr>
                <w:rFonts w:ascii="Times New Roman" w:eastAsia="Times New Roman" w:hAnsi="Times New Roman"/>
                <w:position w:val="10"/>
                <w:sz w:val="14"/>
                <w:szCs w:val="14"/>
              </w:rPr>
              <w:t>9</w:t>
            </w:r>
          </w:p>
        </w:tc>
        <w:tc>
          <w:tcPr>
            <w:tcW w:w="1919" w:type="dxa"/>
            <w:tcBorders>
              <w:top w:val="single" w:sz="4" w:space="0" w:color="000000"/>
              <w:left w:val="single" w:sz="4" w:space="0" w:color="000000"/>
              <w:bottom w:val="single" w:sz="4" w:space="0" w:color="000000"/>
              <w:right w:val="single" w:sz="4" w:space="0" w:color="000000"/>
            </w:tcBorders>
          </w:tcPr>
          <w:p w14:paraId="2CFC0790"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ūminis</w:t>
            </w:r>
            <w:r w:rsidRPr="00F909DC">
              <w:rPr>
                <w:rFonts w:ascii="Times New Roman" w:hAnsi="Times New Roman"/>
                <w:spacing w:val="1"/>
              </w:rPr>
              <w:t xml:space="preserve"> </w:t>
            </w:r>
            <w:r w:rsidR="00524D44" w:rsidRPr="00F909DC">
              <w:rPr>
                <w:rFonts w:ascii="Times New Roman" w:hAnsi="Times New Roman"/>
                <w:spacing w:val="-1"/>
              </w:rPr>
              <w:t>respiracinis</w:t>
            </w:r>
          </w:p>
          <w:p w14:paraId="5BBAF674" w14:textId="77777777" w:rsidR="003E70BB" w:rsidRPr="00F909DC" w:rsidRDefault="00524D44" w:rsidP="00BE562B">
            <w:pPr>
              <w:spacing w:before="1" w:after="0" w:line="254" w:lineRule="exact"/>
              <w:ind w:left="100" w:right="111"/>
              <w:rPr>
                <w:rFonts w:ascii="Times New Roman" w:hAnsi="Times New Roman"/>
              </w:rPr>
            </w:pPr>
            <w:r w:rsidRPr="00F909DC">
              <w:rPr>
                <w:rFonts w:ascii="Times New Roman" w:hAnsi="Times New Roman"/>
              </w:rPr>
              <w:t>(</w:t>
            </w:r>
            <w:r w:rsidR="003E70BB" w:rsidRPr="00F909DC">
              <w:rPr>
                <w:rFonts w:ascii="Times New Roman" w:hAnsi="Times New Roman"/>
              </w:rPr>
              <w:t>distreso</w:t>
            </w:r>
            <w:r w:rsidRPr="00F909DC">
              <w:rPr>
                <w:rFonts w:ascii="Times New Roman" w:hAnsi="Times New Roman"/>
              </w:rPr>
              <w:t>)</w:t>
            </w:r>
            <w:r w:rsidR="003E70BB" w:rsidRPr="00F909DC">
              <w:rPr>
                <w:rFonts w:ascii="Times New Roman" w:hAnsi="Times New Roman"/>
              </w:rPr>
              <w:t xml:space="preserve"> sindromas, plaučių</w:t>
            </w:r>
            <w:r w:rsidR="003E70BB" w:rsidRPr="00F909DC">
              <w:rPr>
                <w:rFonts w:ascii="Times New Roman" w:hAnsi="Times New Roman"/>
                <w:spacing w:val="-1"/>
              </w:rPr>
              <w:t xml:space="preserve"> </w:t>
            </w:r>
            <w:r w:rsidR="003E70BB" w:rsidRPr="00F909DC">
              <w:rPr>
                <w:rFonts w:ascii="Times New Roman" w:hAnsi="Times New Roman"/>
              </w:rPr>
              <w:t>edema</w:t>
            </w:r>
          </w:p>
        </w:tc>
        <w:tc>
          <w:tcPr>
            <w:tcW w:w="2008" w:type="dxa"/>
            <w:tcBorders>
              <w:top w:val="single" w:sz="4" w:space="0" w:color="000000"/>
              <w:left w:val="single" w:sz="4" w:space="0" w:color="000000"/>
              <w:bottom w:val="single" w:sz="4" w:space="0" w:color="000000"/>
              <w:right w:val="single" w:sz="4" w:space="0" w:color="000000"/>
            </w:tcBorders>
          </w:tcPr>
          <w:p w14:paraId="2E8DA37F" w14:textId="77777777" w:rsidR="003E70BB" w:rsidRPr="00951727" w:rsidRDefault="003E70BB" w:rsidP="003E70BB">
            <w:pPr>
              <w:spacing w:after="200" w:line="276" w:lineRule="auto"/>
            </w:pPr>
          </w:p>
        </w:tc>
        <w:tc>
          <w:tcPr>
            <w:tcW w:w="1736" w:type="dxa"/>
            <w:tcBorders>
              <w:top w:val="single" w:sz="4" w:space="0" w:color="000000"/>
              <w:left w:val="single" w:sz="4" w:space="0" w:color="000000"/>
              <w:bottom w:val="single" w:sz="4" w:space="0" w:color="000000"/>
              <w:right w:val="single" w:sz="4" w:space="0" w:color="000000"/>
            </w:tcBorders>
          </w:tcPr>
          <w:p w14:paraId="0AC6136F"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6BE44A0F" w14:textId="77777777" w:rsidR="003E70BB" w:rsidRPr="00951727" w:rsidRDefault="003E70BB" w:rsidP="003E70BB">
            <w:pPr>
              <w:spacing w:after="200" w:line="276" w:lineRule="auto"/>
            </w:pPr>
          </w:p>
        </w:tc>
      </w:tr>
      <w:tr w:rsidR="007E716C" w:rsidRPr="00F909DC" w14:paraId="5C401E19" w14:textId="77777777" w:rsidTr="00D21150">
        <w:trPr>
          <w:trHeight w:hRule="exact" w:val="1526"/>
        </w:trPr>
        <w:tc>
          <w:tcPr>
            <w:tcW w:w="1470" w:type="dxa"/>
            <w:tcBorders>
              <w:top w:val="single" w:sz="4" w:space="0" w:color="000000"/>
              <w:left w:val="single" w:sz="4" w:space="0" w:color="000000"/>
              <w:bottom w:val="single" w:sz="4" w:space="0" w:color="000000"/>
              <w:right w:val="single" w:sz="4" w:space="0" w:color="000000"/>
            </w:tcBorders>
          </w:tcPr>
          <w:p w14:paraId="298DD98E"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spacing w:val="-1"/>
              </w:rPr>
              <w:lastRenderedPageBreak/>
              <w:t>Virškinimo</w:t>
            </w:r>
          </w:p>
          <w:p w14:paraId="41DFE75D" w14:textId="77777777" w:rsidR="003E70BB" w:rsidRPr="00F909DC" w:rsidRDefault="003E70BB" w:rsidP="00BE562B">
            <w:pPr>
              <w:spacing w:before="1" w:after="0" w:line="254" w:lineRule="exact"/>
              <w:ind w:left="102" w:right="464"/>
              <w:rPr>
                <w:rFonts w:ascii="Times New Roman" w:hAnsi="Times New Roman"/>
              </w:rPr>
            </w:pPr>
            <w:r w:rsidRPr="00534C57">
              <w:rPr>
                <w:rFonts w:ascii="Times New Roman" w:eastAsia="Times New Roman" w:hAnsi="Times New Roman"/>
              </w:rPr>
              <w:t>trakto sutrikimai</w:t>
            </w:r>
          </w:p>
        </w:tc>
        <w:tc>
          <w:tcPr>
            <w:tcW w:w="1561" w:type="dxa"/>
            <w:tcBorders>
              <w:top w:val="single" w:sz="4" w:space="0" w:color="000000"/>
              <w:left w:val="single" w:sz="4" w:space="0" w:color="000000"/>
              <w:bottom w:val="single" w:sz="4" w:space="0" w:color="000000"/>
              <w:right w:val="single" w:sz="4" w:space="0" w:color="000000"/>
            </w:tcBorders>
          </w:tcPr>
          <w:p w14:paraId="45BBBF44"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rPr>
              <w:t>viduriavimas,</w:t>
            </w:r>
          </w:p>
          <w:p w14:paraId="4EA55D6F" w14:textId="77777777" w:rsidR="003E70BB" w:rsidRPr="00534C57" w:rsidRDefault="003E70BB" w:rsidP="003E70BB">
            <w:pPr>
              <w:spacing w:before="1" w:after="0" w:line="254" w:lineRule="exact"/>
              <w:ind w:left="102" w:right="92"/>
              <w:rPr>
                <w:rFonts w:ascii="Times New Roman" w:eastAsia="Times New Roman" w:hAnsi="Times New Roman"/>
              </w:rPr>
            </w:pPr>
            <w:r w:rsidRPr="00534C57">
              <w:rPr>
                <w:rFonts w:ascii="Times New Roman" w:eastAsia="Times New Roman" w:hAnsi="Times New Roman"/>
                <w:spacing w:val="-2"/>
              </w:rPr>
              <w:t>v</w:t>
            </w:r>
            <w:r w:rsidRPr="00534C57">
              <w:rPr>
                <w:rFonts w:ascii="Times New Roman" w:eastAsia="Times New Roman" w:hAnsi="Times New Roman"/>
                <w:spacing w:val="3"/>
              </w:rPr>
              <w:t>ė</w:t>
            </w:r>
            <w:r w:rsidRPr="00534C57">
              <w:rPr>
                <w:rFonts w:ascii="Times New Roman" w:eastAsia="Times New Roman" w:hAnsi="Times New Roman"/>
                <w:spacing w:val="-4"/>
              </w:rPr>
              <w:t>m</w:t>
            </w:r>
            <w:r w:rsidRPr="00534C57">
              <w:rPr>
                <w:rFonts w:ascii="Times New Roman" w:eastAsia="Times New Roman" w:hAnsi="Times New Roman"/>
                <w:spacing w:val="3"/>
              </w:rPr>
              <w:t>i</w:t>
            </w:r>
            <w:r w:rsidRPr="00534C57">
              <w:rPr>
                <w:rFonts w:ascii="Times New Roman" w:eastAsia="Times New Roman" w:hAnsi="Times New Roman"/>
                <w:spacing w:val="-4"/>
              </w:rPr>
              <w:t>m</w:t>
            </w:r>
            <w:r w:rsidRPr="00534C57">
              <w:rPr>
                <w:rFonts w:ascii="Times New Roman" w:eastAsia="Times New Roman" w:hAnsi="Times New Roman"/>
              </w:rPr>
              <w:t>as, pilvo skausmas,</w:t>
            </w:r>
          </w:p>
          <w:p w14:paraId="38FE3AF9" w14:textId="77777777" w:rsidR="003E70BB" w:rsidRPr="00534C57" w:rsidRDefault="003E70BB" w:rsidP="003E70BB">
            <w:pPr>
              <w:spacing w:after="0" w:line="249" w:lineRule="exact"/>
              <w:ind w:left="102" w:right="-20"/>
              <w:rPr>
                <w:rFonts w:ascii="Times New Roman" w:eastAsia="Times New Roman" w:hAnsi="Times New Roman"/>
              </w:rPr>
            </w:pPr>
            <w:r w:rsidRPr="00534C57">
              <w:rPr>
                <w:rFonts w:ascii="Times New Roman" w:eastAsia="Times New Roman" w:hAnsi="Times New Roman"/>
              </w:rPr>
              <w:t>pykinimas</w:t>
            </w:r>
          </w:p>
        </w:tc>
        <w:tc>
          <w:tcPr>
            <w:tcW w:w="1919" w:type="dxa"/>
            <w:tcBorders>
              <w:top w:val="single" w:sz="4" w:space="0" w:color="000000"/>
              <w:left w:val="single" w:sz="4" w:space="0" w:color="000000"/>
              <w:bottom w:val="single" w:sz="4" w:space="0" w:color="000000"/>
              <w:right w:val="single" w:sz="4" w:space="0" w:color="000000"/>
            </w:tcBorders>
          </w:tcPr>
          <w:p w14:paraId="0C293F85"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cheilitas,</w:t>
            </w:r>
          </w:p>
          <w:p w14:paraId="25769BB9" w14:textId="77777777" w:rsidR="003E70BB" w:rsidRPr="00534C57" w:rsidRDefault="003E70BB" w:rsidP="003E70BB">
            <w:pPr>
              <w:spacing w:before="1" w:after="0" w:line="254" w:lineRule="exact"/>
              <w:ind w:left="100" w:right="183"/>
              <w:rPr>
                <w:rFonts w:ascii="Times New Roman" w:eastAsia="Times New Roman" w:hAnsi="Times New Roman"/>
              </w:rPr>
            </w:pPr>
            <w:r w:rsidRPr="00534C57">
              <w:rPr>
                <w:rFonts w:ascii="Times New Roman" w:eastAsia="Times New Roman" w:hAnsi="Times New Roman"/>
              </w:rPr>
              <w:t>dispepsija, vidurių užkietėjimas,</w:t>
            </w:r>
          </w:p>
          <w:p w14:paraId="5240C9D8" w14:textId="77777777" w:rsidR="003E70BB" w:rsidRPr="00534C57" w:rsidRDefault="003E70BB" w:rsidP="003E70BB">
            <w:pPr>
              <w:spacing w:after="0" w:line="249" w:lineRule="exact"/>
              <w:ind w:left="100" w:right="-20"/>
              <w:rPr>
                <w:rFonts w:ascii="Times New Roman" w:eastAsia="Times New Roman" w:hAnsi="Times New Roman"/>
              </w:rPr>
            </w:pPr>
            <w:r w:rsidRPr="00534C57">
              <w:rPr>
                <w:rFonts w:ascii="Times New Roman" w:eastAsia="Times New Roman" w:hAnsi="Times New Roman"/>
              </w:rPr>
              <w:t>gingivitas</w:t>
            </w:r>
          </w:p>
        </w:tc>
        <w:tc>
          <w:tcPr>
            <w:tcW w:w="2008" w:type="dxa"/>
            <w:tcBorders>
              <w:top w:val="single" w:sz="4" w:space="0" w:color="000000"/>
              <w:left w:val="single" w:sz="4" w:space="0" w:color="000000"/>
              <w:bottom w:val="single" w:sz="4" w:space="0" w:color="000000"/>
              <w:right w:val="single" w:sz="4" w:space="0" w:color="000000"/>
            </w:tcBorders>
          </w:tcPr>
          <w:p w14:paraId="1A8C41CE" w14:textId="77777777" w:rsidR="003E70BB" w:rsidRPr="00534C57" w:rsidRDefault="003E70BB" w:rsidP="003E70BB">
            <w:pPr>
              <w:spacing w:after="0" w:line="240" w:lineRule="auto"/>
              <w:ind w:left="102" w:right="-20"/>
              <w:rPr>
                <w:rFonts w:ascii="Times New Roman" w:eastAsia="Times New Roman" w:hAnsi="Times New Roman"/>
              </w:rPr>
            </w:pPr>
            <w:r w:rsidRPr="00534C57">
              <w:rPr>
                <w:rFonts w:ascii="Times New Roman" w:eastAsia="Times New Roman" w:hAnsi="Times New Roman"/>
              </w:rPr>
              <w:t>peritonitas,</w:t>
            </w:r>
          </w:p>
          <w:p w14:paraId="11C5499D" w14:textId="77777777" w:rsidR="003E70BB" w:rsidRPr="00534C57" w:rsidRDefault="003E70BB" w:rsidP="003E70BB">
            <w:pPr>
              <w:spacing w:after="0" w:line="240" w:lineRule="auto"/>
              <w:ind w:left="102" w:right="135"/>
              <w:rPr>
                <w:rFonts w:ascii="Times New Roman" w:eastAsia="Times New Roman" w:hAnsi="Times New Roman"/>
              </w:rPr>
            </w:pPr>
            <w:r w:rsidRPr="00534C57">
              <w:rPr>
                <w:rFonts w:ascii="Times New Roman" w:eastAsia="Times New Roman" w:hAnsi="Times New Roman"/>
              </w:rPr>
              <w:t>pankreatitas</w:t>
            </w:r>
            <w:r w:rsidRPr="00F909DC">
              <w:rPr>
                <w:rFonts w:ascii="Times New Roman" w:hAnsi="Times New Roman"/>
              </w:rPr>
              <w:t>, liežuvio patinimas</w:t>
            </w:r>
            <w:r w:rsidRPr="00534C57">
              <w:rPr>
                <w:rFonts w:ascii="Times New Roman" w:eastAsia="Times New Roman" w:hAnsi="Times New Roman"/>
              </w:rPr>
              <w:t>,</w:t>
            </w:r>
          </w:p>
          <w:p w14:paraId="58A5D457" w14:textId="77777777" w:rsidR="003E70BB" w:rsidRPr="00534C57" w:rsidRDefault="003E70BB" w:rsidP="003E70BB">
            <w:pPr>
              <w:spacing w:after="0" w:line="240" w:lineRule="auto"/>
              <w:ind w:left="102" w:right="-20"/>
              <w:rPr>
                <w:rFonts w:ascii="Times New Roman" w:eastAsia="Times New Roman" w:hAnsi="Times New Roman"/>
              </w:rPr>
            </w:pPr>
            <w:r w:rsidRPr="00F909DC">
              <w:rPr>
                <w:rFonts w:ascii="Times New Roman" w:hAnsi="Times New Roman"/>
              </w:rPr>
              <w:t>duodenitas,</w:t>
            </w:r>
          </w:p>
          <w:p w14:paraId="6CCFF24F" w14:textId="77777777" w:rsidR="003E70BB" w:rsidRPr="00F909DC" w:rsidRDefault="003E70BB" w:rsidP="00BE562B">
            <w:pPr>
              <w:spacing w:after="0" w:line="240" w:lineRule="auto"/>
              <w:ind w:left="102" w:right="471"/>
              <w:rPr>
                <w:rFonts w:ascii="Times New Roman" w:hAnsi="Times New Roman"/>
              </w:rPr>
            </w:pPr>
            <w:r w:rsidRPr="00534C57">
              <w:rPr>
                <w:rFonts w:ascii="Times New Roman" w:eastAsia="Times New Roman" w:hAnsi="Times New Roman"/>
              </w:rPr>
              <w:t>gastroenteritas, glositas</w:t>
            </w:r>
          </w:p>
        </w:tc>
        <w:tc>
          <w:tcPr>
            <w:tcW w:w="1736" w:type="dxa"/>
            <w:tcBorders>
              <w:top w:val="single" w:sz="4" w:space="0" w:color="000000"/>
              <w:left w:val="single" w:sz="4" w:space="0" w:color="000000"/>
              <w:bottom w:val="single" w:sz="4" w:space="0" w:color="000000"/>
              <w:right w:val="single" w:sz="4" w:space="0" w:color="000000"/>
            </w:tcBorders>
          </w:tcPr>
          <w:p w14:paraId="008F9F56"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20E0699B" w14:textId="77777777" w:rsidR="003E70BB" w:rsidRPr="00951727" w:rsidRDefault="003E70BB" w:rsidP="003E70BB">
            <w:pPr>
              <w:spacing w:after="200" w:line="276" w:lineRule="auto"/>
            </w:pPr>
          </w:p>
        </w:tc>
      </w:tr>
      <w:tr w:rsidR="007E716C" w:rsidRPr="00F909DC" w14:paraId="25EBD9EE" w14:textId="77777777" w:rsidTr="00D21150">
        <w:trPr>
          <w:trHeight w:hRule="exact" w:val="1529"/>
        </w:trPr>
        <w:tc>
          <w:tcPr>
            <w:tcW w:w="1470" w:type="dxa"/>
            <w:tcBorders>
              <w:top w:val="single" w:sz="4" w:space="0" w:color="000000"/>
              <w:left w:val="single" w:sz="4" w:space="0" w:color="000000"/>
              <w:bottom w:val="single" w:sz="4" w:space="0" w:color="000000"/>
              <w:right w:val="single" w:sz="4" w:space="0" w:color="000000"/>
            </w:tcBorders>
          </w:tcPr>
          <w:p w14:paraId="22CF92AB" w14:textId="77777777" w:rsidR="003E70BB" w:rsidRPr="00534C57" w:rsidRDefault="003E70BB" w:rsidP="003E70BB">
            <w:pPr>
              <w:spacing w:after="0" w:line="248" w:lineRule="exact"/>
              <w:ind w:left="102" w:right="-20"/>
              <w:rPr>
                <w:rFonts w:ascii="Times New Roman" w:eastAsia="Times New Roman" w:hAnsi="Times New Roman"/>
              </w:rPr>
            </w:pPr>
            <w:r w:rsidRPr="00534C57">
              <w:rPr>
                <w:rFonts w:ascii="Times New Roman" w:eastAsia="Times New Roman" w:hAnsi="Times New Roman"/>
              </w:rPr>
              <w:t>Kepenų,</w:t>
            </w:r>
          </w:p>
          <w:p w14:paraId="103A635F" w14:textId="77777777" w:rsidR="003E70BB" w:rsidRPr="00534C57" w:rsidRDefault="003E70BB" w:rsidP="003E70BB">
            <w:pPr>
              <w:spacing w:before="3" w:after="0" w:line="252" w:lineRule="exact"/>
              <w:ind w:left="102" w:right="176"/>
              <w:rPr>
                <w:rFonts w:ascii="Times New Roman" w:eastAsia="Times New Roman" w:hAnsi="Times New Roman"/>
              </w:rPr>
            </w:pPr>
            <w:r w:rsidRPr="00534C57">
              <w:rPr>
                <w:rFonts w:ascii="Times New Roman" w:eastAsia="Times New Roman" w:hAnsi="Times New Roman"/>
              </w:rPr>
              <w:t>tulžies pūslės ir latakų</w:t>
            </w:r>
          </w:p>
          <w:p w14:paraId="2B02DE4C" w14:textId="77777777" w:rsidR="003E70BB" w:rsidRPr="00F909DC" w:rsidRDefault="003E70BB" w:rsidP="00BE562B">
            <w:pPr>
              <w:spacing w:after="0" w:line="252" w:lineRule="exact"/>
              <w:ind w:left="102" w:right="-20"/>
              <w:rPr>
                <w:rFonts w:ascii="Times New Roman" w:hAnsi="Times New Roman"/>
              </w:rPr>
            </w:pPr>
            <w:r w:rsidRPr="00534C57">
              <w:rPr>
                <w:rFonts w:ascii="Times New Roman" w:eastAsia="Times New Roman" w:hAnsi="Times New Roman"/>
              </w:rPr>
              <w:t>sutrikimai</w:t>
            </w:r>
          </w:p>
        </w:tc>
        <w:tc>
          <w:tcPr>
            <w:tcW w:w="1561" w:type="dxa"/>
            <w:tcBorders>
              <w:top w:val="single" w:sz="4" w:space="0" w:color="000000"/>
              <w:left w:val="single" w:sz="4" w:space="0" w:color="000000"/>
              <w:bottom w:val="single" w:sz="4" w:space="0" w:color="000000"/>
              <w:right w:val="single" w:sz="4" w:space="0" w:color="000000"/>
            </w:tcBorders>
          </w:tcPr>
          <w:p w14:paraId="2816D896" w14:textId="77777777" w:rsidR="003E70BB" w:rsidRPr="00534C57" w:rsidRDefault="003E70BB" w:rsidP="003E70BB">
            <w:pPr>
              <w:spacing w:after="0" w:line="248" w:lineRule="exact"/>
              <w:ind w:left="102" w:right="-20"/>
              <w:rPr>
                <w:rFonts w:ascii="Times New Roman" w:eastAsia="Times New Roman" w:hAnsi="Times New Roman"/>
              </w:rPr>
            </w:pPr>
            <w:r w:rsidRPr="00534C57">
              <w:rPr>
                <w:rFonts w:ascii="Times New Roman" w:eastAsia="Times New Roman" w:hAnsi="Times New Roman"/>
              </w:rPr>
              <w:t>nuo normos</w:t>
            </w:r>
          </w:p>
          <w:p w14:paraId="0F7FB734" w14:textId="77777777" w:rsidR="003E70BB" w:rsidRPr="00534C57" w:rsidRDefault="003E70BB" w:rsidP="003E70BB">
            <w:pPr>
              <w:spacing w:before="3" w:after="0" w:line="252" w:lineRule="exact"/>
              <w:ind w:left="102" w:right="731"/>
              <w:rPr>
                <w:rFonts w:ascii="Times New Roman" w:eastAsia="Times New Roman" w:hAnsi="Times New Roman"/>
              </w:rPr>
            </w:pPr>
            <w:r w:rsidRPr="00534C57">
              <w:rPr>
                <w:rFonts w:ascii="Times New Roman" w:eastAsia="Times New Roman" w:hAnsi="Times New Roman"/>
                <w:spacing w:val="-1"/>
              </w:rPr>
              <w:t xml:space="preserve">nukrypę </w:t>
            </w:r>
            <w:r w:rsidRPr="00534C57">
              <w:rPr>
                <w:rFonts w:ascii="Times New Roman" w:eastAsia="Times New Roman" w:hAnsi="Times New Roman"/>
              </w:rPr>
              <w:t>kepenų</w:t>
            </w:r>
          </w:p>
          <w:p w14:paraId="31A40F06" w14:textId="77777777" w:rsidR="003E70BB" w:rsidRPr="00534C57" w:rsidRDefault="003E70BB" w:rsidP="003E70BB">
            <w:pPr>
              <w:spacing w:before="2" w:after="0" w:line="252" w:lineRule="exact"/>
              <w:ind w:left="102" w:right="630"/>
              <w:rPr>
                <w:rFonts w:ascii="Times New Roman" w:eastAsia="Times New Roman" w:hAnsi="Times New Roman"/>
              </w:rPr>
            </w:pPr>
            <w:r w:rsidRPr="00534C57">
              <w:rPr>
                <w:rFonts w:ascii="Times New Roman" w:eastAsia="Times New Roman" w:hAnsi="Times New Roman"/>
              </w:rPr>
              <w:t xml:space="preserve">funkcijos </w:t>
            </w:r>
            <w:r w:rsidRPr="00534C57">
              <w:rPr>
                <w:rFonts w:ascii="Times New Roman" w:eastAsia="Times New Roman" w:hAnsi="Times New Roman"/>
                <w:spacing w:val="1"/>
              </w:rPr>
              <w:t>t</w:t>
            </w:r>
            <w:r w:rsidRPr="00534C57">
              <w:rPr>
                <w:rFonts w:ascii="Times New Roman" w:eastAsia="Times New Roman" w:hAnsi="Times New Roman"/>
                <w:spacing w:val="-2"/>
              </w:rPr>
              <w:t>y</w:t>
            </w:r>
            <w:r w:rsidRPr="00534C57">
              <w:rPr>
                <w:rFonts w:ascii="Times New Roman" w:eastAsia="Times New Roman" w:hAnsi="Times New Roman"/>
              </w:rPr>
              <w:t>rimai</w:t>
            </w:r>
          </w:p>
        </w:tc>
        <w:tc>
          <w:tcPr>
            <w:tcW w:w="1919" w:type="dxa"/>
            <w:tcBorders>
              <w:top w:val="single" w:sz="4" w:space="0" w:color="000000"/>
              <w:left w:val="single" w:sz="4" w:space="0" w:color="000000"/>
              <w:bottom w:val="single" w:sz="4" w:space="0" w:color="000000"/>
              <w:right w:val="single" w:sz="4" w:space="0" w:color="000000"/>
            </w:tcBorders>
          </w:tcPr>
          <w:p w14:paraId="7DE11771" w14:textId="77777777" w:rsidR="003E70BB" w:rsidRPr="00534C57" w:rsidRDefault="003E70BB" w:rsidP="003E70BB">
            <w:pPr>
              <w:spacing w:before="16" w:after="0" w:line="215" w:lineRule="auto"/>
              <w:ind w:left="100" w:right="179"/>
              <w:rPr>
                <w:rFonts w:ascii="Times New Roman" w:eastAsia="Times New Roman" w:hAnsi="Times New Roman"/>
                <w:sz w:val="14"/>
                <w:szCs w:val="14"/>
              </w:rPr>
            </w:pPr>
            <w:r w:rsidRPr="00534C57">
              <w:rPr>
                <w:rFonts w:ascii="Times New Roman" w:eastAsia="Times New Roman" w:hAnsi="Times New Roman"/>
              </w:rPr>
              <w:t>gelta, cholestazinė gelta, hepatitas</w:t>
            </w:r>
            <w:r w:rsidRPr="00534C57">
              <w:rPr>
                <w:rFonts w:ascii="Times New Roman" w:eastAsia="Times New Roman" w:hAnsi="Times New Roman"/>
                <w:position w:val="10"/>
                <w:sz w:val="14"/>
                <w:szCs w:val="14"/>
              </w:rPr>
              <w:t>10</w:t>
            </w:r>
          </w:p>
        </w:tc>
        <w:tc>
          <w:tcPr>
            <w:tcW w:w="2008" w:type="dxa"/>
            <w:tcBorders>
              <w:top w:val="single" w:sz="4" w:space="0" w:color="000000"/>
              <w:left w:val="single" w:sz="4" w:space="0" w:color="000000"/>
              <w:bottom w:val="single" w:sz="4" w:space="0" w:color="000000"/>
              <w:right w:val="single" w:sz="4" w:space="0" w:color="000000"/>
            </w:tcBorders>
          </w:tcPr>
          <w:p w14:paraId="3F4D4815" w14:textId="77777777" w:rsidR="003E70BB" w:rsidRPr="00534C57" w:rsidRDefault="003E70BB" w:rsidP="003E70BB">
            <w:pPr>
              <w:spacing w:after="0" w:line="248" w:lineRule="exact"/>
              <w:ind w:left="100" w:right="-20"/>
              <w:rPr>
                <w:rFonts w:ascii="Times New Roman" w:eastAsia="Times New Roman" w:hAnsi="Times New Roman"/>
              </w:rPr>
            </w:pPr>
            <w:r w:rsidRPr="00534C57">
              <w:rPr>
                <w:rFonts w:ascii="Times New Roman" w:eastAsia="Times New Roman" w:hAnsi="Times New Roman"/>
              </w:rPr>
              <w:t>kepenų</w:t>
            </w:r>
          </w:p>
          <w:p w14:paraId="12D31530" w14:textId="77777777" w:rsidR="003E70BB" w:rsidRPr="00534C57" w:rsidRDefault="003E70BB" w:rsidP="003E70BB">
            <w:pPr>
              <w:spacing w:before="3" w:after="0" w:line="252" w:lineRule="exact"/>
              <w:ind w:left="100" w:right="181"/>
              <w:rPr>
                <w:rFonts w:ascii="Times New Roman" w:eastAsia="Times New Roman" w:hAnsi="Times New Roman"/>
              </w:rPr>
            </w:pPr>
            <w:r w:rsidRPr="00F909DC">
              <w:rPr>
                <w:rFonts w:ascii="Times New Roman" w:hAnsi="Times New Roman"/>
              </w:rPr>
              <w:t>nepakankamumas, hepatomegalija,</w:t>
            </w:r>
          </w:p>
          <w:p w14:paraId="46E097D2" w14:textId="77777777" w:rsidR="003E70BB" w:rsidRPr="00534C57" w:rsidRDefault="003E70BB" w:rsidP="003E70BB">
            <w:pPr>
              <w:spacing w:before="2" w:after="0" w:line="252" w:lineRule="exact"/>
              <w:ind w:left="100" w:right="630"/>
              <w:rPr>
                <w:rFonts w:ascii="Times New Roman" w:eastAsia="Times New Roman" w:hAnsi="Times New Roman"/>
              </w:rPr>
            </w:pPr>
            <w:r w:rsidRPr="00F909DC">
              <w:rPr>
                <w:rFonts w:ascii="Times New Roman" w:hAnsi="Times New Roman"/>
              </w:rPr>
              <w:t>cholecistitas, tulžies pūslės</w:t>
            </w:r>
          </w:p>
          <w:p w14:paraId="312D34C6" w14:textId="77777777" w:rsidR="003E70BB" w:rsidRPr="00F909DC" w:rsidRDefault="003E70BB" w:rsidP="00BE562B">
            <w:pPr>
              <w:spacing w:after="0" w:line="252" w:lineRule="exact"/>
              <w:ind w:left="100" w:right="-20"/>
              <w:rPr>
                <w:rFonts w:ascii="Times New Roman" w:hAnsi="Times New Roman"/>
              </w:rPr>
            </w:pPr>
            <w:r w:rsidRPr="00F909DC">
              <w:rPr>
                <w:rFonts w:ascii="Times New Roman" w:hAnsi="Times New Roman"/>
              </w:rPr>
              <w:t>akmenligė</w:t>
            </w:r>
          </w:p>
        </w:tc>
        <w:tc>
          <w:tcPr>
            <w:tcW w:w="1736" w:type="dxa"/>
            <w:tcBorders>
              <w:top w:val="single" w:sz="4" w:space="0" w:color="000000"/>
              <w:left w:val="single" w:sz="4" w:space="0" w:color="000000"/>
              <w:bottom w:val="single" w:sz="4" w:space="0" w:color="000000"/>
              <w:right w:val="single" w:sz="4" w:space="0" w:color="000000"/>
            </w:tcBorders>
          </w:tcPr>
          <w:p w14:paraId="2E4E4F78"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0D4B89A3" w14:textId="77777777" w:rsidR="003E70BB" w:rsidRPr="00951727" w:rsidRDefault="003E70BB" w:rsidP="003E70BB">
            <w:pPr>
              <w:spacing w:after="200" w:line="276" w:lineRule="auto"/>
            </w:pPr>
          </w:p>
        </w:tc>
      </w:tr>
      <w:tr w:rsidR="007E716C" w:rsidRPr="00F909DC" w14:paraId="6D1A3CE6" w14:textId="77777777" w:rsidTr="00D21150">
        <w:trPr>
          <w:trHeight w:hRule="exact" w:val="3553"/>
        </w:trPr>
        <w:tc>
          <w:tcPr>
            <w:tcW w:w="1470" w:type="dxa"/>
            <w:tcBorders>
              <w:top w:val="single" w:sz="4" w:space="0" w:color="000000"/>
              <w:left w:val="single" w:sz="4" w:space="0" w:color="000000"/>
              <w:bottom w:val="single" w:sz="4" w:space="0" w:color="000000"/>
              <w:right w:val="single" w:sz="4" w:space="0" w:color="000000"/>
            </w:tcBorders>
          </w:tcPr>
          <w:p w14:paraId="64143D46"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rPr>
              <w:t>Odos ir</w:t>
            </w:r>
          </w:p>
          <w:p w14:paraId="777FA102" w14:textId="77777777" w:rsidR="003E70BB" w:rsidRPr="00F909DC" w:rsidRDefault="003E70BB" w:rsidP="00BE562B">
            <w:pPr>
              <w:spacing w:before="5" w:after="0" w:line="252" w:lineRule="exact"/>
              <w:ind w:left="102" w:right="465"/>
              <w:rPr>
                <w:rFonts w:ascii="Times New Roman" w:hAnsi="Times New Roman"/>
              </w:rPr>
            </w:pPr>
            <w:r w:rsidRPr="00534C57">
              <w:rPr>
                <w:rFonts w:ascii="Times New Roman" w:eastAsia="Times New Roman" w:hAnsi="Times New Roman"/>
              </w:rPr>
              <w:t>poodinio audinio sutrikimai</w:t>
            </w:r>
          </w:p>
        </w:tc>
        <w:tc>
          <w:tcPr>
            <w:tcW w:w="1561" w:type="dxa"/>
            <w:tcBorders>
              <w:top w:val="single" w:sz="4" w:space="0" w:color="000000"/>
              <w:left w:val="single" w:sz="4" w:space="0" w:color="000000"/>
              <w:bottom w:val="single" w:sz="4" w:space="0" w:color="000000"/>
              <w:right w:val="single" w:sz="4" w:space="0" w:color="000000"/>
            </w:tcBorders>
          </w:tcPr>
          <w:p w14:paraId="7650D038"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rPr>
              <w:t>išbėrimas</w:t>
            </w:r>
          </w:p>
        </w:tc>
        <w:tc>
          <w:tcPr>
            <w:tcW w:w="1919" w:type="dxa"/>
            <w:tcBorders>
              <w:top w:val="single" w:sz="4" w:space="0" w:color="000000"/>
              <w:left w:val="single" w:sz="4" w:space="0" w:color="000000"/>
              <w:bottom w:val="single" w:sz="4" w:space="0" w:color="000000"/>
              <w:right w:val="single" w:sz="4" w:space="0" w:color="000000"/>
            </w:tcBorders>
          </w:tcPr>
          <w:p w14:paraId="1550F659"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eksfoliacinis</w:t>
            </w:r>
          </w:p>
          <w:p w14:paraId="5E076D80" w14:textId="139D6710" w:rsidR="003E70BB" w:rsidRPr="00534C57" w:rsidRDefault="003E70BB" w:rsidP="007F1C26">
            <w:pPr>
              <w:spacing w:before="1" w:after="0" w:line="239" w:lineRule="auto"/>
              <w:ind w:left="100" w:right="68"/>
              <w:rPr>
                <w:rFonts w:ascii="Times New Roman" w:eastAsia="Times New Roman" w:hAnsi="Times New Roman"/>
              </w:rPr>
            </w:pPr>
            <w:r w:rsidRPr="00534C57">
              <w:rPr>
                <w:rFonts w:ascii="Times New Roman" w:eastAsia="Times New Roman" w:hAnsi="Times New Roman"/>
              </w:rPr>
              <w:t xml:space="preserve">dermatitas, alopecija, </w:t>
            </w:r>
            <w:r w:rsidRPr="00534C57">
              <w:rPr>
                <w:rFonts w:ascii="Times New Roman" w:eastAsia="Times New Roman" w:hAnsi="Times New Roman"/>
                <w:spacing w:val="-4"/>
              </w:rPr>
              <w:t>m</w:t>
            </w:r>
            <w:r w:rsidRPr="00534C57">
              <w:rPr>
                <w:rFonts w:ascii="Times New Roman" w:eastAsia="Times New Roman" w:hAnsi="Times New Roman"/>
                <w:spacing w:val="3"/>
              </w:rPr>
              <w:t>a</w:t>
            </w:r>
            <w:r w:rsidRPr="00534C57">
              <w:rPr>
                <w:rFonts w:ascii="Times New Roman" w:eastAsia="Times New Roman" w:hAnsi="Times New Roman"/>
              </w:rPr>
              <w:t>kulopapulinis išbėrimas, niež</w:t>
            </w:r>
            <w:r w:rsidR="007F1C26">
              <w:rPr>
                <w:rFonts w:ascii="Times New Roman" w:eastAsia="Times New Roman" w:hAnsi="Times New Roman"/>
              </w:rPr>
              <w:t>ėjimas</w:t>
            </w:r>
            <w:r w:rsidRPr="00534C57">
              <w:rPr>
                <w:rFonts w:ascii="Times New Roman" w:eastAsia="Times New Roman" w:hAnsi="Times New Roman"/>
              </w:rPr>
              <w:t xml:space="preserve">, </w:t>
            </w:r>
            <w:r w:rsidR="007F1C26">
              <w:rPr>
                <w:rFonts w:ascii="Times New Roman" w:eastAsia="Times New Roman" w:hAnsi="Times New Roman"/>
              </w:rPr>
              <w:t>raudonė (</w:t>
            </w:r>
            <w:r w:rsidRPr="00534C57">
              <w:rPr>
                <w:rFonts w:ascii="Times New Roman" w:eastAsia="Times New Roman" w:hAnsi="Times New Roman"/>
              </w:rPr>
              <w:t>eritema</w:t>
            </w:r>
            <w:r w:rsidR="007F1C26">
              <w:rPr>
                <w:rFonts w:ascii="Times New Roman" w:eastAsia="Times New Roman" w:hAnsi="Times New Roman"/>
              </w:rPr>
              <w:t>)</w:t>
            </w:r>
            <w:r w:rsidR="00237545">
              <w:rPr>
                <w:rFonts w:ascii="Times New Roman" w:eastAsia="Times New Roman" w:hAnsi="Times New Roman"/>
              </w:rPr>
              <w:t xml:space="preserve">, </w:t>
            </w:r>
            <w:r w:rsidR="00237545" w:rsidRPr="00534C57">
              <w:rPr>
                <w:rFonts w:ascii="Times New Roman" w:eastAsia="Times New Roman" w:hAnsi="Times New Roman"/>
              </w:rPr>
              <w:t>fototoksiškumas</w:t>
            </w:r>
            <w:r w:rsidR="00237545" w:rsidRPr="00FE7B76">
              <w:rPr>
                <w:rFonts w:ascii="Times New Roman" w:eastAsia="Times New Roman" w:hAnsi="Times New Roman"/>
                <w:lang w:val="pt-PT" w:eastAsia="de-DE"/>
              </w:rPr>
              <w:t>**</w:t>
            </w:r>
          </w:p>
        </w:tc>
        <w:tc>
          <w:tcPr>
            <w:tcW w:w="2008" w:type="dxa"/>
            <w:tcBorders>
              <w:top w:val="single" w:sz="4" w:space="0" w:color="000000"/>
              <w:left w:val="single" w:sz="4" w:space="0" w:color="000000"/>
              <w:bottom w:val="single" w:sz="4" w:space="0" w:color="000000"/>
              <w:right w:val="single" w:sz="4" w:space="0" w:color="000000"/>
            </w:tcBorders>
          </w:tcPr>
          <w:p w14:paraId="5E00B80A" w14:textId="77777777" w:rsidR="003E70BB" w:rsidRPr="00534C57" w:rsidRDefault="003E70BB" w:rsidP="003E70BB">
            <w:pPr>
              <w:spacing w:after="0" w:line="246" w:lineRule="exact"/>
              <w:ind w:left="100" w:right="-20"/>
              <w:rPr>
                <w:rFonts w:ascii="Times New Roman" w:eastAsia="Times New Roman" w:hAnsi="Times New Roman"/>
              </w:rPr>
            </w:pPr>
            <w:r w:rsidRPr="00F909DC">
              <w:rPr>
                <w:rFonts w:ascii="Times New Roman" w:hAnsi="Times New Roman"/>
              </w:rPr>
              <w:t>Stivenso ir</w:t>
            </w:r>
          </w:p>
          <w:p w14:paraId="5CA15117" w14:textId="7AE277BB" w:rsidR="003E70BB" w:rsidRPr="00534C57" w:rsidRDefault="003E70BB" w:rsidP="003E70BB">
            <w:pPr>
              <w:spacing w:before="1" w:after="0" w:line="240" w:lineRule="auto"/>
              <w:ind w:left="100" w:right="152"/>
              <w:rPr>
                <w:rFonts w:ascii="Times New Roman" w:eastAsia="Times New Roman" w:hAnsi="Times New Roman"/>
              </w:rPr>
            </w:pPr>
            <w:r w:rsidRPr="00F909DC">
              <w:rPr>
                <w:rFonts w:ascii="Times New Roman" w:hAnsi="Times New Roman"/>
              </w:rPr>
              <w:t xml:space="preserve">Džonsono </w:t>
            </w:r>
            <w:r w:rsidR="007F1C26" w:rsidRPr="00F909DC">
              <w:rPr>
                <w:rFonts w:ascii="Times New Roman" w:hAnsi="Times New Roman"/>
              </w:rPr>
              <w:t>(</w:t>
            </w:r>
            <w:r w:rsidR="007F1C26" w:rsidRPr="00F909DC">
              <w:rPr>
                <w:rFonts w:ascii="Times New Roman" w:hAnsi="Times New Roman"/>
                <w:i/>
              </w:rPr>
              <w:t>Stevens-Johnson</w:t>
            </w:r>
            <w:r w:rsidR="007F1C26" w:rsidRPr="00F909DC">
              <w:rPr>
                <w:rFonts w:ascii="Times New Roman" w:hAnsi="Times New Roman"/>
              </w:rPr>
              <w:t xml:space="preserve">) </w:t>
            </w:r>
            <w:r w:rsidRPr="00F909DC">
              <w:rPr>
                <w:rFonts w:ascii="Times New Roman" w:hAnsi="Times New Roman"/>
              </w:rPr>
              <w:t>sindromas</w:t>
            </w:r>
            <w:r w:rsidR="00520BCE" w:rsidRPr="00611333">
              <w:rPr>
                <w:rFonts w:ascii="Times New Roman" w:hAnsi="Times New Roman"/>
                <w:vertAlign w:val="superscript"/>
              </w:rPr>
              <w:t>8</w:t>
            </w:r>
            <w:r w:rsidRPr="00F909DC">
              <w:rPr>
                <w:rFonts w:ascii="Times New Roman" w:hAnsi="Times New Roman"/>
              </w:rPr>
              <w:t>,</w:t>
            </w:r>
            <w:r w:rsidRPr="00534C57">
              <w:rPr>
                <w:rFonts w:ascii="Times New Roman" w:eastAsia="Times New Roman" w:hAnsi="Times New Roman"/>
              </w:rPr>
              <w:t xml:space="preserve"> purpura, urtikarija</w:t>
            </w:r>
            <w:r w:rsidRPr="00F909DC">
              <w:rPr>
                <w:rFonts w:ascii="Times New Roman" w:hAnsi="Times New Roman"/>
              </w:rPr>
              <w:t>, alerginis dermatitas,</w:t>
            </w:r>
          </w:p>
          <w:p w14:paraId="33B0CA0E" w14:textId="77777777" w:rsidR="003E70BB" w:rsidRPr="00534C57" w:rsidRDefault="003E70BB" w:rsidP="003E70BB">
            <w:pPr>
              <w:spacing w:before="1" w:after="0" w:line="254" w:lineRule="exact"/>
              <w:ind w:left="100" w:right="49"/>
              <w:rPr>
                <w:rFonts w:ascii="Times New Roman" w:eastAsia="Times New Roman" w:hAnsi="Times New Roman"/>
              </w:rPr>
            </w:pPr>
            <w:r w:rsidRPr="00F909DC">
              <w:rPr>
                <w:rFonts w:ascii="Times New Roman" w:hAnsi="Times New Roman"/>
              </w:rPr>
              <w:t xml:space="preserve">papulinis išbėrimas, </w:t>
            </w:r>
            <w:r w:rsidRPr="00534C57">
              <w:rPr>
                <w:rFonts w:ascii="Times New Roman" w:eastAsia="Times New Roman" w:hAnsi="Times New Roman"/>
                <w:spacing w:val="-4"/>
              </w:rPr>
              <w:t>m</w:t>
            </w:r>
            <w:r w:rsidRPr="00534C57">
              <w:rPr>
                <w:rFonts w:ascii="Times New Roman" w:eastAsia="Times New Roman" w:hAnsi="Times New Roman"/>
                <w:spacing w:val="3"/>
              </w:rPr>
              <w:t>a</w:t>
            </w:r>
            <w:r w:rsidRPr="00534C57">
              <w:rPr>
                <w:rFonts w:ascii="Times New Roman" w:eastAsia="Times New Roman" w:hAnsi="Times New Roman"/>
              </w:rPr>
              <w:t>kulinis</w:t>
            </w:r>
          </w:p>
          <w:p w14:paraId="204447BD" w14:textId="77777777" w:rsidR="003E70BB" w:rsidRPr="00F909DC" w:rsidRDefault="003E70BB" w:rsidP="00BE562B">
            <w:pPr>
              <w:spacing w:after="0" w:line="249" w:lineRule="exact"/>
              <w:ind w:left="100" w:right="-20"/>
              <w:rPr>
                <w:rFonts w:ascii="Times New Roman" w:hAnsi="Times New Roman"/>
              </w:rPr>
            </w:pPr>
            <w:r w:rsidRPr="00534C57">
              <w:rPr>
                <w:rFonts w:ascii="Times New Roman" w:eastAsia="Times New Roman" w:hAnsi="Times New Roman"/>
              </w:rPr>
              <w:t>išbėrimas</w:t>
            </w:r>
            <w:r w:rsidRPr="00F909DC">
              <w:rPr>
                <w:rFonts w:ascii="Times New Roman" w:hAnsi="Times New Roman"/>
              </w:rPr>
              <w:t xml:space="preserve">, </w:t>
            </w:r>
            <w:r w:rsidRPr="00F909DC">
              <w:rPr>
                <w:rFonts w:ascii="Times New Roman" w:hAnsi="Times New Roman"/>
                <w:spacing w:val="-1"/>
              </w:rPr>
              <w:t>egzema</w:t>
            </w:r>
          </w:p>
        </w:tc>
        <w:tc>
          <w:tcPr>
            <w:tcW w:w="1736" w:type="dxa"/>
            <w:tcBorders>
              <w:top w:val="single" w:sz="4" w:space="0" w:color="000000"/>
              <w:left w:val="single" w:sz="4" w:space="0" w:color="000000"/>
              <w:bottom w:val="single" w:sz="4" w:space="0" w:color="000000"/>
              <w:right w:val="single" w:sz="4" w:space="0" w:color="000000"/>
            </w:tcBorders>
          </w:tcPr>
          <w:p w14:paraId="7680F087"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toksinė</w:t>
            </w:r>
          </w:p>
          <w:p w14:paraId="4B986733" w14:textId="77777777" w:rsidR="003E70BB" w:rsidRPr="00534C57" w:rsidRDefault="003E70BB" w:rsidP="003E70BB">
            <w:pPr>
              <w:spacing w:before="1" w:after="0" w:line="240" w:lineRule="auto"/>
              <w:ind w:left="100" w:right="130"/>
              <w:rPr>
                <w:rFonts w:ascii="Times New Roman" w:eastAsia="Times New Roman" w:hAnsi="Times New Roman"/>
              </w:rPr>
            </w:pPr>
            <w:r w:rsidRPr="00534C57">
              <w:rPr>
                <w:rFonts w:ascii="Times New Roman" w:eastAsia="Times New Roman" w:hAnsi="Times New Roman"/>
              </w:rPr>
              <w:t>epidermio nekrolizė</w:t>
            </w:r>
            <w:r w:rsidR="00520BCE" w:rsidRPr="00611333">
              <w:rPr>
                <w:rFonts w:ascii="Times New Roman" w:eastAsia="Times New Roman" w:hAnsi="Times New Roman"/>
                <w:vertAlign w:val="superscript"/>
              </w:rPr>
              <w:t>8</w:t>
            </w:r>
            <w:r w:rsidRPr="00534C57">
              <w:rPr>
                <w:rFonts w:ascii="Times New Roman" w:eastAsia="Times New Roman" w:hAnsi="Times New Roman"/>
              </w:rPr>
              <w:t xml:space="preserve">, </w:t>
            </w:r>
            <w:r w:rsidR="00E277C3">
              <w:rPr>
                <w:rFonts w:ascii="Times New Roman" w:eastAsia="Times New Roman" w:hAnsi="Times New Roman"/>
              </w:rPr>
              <w:t>vaisto reakcija su eozinofilija ir sisteminiais simptomais (DRESS)</w:t>
            </w:r>
            <w:r w:rsidR="00520BCE" w:rsidRPr="00611333">
              <w:rPr>
                <w:rFonts w:ascii="Times New Roman" w:eastAsia="Times New Roman" w:hAnsi="Times New Roman"/>
                <w:vertAlign w:val="superscript"/>
              </w:rPr>
              <w:t>8</w:t>
            </w:r>
            <w:r w:rsidR="00E277C3">
              <w:rPr>
                <w:rFonts w:ascii="Times New Roman" w:eastAsia="Times New Roman" w:hAnsi="Times New Roman"/>
              </w:rPr>
              <w:t xml:space="preserve">, </w:t>
            </w:r>
            <w:r w:rsidRPr="00534C57">
              <w:rPr>
                <w:rFonts w:ascii="Times New Roman" w:eastAsia="Times New Roman" w:hAnsi="Times New Roman"/>
              </w:rPr>
              <w:t xml:space="preserve">angioedema, </w:t>
            </w:r>
            <w:r w:rsidRPr="00534C57">
              <w:rPr>
                <w:rFonts w:ascii="Times New Roman" w:eastAsia="Times New Roman" w:hAnsi="Times New Roman"/>
                <w:spacing w:val="1"/>
              </w:rPr>
              <w:t>s</w:t>
            </w:r>
            <w:r w:rsidRPr="00534C57">
              <w:rPr>
                <w:rFonts w:ascii="Times New Roman" w:eastAsia="Times New Roman" w:hAnsi="Times New Roman"/>
              </w:rPr>
              <w:t xml:space="preserve">pindulinė (aktininė) keratozė*, pseudoporfirija, daugiaformė </w:t>
            </w:r>
            <w:r w:rsidR="007F1C26">
              <w:rPr>
                <w:rFonts w:ascii="Times New Roman" w:eastAsia="Times New Roman" w:hAnsi="Times New Roman"/>
              </w:rPr>
              <w:t>raudonė (</w:t>
            </w:r>
            <w:r w:rsidRPr="00534C57">
              <w:rPr>
                <w:rFonts w:ascii="Times New Roman" w:eastAsia="Times New Roman" w:hAnsi="Times New Roman"/>
              </w:rPr>
              <w:t>eritema</w:t>
            </w:r>
            <w:r w:rsidR="007F1C26">
              <w:rPr>
                <w:rFonts w:ascii="Times New Roman" w:eastAsia="Times New Roman" w:hAnsi="Times New Roman"/>
              </w:rPr>
              <w:t>)</w:t>
            </w:r>
            <w:r w:rsidRPr="00534C57">
              <w:rPr>
                <w:rFonts w:ascii="Times New Roman" w:eastAsia="Times New Roman" w:hAnsi="Times New Roman"/>
              </w:rPr>
              <w:t>, psoriazė, medikamentinis išbėrimas</w:t>
            </w:r>
          </w:p>
        </w:tc>
        <w:tc>
          <w:tcPr>
            <w:tcW w:w="1577" w:type="dxa"/>
            <w:tcBorders>
              <w:top w:val="single" w:sz="4" w:space="0" w:color="000000"/>
              <w:left w:val="single" w:sz="4" w:space="0" w:color="000000"/>
              <w:bottom w:val="single" w:sz="4" w:space="0" w:color="000000"/>
              <w:right w:val="single" w:sz="4" w:space="0" w:color="000000"/>
            </w:tcBorders>
          </w:tcPr>
          <w:p w14:paraId="30BBE89E"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rPr>
              <w:t>odos</w:t>
            </w:r>
          </w:p>
          <w:p w14:paraId="33D7CE1D" w14:textId="77777777" w:rsidR="003E70BB" w:rsidRPr="00534C57" w:rsidRDefault="003E70BB" w:rsidP="003E70BB">
            <w:pPr>
              <w:spacing w:before="5" w:after="0" w:line="252" w:lineRule="exact"/>
              <w:ind w:left="102" w:right="47"/>
              <w:rPr>
                <w:rFonts w:ascii="Times New Roman" w:eastAsia="Times New Roman" w:hAnsi="Times New Roman"/>
              </w:rPr>
            </w:pPr>
            <w:r w:rsidRPr="00534C57">
              <w:rPr>
                <w:rFonts w:ascii="Times New Roman" w:eastAsia="Times New Roman" w:hAnsi="Times New Roman"/>
              </w:rPr>
              <w:t>raudonoji vilkligė*, strazdanos</w:t>
            </w:r>
            <w:r w:rsidR="007F1C26">
              <w:rPr>
                <w:rFonts w:ascii="Times New Roman" w:eastAsia="Times New Roman" w:hAnsi="Times New Roman"/>
              </w:rPr>
              <w:t xml:space="preserve"> (</w:t>
            </w:r>
            <w:r w:rsidR="007F1C26" w:rsidRPr="00F909DC">
              <w:rPr>
                <w:rFonts w:ascii="Times New Roman" w:hAnsi="Times New Roman"/>
                <w:i/>
              </w:rPr>
              <w:t>ephelides</w:t>
            </w:r>
            <w:r w:rsidR="007F1C26" w:rsidRPr="00534C57">
              <w:rPr>
                <w:rFonts w:ascii="Times New Roman" w:eastAsia="Times New Roman" w:hAnsi="Times New Roman"/>
              </w:rPr>
              <w:t xml:space="preserve"> </w:t>
            </w:r>
            <w:r w:rsidR="007F1C26">
              <w:rPr>
                <w:rFonts w:ascii="Times New Roman" w:eastAsia="Times New Roman" w:hAnsi="Times New Roman"/>
              </w:rPr>
              <w:t>)</w:t>
            </w:r>
            <w:r w:rsidRPr="00534C57">
              <w:rPr>
                <w:rFonts w:ascii="Times New Roman" w:eastAsia="Times New Roman" w:hAnsi="Times New Roman"/>
              </w:rPr>
              <w:t>*</w:t>
            </w:r>
          </w:p>
          <w:p w14:paraId="790B0AC5" w14:textId="77777777" w:rsidR="003E70BB" w:rsidRPr="00534C57" w:rsidRDefault="003E70BB" w:rsidP="003E70BB">
            <w:pPr>
              <w:spacing w:after="0" w:line="252" w:lineRule="exact"/>
              <w:ind w:left="102" w:right="-20"/>
              <w:rPr>
                <w:rFonts w:ascii="Times New Roman" w:eastAsia="Times New Roman" w:hAnsi="Times New Roman"/>
              </w:rPr>
            </w:pPr>
            <w:r w:rsidRPr="00534C57">
              <w:rPr>
                <w:rFonts w:ascii="Times New Roman" w:eastAsia="Times New Roman" w:hAnsi="Times New Roman"/>
              </w:rPr>
              <w:t>, šlakai</w:t>
            </w:r>
          </w:p>
          <w:p w14:paraId="37A91869" w14:textId="77777777" w:rsidR="003E70BB" w:rsidRPr="00534C57" w:rsidRDefault="003E70BB" w:rsidP="003E70BB">
            <w:pPr>
              <w:spacing w:after="0" w:line="252" w:lineRule="exact"/>
              <w:ind w:left="102" w:right="-20"/>
              <w:rPr>
                <w:rFonts w:ascii="Times New Roman" w:eastAsia="Times New Roman" w:hAnsi="Times New Roman"/>
              </w:rPr>
            </w:pPr>
            <w:r w:rsidRPr="00534C57">
              <w:rPr>
                <w:rFonts w:ascii="Times New Roman" w:eastAsia="Times New Roman" w:hAnsi="Times New Roman"/>
                <w:spacing w:val="1"/>
              </w:rPr>
              <w:t>(</w:t>
            </w:r>
            <w:r w:rsidRPr="00951727">
              <w:rPr>
                <w:rFonts w:ascii="Times New Roman" w:eastAsia="Times New Roman" w:hAnsi="Times New Roman"/>
                <w:i/>
              </w:rPr>
              <w:t>lentigo</w:t>
            </w:r>
            <w:r w:rsidRPr="00534C57">
              <w:rPr>
                <w:rFonts w:ascii="Times New Roman" w:eastAsia="Times New Roman" w:hAnsi="Times New Roman"/>
              </w:rPr>
              <w:t>)*</w:t>
            </w:r>
          </w:p>
        </w:tc>
      </w:tr>
      <w:tr w:rsidR="007E716C" w:rsidRPr="00F909DC" w14:paraId="216B4677" w14:textId="77777777" w:rsidTr="00D21150">
        <w:trPr>
          <w:trHeight w:hRule="exact" w:val="1337"/>
        </w:trPr>
        <w:tc>
          <w:tcPr>
            <w:tcW w:w="1470" w:type="dxa"/>
            <w:tcBorders>
              <w:top w:val="single" w:sz="4" w:space="0" w:color="000000"/>
              <w:left w:val="single" w:sz="4" w:space="0" w:color="000000"/>
              <w:bottom w:val="single" w:sz="4" w:space="0" w:color="000000"/>
              <w:right w:val="single" w:sz="4" w:space="0" w:color="000000"/>
            </w:tcBorders>
          </w:tcPr>
          <w:p w14:paraId="229F2BB5" w14:textId="77777777" w:rsidR="003E70BB" w:rsidRPr="00534C57" w:rsidRDefault="003E70BB" w:rsidP="003E70BB">
            <w:pPr>
              <w:spacing w:after="0" w:line="246" w:lineRule="exact"/>
              <w:ind w:left="102" w:right="-20"/>
              <w:rPr>
                <w:rFonts w:ascii="Times New Roman" w:eastAsia="Times New Roman" w:hAnsi="Times New Roman"/>
              </w:rPr>
            </w:pPr>
            <w:r w:rsidRPr="00F909DC">
              <w:rPr>
                <w:rFonts w:ascii="Times New Roman" w:hAnsi="Times New Roman"/>
              </w:rPr>
              <w:t>Skeleto,</w:t>
            </w:r>
          </w:p>
          <w:p w14:paraId="4F5C84D0" w14:textId="77777777" w:rsidR="003E70BB" w:rsidRPr="00F909DC" w:rsidRDefault="003E70BB" w:rsidP="00BE562B">
            <w:pPr>
              <w:spacing w:before="1" w:after="0" w:line="239" w:lineRule="auto"/>
              <w:ind w:left="102" w:right="351"/>
              <w:rPr>
                <w:rFonts w:ascii="Times New Roman" w:hAnsi="Times New Roman"/>
              </w:rPr>
            </w:pPr>
            <w:r w:rsidRPr="00F909DC">
              <w:rPr>
                <w:rFonts w:ascii="Times New Roman" w:hAnsi="Times New Roman"/>
              </w:rPr>
              <w:t>raumenų ir jungiamojo audinio sutrikimai</w:t>
            </w:r>
          </w:p>
        </w:tc>
        <w:tc>
          <w:tcPr>
            <w:tcW w:w="1561" w:type="dxa"/>
            <w:tcBorders>
              <w:top w:val="single" w:sz="4" w:space="0" w:color="000000"/>
              <w:left w:val="single" w:sz="4" w:space="0" w:color="000000"/>
              <w:bottom w:val="single" w:sz="4" w:space="0" w:color="000000"/>
              <w:right w:val="single" w:sz="4" w:space="0" w:color="000000"/>
            </w:tcBorders>
          </w:tcPr>
          <w:p w14:paraId="2B5FF309" w14:textId="77777777" w:rsidR="003E70BB" w:rsidRPr="00951727" w:rsidRDefault="003E70BB" w:rsidP="003E70BB">
            <w:pPr>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1AFB6116"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nugaros skausmas</w:t>
            </w:r>
          </w:p>
        </w:tc>
        <w:tc>
          <w:tcPr>
            <w:tcW w:w="2008" w:type="dxa"/>
            <w:tcBorders>
              <w:top w:val="single" w:sz="4" w:space="0" w:color="000000"/>
              <w:left w:val="single" w:sz="4" w:space="0" w:color="000000"/>
              <w:bottom w:val="single" w:sz="4" w:space="0" w:color="000000"/>
              <w:right w:val="single" w:sz="4" w:space="0" w:color="000000"/>
            </w:tcBorders>
          </w:tcPr>
          <w:p w14:paraId="38C8410A" w14:textId="5D184A47" w:rsidR="003E70BB" w:rsidRPr="00534C57" w:rsidRDefault="00237545" w:rsidP="003E70BB">
            <w:pPr>
              <w:spacing w:after="0" w:line="246" w:lineRule="exact"/>
              <w:ind w:left="100" w:right="-20"/>
              <w:rPr>
                <w:rFonts w:ascii="Times New Roman" w:eastAsia="Times New Roman" w:hAnsi="Times New Roman"/>
              </w:rPr>
            </w:pPr>
            <w:r>
              <w:rPr>
                <w:rFonts w:ascii="Times New Roman" w:eastAsia="Times New Roman" w:hAnsi="Times New Roman"/>
              </w:rPr>
              <w:t>a</w:t>
            </w:r>
            <w:r w:rsidR="003E70BB" w:rsidRPr="00534C57">
              <w:rPr>
                <w:rFonts w:ascii="Times New Roman" w:eastAsia="Times New Roman" w:hAnsi="Times New Roman"/>
              </w:rPr>
              <w:t>rtritas</w:t>
            </w:r>
            <w:r>
              <w:rPr>
                <w:rFonts w:ascii="Times New Roman" w:eastAsia="Times New Roman" w:hAnsi="Times New Roman"/>
              </w:rPr>
              <w:t xml:space="preserve">, </w:t>
            </w:r>
            <w:r w:rsidRPr="00534C57">
              <w:rPr>
                <w:rFonts w:ascii="Times New Roman" w:eastAsia="Times New Roman" w:hAnsi="Times New Roman"/>
              </w:rPr>
              <w:t>periostitas*</w:t>
            </w:r>
            <w:r>
              <w:rPr>
                <w:rFonts w:ascii="Times New Roman" w:eastAsia="Times New Roman" w:hAnsi="Times New Roman"/>
              </w:rPr>
              <w:t>,</w:t>
            </w:r>
            <w:r w:rsidRPr="00237545">
              <w:rPr>
                <w:rFonts w:ascii="Times New Roman" w:eastAsia="Times New Roman" w:hAnsi="Times New Roman"/>
                <w:lang w:val="de-DE"/>
              </w:rPr>
              <w:t>**</w:t>
            </w:r>
            <w:r>
              <w:rPr>
                <w:rFonts w:ascii="Times New Roman" w:eastAsia="Times New Roman" w:hAnsi="Times New Roman"/>
              </w:rPr>
              <w:t xml:space="preserve"> </w:t>
            </w:r>
          </w:p>
        </w:tc>
        <w:tc>
          <w:tcPr>
            <w:tcW w:w="1736" w:type="dxa"/>
            <w:tcBorders>
              <w:top w:val="single" w:sz="4" w:space="0" w:color="000000"/>
              <w:left w:val="single" w:sz="4" w:space="0" w:color="000000"/>
              <w:bottom w:val="single" w:sz="4" w:space="0" w:color="000000"/>
              <w:right w:val="single" w:sz="4" w:space="0" w:color="000000"/>
            </w:tcBorders>
          </w:tcPr>
          <w:p w14:paraId="7573F160"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7BFFDA6B" w14:textId="07E65DB0" w:rsidR="003E70BB" w:rsidRPr="00534C57" w:rsidRDefault="003E70BB" w:rsidP="003E70BB">
            <w:pPr>
              <w:spacing w:after="0" w:line="246" w:lineRule="exact"/>
              <w:ind w:left="102" w:right="-20"/>
              <w:rPr>
                <w:rFonts w:ascii="Times New Roman" w:eastAsia="Times New Roman" w:hAnsi="Times New Roman"/>
              </w:rPr>
            </w:pPr>
          </w:p>
        </w:tc>
      </w:tr>
      <w:tr w:rsidR="007E716C" w:rsidRPr="00F909DC" w14:paraId="6D523409" w14:textId="77777777" w:rsidTr="00D21150">
        <w:trPr>
          <w:trHeight w:hRule="exact" w:val="1022"/>
        </w:trPr>
        <w:tc>
          <w:tcPr>
            <w:tcW w:w="1470" w:type="dxa"/>
            <w:tcBorders>
              <w:top w:val="single" w:sz="4" w:space="0" w:color="000000"/>
              <w:left w:val="single" w:sz="4" w:space="0" w:color="000000"/>
              <w:bottom w:val="single" w:sz="4" w:space="0" w:color="000000"/>
              <w:right w:val="single" w:sz="4" w:space="0" w:color="000000"/>
            </w:tcBorders>
          </w:tcPr>
          <w:p w14:paraId="2B7B05FE"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spacing w:val="-4"/>
              </w:rPr>
              <w:t>I</w:t>
            </w:r>
            <w:r w:rsidRPr="00534C57">
              <w:rPr>
                <w:rFonts w:ascii="Times New Roman" w:eastAsia="Times New Roman" w:hAnsi="Times New Roman"/>
                <w:spacing w:val="2"/>
              </w:rPr>
              <w:t>n</w:t>
            </w:r>
            <w:r w:rsidRPr="00534C57">
              <w:rPr>
                <w:rFonts w:ascii="Times New Roman" w:eastAsia="Times New Roman" w:hAnsi="Times New Roman"/>
              </w:rPr>
              <w:t>kstų ir</w:t>
            </w:r>
          </w:p>
          <w:p w14:paraId="29A1B50C" w14:textId="77777777" w:rsidR="003E70BB" w:rsidRPr="00F909DC" w:rsidRDefault="003E70BB" w:rsidP="00BE562B">
            <w:pPr>
              <w:spacing w:before="5" w:after="0" w:line="252" w:lineRule="exact"/>
              <w:ind w:left="102" w:right="226"/>
              <w:rPr>
                <w:rFonts w:ascii="Times New Roman" w:hAnsi="Times New Roman"/>
              </w:rPr>
            </w:pPr>
            <w:r w:rsidRPr="00534C57">
              <w:rPr>
                <w:rFonts w:ascii="Times New Roman" w:eastAsia="Times New Roman" w:hAnsi="Times New Roman"/>
              </w:rPr>
              <w:t>šlapimo takų sutrikimai</w:t>
            </w:r>
          </w:p>
        </w:tc>
        <w:tc>
          <w:tcPr>
            <w:tcW w:w="1561" w:type="dxa"/>
            <w:tcBorders>
              <w:top w:val="single" w:sz="4" w:space="0" w:color="000000"/>
              <w:left w:val="single" w:sz="4" w:space="0" w:color="000000"/>
              <w:bottom w:val="single" w:sz="4" w:space="0" w:color="000000"/>
              <w:right w:val="single" w:sz="4" w:space="0" w:color="000000"/>
            </w:tcBorders>
          </w:tcPr>
          <w:p w14:paraId="3BAB43AF" w14:textId="77777777" w:rsidR="003E70BB" w:rsidRPr="00951727" w:rsidRDefault="003E70BB" w:rsidP="003E70BB">
            <w:pPr>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34505E80"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ūminis</w:t>
            </w:r>
            <w:r w:rsidRPr="00534C57">
              <w:rPr>
                <w:rFonts w:ascii="Times New Roman" w:eastAsia="Times New Roman" w:hAnsi="Times New Roman"/>
                <w:spacing w:val="1"/>
              </w:rPr>
              <w:t xml:space="preserve"> </w:t>
            </w:r>
            <w:r w:rsidRPr="00534C57">
              <w:rPr>
                <w:rFonts w:ascii="Times New Roman" w:eastAsia="Times New Roman" w:hAnsi="Times New Roman"/>
              </w:rPr>
              <w:t>inkstų</w:t>
            </w:r>
            <w:r w:rsidR="007F1C26">
              <w:rPr>
                <w:rFonts w:ascii="Times New Roman" w:eastAsia="Times New Roman" w:hAnsi="Times New Roman"/>
              </w:rPr>
              <w:t xml:space="preserve"> </w:t>
            </w:r>
          </w:p>
          <w:p w14:paraId="0A462ABF" w14:textId="77777777" w:rsidR="003E70BB" w:rsidRPr="00534C57" w:rsidRDefault="003E70BB" w:rsidP="003E70BB">
            <w:pPr>
              <w:spacing w:before="5" w:after="0" w:line="252" w:lineRule="exact"/>
              <w:ind w:left="100" w:right="181"/>
              <w:rPr>
                <w:rFonts w:ascii="Times New Roman" w:eastAsia="Times New Roman" w:hAnsi="Times New Roman"/>
              </w:rPr>
            </w:pPr>
            <w:r w:rsidRPr="00534C57">
              <w:rPr>
                <w:rFonts w:ascii="Times New Roman" w:eastAsia="Times New Roman" w:hAnsi="Times New Roman"/>
                <w:spacing w:val="-1"/>
              </w:rPr>
              <w:t xml:space="preserve">nepakankamumas, </w:t>
            </w:r>
            <w:r w:rsidRPr="00534C57">
              <w:rPr>
                <w:rFonts w:ascii="Times New Roman" w:eastAsia="Times New Roman" w:hAnsi="Times New Roman"/>
              </w:rPr>
              <w:t>hematurija</w:t>
            </w:r>
          </w:p>
        </w:tc>
        <w:tc>
          <w:tcPr>
            <w:tcW w:w="2008" w:type="dxa"/>
            <w:tcBorders>
              <w:top w:val="single" w:sz="4" w:space="0" w:color="000000"/>
              <w:left w:val="single" w:sz="4" w:space="0" w:color="000000"/>
              <w:bottom w:val="single" w:sz="4" w:space="0" w:color="000000"/>
              <w:right w:val="single" w:sz="4" w:space="0" w:color="000000"/>
            </w:tcBorders>
          </w:tcPr>
          <w:p w14:paraId="40E2977C"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inkstų</w:t>
            </w:r>
            <w:r w:rsidRPr="00F909DC">
              <w:rPr>
                <w:rFonts w:ascii="Times New Roman" w:hAnsi="Times New Roman"/>
              </w:rPr>
              <w:t xml:space="preserve"> kanalėlių</w:t>
            </w:r>
          </w:p>
          <w:p w14:paraId="4FDA4F6E" w14:textId="77777777" w:rsidR="003E70BB" w:rsidRPr="00F909DC" w:rsidRDefault="003E70BB" w:rsidP="00BE562B">
            <w:pPr>
              <w:spacing w:before="5" w:after="0" w:line="252" w:lineRule="exact"/>
              <w:ind w:left="100" w:right="728"/>
              <w:rPr>
                <w:rFonts w:ascii="Times New Roman" w:hAnsi="Times New Roman"/>
              </w:rPr>
            </w:pPr>
            <w:r w:rsidRPr="00F909DC">
              <w:rPr>
                <w:rFonts w:ascii="Times New Roman" w:hAnsi="Times New Roman"/>
              </w:rPr>
              <w:t>nekrozė, proteinurija, nefritas</w:t>
            </w:r>
          </w:p>
        </w:tc>
        <w:tc>
          <w:tcPr>
            <w:tcW w:w="1736" w:type="dxa"/>
            <w:tcBorders>
              <w:top w:val="single" w:sz="4" w:space="0" w:color="000000"/>
              <w:left w:val="single" w:sz="4" w:space="0" w:color="000000"/>
              <w:bottom w:val="single" w:sz="4" w:space="0" w:color="000000"/>
              <w:right w:val="single" w:sz="4" w:space="0" w:color="000000"/>
            </w:tcBorders>
          </w:tcPr>
          <w:p w14:paraId="05261192"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207CC304" w14:textId="77777777" w:rsidR="003E70BB" w:rsidRPr="00951727" w:rsidRDefault="003E70BB" w:rsidP="003E70BB">
            <w:pPr>
              <w:spacing w:after="200" w:line="276" w:lineRule="auto"/>
            </w:pPr>
          </w:p>
        </w:tc>
      </w:tr>
      <w:tr w:rsidR="007E716C" w:rsidRPr="00F909DC" w14:paraId="273B9793" w14:textId="77777777" w:rsidTr="00D21150">
        <w:trPr>
          <w:trHeight w:hRule="exact" w:val="1274"/>
        </w:trPr>
        <w:tc>
          <w:tcPr>
            <w:tcW w:w="1470" w:type="dxa"/>
            <w:tcBorders>
              <w:top w:val="single" w:sz="4" w:space="0" w:color="000000"/>
              <w:left w:val="single" w:sz="4" w:space="0" w:color="000000"/>
              <w:bottom w:val="single" w:sz="4" w:space="0" w:color="000000"/>
              <w:right w:val="single" w:sz="4" w:space="0" w:color="000000"/>
            </w:tcBorders>
          </w:tcPr>
          <w:p w14:paraId="05A33755"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rPr>
              <w:t>Bendrieji</w:t>
            </w:r>
          </w:p>
          <w:p w14:paraId="618E674F" w14:textId="77777777" w:rsidR="003E70BB" w:rsidRPr="00534C57" w:rsidRDefault="003E70BB" w:rsidP="003E70BB">
            <w:pPr>
              <w:spacing w:before="1" w:after="0" w:line="254" w:lineRule="exact"/>
              <w:ind w:left="102" w:right="272"/>
              <w:rPr>
                <w:rFonts w:ascii="Times New Roman" w:eastAsia="Times New Roman" w:hAnsi="Times New Roman"/>
              </w:rPr>
            </w:pPr>
            <w:r w:rsidRPr="00534C57">
              <w:rPr>
                <w:rFonts w:ascii="Times New Roman" w:eastAsia="Times New Roman" w:hAnsi="Times New Roman"/>
              </w:rPr>
              <w:t>sutrikimai ir vartojimo</w:t>
            </w:r>
          </w:p>
          <w:p w14:paraId="2F1E1AB7" w14:textId="77777777" w:rsidR="003E70BB" w:rsidRPr="00534C57" w:rsidRDefault="003E70BB" w:rsidP="003E70BB">
            <w:pPr>
              <w:spacing w:after="0" w:line="249" w:lineRule="exact"/>
              <w:ind w:left="102" w:right="-20"/>
              <w:rPr>
                <w:rFonts w:ascii="Times New Roman" w:eastAsia="Times New Roman" w:hAnsi="Times New Roman"/>
              </w:rPr>
            </w:pPr>
            <w:r w:rsidRPr="00534C57">
              <w:rPr>
                <w:rFonts w:ascii="Times New Roman" w:eastAsia="Times New Roman" w:hAnsi="Times New Roman"/>
              </w:rPr>
              <w:t>vietos</w:t>
            </w:r>
          </w:p>
          <w:p w14:paraId="30F3B03A" w14:textId="77777777" w:rsidR="003E70BB" w:rsidRPr="00F909DC" w:rsidRDefault="003E70BB" w:rsidP="00BE562B">
            <w:pPr>
              <w:spacing w:before="1" w:after="0" w:line="240" w:lineRule="auto"/>
              <w:ind w:left="102" w:right="-20"/>
              <w:rPr>
                <w:rFonts w:ascii="Times New Roman" w:hAnsi="Times New Roman"/>
              </w:rPr>
            </w:pPr>
            <w:r w:rsidRPr="00534C57">
              <w:rPr>
                <w:rFonts w:ascii="Times New Roman" w:eastAsia="Times New Roman" w:hAnsi="Times New Roman"/>
              </w:rPr>
              <w:t>pažeidimai</w:t>
            </w:r>
          </w:p>
        </w:tc>
        <w:tc>
          <w:tcPr>
            <w:tcW w:w="1561" w:type="dxa"/>
            <w:tcBorders>
              <w:top w:val="single" w:sz="4" w:space="0" w:color="000000"/>
              <w:left w:val="single" w:sz="4" w:space="0" w:color="000000"/>
              <w:bottom w:val="single" w:sz="4" w:space="0" w:color="000000"/>
              <w:right w:val="single" w:sz="4" w:space="0" w:color="000000"/>
            </w:tcBorders>
          </w:tcPr>
          <w:p w14:paraId="0FBC816E" w14:textId="77777777" w:rsidR="003E70BB" w:rsidRPr="00534C57" w:rsidRDefault="003E70BB" w:rsidP="003E70BB">
            <w:pPr>
              <w:spacing w:after="0" w:line="246" w:lineRule="exact"/>
              <w:ind w:left="102" w:right="-20"/>
              <w:rPr>
                <w:rFonts w:ascii="Times New Roman" w:eastAsia="Times New Roman" w:hAnsi="Times New Roman"/>
              </w:rPr>
            </w:pPr>
            <w:r w:rsidRPr="00534C57">
              <w:rPr>
                <w:rFonts w:ascii="Times New Roman" w:eastAsia="Times New Roman" w:hAnsi="Times New Roman"/>
              </w:rPr>
              <w:t>karščiavimas</w:t>
            </w:r>
          </w:p>
        </w:tc>
        <w:tc>
          <w:tcPr>
            <w:tcW w:w="1919" w:type="dxa"/>
            <w:tcBorders>
              <w:top w:val="single" w:sz="4" w:space="0" w:color="000000"/>
              <w:left w:val="single" w:sz="4" w:space="0" w:color="000000"/>
              <w:bottom w:val="single" w:sz="4" w:space="0" w:color="000000"/>
              <w:right w:val="single" w:sz="4" w:space="0" w:color="000000"/>
            </w:tcBorders>
          </w:tcPr>
          <w:p w14:paraId="4DBE2311" w14:textId="77777777" w:rsidR="003E70BB" w:rsidRPr="00F909DC" w:rsidRDefault="003E70BB" w:rsidP="00BE562B">
            <w:pPr>
              <w:spacing w:before="3" w:after="0" w:line="228" w:lineRule="auto"/>
              <w:ind w:left="100" w:right="144"/>
              <w:rPr>
                <w:rFonts w:ascii="Times New Roman" w:hAnsi="Times New Roman"/>
              </w:rPr>
            </w:pPr>
            <w:r w:rsidRPr="00534C57">
              <w:rPr>
                <w:rFonts w:ascii="Times New Roman" w:eastAsia="Times New Roman" w:hAnsi="Times New Roman"/>
              </w:rPr>
              <w:t>krūtinės</w:t>
            </w:r>
            <w:r w:rsidRPr="00F909DC">
              <w:rPr>
                <w:rFonts w:ascii="Times New Roman" w:hAnsi="Times New Roman"/>
                <w:spacing w:val="1"/>
              </w:rPr>
              <w:t xml:space="preserve"> </w:t>
            </w:r>
            <w:r w:rsidRPr="00F909DC">
              <w:rPr>
                <w:rFonts w:ascii="Times New Roman" w:hAnsi="Times New Roman"/>
              </w:rPr>
              <w:t xml:space="preserve">skausmas, veido </w:t>
            </w:r>
            <w:r w:rsidRPr="00534C57">
              <w:rPr>
                <w:rFonts w:ascii="Times New Roman" w:eastAsia="Times New Roman" w:hAnsi="Times New Roman"/>
                <w:spacing w:val="-1"/>
              </w:rPr>
              <w:t>edem</w:t>
            </w:r>
            <w:r w:rsidRPr="00534C57">
              <w:rPr>
                <w:rFonts w:ascii="Times New Roman" w:eastAsia="Times New Roman" w:hAnsi="Times New Roman"/>
              </w:rPr>
              <w:t>a</w:t>
            </w:r>
            <w:r w:rsidRPr="00534C57">
              <w:rPr>
                <w:rFonts w:ascii="Times New Roman" w:eastAsia="Times New Roman" w:hAnsi="Times New Roman"/>
                <w:position w:val="10"/>
                <w:sz w:val="14"/>
                <w:szCs w:val="14"/>
              </w:rPr>
              <w:t>11</w:t>
            </w:r>
            <w:r w:rsidRPr="00F909DC">
              <w:rPr>
                <w:rFonts w:ascii="Times New Roman" w:hAnsi="Times New Roman"/>
              </w:rPr>
              <w:t>, astenija, šaltkrėtis</w:t>
            </w:r>
          </w:p>
        </w:tc>
        <w:tc>
          <w:tcPr>
            <w:tcW w:w="2008" w:type="dxa"/>
            <w:tcBorders>
              <w:top w:val="single" w:sz="4" w:space="0" w:color="000000"/>
              <w:left w:val="single" w:sz="4" w:space="0" w:color="000000"/>
              <w:bottom w:val="single" w:sz="4" w:space="0" w:color="000000"/>
              <w:right w:val="single" w:sz="4" w:space="0" w:color="000000"/>
            </w:tcBorders>
          </w:tcPr>
          <w:p w14:paraId="12540F4E" w14:textId="77777777" w:rsidR="003E70BB" w:rsidRPr="00534C57" w:rsidRDefault="003E70BB" w:rsidP="003E70BB">
            <w:pPr>
              <w:spacing w:before="1" w:after="0" w:line="254" w:lineRule="exact"/>
              <w:ind w:left="100" w:right="432"/>
              <w:rPr>
                <w:rFonts w:ascii="Times New Roman" w:eastAsia="Times New Roman" w:hAnsi="Times New Roman"/>
              </w:rPr>
            </w:pPr>
            <w:r w:rsidRPr="00534C57">
              <w:rPr>
                <w:rFonts w:ascii="Times New Roman" w:eastAsia="Times New Roman" w:hAnsi="Times New Roman"/>
              </w:rPr>
              <w:t>į gripą panaši liga</w:t>
            </w:r>
          </w:p>
        </w:tc>
        <w:tc>
          <w:tcPr>
            <w:tcW w:w="1736" w:type="dxa"/>
            <w:tcBorders>
              <w:top w:val="single" w:sz="4" w:space="0" w:color="000000"/>
              <w:left w:val="single" w:sz="4" w:space="0" w:color="000000"/>
              <w:bottom w:val="single" w:sz="4" w:space="0" w:color="000000"/>
              <w:right w:val="single" w:sz="4" w:space="0" w:color="000000"/>
            </w:tcBorders>
          </w:tcPr>
          <w:p w14:paraId="3DDBEBCB"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38F19706" w14:textId="77777777" w:rsidR="003E70BB" w:rsidRPr="00951727" w:rsidRDefault="003E70BB" w:rsidP="003E70BB">
            <w:pPr>
              <w:spacing w:after="200" w:line="276" w:lineRule="auto"/>
            </w:pPr>
          </w:p>
        </w:tc>
      </w:tr>
      <w:tr w:rsidR="007E716C" w:rsidRPr="00F909DC" w14:paraId="52BC403F" w14:textId="77777777" w:rsidTr="00D21150">
        <w:trPr>
          <w:trHeight w:hRule="exact" w:val="1274"/>
        </w:trPr>
        <w:tc>
          <w:tcPr>
            <w:tcW w:w="1470" w:type="dxa"/>
            <w:tcBorders>
              <w:top w:val="single" w:sz="4" w:space="0" w:color="000000"/>
              <w:left w:val="single" w:sz="4" w:space="0" w:color="000000"/>
              <w:bottom w:val="single" w:sz="4" w:space="0" w:color="000000"/>
              <w:right w:val="single" w:sz="4" w:space="0" w:color="000000"/>
            </w:tcBorders>
          </w:tcPr>
          <w:p w14:paraId="3432A670" w14:textId="77777777" w:rsidR="003E70BB" w:rsidRPr="00F909DC" w:rsidRDefault="003E70BB" w:rsidP="00BE562B">
            <w:pPr>
              <w:spacing w:after="0" w:line="246" w:lineRule="exact"/>
              <w:ind w:left="102" w:right="-20"/>
              <w:rPr>
                <w:rFonts w:ascii="Times New Roman" w:hAnsi="Times New Roman"/>
              </w:rPr>
            </w:pPr>
            <w:r w:rsidRPr="00534C57">
              <w:rPr>
                <w:rFonts w:ascii="Times New Roman" w:eastAsia="Times New Roman" w:hAnsi="Times New Roman"/>
                <w:spacing w:val="-1"/>
              </w:rPr>
              <w:t>Tyrimai</w:t>
            </w:r>
          </w:p>
        </w:tc>
        <w:tc>
          <w:tcPr>
            <w:tcW w:w="1561" w:type="dxa"/>
            <w:tcBorders>
              <w:top w:val="single" w:sz="4" w:space="0" w:color="000000"/>
              <w:left w:val="single" w:sz="4" w:space="0" w:color="000000"/>
              <w:bottom w:val="single" w:sz="4" w:space="0" w:color="000000"/>
              <w:right w:val="single" w:sz="4" w:space="0" w:color="000000"/>
            </w:tcBorders>
          </w:tcPr>
          <w:p w14:paraId="1627EDD5" w14:textId="77777777" w:rsidR="003E70BB" w:rsidRPr="00951727" w:rsidRDefault="003E70BB" w:rsidP="003E70BB">
            <w:pPr>
              <w:spacing w:after="200" w:line="276" w:lineRule="auto"/>
            </w:pPr>
          </w:p>
        </w:tc>
        <w:tc>
          <w:tcPr>
            <w:tcW w:w="1919" w:type="dxa"/>
            <w:tcBorders>
              <w:top w:val="single" w:sz="4" w:space="0" w:color="000000"/>
              <w:left w:val="single" w:sz="4" w:space="0" w:color="000000"/>
              <w:bottom w:val="single" w:sz="4" w:space="0" w:color="000000"/>
              <w:right w:val="single" w:sz="4" w:space="0" w:color="000000"/>
            </w:tcBorders>
          </w:tcPr>
          <w:p w14:paraId="14DBC160" w14:textId="77777777" w:rsidR="003E70BB" w:rsidRPr="00534C57" w:rsidRDefault="003E70BB" w:rsidP="003E70BB">
            <w:pPr>
              <w:spacing w:after="0" w:line="246" w:lineRule="exact"/>
              <w:ind w:left="100" w:right="-20"/>
              <w:rPr>
                <w:rFonts w:ascii="Times New Roman" w:eastAsia="Times New Roman" w:hAnsi="Times New Roman"/>
              </w:rPr>
            </w:pPr>
            <w:r w:rsidRPr="00534C57">
              <w:rPr>
                <w:rFonts w:ascii="Times New Roman" w:eastAsia="Times New Roman" w:hAnsi="Times New Roman"/>
              </w:rPr>
              <w:t>kreatinino kr</w:t>
            </w:r>
            <w:r w:rsidRPr="00534C57">
              <w:rPr>
                <w:rFonts w:ascii="Times New Roman" w:eastAsia="Times New Roman" w:hAnsi="Times New Roman"/>
                <w:spacing w:val="-2"/>
              </w:rPr>
              <w:t>au</w:t>
            </w:r>
            <w:r w:rsidRPr="00534C57">
              <w:rPr>
                <w:rFonts w:ascii="Times New Roman" w:eastAsia="Times New Roman" w:hAnsi="Times New Roman"/>
                <w:spacing w:val="3"/>
              </w:rPr>
              <w:t>j</w:t>
            </w:r>
            <w:r w:rsidRPr="00534C57">
              <w:rPr>
                <w:rFonts w:ascii="Times New Roman" w:eastAsia="Times New Roman" w:hAnsi="Times New Roman"/>
                <w:spacing w:val="-5"/>
              </w:rPr>
              <w:t>y</w:t>
            </w:r>
            <w:r w:rsidRPr="00534C57">
              <w:rPr>
                <w:rFonts w:ascii="Times New Roman" w:eastAsia="Times New Roman" w:hAnsi="Times New Roman"/>
                <w:spacing w:val="3"/>
              </w:rPr>
              <w:t>j</w:t>
            </w:r>
            <w:r w:rsidRPr="00534C57">
              <w:rPr>
                <w:rFonts w:ascii="Times New Roman" w:eastAsia="Times New Roman" w:hAnsi="Times New Roman"/>
              </w:rPr>
              <w:t>e</w:t>
            </w:r>
          </w:p>
          <w:p w14:paraId="4D962DCE" w14:textId="77777777" w:rsidR="003E70BB" w:rsidRPr="00534C57" w:rsidRDefault="003E70BB" w:rsidP="003E70BB">
            <w:pPr>
              <w:spacing w:before="1" w:after="0" w:line="240" w:lineRule="auto"/>
              <w:ind w:left="100" w:right="-20"/>
              <w:rPr>
                <w:rFonts w:ascii="Times New Roman" w:eastAsia="Times New Roman" w:hAnsi="Times New Roman"/>
              </w:rPr>
            </w:pPr>
            <w:r w:rsidRPr="00534C57">
              <w:rPr>
                <w:rFonts w:ascii="Times New Roman" w:eastAsia="Times New Roman" w:hAnsi="Times New Roman"/>
              </w:rPr>
              <w:t>padaugėjimas</w:t>
            </w:r>
          </w:p>
        </w:tc>
        <w:tc>
          <w:tcPr>
            <w:tcW w:w="2008" w:type="dxa"/>
            <w:tcBorders>
              <w:top w:val="single" w:sz="4" w:space="0" w:color="000000"/>
              <w:left w:val="single" w:sz="4" w:space="0" w:color="000000"/>
              <w:bottom w:val="single" w:sz="4" w:space="0" w:color="000000"/>
              <w:right w:val="single" w:sz="4" w:space="0" w:color="000000"/>
            </w:tcBorders>
          </w:tcPr>
          <w:p w14:paraId="15681EF1" w14:textId="77777777" w:rsidR="003E70BB" w:rsidRPr="00534C57" w:rsidRDefault="003E70BB" w:rsidP="003E70BB">
            <w:pPr>
              <w:spacing w:after="0" w:line="246" w:lineRule="exact"/>
              <w:ind w:left="100" w:right="-20"/>
              <w:rPr>
                <w:rFonts w:ascii="Times New Roman" w:eastAsia="Times New Roman" w:hAnsi="Times New Roman"/>
              </w:rPr>
            </w:pPr>
            <w:r w:rsidRPr="00F909DC">
              <w:rPr>
                <w:rFonts w:ascii="Times New Roman" w:hAnsi="Times New Roman"/>
              </w:rPr>
              <w:t>šlapalo kraujyje</w:t>
            </w:r>
          </w:p>
          <w:p w14:paraId="5677B4A1" w14:textId="77777777" w:rsidR="003E70BB" w:rsidRPr="00F909DC" w:rsidRDefault="003E70BB" w:rsidP="00BE562B">
            <w:pPr>
              <w:spacing w:before="1" w:after="0" w:line="239" w:lineRule="auto"/>
              <w:ind w:left="100" w:right="545"/>
              <w:rPr>
                <w:rFonts w:ascii="Times New Roman" w:hAnsi="Times New Roman"/>
              </w:rPr>
            </w:pPr>
            <w:r w:rsidRPr="00F909DC">
              <w:rPr>
                <w:rFonts w:ascii="Times New Roman" w:hAnsi="Times New Roman"/>
              </w:rPr>
              <w:t xml:space="preserve">padaugėjimas, cholesterolio kraujyje </w:t>
            </w:r>
            <w:r w:rsidRPr="00534C57">
              <w:rPr>
                <w:rFonts w:ascii="Times New Roman" w:eastAsia="Times New Roman" w:hAnsi="Times New Roman"/>
              </w:rPr>
              <w:t>padaugėjimas</w:t>
            </w:r>
          </w:p>
        </w:tc>
        <w:tc>
          <w:tcPr>
            <w:tcW w:w="1736" w:type="dxa"/>
            <w:tcBorders>
              <w:top w:val="single" w:sz="4" w:space="0" w:color="000000"/>
              <w:left w:val="single" w:sz="4" w:space="0" w:color="000000"/>
              <w:bottom w:val="single" w:sz="4" w:space="0" w:color="000000"/>
              <w:right w:val="single" w:sz="4" w:space="0" w:color="000000"/>
            </w:tcBorders>
          </w:tcPr>
          <w:p w14:paraId="49595D5A" w14:textId="77777777" w:rsidR="003E70BB" w:rsidRPr="00951727" w:rsidRDefault="003E70BB" w:rsidP="003E70BB">
            <w:pPr>
              <w:spacing w:after="200" w:line="276" w:lineRule="auto"/>
            </w:pPr>
          </w:p>
        </w:tc>
        <w:tc>
          <w:tcPr>
            <w:tcW w:w="1577" w:type="dxa"/>
            <w:tcBorders>
              <w:top w:val="single" w:sz="4" w:space="0" w:color="000000"/>
              <w:left w:val="single" w:sz="4" w:space="0" w:color="000000"/>
              <w:bottom w:val="single" w:sz="4" w:space="0" w:color="000000"/>
              <w:right w:val="single" w:sz="4" w:space="0" w:color="000000"/>
            </w:tcBorders>
          </w:tcPr>
          <w:p w14:paraId="045F2FDF" w14:textId="77777777" w:rsidR="003E70BB" w:rsidRPr="00951727" w:rsidRDefault="003E70BB" w:rsidP="003E70BB">
            <w:pPr>
              <w:spacing w:after="200" w:line="276" w:lineRule="auto"/>
            </w:pPr>
          </w:p>
        </w:tc>
      </w:tr>
    </w:tbl>
    <w:p w14:paraId="1AF9A09B" w14:textId="77777777" w:rsidR="00D30661" w:rsidRDefault="00D30661" w:rsidP="00D30661">
      <w:pPr>
        <w:widowControl w:val="0"/>
        <w:spacing w:before="33" w:after="0" w:line="226" w:lineRule="exact"/>
        <w:ind w:left="118" w:right="-20"/>
        <w:rPr>
          <w:rFonts w:ascii="Times New Roman" w:eastAsia="Times New Roman" w:hAnsi="Times New Roman"/>
          <w:position w:val="-1"/>
          <w:sz w:val="20"/>
          <w:szCs w:val="20"/>
        </w:rPr>
      </w:pPr>
      <w:r w:rsidRPr="00534C57">
        <w:rPr>
          <w:rFonts w:ascii="Times New Roman" w:eastAsia="Times New Roman" w:hAnsi="Times New Roman"/>
          <w:position w:val="-1"/>
          <w:sz w:val="20"/>
          <w:szCs w:val="20"/>
        </w:rPr>
        <w:t>*Nepageidaujama</w:t>
      </w:r>
      <w:r w:rsidRPr="00534C57">
        <w:rPr>
          <w:rFonts w:ascii="Times New Roman" w:eastAsia="Times New Roman" w:hAnsi="Times New Roman"/>
          <w:spacing w:val="-14"/>
          <w:position w:val="-1"/>
          <w:sz w:val="20"/>
          <w:szCs w:val="20"/>
        </w:rPr>
        <w:t xml:space="preserve"> </w:t>
      </w:r>
      <w:r w:rsidRPr="00534C57">
        <w:rPr>
          <w:rFonts w:ascii="Times New Roman" w:eastAsia="Times New Roman" w:hAnsi="Times New Roman"/>
          <w:position w:val="-1"/>
          <w:sz w:val="20"/>
          <w:szCs w:val="20"/>
        </w:rPr>
        <w:t>reakcija</w:t>
      </w:r>
      <w:r w:rsidRPr="00534C57">
        <w:rPr>
          <w:rFonts w:ascii="Times New Roman" w:eastAsia="Times New Roman" w:hAnsi="Times New Roman"/>
          <w:spacing w:val="-6"/>
          <w:position w:val="-1"/>
          <w:sz w:val="20"/>
          <w:szCs w:val="20"/>
        </w:rPr>
        <w:t xml:space="preserve"> </w:t>
      </w:r>
      <w:r w:rsidRPr="00534C57">
        <w:rPr>
          <w:rFonts w:ascii="Times New Roman" w:eastAsia="Times New Roman" w:hAnsi="Times New Roman"/>
          <w:position w:val="-1"/>
          <w:sz w:val="20"/>
          <w:szCs w:val="20"/>
        </w:rPr>
        <w:t>nustatyta</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pateikus</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vaistinį</w:t>
      </w:r>
      <w:r w:rsidRPr="00534C57">
        <w:rPr>
          <w:rFonts w:ascii="Times New Roman" w:eastAsia="Times New Roman" w:hAnsi="Times New Roman"/>
          <w:spacing w:val="-6"/>
          <w:position w:val="-1"/>
          <w:sz w:val="20"/>
          <w:szCs w:val="20"/>
        </w:rPr>
        <w:t xml:space="preserve"> </w:t>
      </w:r>
      <w:r w:rsidRPr="00534C57">
        <w:rPr>
          <w:rFonts w:ascii="Times New Roman" w:eastAsia="Times New Roman" w:hAnsi="Times New Roman"/>
          <w:position w:val="-1"/>
          <w:sz w:val="20"/>
          <w:szCs w:val="20"/>
        </w:rPr>
        <w:t>preparatą</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į</w:t>
      </w:r>
      <w:r w:rsidRPr="00534C57">
        <w:rPr>
          <w:rFonts w:ascii="Times New Roman" w:eastAsia="Times New Roman" w:hAnsi="Times New Roman"/>
          <w:spacing w:val="-1"/>
          <w:position w:val="-1"/>
          <w:sz w:val="20"/>
          <w:szCs w:val="20"/>
        </w:rPr>
        <w:t xml:space="preserve"> </w:t>
      </w:r>
      <w:r w:rsidRPr="00534C57">
        <w:rPr>
          <w:rFonts w:ascii="Times New Roman" w:eastAsia="Times New Roman" w:hAnsi="Times New Roman"/>
          <w:position w:val="-1"/>
          <w:sz w:val="20"/>
          <w:szCs w:val="20"/>
        </w:rPr>
        <w:t>rinką</w:t>
      </w:r>
    </w:p>
    <w:p w14:paraId="4655756F" w14:textId="4DBC5CA2" w:rsidR="00237545" w:rsidRPr="00534C57" w:rsidRDefault="00237545" w:rsidP="00D30661">
      <w:pPr>
        <w:widowControl w:val="0"/>
        <w:spacing w:before="33" w:after="0" w:line="226" w:lineRule="exact"/>
        <w:ind w:left="118" w:right="-20"/>
        <w:rPr>
          <w:rFonts w:ascii="Times New Roman" w:eastAsia="Times New Roman" w:hAnsi="Times New Roman"/>
          <w:sz w:val="20"/>
          <w:szCs w:val="20"/>
        </w:rPr>
      </w:pPr>
      <w:r>
        <w:rPr>
          <w:rFonts w:ascii="Times New Roman" w:eastAsia="Times New Roman" w:hAnsi="Times New Roman"/>
          <w:position w:val="-1"/>
          <w:sz w:val="20"/>
          <w:szCs w:val="20"/>
        </w:rPr>
        <w:t>**</w:t>
      </w:r>
      <w:r w:rsidRPr="00237545">
        <w:t xml:space="preserve"> </w:t>
      </w:r>
      <w:r w:rsidRPr="00237545">
        <w:rPr>
          <w:rFonts w:ascii="Times New Roman" w:eastAsia="Times New Roman" w:hAnsi="Times New Roman"/>
          <w:position w:val="-1"/>
          <w:sz w:val="20"/>
          <w:szCs w:val="20"/>
        </w:rPr>
        <w:t xml:space="preserve">Dažnio kategorija pagrįsta stebėjimo tyrimu, </w:t>
      </w:r>
      <w:r w:rsidR="00744CE2" w:rsidRPr="00744CE2">
        <w:rPr>
          <w:rFonts w:ascii="Times New Roman" w:eastAsia="Times New Roman" w:hAnsi="Times New Roman"/>
          <w:position w:val="-1"/>
          <w:sz w:val="20"/>
          <w:szCs w:val="20"/>
        </w:rPr>
        <w:t>kuriame naudojami realūs duomenys, gauti iš antrinių duomenų šaltinių</w:t>
      </w:r>
      <w:r w:rsidRPr="00237545">
        <w:rPr>
          <w:rFonts w:ascii="Times New Roman" w:eastAsia="Times New Roman" w:hAnsi="Times New Roman"/>
          <w:position w:val="-1"/>
          <w:sz w:val="20"/>
          <w:szCs w:val="20"/>
        </w:rPr>
        <w:t xml:space="preserve"> Švedijoje</w:t>
      </w:r>
      <w:r>
        <w:rPr>
          <w:rFonts w:ascii="Times New Roman" w:eastAsia="Times New Roman" w:hAnsi="Times New Roman"/>
          <w:position w:val="-1"/>
          <w:sz w:val="20"/>
          <w:szCs w:val="20"/>
        </w:rPr>
        <w:t>.</w:t>
      </w:r>
    </w:p>
    <w:p w14:paraId="75932D7A" w14:textId="77777777" w:rsidR="00D30661" w:rsidRPr="00534C57" w:rsidRDefault="00D30661" w:rsidP="00D30661">
      <w:pPr>
        <w:widowControl w:val="0"/>
        <w:spacing w:after="0" w:line="230"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 xml:space="preserve">1 </w:t>
      </w:r>
      <w:r w:rsidRPr="00534C57">
        <w:rPr>
          <w:rFonts w:ascii="Times New Roman" w:eastAsia="Times New Roman" w:hAnsi="Times New Roman"/>
          <w:position w:val="-1"/>
          <w:sz w:val="20"/>
          <w:szCs w:val="20"/>
        </w:rPr>
        <w:t>Įskaitant</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febrilinę</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ne</w:t>
      </w:r>
      <w:r w:rsidRPr="00534C57">
        <w:rPr>
          <w:rFonts w:ascii="Times New Roman" w:eastAsia="Times New Roman" w:hAnsi="Times New Roman"/>
          <w:spacing w:val="-1"/>
          <w:position w:val="-1"/>
          <w:sz w:val="20"/>
          <w:szCs w:val="20"/>
        </w:rPr>
        <w:t>u</w:t>
      </w:r>
      <w:r w:rsidRPr="00534C57">
        <w:rPr>
          <w:rFonts w:ascii="Times New Roman" w:eastAsia="Times New Roman" w:hAnsi="Times New Roman"/>
          <w:position w:val="-1"/>
          <w:sz w:val="20"/>
          <w:szCs w:val="20"/>
        </w:rPr>
        <w:t>tropeniją</w:t>
      </w:r>
      <w:r w:rsidRPr="00534C57">
        <w:rPr>
          <w:rFonts w:ascii="Times New Roman" w:eastAsia="Times New Roman" w:hAnsi="Times New Roman"/>
          <w:spacing w:val="-9"/>
          <w:position w:val="-1"/>
          <w:sz w:val="20"/>
          <w:szCs w:val="20"/>
        </w:rPr>
        <w:t xml:space="preserve"> </w:t>
      </w:r>
      <w:r w:rsidRPr="00534C57">
        <w:rPr>
          <w:rFonts w:ascii="Times New Roman" w:eastAsia="Times New Roman" w:hAnsi="Times New Roman"/>
          <w:position w:val="-1"/>
          <w:sz w:val="20"/>
          <w:szCs w:val="20"/>
        </w:rPr>
        <w:t>ir neutropeniją.</w:t>
      </w:r>
    </w:p>
    <w:p w14:paraId="2A4492FD" w14:textId="77777777" w:rsidR="00D30661" w:rsidRPr="00534C57" w:rsidRDefault="00D30661" w:rsidP="00D30661">
      <w:pPr>
        <w:widowControl w:val="0"/>
        <w:spacing w:after="0" w:line="230"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2</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Įskaitant</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imuninę</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trombocitopeninę</w:t>
      </w:r>
      <w:r w:rsidRPr="00534C57">
        <w:rPr>
          <w:rFonts w:ascii="Times New Roman" w:eastAsia="Times New Roman" w:hAnsi="Times New Roman"/>
          <w:spacing w:val="-14"/>
          <w:position w:val="-1"/>
          <w:sz w:val="20"/>
          <w:szCs w:val="20"/>
        </w:rPr>
        <w:t xml:space="preserve"> </w:t>
      </w:r>
      <w:r w:rsidRPr="00534C57">
        <w:rPr>
          <w:rFonts w:ascii="Times New Roman" w:eastAsia="Times New Roman" w:hAnsi="Times New Roman"/>
          <w:position w:val="-1"/>
          <w:sz w:val="20"/>
          <w:szCs w:val="20"/>
        </w:rPr>
        <w:t>purpurą.</w:t>
      </w:r>
    </w:p>
    <w:p w14:paraId="23C7BC85" w14:textId="77777777" w:rsidR="00D30661" w:rsidRPr="00534C57" w:rsidRDefault="00D30661" w:rsidP="00D30661">
      <w:pPr>
        <w:widowControl w:val="0"/>
        <w:spacing w:after="0" w:line="230"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3</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Įskaitant</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sprando</w:t>
      </w:r>
      <w:r w:rsidRPr="00534C57">
        <w:rPr>
          <w:rFonts w:ascii="Times New Roman" w:eastAsia="Times New Roman" w:hAnsi="Times New Roman"/>
          <w:spacing w:val="-6"/>
          <w:position w:val="-1"/>
          <w:sz w:val="20"/>
          <w:szCs w:val="20"/>
        </w:rPr>
        <w:t xml:space="preserve"> </w:t>
      </w:r>
      <w:r w:rsidRPr="00534C57">
        <w:rPr>
          <w:rFonts w:ascii="Times New Roman" w:eastAsia="Times New Roman" w:hAnsi="Times New Roman"/>
          <w:position w:val="-1"/>
          <w:sz w:val="20"/>
          <w:szCs w:val="20"/>
        </w:rPr>
        <w:t>rigidiškumą</w:t>
      </w:r>
      <w:r w:rsidRPr="00534C57">
        <w:rPr>
          <w:rFonts w:ascii="Times New Roman" w:eastAsia="Times New Roman" w:hAnsi="Times New Roman"/>
          <w:spacing w:val="-10"/>
          <w:position w:val="-1"/>
          <w:sz w:val="20"/>
          <w:szCs w:val="20"/>
        </w:rPr>
        <w:t xml:space="preserve"> </w:t>
      </w:r>
      <w:r w:rsidRPr="00534C57">
        <w:rPr>
          <w:rFonts w:ascii="Times New Roman" w:eastAsia="Times New Roman" w:hAnsi="Times New Roman"/>
          <w:position w:val="-1"/>
          <w:sz w:val="20"/>
          <w:szCs w:val="20"/>
        </w:rPr>
        <w:t>ir</w:t>
      </w:r>
      <w:r w:rsidRPr="00534C57">
        <w:rPr>
          <w:rFonts w:ascii="Times New Roman" w:eastAsia="Times New Roman" w:hAnsi="Times New Roman"/>
          <w:spacing w:val="-1"/>
          <w:position w:val="-1"/>
          <w:sz w:val="20"/>
          <w:szCs w:val="20"/>
        </w:rPr>
        <w:t xml:space="preserve"> </w:t>
      </w:r>
      <w:r w:rsidRPr="00534C57">
        <w:rPr>
          <w:rFonts w:ascii="Times New Roman" w:eastAsia="Times New Roman" w:hAnsi="Times New Roman"/>
          <w:position w:val="-1"/>
          <w:sz w:val="20"/>
          <w:szCs w:val="20"/>
        </w:rPr>
        <w:t>tetaniją.</w:t>
      </w:r>
    </w:p>
    <w:p w14:paraId="4097EE2B" w14:textId="77777777" w:rsidR="00D30661" w:rsidRPr="00534C57" w:rsidRDefault="00D30661" w:rsidP="00D30661">
      <w:pPr>
        <w:widowControl w:val="0"/>
        <w:spacing w:after="0" w:line="229"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4</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Įskaitant</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hipoksin</w:t>
      </w:r>
      <w:r w:rsidRPr="00534C57">
        <w:rPr>
          <w:rFonts w:ascii="Times New Roman" w:eastAsia="Times New Roman" w:hAnsi="Times New Roman"/>
          <w:spacing w:val="3"/>
          <w:position w:val="-1"/>
          <w:sz w:val="20"/>
          <w:szCs w:val="20"/>
        </w:rPr>
        <w:t>ę</w:t>
      </w:r>
      <w:r w:rsidRPr="00534C57">
        <w:rPr>
          <w:rFonts w:ascii="Times New Roman" w:eastAsia="Times New Roman" w:hAnsi="Times New Roman"/>
          <w:spacing w:val="-2"/>
          <w:position w:val="-1"/>
          <w:sz w:val="20"/>
          <w:szCs w:val="20"/>
        </w:rPr>
        <w:t>-</w:t>
      </w:r>
      <w:r w:rsidRPr="00534C57">
        <w:rPr>
          <w:rFonts w:ascii="Times New Roman" w:eastAsia="Times New Roman" w:hAnsi="Times New Roman"/>
          <w:position w:val="-1"/>
          <w:sz w:val="20"/>
          <w:szCs w:val="20"/>
        </w:rPr>
        <w:t>išeminę</w:t>
      </w:r>
      <w:r w:rsidRPr="00534C57">
        <w:rPr>
          <w:rFonts w:ascii="Times New Roman" w:eastAsia="Times New Roman" w:hAnsi="Times New Roman"/>
          <w:spacing w:val="-14"/>
          <w:position w:val="-1"/>
          <w:sz w:val="20"/>
          <w:szCs w:val="20"/>
        </w:rPr>
        <w:t xml:space="preserve"> </w:t>
      </w:r>
      <w:r w:rsidRPr="00534C57">
        <w:rPr>
          <w:rFonts w:ascii="Times New Roman" w:eastAsia="Times New Roman" w:hAnsi="Times New Roman"/>
          <w:position w:val="-1"/>
          <w:sz w:val="20"/>
          <w:szCs w:val="20"/>
        </w:rPr>
        <w:t>encefalopatiją</w:t>
      </w:r>
      <w:r w:rsidRPr="00534C57">
        <w:rPr>
          <w:rFonts w:ascii="Times New Roman" w:eastAsia="Times New Roman" w:hAnsi="Times New Roman"/>
          <w:spacing w:val="-10"/>
          <w:position w:val="-1"/>
          <w:sz w:val="20"/>
          <w:szCs w:val="20"/>
        </w:rPr>
        <w:t xml:space="preserve"> </w:t>
      </w:r>
      <w:r w:rsidRPr="00534C57">
        <w:rPr>
          <w:rFonts w:ascii="Times New Roman" w:eastAsia="Times New Roman" w:hAnsi="Times New Roman"/>
          <w:position w:val="-1"/>
          <w:sz w:val="20"/>
          <w:szCs w:val="20"/>
        </w:rPr>
        <w:t>ir metabolinę</w:t>
      </w:r>
      <w:r w:rsidRPr="00534C57">
        <w:rPr>
          <w:rFonts w:ascii="Times New Roman" w:eastAsia="Times New Roman" w:hAnsi="Times New Roman"/>
          <w:spacing w:val="-8"/>
          <w:position w:val="-1"/>
          <w:sz w:val="20"/>
          <w:szCs w:val="20"/>
        </w:rPr>
        <w:t xml:space="preserve"> </w:t>
      </w:r>
      <w:r w:rsidRPr="00534C57">
        <w:rPr>
          <w:rFonts w:ascii="Times New Roman" w:eastAsia="Times New Roman" w:hAnsi="Times New Roman"/>
          <w:position w:val="-1"/>
          <w:sz w:val="20"/>
          <w:szCs w:val="20"/>
        </w:rPr>
        <w:t>encefalopatiją.</w:t>
      </w:r>
    </w:p>
    <w:p w14:paraId="1F98B5C6" w14:textId="77777777" w:rsidR="00D30661" w:rsidRPr="00534C57" w:rsidRDefault="00D30661" w:rsidP="00D30661">
      <w:pPr>
        <w:widowControl w:val="0"/>
        <w:spacing w:after="0" w:line="229"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5</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Įskaitant</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akatiziją</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ir</w:t>
      </w:r>
      <w:r w:rsidRPr="00534C57">
        <w:rPr>
          <w:rFonts w:ascii="Times New Roman" w:eastAsia="Times New Roman" w:hAnsi="Times New Roman"/>
          <w:spacing w:val="-1"/>
          <w:position w:val="-1"/>
          <w:sz w:val="20"/>
          <w:szCs w:val="20"/>
        </w:rPr>
        <w:t xml:space="preserve"> </w:t>
      </w:r>
      <w:r w:rsidRPr="00534C57">
        <w:rPr>
          <w:rFonts w:ascii="Times New Roman" w:eastAsia="Times New Roman" w:hAnsi="Times New Roman"/>
          <w:position w:val="-1"/>
          <w:sz w:val="20"/>
          <w:szCs w:val="20"/>
        </w:rPr>
        <w:t>parkinsonizmą.</w:t>
      </w:r>
    </w:p>
    <w:p w14:paraId="408231B7" w14:textId="77777777" w:rsidR="00D30661" w:rsidRPr="00534C57" w:rsidRDefault="00D30661" w:rsidP="00D30661">
      <w:pPr>
        <w:widowControl w:val="0"/>
        <w:spacing w:after="0" w:line="230"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6</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Žr.</w:t>
      </w:r>
      <w:r w:rsidRPr="00534C57">
        <w:rPr>
          <w:rFonts w:ascii="Times New Roman" w:eastAsia="Times New Roman" w:hAnsi="Times New Roman"/>
          <w:spacing w:val="-2"/>
          <w:position w:val="-1"/>
          <w:sz w:val="20"/>
          <w:szCs w:val="20"/>
        </w:rPr>
        <w:t xml:space="preserve"> </w:t>
      </w:r>
      <w:r w:rsidRPr="00534C57">
        <w:rPr>
          <w:rFonts w:ascii="Times New Roman" w:eastAsia="Times New Roman" w:hAnsi="Times New Roman"/>
          <w:position w:val="-1"/>
          <w:sz w:val="20"/>
          <w:szCs w:val="20"/>
        </w:rPr>
        <w:t>„Regos</w:t>
      </w:r>
      <w:r w:rsidRPr="00534C57">
        <w:rPr>
          <w:rFonts w:ascii="Times New Roman" w:eastAsia="Times New Roman" w:hAnsi="Times New Roman"/>
          <w:spacing w:val="-6"/>
          <w:position w:val="-1"/>
          <w:sz w:val="20"/>
          <w:szCs w:val="20"/>
        </w:rPr>
        <w:t xml:space="preserve"> </w:t>
      </w:r>
      <w:r w:rsidRPr="00534C57">
        <w:rPr>
          <w:rFonts w:ascii="Times New Roman" w:eastAsia="Times New Roman" w:hAnsi="Times New Roman"/>
          <w:position w:val="-1"/>
          <w:sz w:val="20"/>
          <w:szCs w:val="20"/>
        </w:rPr>
        <w:t>sutrikimų“</w:t>
      </w:r>
      <w:r w:rsidRPr="00534C57">
        <w:rPr>
          <w:rFonts w:ascii="Times New Roman" w:eastAsia="Times New Roman" w:hAnsi="Times New Roman"/>
          <w:spacing w:val="-8"/>
          <w:position w:val="-1"/>
          <w:sz w:val="20"/>
          <w:szCs w:val="20"/>
        </w:rPr>
        <w:t xml:space="preserve"> </w:t>
      </w:r>
      <w:r w:rsidRPr="00534C57">
        <w:rPr>
          <w:rFonts w:ascii="Times New Roman" w:eastAsia="Times New Roman" w:hAnsi="Times New Roman"/>
          <w:position w:val="-1"/>
          <w:sz w:val="20"/>
          <w:szCs w:val="20"/>
        </w:rPr>
        <w:t>paragrafą</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4.8</w:t>
      </w:r>
      <w:r w:rsidRPr="00534C57">
        <w:rPr>
          <w:rFonts w:ascii="Times New Roman" w:eastAsia="Times New Roman" w:hAnsi="Times New Roman"/>
          <w:spacing w:val="-2"/>
          <w:position w:val="-1"/>
          <w:sz w:val="20"/>
          <w:szCs w:val="20"/>
        </w:rPr>
        <w:t xml:space="preserve"> </w:t>
      </w:r>
      <w:r w:rsidRPr="00534C57">
        <w:rPr>
          <w:rFonts w:ascii="Times New Roman" w:eastAsia="Times New Roman" w:hAnsi="Times New Roman"/>
          <w:position w:val="-1"/>
          <w:sz w:val="20"/>
          <w:szCs w:val="20"/>
        </w:rPr>
        <w:t>skyriuje.</w:t>
      </w:r>
    </w:p>
    <w:p w14:paraId="5DBA0994" w14:textId="77777777" w:rsidR="00D30661" w:rsidRPr="00534C57" w:rsidRDefault="00D30661" w:rsidP="00D30661">
      <w:pPr>
        <w:widowControl w:val="0"/>
        <w:spacing w:after="0" w:line="230"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7</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Pateikus</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vaistinį</w:t>
      </w:r>
      <w:r w:rsidRPr="00534C57">
        <w:rPr>
          <w:rFonts w:ascii="Times New Roman" w:eastAsia="Times New Roman" w:hAnsi="Times New Roman"/>
          <w:spacing w:val="-6"/>
          <w:position w:val="-1"/>
          <w:sz w:val="20"/>
          <w:szCs w:val="20"/>
        </w:rPr>
        <w:t xml:space="preserve"> </w:t>
      </w:r>
      <w:r w:rsidRPr="00534C57">
        <w:rPr>
          <w:rFonts w:ascii="Times New Roman" w:eastAsia="Times New Roman" w:hAnsi="Times New Roman"/>
          <w:position w:val="-1"/>
          <w:sz w:val="20"/>
          <w:szCs w:val="20"/>
        </w:rPr>
        <w:t>preparatą</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į</w:t>
      </w:r>
      <w:r w:rsidRPr="00534C57">
        <w:rPr>
          <w:rFonts w:ascii="Times New Roman" w:eastAsia="Times New Roman" w:hAnsi="Times New Roman"/>
          <w:spacing w:val="-1"/>
          <w:position w:val="-1"/>
          <w:sz w:val="20"/>
          <w:szCs w:val="20"/>
        </w:rPr>
        <w:t xml:space="preserve"> </w:t>
      </w:r>
      <w:r w:rsidRPr="00534C57">
        <w:rPr>
          <w:rFonts w:ascii="Times New Roman" w:eastAsia="Times New Roman" w:hAnsi="Times New Roman"/>
          <w:position w:val="-1"/>
          <w:sz w:val="20"/>
          <w:szCs w:val="20"/>
        </w:rPr>
        <w:t>rinką</w:t>
      </w:r>
      <w:r w:rsidRPr="00534C57">
        <w:rPr>
          <w:rFonts w:ascii="Times New Roman" w:eastAsia="Times New Roman" w:hAnsi="Times New Roman"/>
          <w:spacing w:val="-4"/>
          <w:position w:val="-1"/>
          <w:sz w:val="20"/>
          <w:szCs w:val="20"/>
        </w:rPr>
        <w:t xml:space="preserve"> </w:t>
      </w:r>
      <w:r w:rsidRPr="00534C57">
        <w:rPr>
          <w:rFonts w:ascii="Times New Roman" w:eastAsia="Times New Roman" w:hAnsi="Times New Roman"/>
          <w:position w:val="-1"/>
          <w:sz w:val="20"/>
          <w:szCs w:val="20"/>
        </w:rPr>
        <w:t>buvo</w:t>
      </w:r>
      <w:r w:rsidRPr="00534C57">
        <w:rPr>
          <w:rFonts w:ascii="Times New Roman" w:eastAsia="Times New Roman" w:hAnsi="Times New Roman"/>
          <w:spacing w:val="-4"/>
          <w:position w:val="-1"/>
          <w:sz w:val="20"/>
          <w:szCs w:val="20"/>
        </w:rPr>
        <w:t xml:space="preserve"> </w:t>
      </w:r>
      <w:r w:rsidRPr="00534C57">
        <w:rPr>
          <w:rFonts w:ascii="Times New Roman" w:eastAsia="Times New Roman" w:hAnsi="Times New Roman"/>
          <w:position w:val="-1"/>
          <w:sz w:val="20"/>
          <w:szCs w:val="20"/>
        </w:rPr>
        <w:t>pranešta</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apie</w:t>
      </w:r>
      <w:r w:rsidRPr="00534C57">
        <w:rPr>
          <w:rFonts w:ascii="Times New Roman" w:eastAsia="Times New Roman" w:hAnsi="Times New Roman"/>
          <w:spacing w:val="-3"/>
          <w:position w:val="-1"/>
          <w:sz w:val="20"/>
          <w:szCs w:val="20"/>
        </w:rPr>
        <w:t xml:space="preserve"> </w:t>
      </w:r>
      <w:r w:rsidRPr="00534C57">
        <w:rPr>
          <w:rFonts w:ascii="Times New Roman" w:eastAsia="Times New Roman" w:hAnsi="Times New Roman"/>
          <w:position w:val="-1"/>
          <w:sz w:val="20"/>
          <w:szCs w:val="20"/>
        </w:rPr>
        <w:t>užsitęsusį</w:t>
      </w:r>
      <w:r w:rsidRPr="00534C57">
        <w:rPr>
          <w:rFonts w:ascii="Times New Roman" w:eastAsia="Times New Roman" w:hAnsi="Times New Roman"/>
          <w:spacing w:val="-8"/>
          <w:position w:val="-1"/>
          <w:sz w:val="20"/>
          <w:szCs w:val="20"/>
        </w:rPr>
        <w:t xml:space="preserve"> </w:t>
      </w:r>
      <w:r w:rsidRPr="00534C57">
        <w:rPr>
          <w:rFonts w:ascii="Times New Roman" w:eastAsia="Times New Roman" w:hAnsi="Times New Roman"/>
          <w:position w:val="-1"/>
          <w:sz w:val="20"/>
          <w:szCs w:val="20"/>
        </w:rPr>
        <w:t>regos</w:t>
      </w:r>
      <w:r w:rsidRPr="00534C57">
        <w:rPr>
          <w:rFonts w:ascii="Times New Roman" w:eastAsia="Times New Roman" w:hAnsi="Times New Roman"/>
          <w:spacing w:val="-4"/>
          <w:position w:val="-1"/>
          <w:sz w:val="20"/>
          <w:szCs w:val="20"/>
        </w:rPr>
        <w:t xml:space="preserve"> </w:t>
      </w:r>
      <w:r w:rsidRPr="00534C57">
        <w:rPr>
          <w:rFonts w:ascii="Times New Roman" w:eastAsia="Times New Roman" w:hAnsi="Times New Roman"/>
          <w:position w:val="-1"/>
          <w:sz w:val="20"/>
          <w:szCs w:val="20"/>
        </w:rPr>
        <w:t>nervo</w:t>
      </w:r>
      <w:r w:rsidRPr="00534C57">
        <w:rPr>
          <w:rFonts w:ascii="Times New Roman" w:eastAsia="Times New Roman" w:hAnsi="Times New Roman"/>
          <w:spacing w:val="-5"/>
          <w:position w:val="-1"/>
          <w:sz w:val="20"/>
          <w:szCs w:val="20"/>
        </w:rPr>
        <w:t xml:space="preserve"> </w:t>
      </w:r>
      <w:r w:rsidRPr="00534C57">
        <w:rPr>
          <w:rFonts w:ascii="Times New Roman" w:eastAsia="Times New Roman" w:hAnsi="Times New Roman"/>
          <w:position w:val="-1"/>
          <w:sz w:val="20"/>
          <w:szCs w:val="20"/>
        </w:rPr>
        <w:t>neuritą.</w:t>
      </w:r>
      <w:r w:rsidRPr="00534C57">
        <w:rPr>
          <w:rFonts w:ascii="Times New Roman" w:eastAsia="Times New Roman" w:hAnsi="Times New Roman"/>
          <w:spacing w:val="-6"/>
          <w:position w:val="-1"/>
          <w:sz w:val="20"/>
          <w:szCs w:val="20"/>
        </w:rPr>
        <w:t xml:space="preserve"> </w:t>
      </w:r>
      <w:r w:rsidRPr="00534C57">
        <w:rPr>
          <w:rFonts w:ascii="Times New Roman" w:eastAsia="Times New Roman" w:hAnsi="Times New Roman"/>
          <w:position w:val="-1"/>
          <w:sz w:val="20"/>
          <w:szCs w:val="20"/>
        </w:rPr>
        <w:t>Žr.</w:t>
      </w:r>
      <w:r w:rsidRPr="00534C57">
        <w:rPr>
          <w:rFonts w:ascii="Times New Roman" w:eastAsia="Times New Roman" w:hAnsi="Times New Roman"/>
          <w:spacing w:val="-2"/>
          <w:position w:val="-1"/>
          <w:sz w:val="20"/>
          <w:szCs w:val="20"/>
        </w:rPr>
        <w:t xml:space="preserve"> </w:t>
      </w:r>
      <w:r w:rsidRPr="00534C57">
        <w:rPr>
          <w:rFonts w:ascii="Times New Roman" w:eastAsia="Times New Roman" w:hAnsi="Times New Roman"/>
          <w:position w:val="-1"/>
          <w:sz w:val="20"/>
          <w:szCs w:val="20"/>
        </w:rPr>
        <w:t>4.4</w:t>
      </w:r>
      <w:r w:rsidRPr="00534C57">
        <w:rPr>
          <w:rFonts w:ascii="Times New Roman" w:eastAsia="Times New Roman" w:hAnsi="Times New Roman"/>
          <w:spacing w:val="-3"/>
          <w:position w:val="-1"/>
          <w:sz w:val="20"/>
          <w:szCs w:val="20"/>
        </w:rPr>
        <w:t xml:space="preserve"> </w:t>
      </w:r>
      <w:r w:rsidRPr="00534C57">
        <w:rPr>
          <w:rFonts w:ascii="Times New Roman" w:eastAsia="Times New Roman" w:hAnsi="Times New Roman"/>
          <w:position w:val="-1"/>
          <w:sz w:val="20"/>
          <w:szCs w:val="20"/>
        </w:rPr>
        <w:t>skyrių.</w:t>
      </w:r>
    </w:p>
    <w:p w14:paraId="450E5346" w14:textId="77777777" w:rsidR="00D30661" w:rsidRPr="00534C57" w:rsidRDefault="00D30661" w:rsidP="00D30661">
      <w:pPr>
        <w:widowControl w:val="0"/>
        <w:spacing w:after="0" w:line="230"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8</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Žr.</w:t>
      </w:r>
      <w:r w:rsidRPr="00534C57">
        <w:rPr>
          <w:rFonts w:ascii="Times New Roman" w:eastAsia="Times New Roman" w:hAnsi="Times New Roman"/>
          <w:spacing w:val="-2"/>
          <w:position w:val="-1"/>
          <w:sz w:val="20"/>
          <w:szCs w:val="20"/>
        </w:rPr>
        <w:t xml:space="preserve"> </w:t>
      </w:r>
      <w:r w:rsidRPr="00534C57">
        <w:rPr>
          <w:rFonts w:ascii="Times New Roman" w:eastAsia="Times New Roman" w:hAnsi="Times New Roman"/>
          <w:position w:val="-1"/>
          <w:sz w:val="20"/>
          <w:szCs w:val="20"/>
        </w:rPr>
        <w:t>4.4</w:t>
      </w:r>
      <w:r w:rsidRPr="00534C57">
        <w:rPr>
          <w:rFonts w:ascii="Times New Roman" w:eastAsia="Times New Roman" w:hAnsi="Times New Roman"/>
          <w:spacing w:val="-3"/>
          <w:position w:val="-1"/>
          <w:sz w:val="20"/>
          <w:szCs w:val="20"/>
        </w:rPr>
        <w:t xml:space="preserve"> </w:t>
      </w:r>
      <w:r w:rsidRPr="00534C57">
        <w:rPr>
          <w:rFonts w:ascii="Times New Roman" w:eastAsia="Times New Roman" w:hAnsi="Times New Roman"/>
          <w:position w:val="-1"/>
          <w:sz w:val="20"/>
          <w:szCs w:val="20"/>
        </w:rPr>
        <w:t>skyrių.</w:t>
      </w:r>
    </w:p>
    <w:p w14:paraId="519D7C78" w14:textId="77777777" w:rsidR="00D30661" w:rsidRPr="00534C57" w:rsidRDefault="00D30661" w:rsidP="00D30661">
      <w:pPr>
        <w:widowControl w:val="0"/>
        <w:spacing w:after="0" w:line="229" w:lineRule="exact"/>
        <w:ind w:left="118" w:right="-20"/>
        <w:rPr>
          <w:rFonts w:ascii="Times New Roman" w:eastAsia="Times New Roman" w:hAnsi="Times New Roman"/>
          <w:sz w:val="20"/>
          <w:szCs w:val="20"/>
        </w:rPr>
      </w:pPr>
      <w:r w:rsidRPr="00534C57">
        <w:rPr>
          <w:rFonts w:ascii="Times New Roman" w:eastAsia="Times New Roman" w:hAnsi="Times New Roman"/>
          <w:position w:val="8"/>
          <w:sz w:val="13"/>
          <w:szCs w:val="13"/>
        </w:rPr>
        <w:t>9</w:t>
      </w:r>
      <w:r w:rsidRPr="00534C57">
        <w:rPr>
          <w:rFonts w:ascii="Times New Roman" w:eastAsia="Times New Roman" w:hAnsi="Times New Roman"/>
          <w:spacing w:val="17"/>
          <w:position w:val="8"/>
          <w:sz w:val="13"/>
          <w:szCs w:val="13"/>
        </w:rPr>
        <w:t xml:space="preserve"> </w:t>
      </w:r>
      <w:r w:rsidRPr="00534C57">
        <w:rPr>
          <w:rFonts w:ascii="Times New Roman" w:eastAsia="Times New Roman" w:hAnsi="Times New Roman"/>
          <w:position w:val="-1"/>
          <w:sz w:val="20"/>
          <w:szCs w:val="20"/>
        </w:rPr>
        <w:t>Įskaitant</w:t>
      </w:r>
      <w:r w:rsidRPr="00534C57">
        <w:rPr>
          <w:rFonts w:ascii="Times New Roman" w:eastAsia="Times New Roman" w:hAnsi="Times New Roman"/>
          <w:spacing w:val="-7"/>
          <w:position w:val="-1"/>
          <w:sz w:val="20"/>
          <w:szCs w:val="20"/>
        </w:rPr>
        <w:t xml:space="preserve"> </w:t>
      </w:r>
      <w:r w:rsidRPr="00534C57">
        <w:rPr>
          <w:rFonts w:ascii="Times New Roman" w:eastAsia="Times New Roman" w:hAnsi="Times New Roman"/>
          <w:position w:val="-1"/>
          <w:sz w:val="20"/>
          <w:szCs w:val="20"/>
        </w:rPr>
        <w:t>dusulį</w:t>
      </w:r>
      <w:r w:rsidRPr="00534C57">
        <w:rPr>
          <w:rFonts w:ascii="Times New Roman" w:eastAsia="Times New Roman" w:hAnsi="Times New Roman"/>
          <w:spacing w:val="-5"/>
          <w:position w:val="-1"/>
          <w:sz w:val="20"/>
          <w:szCs w:val="20"/>
        </w:rPr>
        <w:t xml:space="preserve"> </w:t>
      </w:r>
      <w:r w:rsidRPr="00534C57">
        <w:rPr>
          <w:rFonts w:ascii="Times New Roman" w:eastAsia="Times New Roman" w:hAnsi="Times New Roman"/>
          <w:position w:val="-1"/>
          <w:sz w:val="20"/>
          <w:szCs w:val="20"/>
        </w:rPr>
        <w:t>ir</w:t>
      </w:r>
      <w:r w:rsidRPr="00534C57">
        <w:rPr>
          <w:rFonts w:ascii="Times New Roman" w:eastAsia="Times New Roman" w:hAnsi="Times New Roman"/>
          <w:spacing w:val="-1"/>
          <w:position w:val="-1"/>
          <w:sz w:val="20"/>
          <w:szCs w:val="20"/>
        </w:rPr>
        <w:t xml:space="preserve"> </w:t>
      </w:r>
      <w:r w:rsidRPr="00534C57">
        <w:rPr>
          <w:rFonts w:ascii="Times New Roman" w:eastAsia="Times New Roman" w:hAnsi="Times New Roman"/>
          <w:position w:val="-1"/>
          <w:sz w:val="20"/>
          <w:szCs w:val="20"/>
        </w:rPr>
        <w:t>dusulį</w:t>
      </w:r>
      <w:r w:rsidRPr="00534C57">
        <w:rPr>
          <w:rFonts w:ascii="Times New Roman" w:eastAsia="Times New Roman" w:hAnsi="Times New Roman"/>
          <w:spacing w:val="-5"/>
          <w:position w:val="-1"/>
          <w:sz w:val="20"/>
          <w:szCs w:val="20"/>
        </w:rPr>
        <w:t xml:space="preserve"> </w:t>
      </w:r>
      <w:r w:rsidRPr="00534C57">
        <w:rPr>
          <w:rFonts w:ascii="Times New Roman" w:eastAsia="Times New Roman" w:hAnsi="Times New Roman"/>
          <w:position w:val="-1"/>
          <w:sz w:val="20"/>
          <w:szCs w:val="20"/>
        </w:rPr>
        <w:t>fizinio</w:t>
      </w:r>
      <w:r w:rsidRPr="00534C57">
        <w:rPr>
          <w:rFonts w:ascii="Times New Roman" w:eastAsia="Times New Roman" w:hAnsi="Times New Roman"/>
          <w:spacing w:val="-5"/>
          <w:position w:val="-1"/>
          <w:sz w:val="20"/>
          <w:szCs w:val="20"/>
        </w:rPr>
        <w:t xml:space="preserve"> </w:t>
      </w:r>
      <w:r w:rsidRPr="00534C57">
        <w:rPr>
          <w:rFonts w:ascii="Times New Roman" w:eastAsia="Times New Roman" w:hAnsi="Times New Roman"/>
          <w:position w:val="-1"/>
          <w:sz w:val="20"/>
          <w:szCs w:val="20"/>
        </w:rPr>
        <w:t>krūvio</w:t>
      </w:r>
      <w:r w:rsidRPr="00534C57">
        <w:rPr>
          <w:rFonts w:ascii="Times New Roman" w:eastAsia="Times New Roman" w:hAnsi="Times New Roman"/>
          <w:spacing w:val="-5"/>
          <w:position w:val="-1"/>
          <w:sz w:val="20"/>
          <w:szCs w:val="20"/>
        </w:rPr>
        <w:t xml:space="preserve"> </w:t>
      </w:r>
      <w:r w:rsidRPr="00534C57">
        <w:rPr>
          <w:rFonts w:ascii="Times New Roman" w:eastAsia="Times New Roman" w:hAnsi="Times New Roman"/>
          <w:position w:val="-1"/>
          <w:sz w:val="20"/>
          <w:szCs w:val="20"/>
        </w:rPr>
        <w:t>metu.</w:t>
      </w:r>
    </w:p>
    <w:p w14:paraId="21BCF1D8" w14:textId="77777777" w:rsidR="00D30661" w:rsidRPr="00534C57" w:rsidRDefault="00D30661" w:rsidP="00D30661">
      <w:pPr>
        <w:widowControl w:val="0"/>
        <w:spacing w:before="6" w:after="0" w:line="230" w:lineRule="exact"/>
        <w:ind w:left="118" w:right="1698"/>
        <w:rPr>
          <w:rFonts w:ascii="Times New Roman" w:eastAsia="Times New Roman" w:hAnsi="Times New Roman"/>
          <w:sz w:val="20"/>
          <w:szCs w:val="20"/>
        </w:rPr>
      </w:pPr>
      <w:r w:rsidRPr="00534C57">
        <w:rPr>
          <w:rFonts w:ascii="Times New Roman" w:eastAsia="Times New Roman" w:hAnsi="Times New Roman"/>
          <w:position w:val="9"/>
          <w:sz w:val="13"/>
          <w:szCs w:val="13"/>
        </w:rPr>
        <w:lastRenderedPageBreak/>
        <w:t>10</w:t>
      </w:r>
      <w:r w:rsidRPr="00534C57">
        <w:rPr>
          <w:rFonts w:ascii="Times New Roman" w:eastAsia="Times New Roman" w:hAnsi="Times New Roman"/>
          <w:spacing w:val="16"/>
          <w:position w:val="9"/>
          <w:sz w:val="13"/>
          <w:szCs w:val="13"/>
        </w:rPr>
        <w:t xml:space="preserve"> </w:t>
      </w:r>
      <w:r w:rsidRPr="00534C57">
        <w:rPr>
          <w:rFonts w:ascii="Times New Roman" w:eastAsia="Times New Roman" w:hAnsi="Times New Roman"/>
          <w:sz w:val="20"/>
          <w:szCs w:val="20"/>
        </w:rPr>
        <w:t>Įskaitant</w:t>
      </w:r>
      <w:r w:rsidRPr="00534C57">
        <w:rPr>
          <w:rFonts w:ascii="Times New Roman" w:eastAsia="Times New Roman" w:hAnsi="Times New Roman"/>
          <w:spacing w:val="-7"/>
          <w:sz w:val="20"/>
          <w:szCs w:val="20"/>
        </w:rPr>
        <w:t xml:space="preserve"> </w:t>
      </w:r>
      <w:r w:rsidRPr="00534C57">
        <w:rPr>
          <w:rFonts w:ascii="Times New Roman" w:eastAsia="Times New Roman" w:hAnsi="Times New Roman"/>
          <w:sz w:val="20"/>
          <w:szCs w:val="20"/>
        </w:rPr>
        <w:t>vaistų</w:t>
      </w:r>
      <w:r w:rsidRPr="00534C57">
        <w:rPr>
          <w:rFonts w:ascii="Times New Roman" w:eastAsia="Times New Roman" w:hAnsi="Times New Roman"/>
          <w:spacing w:val="-5"/>
          <w:sz w:val="20"/>
          <w:szCs w:val="20"/>
        </w:rPr>
        <w:t xml:space="preserve"> </w:t>
      </w:r>
      <w:r w:rsidRPr="00534C57">
        <w:rPr>
          <w:rFonts w:ascii="Times New Roman" w:eastAsia="Times New Roman" w:hAnsi="Times New Roman"/>
          <w:sz w:val="20"/>
          <w:szCs w:val="20"/>
        </w:rPr>
        <w:t>sukeltą</w:t>
      </w:r>
      <w:r w:rsidRPr="00534C57">
        <w:rPr>
          <w:rFonts w:ascii="Times New Roman" w:eastAsia="Times New Roman" w:hAnsi="Times New Roman"/>
          <w:spacing w:val="-6"/>
          <w:sz w:val="20"/>
          <w:szCs w:val="20"/>
        </w:rPr>
        <w:t xml:space="preserve"> </w:t>
      </w:r>
      <w:r w:rsidRPr="00534C57">
        <w:rPr>
          <w:rFonts w:ascii="Times New Roman" w:eastAsia="Times New Roman" w:hAnsi="Times New Roman"/>
          <w:sz w:val="20"/>
          <w:szCs w:val="20"/>
        </w:rPr>
        <w:t>kepenų</w:t>
      </w:r>
      <w:r w:rsidRPr="00534C57">
        <w:rPr>
          <w:rFonts w:ascii="Times New Roman" w:eastAsia="Times New Roman" w:hAnsi="Times New Roman"/>
          <w:spacing w:val="-6"/>
          <w:sz w:val="20"/>
          <w:szCs w:val="20"/>
        </w:rPr>
        <w:t xml:space="preserve"> </w:t>
      </w:r>
      <w:r w:rsidRPr="00534C57">
        <w:rPr>
          <w:rFonts w:ascii="Times New Roman" w:eastAsia="Times New Roman" w:hAnsi="Times New Roman"/>
          <w:sz w:val="20"/>
          <w:szCs w:val="20"/>
        </w:rPr>
        <w:t>pažeidimą,</w:t>
      </w:r>
      <w:r w:rsidRPr="00534C57">
        <w:rPr>
          <w:rFonts w:ascii="Times New Roman" w:eastAsia="Times New Roman" w:hAnsi="Times New Roman"/>
          <w:spacing w:val="-9"/>
          <w:sz w:val="20"/>
          <w:szCs w:val="20"/>
        </w:rPr>
        <w:t xml:space="preserve"> </w:t>
      </w:r>
      <w:r w:rsidRPr="00534C57">
        <w:rPr>
          <w:rFonts w:ascii="Times New Roman" w:eastAsia="Times New Roman" w:hAnsi="Times New Roman"/>
          <w:sz w:val="20"/>
          <w:szCs w:val="20"/>
        </w:rPr>
        <w:t>toksinį</w:t>
      </w:r>
      <w:r w:rsidRPr="00534C57">
        <w:rPr>
          <w:rFonts w:ascii="Times New Roman" w:eastAsia="Times New Roman" w:hAnsi="Times New Roman"/>
          <w:spacing w:val="-5"/>
          <w:sz w:val="20"/>
          <w:szCs w:val="20"/>
        </w:rPr>
        <w:t xml:space="preserve"> </w:t>
      </w:r>
      <w:r w:rsidRPr="00534C57">
        <w:rPr>
          <w:rFonts w:ascii="Times New Roman" w:eastAsia="Times New Roman" w:hAnsi="Times New Roman"/>
          <w:sz w:val="20"/>
          <w:szCs w:val="20"/>
        </w:rPr>
        <w:t>hepatitą,</w:t>
      </w:r>
      <w:r w:rsidRPr="00534C57">
        <w:rPr>
          <w:rFonts w:ascii="Times New Roman" w:eastAsia="Times New Roman" w:hAnsi="Times New Roman"/>
          <w:spacing w:val="-7"/>
          <w:sz w:val="20"/>
          <w:szCs w:val="20"/>
        </w:rPr>
        <w:t xml:space="preserve"> </w:t>
      </w:r>
      <w:r w:rsidRPr="00534C57">
        <w:rPr>
          <w:rFonts w:ascii="Times New Roman" w:eastAsia="Times New Roman" w:hAnsi="Times New Roman"/>
          <w:sz w:val="20"/>
          <w:szCs w:val="20"/>
        </w:rPr>
        <w:t>kepenų</w:t>
      </w:r>
      <w:r w:rsidRPr="00534C57">
        <w:rPr>
          <w:rFonts w:ascii="Times New Roman" w:eastAsia="Times New Roman" w:hAnsi="Times New Roman"/>
          <w:spacing w:val="-6"/>
          <w:sz w:val="20"/>
          <w:szCs w:val="20"/>
        </w:rPr>
        <w:t xml:space="preserve"> </w:t>
      </w:r>
      <w:r w:rsidRPr="00534C57">
        <w:rPr>
          <w:rFonts w:ascii="Times New Roman" w:eastAsia="Times New Roman" w:hAnsi="Times New Roman"/>
          <w:sz w:val="20"/>
          <w:szCs w:val="20"/>
        </w:rPr>
        <w:t>ląstelių</w:t>
      </w:r>
      <w:r w:rsidRPr="00534C57">
        <w:rPr>
          <w:rFonts w:ascii="Times New Roman" w:eastAsia="Times New Roman" w:hAnsi="Times New Roman"/>
          <w:spacing w:val="-6"/>
          <w:sz w:val="20"/>
          <w:szCs w:val="20"/>
        </w:rPr>
        <w:t xml:space="preserve"> </w:t>
      </w:r>
      <w:r w:rsidRPr="00534C57">
        <w:rPr>
          <w:rFonts w:ascii="Times New Roman" w:eastAsia="Times New Roman" w:hAnsi="Times New Roman"/>
          <w:sz w:val="20"/>
          <w:szCs w:val="20"/>
        </w:rPr>
        <w:t>pažeidimą</w:t>
      </w:r>
      <w:r w:rsidRPr="00534C57">
        <w:rPr>
          <w:rFonts w:ascii="Times New Roman" w:eastAsia="Times New Roman" w:hAnsi="Times New Roman"/>
          <w:spacing w:val="-8"/>
          <w:sz w:val="20"/>
          <w:szCs w:val="20"/>
        </w:rPr>
        <w:t xml:space="preserve"> </w:t>
      </w:r>
      <w:r w:rsidRPr="00534C57">
        <w:rPr>
          <w:rFonts w:ascii="Times New Roman" w:eastAsia="Times New Roman" w:hAnsi="Times New Roman"/>
          <w:sz w:val="20"/>
          <w:szCs w:val="20"/>
        </w:rPr>
        <w:t>ir</w:t>
      </w:r>
      <w:r w:rsidRPr="00534C57">
        <w:rPr>
          <w:rFonts w:ascii="Times New Roman" w:eastAsia="Times New Roman" w:hAnsi="Times New Roman"/>
          <w:spacing w:val="-1"/>
          <w:sz w:val="20"/>
          <w:szCs w:val="20"/>
        </w:rPr>
        <w:t xml:space="preserve"> </w:t>
      </w:r>
      <w:r w:rsidRPr="00534C57">
        <w:rPr>
          <w:rFonts w:ascii="Times New Roman" w:eastAsia="Times New Roman" w:hAnsi="Times New Roman"/>
          <w:sz w:val="20"/>
          <w:szCs w:val="20"/>
        </w:rPr>
        <w:t>toksinį</w:t>
      </w:r>
      <w:r w:rsidRPr="00534C57">
        <w:rPr>
          <w:rFonts w:ascii="Times New Roman" w:eastAsia="Times New Roman" w:hAnsi="Times New Roman"/>
          <w:spacing w:val="-5"/>
          <w:sz w:val="20"/>
          <w:szCs w:val="20"/>
        </w:rPr>
        <w:t xml:space="preserve"> </w:t>
      </w:r>
      <w:r w:rsidRPr="00534C57">
        <w:rPr>
          <w:rFonts w:ascii="Times New Roman" w:eastAsia="Times New Roman" w:hAnsi="Times New Roman"/>
          <w:sz w:val="20"/>
          <w:szCs w:val="20"/>
        </w:rPr>
        <w:t>poveikį kepenims.</w:t>
      </w:r>
    </w:p>
    <w:p w14:paraId="6896B4AC" w14:textId="77777777" w:rsidR="00D30661" w:rsidRPr="00534C57" w:rsidRDefault="00D30661" w:rsidP="00D30661">
      <w:pPr>
        <w:widowControl w:val="0"/>
        <w:spacing w:after="0" w:line="228" w:lineRule="exact"/>
        <w:ind w:left="118" w:right="-20"/>
        <w:rPr>
          <w:rFonts w:ascii="Times New Roman" w:eastAsia="Times New Roman" w:hAnsi="Times New Roman"/>
          <w:sz w:val="20"/>
          <w:szCs w:val="20"/>
        </w:rPr>
      </w:pPr>
      <w:r w:rsidRPr="00534C57">
        <w:rPr>
          <w:rFonts w:ascii="Times New Roman" w:eastAsia="Times New Roman" w:hAnsi="Times New Roman"/>
          <w:position w:val="9"/>
          <w:sz w:val="13"/>
          <w:szCs w:val="13"/>
        </w:rPr>
        <w:t>11</w:t>
      </w:r>
      <w:r w:rsidRPr="00534C57">
        <w:rPr>
          <w:rFonts w:ascii="Times New Roman" w:eastAsia="Times New Roman" w:hAnsi="Times New Roman"/>
          <w:spacing w:val="16"/>
          <w:position w:val="9"/>
          <w:sz w:val="13"/>
          <w:szCs w:val="13"/>
        </w:rPr>
        <w:t xml:space="preserve"> </w:t>
      </w:r>
      <w:r w:rsidRPr="00534C57">
        <w:rPr>
          <w:rFonts w:ascii="Times New Roman" w:eastAsia="Times New Roman" w:hAnsi="Times New Roman"/>
          <w:sz w:val="20"/>
          <w:szCs w:val="20"/>
        </w:rPr>
        <w:t>Įskaitant</w:t>
      </w:r>
      <w:r w:rsidRPr="00534C57">
        <w:rPr>
          <w:rFonts w:ascii="Times New Roman" w:eastAsia="Times New Roman" w:hAnsi="Times New Roman"/>
          <w:spacing w:val="-7"/>
          <w:sz w:val="20"/>
          <w:szCs w:val="20"/>
        </w:rPr>
        <w:t xml:space="preserve"> </w:t>
      </w:r>
      <w:r w:rsidRPr="00534C57">
        <w:rPr>
          <w:rFonts w:ascii="Times New Roman" w:eastAsia="Times New Roman" w:hAnsi="Times New Roman"/>
          <w:sz w:val="20"/>
          <w:szCs w:val="20"/>
        </w:rPr>
        <w:t>periorbitalinę</w:t>
      </w:r>
      <w:r w:rsidRPr="00534C57">
        <w:rPr>
          <w:rFonts w:ascii="Times New Roman" w:eastAsia="Times New Roman" w:hAnsi="Times New Roman"/>
          <w:spacing w:val="-11"/>
          <w:sz w:val="20"/>
          <w:szCs w:val="20"/>
        </w:rPr>
        <w:t xml:space="preserve"> </w:t>
      </w:r>
      <w:r w:rsidRPr="00534C57">
        <w:rPr>
          <w:rFonts w:ascii="Times New Roman" w:eastAsia="Times New Roman" w:hAnsi="Times New Roman"/>
          <w:sz w:val="20"/>
          <w:szCs w:val="20"/>
        </w:rPr>
        <w:t>edemą,</w:t>
      </w:r>
      <w:r w:rsidRPr="00534C57">
        <w:rPr>
          <w:rFonts w:ascii="Times New Roman" w:eastAsia="Times New Roman" w:hAnsi="Times New Roman"/>
          <w:spacing w:val="-6"/>
          <w:sz w:val="20"/>
          <w:szCs w:val="20"/>
        </w:rPr>
        <w:t xml:space="preserve"> </w:t>
      </w:r>
      <w:r w:rsidRPr="00534C57">
        <w:rPr>
          <w:rFonts w:ascii="Times New Roman" w:eastAsia="Times New Roman" w:hAnsi="Times New Roman"/>
          <w:sz w:val="20"/>
          <w:szCs w:val="20"/>
        </w:rPr>
        <w:t>lūpų</w:t>
      </w:r>
      <w:r w:rsidRPr="00534C57">
        <w:rPr>
          <w:rFonts w:ascii="Times New Roman" w:eastAsia="Times New Roman" w:hAnsi="Times New Roman"/>
          <w:spacing w:val="-4"/>
          <w:sz w:val="20"/>
          <w:szCs w:val="20"/>
        </w:rPr>
        <w:t xml:space="preserve"> </w:t>
      </w:r>
      <w:r w:rsidRPr="00534C57">
        <w:rPr>
          <w:rFonts w:ascii="Times New Roman" w:eastAsia="Times New Roman" w:hAnsi="Times New Roman"/>
          <w:sz w:val="20"/>
          <w:szCs w:val="20"/>
        </w:rPr>
        <w:t>edemą</w:t>
      </w:r>
      <w:r w:rsidRPr="00534C57">
        <w:rPr>
          <w:rFonts w:ascii="Times New Roman" w:eastAsia="Times New Roman" w:hAnsi="Times New Roman"/>
          <w:spacing w:val="-5"/>
          <w:sz w:val="20"/>
          <w:szCs w:val="20"/>
        </w:rPr>
        <w:t xml:space="preserve"> </w:t>
      </w:r>
      <w:r w:rsidRPr="00534C57">
        <w:rPr>
          <w:rFonts w:ascii="Times New Roman" w:eastAsia="Times New Roman" w:hAnsi="Times New Roman"/>
          <w:sz w:val="20"/>
          <w:szCs w:val="20"/>
        </w:rPr>
        <w:t>ir</w:t>
      </w:r>
      <w:r w:rsidRPr="00534C57">
        <w:rPr>
          <w:rFonts w:ascii="Times New Roman" w:eastAsia="Times New Roman" w:hAnsi="Times New Roman"/>
          <w:spacing w:val="-1"/>
          <w:sz w:val="20"/>
          <w:szCs w:val="20"/>
        </w:rPr>
        <w:t xml:space="preserve"> </w:t>
      </w:r>
      <w:r w:rsidRPr="00534C57">
        <w:rPr>
          <w:rFonts w:ascii="Times New Roman" w:eastAsia="Times New Roman" w:hAnsi="Times New Roman"/>
          <w:sz w:val="20"/>
          <w:szCs w:val="20"/>
        </w:rPr>
        <w:t>burnos</w:t>
      </w:r>
      <w:r w:rsidRPr="00534C57">
        <w:rPr>
          <w:rFonts w:ascii="Times New Roman" w:eastAsia="Times New Roman" w:hAnsi="Times New Roman"/>
          <w:spacing w:val="-5"/>
          <w:sz w:val="20"/>
          <w:szCs w:val="20"/>
        </w:rPr>
        <w:t xml:space="preserve"> </w:t>
      </w:r>
      <w:r w:rsidRPr="00534C57">
        <w:rPr>
          <w:rFonts w:ascii="Times New Roman" w:eastAsia="Times New Roman" w:hAnsi="Times New Roman"/>
          <w:sz w:val="20"/>
          <w:szCs w:val="20"/>
        </w:rPr>
        <w:t>edemą.</w:t>
      </w:r>
    </w:p>
    <w:p w14:paraId="789E1614" w14:textId="77777777" w:rsidR="003E70BB" w:rsidRPr="00BE562B" w:rsidRDefault="003E70BB" w:rsidP="002F3324">
      <w:pPr>
        <w:autoSpaceDE w:val="0"/>
        <w:autoSpaceDN w:val="0"/>
        <w:adjustRightInd w:val="0"/>
        <w:spacing w:after="0" w:line="240" w:lineRule="auto"/>
        <w:rPr>
          <w:rFonts w:ascii="Times New Roman" w:hAnsi="Times New Roman"/>
          <w:color w:val="000000"/>
          <w:u w:val="single"/>
        </w:rPr>
      </w:pPr>
    </w:p>
    <w:p w14:paraId="63C1F72C" w14:textId="77777777" w:rsidR="003E70BB" w:rsidRPr="00BE562B" w:rsidRDefault="003E70BB" w:rsidP="002F3324">
      <w:pPr>
        <w:autoSpaceDE w:val="0"/>
        <w:autoSpaceDN w:val="0"/>
        <w:adjustRightInd w:val="0"/>
        <w:spacing w:after="0" w:line="240" w:lineRule="auto"/>
        <w:rPr>
          <w:rFonts w:ascii="Times New Roman" w:hAnsi="Times New Roman"/>
          <w:color w:val="000000"/>
          <w:u w:val="single"/>
        </w:rPr>
      </w:pPr>
    </w:p>
    <w:p w14:paraId="23344135"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Kai kurių nepageidaujamų reakcijų aprašymas</w:t>
      </w:r>
    </w:p>
    <w:p w14:paraId="26B64926"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p>
    <w:p w14:paraId="3A2107CE"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Regos sutrikimai</w:t>
      </w:r>
    </w:p>
    <w:p w14:paraId="20352AE0" w14:textId="77777777" w:rsidR="00D30661" w:rsidRPr="00534C57" w:rsidRDefault="002F3324" w:rsidP="00D30661">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Klinikinių tyrimų </w:t>
      </w:r>
      <w:r w:rsidR="00D30661" w:rsidRPr="00534C57">
        <w:rPr>
          <w:rFonts w:ascii="Times New Roman" w:hAnsi="Times New Roman"/>
          <w:color w:val="000000"/>
        </w:rPr>
        <w:t>duomenimis, su vorikonazolo vartojimu susiję</w:t>
      </w:r>
      <w:r w:rsidR="00D30661" w:rsidRPr="00BE562B">
        <w:rPr>
          <w:rFonts w:ascii="Times New Roman" w:hAnsi="Times New Roman"/>
          <w:color w:val="000000"/>
        </w:rPr>
        <w:t xml:space="preserve"> </w:t>
      </w:r>
      <w:r w:rsidR="00D30661" w:rsidRPr="00534C57">
        <w:rPr>
          <w:rFonts w:ascii="Times New Roman" w:hAnsi="Times New Roman"/>
          <w:color w:val="000000"/>
        </w:rPr>
        <w:t>regos sutrikimai (įskaitant neryškų matymą, fotofobiją, chloropsiją, chromatopsiją, daltonizmą, cianopsiją, akių sutrikimą, aureolių</w:t>
      </w:r>
    </w:p>
    <w:p w14:paraId="32BAA054" w14:textId="77777777" w:rsidR="002F3324" w:rsidRPr="00534C57" w:rsidRDefault="00D30661" w:rsidP="00D30661">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matymą, vištakumą, oscilopsiją, fotopsiją, mirgančią skotomą, sumažėjusį regos aštrumą, regėjimo ryškumą, regos lauko defektą, „skraidančias museles“ ir ksantopsiją) pasireiškė labai dažnai</w:t>
      </w:r>
      <w:r w:rsidR="002F3324" w:rsidRPr="00534C57">
        <w:rPr>
          <w:rFonts w:ascii="Times New Roman" w:hAnsi="Times New Roman"/>
          <w:color w:val="000000"/>
        </w:rPr>
        <w:t>. Šie regos sutrikimai  buvo laikini ir visiškai grįžtami, dauguma jų savaime visiškai išnyko per 60 minučių ir nesukėlė kliniškai reikšmingo ilgai trunkančio regėjimo sutrikimo. Nustatyta, kad sutrikimai silpnėjo, vartojant kartotines vorikonazolo dozes. Dažniausiai regos sutrikimai buvo nesunkūs, retai dėl to buvo nutraukiamas gydymas, jie nesukėlė ilgalaikių pasekmių. Regos sutrikimai gali būti siejami su didele preparato koncentracija plazmoje ir (arba) doze.</w:t>
      </w:r>
    </w:p>
    <w:p w14:paraId="3CA57EE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40202D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Poveikio mechanizmas nežinomas, labiausiai tikėtina, kad vaistinio preparato veikimo vieta yra tinklainė. Vorikonazolo poveikio tinklainės funkcijai tyrimai su sveikais savanoriais nustatė, kad preparatas sukelia elektroretinogramos (ERG) bangos formos amplitudės sumažėjimą. ERG nustato tinklainės elektros sroves. ERG pokyčiai neprogresavo 29 dienų gydymo laikotarpio metu ir ERG visiškai sunormalėja nutraukus vorikonazolo vartojimą.</w:t>
      </w:r>
    </w:p>
    <w:p w14:paraId="4C34B2C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CBC262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Po vaistinio preparato pateikimo į rinką buvo gauta pranešimų apie nepageidaujamas ilgalaikes akių reakcijas (žr. 4.4 skyrių).</w:t>
      </w:r>
    </w:p>
    <w:p w14:paraId="790FC10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C6C880C"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Odos reakcijos</w:t>
      </w:r>
    </w:p>
    <w:p w14:paraId="1AAC2D3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Klinikinių tyrimų metu nustatyta, kad pacientams, gydytiems vorikonazolu, odos reakcijos pasireiškia</w:t>
      </w:r>
      <w:r w:rsidR="00D30661" w:rsidRPr="00534C57">
        <w:rPr>
          <w:rFonts w:ascii="Times New Roman" w:hAnsi="Times New Roman"/>
          <w:color w:val="000000"/>
        </w:rPr>
        <w:t xml:space="preserve"> labai</w:t>
      </w:r>
      <w:r w:rsidRPr="00534C57">
        <w:rPr>
          <w:rFonts w:ascii="Times New Roman" w:hAnsi="Times New Roman"/>
          <w:color w:val="000000"/>
        </w:rPr>
        <w:t xml:space="preserve"> dažnai, tačiau tie ligoniai sirgo ir sunkiomis gretutinėmis ligomis bei kartu vartojo daug vaistų. Daugelis išbėrimų buvo nesunkūs arba vidutinio sunkumo. Vorikonazolo vartojusiems</w:t>
      </w:r>
      <w:r w:rsidR="0076762B" w:rsidRPr="00534C57">
        <w:rPr>
          <w:rFonts w:ascii="Times New Roman" w:hAnsi="Times New Roman"/>
          <w:color w:val="000000"/>
        </w:rPr>
        <w:t xml:space="preserve"> </w:t>
      </w:r>
      <w:r w:rsidRPr="00534C57">
        <w:rPr>
          <w:rFonts w:ascii="Times New Roman" w:hAnsi="Times New Roman"/>
          <w:color w:val="000000"/>
        </w:rPr>
        <w:t xml:space="preserve">pacientams </w:t>
      </w:r>
      <w:r w:rsidR="0076762B" w:rsidRPr="00534C57">
        <w:rPr>
          <w:rFonts w:ascii="Times New Roman" w:hAnsi="Times New Roman"/>
          <w:color w:val="000000"/>
        </w:rPr>
        <w:t xml:space="preserve">pasireikšdavo </w:t>
      </w:r>
      <w:r w:rsidRPr="00534C57">
        <w:rPr>
          <w:rFonts w:ascii="Times New Roman" w:hAnsi="Times New Roman"/>
          <w:color w:val="000000"/>
        </w:rPr>
        <w:t xml:space="preserve">sunkios </w:t>
      </w:r>
      <w:r w:rsidR="00E277C3">
        <w:rPr>
          <w:rFonts w:ascii="Times New Roman" w:hAnsi="Times New Roman"/>
          <w:color w:val="000000"/>
        </w:rPr>
        <w:t xml:space="preserve">nepageidaujamos </w:t>
      </w:r>
      <w:r w:rsidRPr="00534C57">
        <w:rPr>
          <w:rFonts w:ascii="Times New Roman" w:hAnsi="Times New Roman"/>
          <w:color w:val="000000"/>
        </w:rPr>
        <w:t>odos reakcijos</w:t>
      </w:r>
      <w:r w:rsidR="00E277C3">
        <w:rPr>
          <w:rFonts w:ascii="Times New Roman" w:hAnsi="Times New Roman"/>
          <w:color w:val="000000"/>
        </w:rPr>
        <w:t xml:space="preserve"> (SNOR)</w:t>
      </w:r>
      <w:r w:rsidRPr="00534C57">
        <w:rPr>
          <w:rFonts w:ascii="Times New Roman" w:hAnsi="Times New Roman"/>
          <w:color w:val="000000"/>
        </w:rPr>
        <w:t>, įskaitant Stivenso ir Džonsono sindromą</w:t>
      </w:r>
      <w:r w:rsidR="0076762B" w:rsidRPr="00534C57">
        <w:rPr>
          <w:rFonts w:ascii="Times New Roman" w:hAnsi="Times New Roman"/>
          <w:color w:val="000000"/>
        </w:rPr>
        <w:t xml:space="preserve"> </w:t>
      </w:r>
      <w:r w:rsidR="00E277C3">
        <w:rPr>
          <w:rFonts w:ascii="Times New Roman" w:hAnsi="Times New Roman"/>
          <w:color w:val="000000"/>
        </w:rPr>
        <w:t xml:space="preserve">(ang. SJS) </w:t>
      </w:r>
      <w:r w:rsidR="0076762B" w:rsidRPr="00534C57">
        <w:rPr>
          <w:rFonts w:ascii="Times New Roman" w:hAnsi="Times New Roman"/>
          <w:color w:val="000000"/>
        </w:rPr>
        <w:t>(nedažnai)</w:t>
      </w:r>
      <w:r w:rsidRPr="00534C57">
        <w:rPr>
          <w:rFonts w:ascii="Times New Roman" w:hAnsi="Times New Roman"/>
          <w:color w:val="000000"/>
        </w:rPr>
        <w:t>, toksinę epidermio</w:t>
      </w:r>
      <w:r w:rsidR="0076762B" w:rsidRPr="00534C57">
        <w:rPr>
          <w:rFonts w:ascii="Times New Roman" w:hAnsi="Times New Roman"/>
          <w:color w:val="000000"/>
        </w:rPr>
        <w:t xml:space="preserve"> </w:t>
      </w:r>
      <w:r w:rsidRPr="00534C57">
        <w:rPr>
          <w:rFonts w:ascii="Times New Roman" w:hAnsi="Times New Roman"/>
          <w:color w:val="000000"/>
        </w:rPr>
        <w:t>nekrolizę</w:t>
      </w:r>
      <w:r w:rsidR="0076762B" w:rsidRPr="00534C57">
        <w:rPr>
          <w:rFonts w:ascii="Times New Roman" w:hAnsi="Times New Roman"/>
          <w:color w:val="000000"/>
        </w:rPr>
        <w:t xml:space="preserve"> </w:t>
      </w:r>
      <w:r w:rsidR="00E277C3">
        <w:rPr>
          <w:rFonts w:ascii="Times New Roman" w:hAnsi="Times New Roman"/>
          <w:color w:val="000000"/>
        </w:rPr>
        <w:t xml:space="preserve">(TEN) </w:t>
      </w:r>
      <w:r w:rsidR="0076762B" w:rsidRPr="00534C57">
        <w:rPr>
          <w:rFonts w:ascii="Times New Roman" w:hAnsi="Times New Roman"/>
          <w:color w:val="000000"/>
        </w:rPr>
        <w:t>(retai)</w:t>
      </w:r>
      <w:r w:rsidRPr="00534C57">
        <w:rPr>
          <w:rFonts w:ascii="Times New Roman" w:hAnsi="Times New Roman"/>
          <w:color w:val="000000"/>
        </w:rPr>
        <w:t xml:space="preserve"> </w:t>
      </w:r>
      <w:r w:rsidR="00E277C3">
        <w:rPr>
          <w:rFonts w:ascii="Times New Roman" w:hAnsi="Times New Roman"/>
          <w:color w:val="000000"/>
        </w:rPr>
        <w:t xml:space="preserve">vaisto reakciją su eozinofilija ir sisteminiais simptomais (VRESS) (retai) </w:t>
      </w:r>
      <w:r w:rsidRPr="00534C57">
        <w:rPr>
          <w:rFonts w:ascii="Times New Roman" w:hAnsi="Times New Roman"/>
          <w:color w:val="000000"/>
        </w:rPr>
        <w:t>ir daugiaformę eritemą</w:t>
      </w:r>
      <w:r w:rsidR="0076762B" w:rsidRPr="00534C57">
        <w:rPr>
          <w:rFonts w:ascii="Times New Roman" w:hAnsi="Times New Roman"/>
          <w:color w:val="000000"/>
        </w:rPr>
        <w:t xml:space="preserve"> (retai)</w:t>
      </w:r>
      <w:r w:rsidR="00E277C3">
        <w:rPr>
          <w:rFonts w:ascii="Times New Roman" w:hAnsi="Times New Roman"/>
          <w:color w:val="000000"/>
        </w:rPr>
        <w:t xml:space="preserve"> (žr. 4.4 skyrių)</w:t>
      </w:r>
      <w:r w:rsidRPr="00534C57">
        <w:rPr>
          <w:rFonts w:ascii="Times New Roman" w:hAnsi="Times New Roman"/>
          <w:color w:val="000000"/>
        </w:rPr>
        <w:t>.</w:t>
      </w:r>
    </w:p>
    <w:p w14:paraId="5A4F96B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A56788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 atsiranda išbėrimas, ligonį reikia atidžiai stebėtii ir, jei pažeidimas sunkėja, gydymą Voriconazole Teva nutraukti. Pastebėta pavienių fotosensibilizacijos, ypač vaistinį preparatą vartojant ilgai, atvejų (žr. 4.4 skyrių).</w:t>
      </w:r>
    </w:p>
    <w:p w14:paraId="225A786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3CB064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Buvo pranešta apie odos plokščiųjų ląstelių </w:t>
      </w:r>
      <w:r w:rsidRPr="008C1323">
        <w:rPr>
          <w:rFonts w:ascii="Times New Roman" w:hAnsi="Times New Roman"/>
          <w:color w:val="000000"/>
        </w:rPr>
        <w:t>vėžį</w:t>
      </w:r>
      <w:r w:rsidR="009619D2" w:rsidRPr="008C1323">
        <w:rPr>
          <w:rFonts w:ascii="Times New Roman" w:hAnsi="Times New Roman"/>
          <w:color w:val="000000"/>
        </w:rPr>
        <w:t xml:space="preserve"> (įskaitant odos PLV </w:t>
      </w:r>
      <w:r w:rsidR="009619D2" w:rsidRPr="008C1323">
        <w:rPr>
          <w:rFonts w:ascii="Times New Roman" w:hAnsi="Times New Roman"/>
          <w:i/>
          <w:iCs/>
          <w:color w:val="000000"/>
        </w:rPr>
        <w:t>in situ</w:t>
      </w:r>
      <w:r w:rsidR="009619D2" w:rsidRPr="008C1323">
        <w:rPr>
          <w:rFonts w:ascii="Times New Roman" w:hAnsi="Times New Roman"/>
          <w:color w:val="000000"/>
        </w:rPr>
        <w:t xml:space="preserve"> arba Boweno ligą)</w:t>
      </w:r>
      <w:r w:rsidRPr="00534C57">
        <w:rPr>
          <w:rFonts w:ascii="Times New Roman" w:hAnsi="Times New Roman"/>
          <w:color w:val="000000"/>
        </w:rPr>
        <w:t xml:space="preserve"> pacientams, kurie ilgą laiką gydėsi vorikonazolu.</w:t>
      </w:r>
    </w:p>
    <w:p w14:paraId="1EBD98D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Mechanizmas nenustatytas (žr. 4.4 skyrių).</w:t>
      </w:r>
    </w:p>
    <w:p w14:paraId="6A9DDE13"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455D7AE9"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Kepenų funkcijos tyrimai</w:t>
      </w:r>
    </w:p>
    <w:p w14:paraId="2E4107B9" w14:textId="77777777" w:rsidR="002F3324" w:rsidRPr="00534C57" w:rsidRDefault="002826B7" w:rsidP="002F3324">
      <w:pPr>
        <w:autoSpaceDE w:val="0"/>
        <w:autoSpaceDN w:val="0"/>
        <w:adjustRightInd w:val="0"/>
        <w:spacing w:after="0" w:line="240" w:lineRule="auto"/>
        <w:rPr>
          <w:rFonts w:ascii="Times New Roman" w:hAnsi="Times New Roman"/>
          <w:color w:val="000000"/>
        </w:rPr>
      </w:pPr>
      <w:r w:rsidRPr="00534C57">
        <w:rPr>
          <w:rFonts w:ascii="Times New Roman" w:eastAsia="Times New Roman" w:hAnsi="Times New Roman"/>
        </w:rPr>
        <w:t>Bend</w:t>
      </w:r>
      <w:r w:rsidRPr="00534C57">
        <w:rPr>
          <w:rFonts w:ascii="Times New Roman" w:eastAsia="Times New Roman" w:hAnsi="Times New Roman"/>
          <w:spacing w:val="1"/>
        </w:rPr>
        <w:t>r</w:t>
      </w:r>
      <w:r w:rsidRPr="00534C57">
        <w:rPr>
          <w:rFonts w:ascii="Times New Roman" w:eastAsia="Times New Roman" w:hAnsi="Times New Roman"/>
        </w:rPr>
        <w:t>o</w:t>
      </w:r>
      <w:r w:rsidRPr="00BE562B">
        <w:rPr>
          <w:rFonts w:ascii="Times New Roman" w:hAnsi="Times New Roman"/>
          <w:spacing w:val="-2"/>
        </w:rPr>
        <w:t xml:space="preserve"> </w:t>
      </w:r>
      <w:r w:rsidRPr="00BE562B">
        <w:rPr>
          <w:rFonts w:ascii="Times New Roman" w:hAnsi="Times New Roman"/>
        </w:rPr>
        <w:t xml:space="preserve">transaminazių </w:t>
      </w:r>
      <w:r w:rsidRPr="00534C57">
        <w:rPr>
          <w:rFonts w:ascii="Times New Roman" w:eastAsia="Times New Roman" w:hAnsi="Times New Roman"/>
          <w:spacing w:val="-1"/>
        </w:rPr>
        <w:t>aktyvum</w:t>
      </w:r>
      <w:r w:rsidRPr="00534C57">
        <w:rPr>
          <w:rFonts w:ascii="Times New Roman" w:eastAsia="Times New Roman" w:hAnsi="Times New Roman"/>
        </w:rPr>
        <w:t>o</w:t>
      </w:r>
      <w:r w:rsidRPr="00534C57">
        <w:rPr>
          <w:rFonts w:ascii="Times New Roman" w:eastAsia="Times New Roman" w:hAnsi="Times New Roman"/>
          <w:spacing w:val="-1"/>
        </w:rPr>
        <w:t xml:space="preserve"> </w:t>
      </w:r>
      <w:r w:rsidR="007F0AD2">
        <w:rPr>
          <w:rFonts w:ascii="Times New Roman" w:eastAsia="Times New Roman" w:hAnsi="Times New Roman"/>
        </w:rPr>
        <w:t>padidėjimo kraujyje</w:t>
      </w:r>
      <w:r w:rsidRPr="00534C57">
        <w:rPr>
          <w:rFonts w:ascii="Times New Roman" w:eastAsia="Times New Roman" w:hAnsi="Times New Roman"/>
        </w:rPr>
        <w:t xml:space="preserve"> &gt; 3 x VNR (nebūtinai nepa</w:t>
      </w:r>
      <w:r w:rsidRPr="00534C57">
        <w:rPr>
          <w:rFonts w:ascii="Times New Roman" w:eastAsia="Times New Roman" w:hAnsi="Times New Roman"/>
          <w:spacing w:val="-3"/>
        </w:rPr>
        <w:t>g</w:t>
      </w:r>
      <w:r w:rsidRPr="00534C57">
        <w:rPr>
          <w:rFonts w:ascii="Times New Roman" w:eastAsia="Times New Roman" w:hAnsi="Times New Roman"/>
        </w:rPr>
        <w:t>eidaujamos reakcijos)</w:t>
      </w:r>
      <w:r w:rsidRPr="00BE562B">
        <w:rPr>
          <w:rFonts w:ascii="Times New Roman" w:hAnsi="Times New Roman"/>
        </w:rPr>
        <w:t xml:space="preserve"> pacientams, </w:t>
      </w:r>
      <w:r w:rsidRPr="00534C57">
        <w:rPr>
          <w:rFonts w:ascii="Times New Roman" w:eastAsia="Times New Roman" w:hAnsi="Times New Roman"/>
        </w:rPr>
        <w:t>kurie vartojo vorikonazolą gydymo ir profilaktikos tikslais</w:t>
      </w:r>
      <w:r w:rsidRPr="00BE562B">
        <w:rPr>
          <w:rFonts w:ascii="Times New Roman" w:hAnsi="Times New Roman"/>
        </w:rPr>
        <w:t>,</w:t>
      </w:r>
      <w:r w:rsidRPr="00BE562B">
        <w:rPr>
          <w:rFonts w:ascii="Times New Roman" w:hAnsi="Times New Roman"/>
          <w:spacing w:val="-1"/>
        </w:rPr>
        <w:t xml:space="preserve"> </w:t>
      </w:r>
      <w:r w:rsidRPr="00BE562B">
        <w:rPr>
          <w:rFonts w:ascii="Times New Roman" w:hAnsi="Times New Roman"/>
        </w:rPr>
        <w:t>dažnis vorikonazolo klinikinės programos</w:t>
      </w:r>
      <w:r w:rsidRPr="00BE562B">
        <w:rPr>
          <w:rFonts w:ascii="Times New Roman" w:hAnsi="Times New Roman"/>
          <w:spacing w:val="-1"/>
        </w:rPr>
        <w:t xml:space="preserve"> </w:t>
      </w:r>
      <w:r w:rsidRPr="00BE562B">
        <w:rPr>
          <w:rFonts w:ascii="Times New Roman" w:hAnsi="Times New Roman"/>
        </w:rPr>
        <w:t>metu</w:t>
      </w:r>
      <w:r w:rsidRPr="00BE562B">
        <w:rPr>
          <w:rFonts w:ascii="Times New Roman" w:hAnsi="Times New Roman"/>
          <w:spacing w:val="-1"/>
        </w:rPr>
        <w:t xml:space="preserve"> </w:t>
      </w:r>
      <w:r w:rsidRPr="00BE562B">
        <w:rPr>
          <w:rFonts w:ascii="Times New Roman" w:hAnsi="Times New Roman"/>
        </w:rPr>
        <w:t>buvo</w:t>
      </w:r>
      <w:r w:rsidRPr="00BE562B">
        <w:rPr>
          <w:rFonts w:ascii="Times New Roman" w:hAnsi="Times New Roman"/>
          <w:spacing w:val="-1"/>
        </w:rPr>
        <w:t xml:space="preserve"> </w:t>
      </w:r>
      <w:r w:rsidRPr="00534C57">
        <w:rPr>
          <w:rFonts w:ascii="Times New Roman" w:eastAsia="Times New Roman" w:hAnsi="Times New Roman"/>
        </w:rPr>
        <w:t>18,0 % (319</w:t>
      </w:r>
      <w:r w:rsidRPr="00BE562B">
        <w:rPr>
          <w:rFonts w:ascii="Times New Roman" w:hAnsi="Times New Roman"/>
        </w:rPr>
        <w:t xml:space="preserve"> atvejų iš </w:t>
      </w:r>
      <w:r w:rsidRPr="00534C57">
        <w:rPr>
          <w:rFonts w:ascii="Times New Roman" w:eastAsia="Times New Roman" w:hAnsi="Times New Roman"/>
        </w:rPr>
        <w:t>1768) suaugusiesiems ir 25,8 % (73</w:t>
      </w:r>
      <w:r w:rsidRPr="00534C57">
        <w:rPr>
          <w:rFonts w:ascii="Times New Roman" w:eastAsia="Times New Roman" w:hAnsi="Times New Roman"/>
          <w:spacing w:val="-3"/>
        </w:rPr>
        <w:t xml:space="preserve"> </w:t>
      </w:r>
      <w:r w:rsidRPr="00534C57">
        <w:rPr>
          <w:rFonts w:ascii="Times New Roman" w:eastAsia="Times New Roman" w:hAnsi="Times New Roman"/>
        </w:rPr>
        <w:t>atvejai iš</w:t>
      </w:r>
      <w:r w:rsidRPr="00534C57">
        <w:rPr>
          <w:rFonts w:ascii="Times New Roman" w:eastAsia="Times New Roman" w:hAnsi="Times New Roman"/>
          <w:spacing w:val="-2"/>
        </w:rPr>
        <w:t xml:space="preserve"> </w:t>
      </w:r>
      <w:r w:rsidRPr="00534C57">
        <w:rPr>
          <w:rFonts w:ascii="Times New Roman" w:eastAsia="Times New Roman" w:hAnsi="Times New Roman"/>
        </w:rPr>
        <w:t xml:space="preserve">283) </w:t>
      </w:r>
      <w:r w:rsidRPr="00534C57">
        <w:rPr>
          <w:rFonts w:ascii="Times New Roman" w:eastAsia="Times New Roman" w:hAnsi="Times New Roman"/>
          <w:spacing w:val="-1"/>
        </w:rPr>
        <w:t>vaikam</w:t>
      </w:r>
      <w:r w:rsidRPr="00534C57">
        <w:rPr>
          <w:rFonts w:ascii="Times New Roman" w:eastAsia="Times New Roman" w:hAnsi="Times New Roman"/>
        </w:rPr>
        <w:t>s.</w:t>
      </w:r>
      <w:r w:rsidRPr="00BE562B">
        <w:rPr>
          <w:rFonts w:ascii="Times New Roman" w:hAnsi="Times New Roman"/>
        </w:rPr>
        <w:t xml:space="preserve"> </w:t>
      </w:r>
      <w:r w:rsidR="002F3324" w:rsidRPr="00534C57">
        <w:rPr>
          <w:rFonts w:ascii="Times New Roman" w:hAnsi="Times New Roman"/>
          <w:color w:val="000000"/>
        </w:rPr>
        <w:t>Tyrimais nustatytas kepenų funkcijos sutrikimas gali būti siejamas su didele vaistinio preparato koncentracija plazmoje ir (arba) doze. Dauguma pakitusių kepenų funkcijos rodmenų sunormalėja gydymo metu nekeičiant dozės arba ją sumažinus, įskaitant gydymo nutraukimą.</w:t>
      </w:r>
    </w:p>
    <w:p w14:paraId="0FD21E3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ADD43C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Sunkus toksinis vorikonazolo poveikis kepenims nedažnai gali būti siejamas su kitokiomis sunkiomis gretutinėmis pacientų ligomis, įskaitant geltą, hepatitą bei kepenų nepakankamumą, sukeliantį mirtį (žr. 4.4 skyrių).</w:t>
      </w:r>
    </w:p>
    <w:p w14:paraId="657DD41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73DD23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Profilaktika</w:t>
      </w:r>
    </w:p>
    <w:p w14:paraId="09B7593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Atvirajame, palyginamajame daugiacentriame tyrime, kuriame buvo lygintas vorikonazolas ir itrakonazolas, kaip pirmaeilis profilaktikai vartojamas vaistinis preparatas, suaugusiesiems ir paaugliams, kuriems buvo atlikta alogeninė hemopoezinių kamieninių ląstelių transplantacija be anksčiau patvirtinto</w:t>
      </w:r>
      <w:r w:rsidR="00520BCE">
        <w:rPr>
          <w:rFonts w:ascii="Times New Roman" w:hAnsi="Times New Roman"/>
          <w:color w:val="000000"/>
        </w:rPr>
        <w:t>s</w:t>
      </w:r>
      <w:r w:rsidRPr="00534C57">
        <w:rPr>
          <w:rFonts w:ascii="Times New Roman" w:hAnsi="Times New Roman"/>
          <w:color w:val="000000"/>
        </w:rPr>
        <w:t xml:space="preserve"> ar tikėtino</w:t>
      </w:r>
      <w:r w:rsidR="00520BCE">
        <w:rPr>
          <w:rFonts w:ascii="Times New Roman" w:hAnsi="Times New Roman"/>
          <w:color w:val="000000"/>
        </w:rPr>
        <w:t>s invazinės grybelinės infekcijos</w:t>
      </w:r>
      <w:r w:rsidRPr="00534C57">
        <w:rPr>
          <w:rFonts w:ascii="Times New Roman" w:hAnsi="Times New Roman"/>
          <w:color w:val="000000"/>
        </w:rPr>
        <w:t xml:space="preserve"> </w:t>
      </w:r>
      <w:r w:rsidR="00520BCE">
        <w:rPr>
          <w:rFonts w:ascii="Times New Roman" w:hAnsi="Times New Roman"/>
          <w:color w:val="000000"/>
        </w:rPr>
        <w:t>(</w:t>
      </w:r>
      <w:r w:rsidRPr="00534C57">
        <w:rPr>
          <w:rFonts w:ascii="Times New Roman" w:hAnsi="Times New Roman"/>
          <w:color w:val="000000"/>
        </w:rPr>
        <w:t>IFI</w:t>
      </w:r>
      <w:r w:rsidR="00520BCE">
        <w:rPr>
          <w:rFonts w:ascii="Times New Roman" w:hAnsi="Times New Roman"/>
          <w:color w:val="000000"/>
        </w:rPr>
        <w:t>)</w:t>
      </w:r>
      <w:r w:rsidRPr="00534C57">
        <w:rPr>
          <w:rFonts w:ascii="Times New Roman" w:hAnsi="Times New Roman"/>
          <w:color w:val="000000"/>
        </w:rPr>
        <w:t>, 39,3 % tiriamųjų buvo visam laikui nutrauktas vorikonazolo vartojimas dėl nepageidaujamų reiškinių, palyginus su 39,6 % tiriamųjų, kurie vartojo itrakonazolą. Dėl skubaus gydymo reikalaujančių nepageidaujamų reiškinių kepenims tiriamojo preparato vartojimas buvo visiškai nutrauktas 50 tiriamųjų (21,4 %), kurie buvo gydomi vorikonazolu, ir 18 tiriamųjų (7,1 %), gydomų itrakonazolu.</w:t>
      </w:r>
    </w:p>
    <w:p w14:paraId="59E71BED"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122737BB"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r w:rsidRPr="00534C57">
        <w:rPr>
          <w:rFonts w:ascii="Times New Roman" w:hAnsi="Times New Roman"/>
          <w:i/>
          <w:iCs/>
          <w:color w:val="000000"/>
        </w:rPr>
        <w:t>Vaikų populiacija</w:t>
      </w:r>
    </w:p>
    <w:p w14:paraId="0591B23E" w14:textId="77777777" w:rsidR="002F3324" w:rsidRPr="00534C57" w:rsidRDefault="002826B7" w:rsidP="002F3324">
      <w:pPr>
        <w:autoSpaceDE w:val="0"/>
        <w:autoSpaceDN w:val="0"/>
        <w:adjustRightInd w:val="0"/>
        <w:spacing w:after="0" w:line="240" w:lineRule="auto"/>
        <w:rPr>
          <w:rFonts w:ascii="Times New Roman" w:hAnsi="Times New Roman"/>
          <w:color w:val="000000"/>
        </w:rPr>
      </w:pPr>
      <w:r w:rsidRPr="00BE562B">
        <w:rPr>
          <w:rFonts w:ascii="Times New Roman" w:hAnsi="Times New Roman"/>
        </w:rPr>
        <w:t xml:space="preserve">Vorikonazolo saugumas buvo tirtas </w:t>
      </w:r>
      <w:r w:rsidRPr="00534C57">
        <w:rPr>
          <w:rFonts w:ascii="Times New Roman" w:eastAsia="Times New Roman" w:hAnsi="Times New Roman"/>
        </w:rPr>
        <w:t>tyrimuose, kuriuose dalyvavo</w:t>
      </w:r>
      <w:r w:rsidRPr="00534C57">
        <w:rPr>
          <w:rFonts w:ascii="Times New Roman" w:eastAsia="Times New Roman" w:hAnsi="Times New Roman"/>
          <w:spacing w:val="-2"/>
        </w:rPr>
        <w:t xml:space="preserve"> </w:t>
      </w:r>
      <w:r w:rsidRPr="00534C57">
        <w:rPr>
          <w:rFonts w:ascii="Times New Roman" w:eastAsia="Times New Roman" w:hAnsi="Times New Roman"/>
        </w:rPr>
        <w:t xml:space="preserve">288 vaikai nuo 2 iki &lt; 12 </w:t>
      </w:r>
      <w:r w:rsidRPr="00534C57">
        <w:rPr>
          <w:rFonts w:ascii="Times New Roman" w:eastAsia="Times New Roman" w:hAnsi="Times New Roman"/>
          <w:spacing w:val="-1"/>
        </w:rPr>
        <w:t xml:space="preserve">metų </w:t>
      </w:r>
      <w:r w:rsidRPr="00534C57">
        <w:rPr>
          <w:rFonts w:ascii="Times New Roman" w:eastAsia="Times New Roman" w:hAnsi="Times New Roman"/>
        </w:rPr>
        <w:t xml:space="preserve">(169) ir nuo 12 iki &lt; 18 metų (119), kurie vartojo vorikonazolą profilaktikai (183) </w:t>
      </w:r>
      <w:r w:rsidRPr="00534C57">
        <w:rPr>
          <w:rFonts w:ascii="Times New Roman" w:eastAsia="Times New Roman" w:hAnsi="Times New Roman"/>
          <w:spacing w:val="-1"/>
        </w:rPr>
        <w:t>i</w:t>
      </w:r>
      <w:r w:rsidRPr="00534C57">
        <w:rPr>
          <w:rFonts w:ascii="Times New Roman" w:eastAsia="Times New Roman" w:hAnsi="Times New Roman"/>
        </w:rPr>
        <w:t>r gydymui (105). Vorikonazolo saugumas papildomai buvo tirtas nuo 2 iki &lt; 12 metų amžiaus vaikams, kurie buvo stebimi labdaros programose (158 vaikai). Apskritai, varikonazolo saugumo pobūdis vaikų populiacijoje buvo panašus</w:t>
      </w:r>
      <w:r w:rsidRPr="00534C57">
        <w:rPr>
          <w:rFonts w:ascii="Times New Roman" w:eastAsia="Times New Roman" w:hAnsi="Times New Roman"/>
          <w:spacing w:val="-2"/>
        </w:rPr>
        <w:t xml:space="preserve"> </w:t>
      </w:r>
      <w:r w:rsidRPr="00534C57">
        <w:rPr>
          <w:rFonts w:ascii="Times New Roman" w:eastAsia="Times New Roman" w:hAnsi="Times New Roman"/>
        </w:rPr>
        <w:t>į suaugusiųjų. Tačiau klinikinių</w:t>
      </w:r>
      <w:r w:rsidRPr="00534C57">
        <w:rPr>
          <w:rFonts w:ascii="Times New Roman" w:eastAsia="Times New Roman" w:hAnsi="Times New Roman"/>
          <w:spacing w:val="-1"/>
        </w:rPr>
        <w:t xml:space="preserve"> </w:t>
      </w:r>
      <w:r w:rsidRPr="00534C57">
        <w:rPr>
          <w:rFonts w:ascii="Times New Roman" w:eastAsia="Times New Roman" w:hAnsi="Times New Roman"/>
        </w:rPr>
        <w:t>tyrimų</w:t>
      </w:r>
      <w:r w:rsidRPr="00534C57">
        <w:rPr>
          <w:rFonts w:ascii="Times New Roman" w:eastAsia="Times New Roman" w:hAnsi="Times New Roman"/>
          <w:spacing w:val="-1"/>
        </w:rPr>
        <w:t xml:space="preserve"> </w:t>
      </w:r>
      <w:r w:rsidRPr="00534C57">
        <w:rPr>
          <w:rFonts w:ascii="Times New Roman" w:eastAsia="Times New Roman" w:hAnsi="Times New Roman"/>
        </w:rPr>
        <w:t>metu</w:t>
      </w:r>
      <w:r w:rsidRPr="00534C57">
        <w:rPr>
          <w:rFonts w:ascii="Times New Roman" w:eastAsia="Times New Roman" w:hAnsi="Times New Roman"/>
          <w:spacing w:val="-1"/>
        </w:rPr>
        <w:t xml:space="preserve"> </w:t>
      </w:r>
      <w:r w:rsidRPr="00534C57">
        <w:rPr>
          <w:rFonts w:ascii="Times New Roman" w:eastAsia="Times New Roman" w:hAnsi="Times New Roman"/>
        </w:rPr>
        <w:t>dažniau</w:t>
      </w:r>
      <w:r w:rsidRPr="00534C57">
        <w:rPr>
          <w:rFonts w:ascii="Times New Roman" w:eastAsia="Times New Roman" w:hAnsi="Times New Roman"/>
          <w:spacing w:val="-1"/>
        </w:rPr>
        <w:t xml:space="preserve"> </w:t>
      </w:r>
      <w:r w:rsidRPr="00534C57">
        <w:rPr>
          <w:rFonts w:ascii="Times New Roman" w:eastAsia="Times New Roman" w:hAnsi="Times New Roman"/>
        </w:rPr>
        <w:t>pranešta</w:t>
      </w:r>
      <w:r w:rsidRPr="00534C57">
        <w:rPr>
          <w:rFonts w:ascii="Times New Roman" w:eastAsia="Times New Roman" w:hAnsi="Times New Roman"/>
          <w:spacing w:val="-1"/>
        </w:rPr>
        <w:t xml:space="preserve"> </w:t>
      </w:r>
      <w:r w:rsidRPr="00534C57">
        <w:rPr>
          <w:rFonts w:ascii="Times New Roman" w:eastAsia="Times New Roman" w:hAnsi="Times New Roman"/>
        </w:rPr>
        <w:t>apie</w:t>
      </w:r>
      <w:r w:rsidRPr="00534C57">
        <w:rPr>
          <w:rFonts w:ascii="Times New Roman" w:eastAsia="Times New Roman" w:hAnsi="Times New Roman"/>
          <w:spacing w:val="-1"/>
        </w:rPr>
        <w:t xml:space="preserve"> </w:t>
      </w:r>
      <w:r w:rsidRPr="00534C57">
        <w:rPr>
          <w:rFonts w:ascii="Times New Roman" w:eastAsia="Times New Roman" w:hAnsi="Times New Roman"/>
        </w:rPr>
        <w:t>kepenų fermentų</w:t>
      </w:r>
      <w:r w:rsidRPr="00534C57">
        <w:rPr>
          <w:rFonts w:ascii="Times New Roman" w:eastAsia="Times New Roman" w:hAnsi="Times New Roman"/>
          <w:spacing w:val="-2"/>
        </w:rPr>
        <w:t xml:space="preserve"> </w:t>
      </w:r>
      <w:r w:rsidRPr="00534C57">
        <w:rPr>
          <w:rFonts w:ascii="Times New Roman" w:eastAsia="Times New Roman" w:hAnsi="Times New Roman"/>
          <w:spacing w:val="-1"/>
        </w:rPr>
        <w:t>aktyvum</w:t>
      </w:r>
      <w:r w:rsidRPr="00534C57">
        <w:rPr>
          <w:rFonts w:ascii="Times New Roman" w:eastAsia="Times New Roman" w:hAnsi="Times New Roman"/>
        </w:rPr>
        <w:t>o</w:t>
      </w:r>
      <w:r w:rsidRPr="00534C57">
        <w:rPr>
          <w:rFonts w:ascii="Times New Roman" w:eastAsia="Times New Roman" w:hAnsi="Times New Roman"/>
          <w:spacing w:val="-1"/>
        </w:rPr>
        <w:t xml:space="preserve"> </w:t>
      </w:r>
      <w:r w:rsidRPr="00534C57">
        <w:rPr>
          <w:rFonts w:ascii="Times New Roman" w:eastAsia="Times New Roman" w:hAnsi="Times New Roman"/>
        </w:rPr>
        <w:t>pad</w:t>
      </w:r>
      <w:r w:rsidRPr="00534C57">
        <w:rPr>
          <w:rFonts w:ascii="Times New Roman" w:eastAsia="Times New Roman" w:hAnsi="Times New Roman"/>
          <w:spacing w:val="1"/>
        </w:rPr>
        <w:t>i</w:t>
      </w:r>
      <w:r w:rsidRPr="00534C57">
        <w:rPr>
          <w:rFonts w:ascii="Times New Roman" w:eastAsia="Times New Roman" w:hAnsi="Times New Roman"/>
        </w:rPr>
        <w:t>d</w:t>
      </w:r>
      <w:r w:rsidRPr="00534C57">
        <w:rPr>
          <w:rFonts w:ascii="Times New Roman" w:eastAsia="Times New Roman" w:hAnsi="Times New Roman"/>
          <w:spacing w:val="-1"/>
        </w:rPr>
        <w:t>ėjim</w:t>
      </w:r>
      <w:r w:rsidRPr="00534C57">
        <w:rPr>
          <w:rFonts w:ascii="Times New Roman" w:eastAsia="Times New Roman" w:hAnsi="Times New Roman"/>
        </w:rPr>
        <w:t>o</w:t>
      </w:r>
      <w:r w:rsidRPr="00534C57">
        <w:rPr>
          <w:rFonts w:ascii="Times New Roman" w:eastAsia="Times New Roman" w:hAnsi="Times New Roman"/>
          <w:spacing w:val="-1"/>
        </w:rPr>
        <w:t xml:space="preserve"> </w:t>
      </w:r>
      <w:r w:rsidRPr="00534C57">
        <w:rPr>
          <w:rFonts w:ascii="Times New Roman" w:eastAsia="Times New Roman" w:hAnsi="Times New Roman"/>
        </w:rPr>
        <w:t>tendenciją kaip apie</w:t>
      </w:r>
      <w:r w:rsidRPr="00534C57">
        <w:rPr>
          <w:rFonts w:ascii="Times New Roman" w:eastAsia="Times New Roman" w:hAnsi="Times New Roman"/>
          <w:spacing w:val="-2"/>
        </w:rPr>
        <w:t xml:space="preserve"> </w:t>
      </w:r>
      <w:r w:rsidRPr="00534C57">
        <w:rPr>
          <w:rFonts w:ascii="Times New Roman" w:eastAsia="Times New Roman" w:hAnsi="Times New Roman"/>
        </w:rPr>
        <w:t>nepageidaujamą reakciją</w:t>
      </w:r>
      <w:r w:rsidRPr="00534C57">
        <w:rPr>
          <w:rFonts w:ascii="Times New Roman" w:eastAsia="Times New Roman" w:hAnsi="Times New Roman"/>
          <w:spacing w:val="-2"/>
        </w:rPr>
        <w:t xml:space="preserve"> </w:t>
      </w:r>
      <w:r w:rsidRPr="00534C57">
        <w:rPr>
          <w:rFonts w:ascii="Times New Roman" w:eastAsia="Times New Roman" w:hAnsi="Times New Roman"/>
        </w:rPr>
        <w:t xml:space="preserve">(transaminazių </w:t>
      </w:r>
      <w:r w:rsidR="00534C57">
        <w:rPr>
          <w:rFonts w:ascii="Times New Roman" w:eastAsia="Times New Roman" w:hAnsi="Times New Roman"/>
        </w:rPr>
        <w:t>a</w:t>
      </w:r>
      <w:r w:rsidRPr="00534C57">
        <w:rPr>
          <w:rFonts w:ascii="Times New Roman" w:eastAsia="Times New Roman" w:hAnsi="Times New Roman"/>
        </w:rPr>
        <w:t>ktyvumas pad</w:t>
      </w:r>
      <w:r w:rsidRPr="00534C57">
        <w:rPr>
          <w:rFonts w:ascii="Times New Roman" w:eastAsia="Times New Roman" w:hAnsi="Times New Roman"/>
          <w:spacing w:val="1"/>
        </w:rPr>
        <w:t>i</w:t>
      </w:r>
      <w:r w:rsidRPr="00534C57">
        <w:rPr>
          <w:rFonts w:ascii="Times New Roman" w:eastAsia="Times New Roman" w:hAnsi="Times New Roman"/>
          <w:spacing w:val="-2"/>
        </w:rPr>
        <w:t>dė</w:t>
      </w:r>
      <w:r w:rsidRPr="00534C57">
        <w:rPr>
          <w:rFonts w:ascii="Times New Roman" w:eastAsia="Times New Roman" w:hAnsi="Times New Roman"/>
          <w:spacing w:val="3"/>
        </w:rPr>
        <w:t>j</w:t>
      </w:r>
      <w:r w:rsidRPr="00534C57">
        <w:rPr>
          <w:rFonts w:ascii="Times New Roman" w:eastAsia="Times New Roman" w:hAnsi="Times New Roman"/>
        </w:rPr>
        <w:t>o 14,2 % vaikų, palyginti su 5,3 % suaugusiųjų) vaikų populiacij</w:t>
      </w:r>
      <w:r w:rsidRPr="00534C57">
        <w:rPr>
          <w:rFonts w:ascii="Times New Roman" w:eastAsia="Times New Roman" w:hAnsi="Times New Roman"/>
          <w:spacing w:val="-1"/>
        </w:rPr>
        <w:t>a</w:t>
      </w:r>
      <w:r w:rsidRPr="00534C57">
        <w:rPr>
          <w:rFonts w:ascii="Times New Roman" w:eastAsia="Times New Roman" w:hAnsi="Times New Roman"/>
          <w:spacing w:val="1"/>
        </w:rPr>
        <w:t>i</w:t>
      </w:r>
      <w:r w:rsidRPr="00534C57">
        <w:rPr>
          <w:rFonts w:ascii="Times New Roman" w:eastAsia="Times New Roman" w:hAnsi="Times New Roman"/>
        </w:rPr>
        <w:t>,</w:t>
      </w:r>
      <w:r w:rsidRPr="00534C57">
        <w:rPr>
          <w:rFonts w:ascii="Times New Roman" w:eastAsia="Times New Roman" w:hAnsi="Times New Roman"/>
          <w:spacing w:val="-2"/>
        </w:rPr>
        <w:t xml:space="preserve"> </w:t>
      </w:r>
      <w:r w:rsidRPr="00534C57">
        <w:rPr>
          <w:rFonts w:ascii="Times New Roman" w:eastAsia="Times New Roman" w:hAnsi="Times New Roman"/>
        </w:rPr>
        <w:t xml:space="preserve">palyginti su suaugusiaisiais. </w:t>
      </w:r>
      <w:r w:rsidRPr="00534C57">
        <w:rPr>
          <w:rFonts w:ascii="Times New Roman" w:eastAsia="Times New Roman" w:hAnsi="Times New Roman"/>
          <w:spacing w:val="-1"/>
        </w:rPr>
        <w:t>P</w:t>
      </w:r>
      <w:r w:rsidRPr="00534C57">
        <w:rPr>
          <w:rFonts w:ascii="Times New Roman" w:eastAsia="Times New Roman" w:hAnsi="Times New Roman"/>
        </w:rPr>
        <w:t>o</w:t>
      </w:r>
      <w:r w:rsidRPr="00534C57">
        <w:rPr>
          <w:rFonts w:ascii="Times New Roman" w:eastAsia="Times New Roman" w:hAnsi="Times New Roman"/>
          <w:spacing w:val="-1"/>
        </w:rPr>
        <w:t xml:space="preserve"> vaistini</w:t>
      </w:r>
      <w:r w:rsidRPr="00534C57">
        <w:rPr>
          <w:rFonts w:ascii="Times New Roman" w:eastAsia="Times New Roman" w:hAnsi="Times New Roman"/>
        </w:rPr>
        <w:t>o</w:t>
      </w:r>
      <w:r w:rsidRPr="00534C57">
        <w:rPr>
          <w:rFonts w:ascii="Times New Roman" w:eastAsia="Times New Roman" w:hAnsi="Times New Roman"/>
          <w:spacing w:val="-1"/>
        </w:rPr>
        <w:t xml:space="preserve"> </w:t>
      </w:r>
      <w:r w:rsidRPr="00534C57">
        <w:rPr>
          <w:rFonts w:ascii="Times New Roman" w:eastAsia="Times New Roman" w:hAnsi="Times New Roman"/>
        </w:rPr>
        <w:t>preparato patekimo į rinką gauti duomenys rodo, kad vaikams odos reakcijų (ypač eritema) gali atsirasti dažniau nei suaugusiesiems.</w:t>
      </w:r>
      <w:r w:rsidRPr="00BE562B">
        <w:rPr>
          <w:rFonts w:ascii="Times New Roman" w:hAnsi="Times New Roman"/>
          <w:spacing w:val="-2"/>
        </w:rPr>
        <w:t xml:space="preserve"> </w:t>
      </w:r>
      <w:r w:rsidR="002F3324" w:rsidRPr="00534C57">
        <w:rPr>
          <w:rFonts w:ascii="Times New Roman" w:hAnsi="Times New Roman"/>
          <w:color w:val="000000"/>
        </w:rPr>
        <w:t>Po vaistinio preparato patekimo į rinką gauti duomenys rodo, kad vaikams odos reakcijų (ypač eritema) gali atsirasti dažniau nei suaugusiesiems. 22 jaunesniems kaip 2 metų pacientams, gydytiems vorikonazolu pagal labdaros programą, pasireiškė tokios nepageidaujamos reakcijos (jų sąsajos su vorikonazolu paneigti negalima): padidėjusio jautrumo šviesai reakcija (1), aritmija (1), pankreatitas (1), bilirubino koncentracijos kraujyje padidėjimas (1), kepenų fermentų kiekio padidėjimas (1), išbėrimas (1), regos nervo disko edema (1). Po vaistinio preparato patekimo į rinką gauta pranešimų apie vaikus ir paauglius, susirgusius pankreatitu.</w:t>
      </w:r>
    </w:p>
    <w:p w14:paraId="416F959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0C9B97C" w14:textId="77777777" w:rsidR="002F3324" w:rsidRPr="00534C57" w:rsidRDefault="002F3324" w:rsidP="002F3324">
      <w:pPr>
        <w:autoSpaceDE w:val="0"/>
        <w:autoSpaceDN w:val="0"/>
        <w:adjustRightInd w:val="0"/>
        <w:spacing w:after="0" w:line="240" w:lineRule="auto"/>
        <w:rPr>
          <w:rFonts w:ascii="Times New Roman" w:hAnsi="Times New Roman"/>
          <w:u w:val="single"/>
        </w:rPr>
      </w:pPr>
      <w:r w:rsidRPr="00534C57">
        <w:rPr>
          <w:rFonts w:ascii="Times New Roman" w:hAnsi="Times New Roman"/>
          <w:noProof/>
          <w:u w:val="single"/>
        </w:rPr>
        <w:t>Pranešimas apie įtariamas nepageidaujamas reakcijas</w:t>
      </w:r>
    </w:p>
    <w:p w14:paraId="05DDB3C6" w14:textId="63E173BC" w:rsidR="002F3324" w:rsidRPr="00B2252D" w:rsidRDefault="00B2252D" w:rsidP="002F3324">
      <w:pPr>
        <w:autoSpaceDE w:val="0"/>
        <w:autoSpaceDN w:val="0"/>
        <w:adjustRightInd w:val="0"/>
        <w:spacing w:after="0" w:line="240" w:lineRule="auto"/>
        <w:rPr>
          <w:rFonts w:ascii="Times New Roman" w:hAnsi="Times New Roman"/>
          <w:b/>
          <w:color w:val="000000"/>
        </w:rPr>
      </w:pPr>
      <w:r w:rsidRPr="00FE7B76">
        <w:rPr>
          <w:rFonts w:ascii="Times New Roman" w:hAnsi="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FE7B76">
        <w:rPr>
          <w:rFonts w:ascii="Times New Roman" w:hAnsi="Times New Roman"/>
          <w:color w:val="0000EE"/>
          <w:u w:val="single"/>
          <w:lang w:eastAsia="lt-LT"/>
        </w:rPr>
        <w:t>https://vvkt.lrv.lt/lt/</w:t>
      </w:r>
      <w:r w:rsidRPr="00FE7B76">
        <w:rPr>
          <w:rFonts w:ascii="Times New Roman" w:hAnsi="Times New Roman"/>
          <w:lang w:eastAsia="lt-LT"/>
        </w:rPr>
        <w:t xml:space="preserve"> nurodytais būdais</w:t>
      </w:r>
      <w:r w:rsidR="007B6FA7" w:rsidRPr="00B2252D">
        <w:rPr>
          <w:rFonts w:ascii="Times New Roman" w:hAnsi="Times New Roman"/>
          <w:noProof/>
        </w:rPr>
        <w:t>.</w:t>
      </w:r>
    </w:p>
    <w:p w14:paraId="254671CC" w14:textId="77777777" w:rsidR="009619D2" w:rsidRDefault="009619D2" w:rsidP="002F3324">
      <w:pPr>
        <w:autoSpaceDE w:val="0"/>
        <w:autoSpaceDN w:val="0"/>
        <w:adjustRightInd w:val="0"/>
        <w:spacing w:after="0" w:line="240" w:lineRule="auto"/>
        <w:rPr>
          <w:rFonts w:ascii="Times New Roman" w:hAnsi="Times New Roman"/>
          <w:b/>
          <w:bCs/>
          <w:color w:val="000000"/>
        </w:rPr>
      </w:pPr>
    </w:p>
    <w:p w14:paraId="1A8861CC"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4.9 Perdozavimas</w:t>
      </w:r>
    </w:p>
    <w:p w14:paraId="7D1C9BE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4D961A7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Klinikinių tyrimų metu pasitaikė 3 perdozavimo atvejai. Visi atvejai įvyko vaikams, kuriems į veną buvo infuzuota dozė iki penkių kartų didesnė už rekomenduojamą. Vienam pacientui pasireiškė 10 minučių trukusi nepageidaujama reakcija - fotofobija.</w:t>
      </w:r>
    </w:p>
    <w:p w14:paraId="1281A1B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224DD1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Priešnuodis vorikonazolui nežinomas.</w:t>
      </w:r>
    </w:p>
    <w:p w14:paraId="2B419FE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F9F584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Vorikonazolą galima pašalinti hemodialize, jo klirensas yra 121</w:t>
      </w:r>
      <w:r w:rsidR="007B6FA7">
        <w:rPr>
          <w:rFonts w:ascii="Times New Roman" w:hAnsi="Times New Roman"/>
          <w:color w:val="000000"/>
        </w:rPr>
        <w:t> </w:t>
      </w:r>
      <w:r w:rsidRPr="00534C57">
        <w:rPr>
          <w:rFonts w:ascii="Times New Roman" w:hAnsi="Times New Roman"/>
          <w:color w:val="000000"/>
        </w:rPr>
        <w:t>ml/min. Jei preparato perdozuojama, vorikonazolą iš organizmo galima šalinti hemodializuojant.</w:t>
      </w:r>
    </w:p>
    <w:p w14:paraId="6F095D1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5457DB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5F4DC93"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5. FARMAKOLOGINĖS SAVYBĖS</w:t>
      </w:r>
    </w:p>
    <w:p w14:paraId="7DBEE05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EB1943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5.1 Farmakodinaminės savybės</w:t>
      </w:r>
    </w:p>
    <w:p w14:paraId="1D8FF2C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6607163" w14:textId="6835DCCB"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Farmakoterapinė grupė – sisteminio poveikio priešgrybeliniai vaistiniai preparatai (triazolo</w:t>
      </w:r>
      <w:r w:rsidR="00237545">
        <w:rPr>
          <w:rFonts w:ascii="Times New Roman" w:hAnsi="Times New Roman"/>
          <w:color w:val="000000"/>
        </w:rPr>
        <w:t xml:space="preserve"> ir tetrazolo</w:t>
      </w:r>
      <w:r w:rsidRPr="00534C57">
        <w:rPr>
          <w:rFonts w:ascii="Times New Roman" w:hAnsi="Times New Roman"/>
          <w:color w:val="000000"/>
        </w:rPr>
        <w:t xml:space="preserve"> dariniai), ATC kodas – J02AC03.</w:t>
      </w:r>
    </w:p>
    <w:p w14:paraId="2CEAC14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50674C0"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Veikimo mechanizmas</w:t>
      </w:r>
    </w:p>
    <w:p w14:paraId="23B9B20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Vorikonazolas yra triazolų grupės priešgrybelinis vaistinis preparatas. Svarbiausias vorikonazolo veikimo mechanizmas yra grybelių citochromo P450 veikiamo 14 alfa lanosterolio demetilinimo (svarbiausio grybelių ergosterolio biosintezės etapo) slopinimas. 14 alfa metilsterolių kaupimasis yra </w:t>
      </w:r>
      <w:r w:rsidRPr="00534C57">
        <w:rPr>
          <w:rFonts w:ascii="Times New Roman" w:hAnsi="Times New Roman"/>
          <w:color w:val="000000"/>
        </w:rPr>
        <w:lastRenderedPageBreak/>
        <w:t>susijęs su tolesniu ergosterolio kiekio mažėjimu grybelių ląstelių membranoje ir gali būti susijęs su priešgrybeliniu vorikonazolo aktyvumu. Nustatyta, kad vorikonazolas gali būti selektyvesnis grybelių citochromo P450 izofermentams nei įvairių žinduolių P450 izofermentų sistemoms.</w:t>
      </w:r>
    </w:p>
    <w:p w14:paraId="25F0A7C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C61CF05"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Farmakokinetikos / farmakodinamikos ryšys</w:t>
      </w:r>
    </w:p>
    <w:p w14:paraId="6F4FB61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Dešimties gydymo tyrimų duomenimis, individualių tiriamųjų asmenų vidutinių ir didžiausių koncentracijų plazmoje mediana visuose tyrimuose buvo atitinkamai 2425</w:t>
      </w:r>
      <w:r w:rsidR="007B6FA7">
        <w:rPr>
          <w:rFonts w:ascii="Times New Roman" w:hAnsi="Times New Roman"/>
          <w:color w:val="000000"/>
        </w:rPr>
        <w:t> </w:t>
      </w:r>
      <w:r w:rsidRPr="00534C57">
        <w:rPr>
          <w:rFonts w:ascii="Times New Roman" w:hAnsi="Times New Roman"/>
          <w:color w:val="000000"/>
        </w:rPr>
        <w:t>ng/ml (intervalas tarp kvartilių nuo 1 193 iki 4380</w:t>
      </w:r>
      <w:r w:rsidR="007B6FA7">
        <w:rPr>
          <w:rFonts w:ascii="Times New Roman" w:hAnsi="Times New Roman"/>
          <w:color w:val="000000"/>
        </w:rPr>
        <w:t> </w:t>
      </w:r>
      <w:r w:rsidRPr="00534C57">
        <w:rPr>
          <w:rFonts w:ascii="Times New Roman" w:hAnsi="Times New Roman"/>
          <w:color w:val="000000"/>
        </w:rPr>
        <w:t>ng/ml) ir 3742</w:t>
      </w:r>
      <w:r w:rsidR="007B6FA7">
        <w:rPr>
          <w:rFonts w:ascii="Times New Roman" w:hAnsi="Times New Roman"/>
          <w:color w:val="000000"/>
        </w:rPr>
        <w:t> </w:t>
      </w:r>
      <w:r w:rsidRPr="00534C57">
        <w:rPr>
          <w:rFonts w:ascii="Times New Roman" w:hAnsi="Times New Roman"/>
          <w:color w:val="000000"/>
        </w:rPr>
        <w:t>ng/ml (intervalas tarp kvartilių nuo 2 027 iki 6</w:t>
      </w:r>
      <w:r w:rsidR="007B6FA7">
        <w:rPr>
          <w:rFonts w:ascii="Times New Roman" w:hAnsi="Times New Roman"/>
          <w:color w:val="000000"/>
        </w:rPr>
        <w:t> </w:t>
      </w:r>
      <w:r w:rsidRPr="00534C57">
        <w:rPr>
          <w:rFonts w:ascii="Times New Roman" w:hAnsi="Times New Roman"/>
          <w:color w:val="000000"/>
        </w:rPr>
        <w:t>302</w:t>
      </w:r>
      <w:r w:rsidR="007B6FA7">
        <w:rPr>
          <w:rFonts w:ascii="Times New Roman" w:hAnsi="Times New Roman"/>
          <w:color w:val="000000"/>
        </w:rPr>
        <w:t> </w:t>
      </w:r>
      <w:r w:rsidRPr="00534C57">
        <w:rPr>
          <w:rFonts w:ascii="Times New Roman" w:hAnsi="Times New Roman"/>
          <w:color w:val="000000"/>
        </w:rPr>
        <w:t>ng/ml). Teigiamo vidutinės, didžiausios arba mažiausios vorikonazolo koncentracijų plazmoje ryšio su veiksmingumu gydymo tyrimuose nepastebėta ir šis ryšys nebuvo tiriamas profilaktikos tyrimuose.</w:t>
      </w:r>
    </w:p>
    <w:p w14:paraId="6009E1A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621C3C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Klinikinių tyrimų farmakokinetikos ir farmakodinamikos duomenų analizės parodė teigiamą vorikonazolo koncentracijos plazmoje ryšį su nenormaliais kepenų funkcijos tyrimų rodmenimis bei regėjimo sutrikimais. Dozės koregavimas profilaktikos tyrimuose nebuvo tiriamas.</w:t>
      </w:r>
    </w:p>
    <w:p w14:paraId="08600DB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7FB2BAD"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Klinikinis veiksmingumas ir saugumas</w:t>
      </w:r>
    </w:p>
    <w:p w14:paraId="29C771E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Tyrimų </w:t>
      </w:r>
      <w:r w:rsidRPr="00534C57">
        <w:rPr>
          <w:rFonts w:ascii="Times New Roman" w:hAnsi="Times New Roman"/>
          <w:i/>
          <w:iCs/>
          <w:color w:val="000000"/>
        </w:rPr>
        <w:t xml:space="preserve">in vitro </w:t>
      </w:r>
      <w:r w:rsidRPr="00534C57">
        <w:rPr>
          <w:rFonts w:ascii="Times New Roman" w:hAnsi="Times New Roman"/>
          <w:color w:val="000000"/>
        </w:rPr>
        <w:t xml:space="preserve">duomenimis, vorikonazolui būdingas plataus spektro priešgrybelinis aktyvumas su stipriu priešgrybeliniu poveikiu </w:t>
      </w:r>
      <w:r w:rsidRPr="00534C57">
        <w:rPr>
          <w:rFonts w:ascii="Times New Roman" w:hAnsi="Times New Roman"/>
          <w:i/>
          <w:iCs/>
          <w:color w:val="000000"/>
        </w:rPr>
        <w:t xml:space="preserve">Candida </w:t>
      </w:r>
      <w:r w:rsidRPr="00534C57">
        <w:rPr>
          <w:rFonts w:ascii="Times New Roman" w:hAnsi="Times New Roman"/>
          <w:color w:val="000000"/>
        </w:rPr>
        <w:t xml:space="preserve">rūšims (įskaitant flukonazolui atsparias </w:t>
      </w:r>
      <w:r w:rsidRPr="00534C57">
        <w:rPr>
          <w:rFonts w:ascii="Times New Roman" w:hAnsi="Times New Roman"/>
          <w:i/>
          <w:iCs/>
          <w:color w:val="000000"/>
        </w:rPr>
        <w:t xml:space="preserve">C. krusei </w:t>
      </w:r>
      <w:r w:rsidRPr="00534C57">
        <w:rPr>
          <w:rFonts w:ascii="Times New Roman" w:hAnsi="Times New Roman"/>
          <w:color w:val="000000"/>
        </w:rPr>
        <w:t xml:space="preserve">ir atsparias </w:t>
      </w:r>
      <w:r w:rsidRPr="00534C57">
        <w:rPr>
          <w:rFonts w:ascii="Times New Roman" w:hAnsi="Times New Roman"/>
          <w:i/>
          <w:iCs/>
          <w:color w:val="000000"/>
        </w:rPr>
        <w:t xml:space="preserve">C. glabrata </w:t>
      </w:r>
      <w:r w:rsidRPr="00534C57">
        <w:rPr>
          <w:rFonts w:ascii="Times New Roman" w:hAnsi="Times New Roman"/>
          <w:color w:val="000000"/>
        </w:rPr>
        <w:t xml:space="preserve">bei </w:t>
      </w:r>
      <w:r w:rsidRPr="00534C57">
        <w:rPr>
          <w:rFonts w:ascii="Times New Roman" w:hAnsi="Times New Roman"/>
          <w:i/>
          <w:iCs/>
          <w:color w:val="000000"/>
        </w:rPr>
        <w:t xml:space="preserve">C. albicans </w:t>
      </w:r>
      <w:r w:rsidRPr="00534C57">
        <w:rPr>
          <w:rFonts w:ascii="Times New Roman" w:hAnsi="Times New Roman"/>
          <w:color w:val="000000"/>
        </w:rPr>
        <w:t xml:space="preserve">padermes) ir fungicidiniu poveikiu visoms tirtoms </w:t>
      </w:r>
      <w:r w:rsidRPr="00534C57">
        <w:rPr>
          <w:rFonts w:ascii="Times New Roman" w:hAnsi="Times New Roman"/>
          <w:i/>
          <w:iCs/>
          <w:color w:val="000000"/>
        </w:rPr>
        <w:t xml:space="preserve">Aspergillus </w:t>
      </w:r>
      <w:r w:rsidRPr="00534C57">
        <w:rPr>
          <w:rFonts w:ascii="Times New Roman" w:hAnsi="Times New Roman"/>
          <w:color w:val="000000"/>
        </w:rPr>
        <w:t>rūšims. Be</w:t>
      </w:r>
    </w:p>
    <w:p w14:paraId="63696D8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to, vorikonazolas parodė fungicidinį aktyvumą </w:t>
      </w:r>
      <w:r w:rsidRPr="00534C57">
        <w:rPr>
          <w:rFonts w:ascii="Times New Roman" w:hAnsi="Times New Roman"/>
          <w:i/>
          <w:iCs/>
          <w:color w:val="000000"/>
        </w:rPr>
        <w:t xml:space="preserve">in vitro </w:t>
      </w:r>
      <w:r w:rsidRPr="00534C57">
        <w:rPr>
          <w:rFonts w:ascii="Times New Roman" w:hAnsi="Times New Roman"/>
          <w:color w:val="000000"/>
        </w:rPr>
        <w:t>prieš sparčiai besidauginančius grybelinius</w:t>
      </w:r>
    </w:p>
    <w:p w14:paraId="5E9BC03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sukėlėjus, įskaitant, pavyzdžiui, </w:t>
      </w:r>
      <w:r w:rsidRPr="00534C57">
        <w:rPr>
          <w:rFonts w:ascii="Times New Roman" w:hAnsi="Times New Roman"/>
          <w:i/>
          <w:iCs/>
          <w:color w:val="000000"/>
        </w:rPr>
        <w:t xml:space="preserve">Scedosporium </w:t>
      </w:r>
      <w:r w:rsidRPr="00534C57">
        <w:rPr>
          <w:rFonts w:ascii="Times New Roman" w:hAnsi="Times New Roman"/>
          <w:color w:val="000000"/>
        </w:rPr>
        <w:t xml:space="preserve">arba </w:t>
      </w:r>
      <w:r w:rsidRPr="00534C57">
        <w:rPr>
          <w:rFonts w:ascii="Times New Roman" w:hAnsi="Times New Roman"/>
          <w:i/>
          <w:iCs/>
          <w:color w:val="000000"/>
        </w:rPr>
        <w:t>Fusarium</w:t>
      </w:r>
      <w:r w:rsidRPr="00534C57">
        <w:rPr>
          <w:rFonts w:ascii="Times New Roman" w:hAnsi="Times New Roman"/>
          <w:color w:val="000000"/>
        </w:rPr>
        <w:t>, kurių jautrumas esamiems</w:t>
      </w:r>
    </w:p>
    <w:p w14:paraId="182AC91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priešgrybeliniams vaistiniams preparatams yra ribotas.</w:t>
      </w:r>
    </w:p>
    <w:p w14:paraId="3C71448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05EF2B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Nustatytas klinikinis veiksmingumas (dalinis arba visiškas atsakas) prieš </w:t>
      </w:r>
      <w:r w:rsidRPr="00534C57">
        <w:rPr>
          <w:rFonts w:ascii="Times New Roman" w:hAnsi="Times New Roman"/>
          <w:i/>
          <w:iCs/>
          <w:color w:val="000000"/>
        </w:rPr>
        <w:t xml:space="preserve">Aspergillus </w:t>
      </w:r>
      <w:r w:rsidRPr="00534C57">
        <w:rPr>
          <w:rFonts w:ascii="Times New Roman" w:hAnsi="Times New Roman"/>
          <w:color w:val="000000"/>
        </w:rPr>
        <w:t xml:space="preserve">rūšis, įskaitant </w:t>
      </w:r>
      <w:r w:rsidRPr="00534C57">
        <w:rPr>
          <w:rFonts w:ascii="Times New Roman" w:hAnsi="Times New Roman"/>
          <w:i/>
          <w:iCs/>
          <w:color w:val="000000"/>
        </w:rPr>
        <w:t xml:space="preserve">A. flavus, A. fumigatus, A. terreus, A. niger, A.nidulans, Candida </w:t>
      </w:r>
      <w:r w:rsidRPr="00534C57">
        <w:rPr>
          <w:rFonts w:ascii="Times New Roman" w:hAnsi="Times New Roman"/>
          <w:color w:val="000000"/>
        </w:rPr>
        <w:t xml:space="preserve">rūšis, įskaitant </w:t>
      </w:r>
      <w:r w:rsidRPr="00534C57">
        <w:rPr>
          <w:rFonts w:ascii="Times New Roman" w:hAnsi="Times New Roman"/>
          <w:i/>
          <w:iCs/>
          <w:color w:val="000000"/>
        </w:rPr>
        <w:t xml:space="preserve">C. albicans, C. glabrata, C. krusei, C. parapsilosis </w:t>
      </w:r>
      <w:r w:rsidRPr="00534C57">
        <w:rPr>
          <w:rFonts w:ascii="Times New Roman" w:hAnsi="Times New Roman"/>
          <w:color w:val="000000"/>
        </w:rPr>
        <w:t xml:space="preserve">ir </w:t>
      </w:r>
      <w:r w:rsidRPr="00534C57">
        <w:rPr>
          <w:rFonts w:ascii="Times New Roman" w:hAnsi="Times New Roman"/>
          <w:i/>
          <w:iCs/>
          <w:color w:val="000000"/>
        </w:rPr>
        <w:t xml:space="preserve">C. tropicalis </w:t>
      </w:r>
      <w:r w:rsidRPr="00534C57">
        <w:rPr>
          <w:rFonts w:ascii="Times New Roman" w:hAnsi="Times New Roman"/>
          <w:color w:val="000000"/>
        </w:rPr>
        <w:t xml:space="preserve">ir nedidelį skaičių </w:t>
      </w:r>
      <w:r w:rsidRPr="00534C57">
        <w:rPr>
          <w:rFonts w:ascii="Times New Roman" w:hAnsi="Times New Roman"/>
          <w:i/>
          <w:iCs/>
          <w:color w:val="000000"/>
        </w:rPr>
        <w:t xml:space="preserve">C. dubliniensis, C. inconspicua </w:t>
      </w:r>
      <w:r w:rsidRPr="00534C57">
        <w:rPr>
          <w:rFonts w:ascii="Times New Roman" w:hAnsi="Times New Roman"/>
          <w:color w:val="000000"/>
        </w:rPr>
        <w:t xml:space="preserve">ir </w:t>
      </w:r>
      <w:r w:rsidRPr="00534C57">
        <w:rPr>
          <w:rFonts w:ascii="Times New Roman" w:hAnsi="Times New Roman"/>
          <w:i/>
          <w:iCs/>
          <w:color w:val="000000"/>
        </w:rPr>
        <w:t xml:space="preserve">C. guilliermondii, Scedosporium </w:t>
      </w:r>
      <w:r w:rsidRPr="00534C57">
        <w:rPr>
          <w:rFonts w:ascii="Times New Roman" w:hAnsi="Times New Roman"/>
          <w:color w:val="000000"/>
        </w:rPr>
        <w:t xml:space="preserve">rūšis, įskaitant </w:t>
      </w:r>
      <w:r w:rsidRPr="00534C57">
        <w:rPr>
          <w:rFonts w:ascii="Times New Roman" w:hAnsi="Times New Roman"/>
          <w:i/>
          <w:iCs/>
          <w:color w:val="000000"/>
        </w:rPr>
        <w:t xml:space="preserve">S.apiospermum, S. prolificans </w:t>
      </w:r>
      <w:r w:rsidRPr="00534C57">
        <w:rPr>
          <w:rFonts w:ascii="Times New Roman" w:hAnsi="Times New Roman"/>
          <w:color w:val="000000"/>
        </w:rPr>
        <w:t xml:space="preserve">ir </w:t>
      </w:r>
      <w:r w:rsidRPr="00534C57">
        <w:rPr>
          <w:rFonts w:ascii="Times New Roman" w:hAnsi="Times New Roman"/>
          <w:i/>
          <w:iCs/>
          <w:color w:val="000000"/>
        </w:rPr>
        <w:t xml:space="preserve">Fusarium </w:t>
      </w:r>
      <w:r w:rsidRPr="00534C57">
        <w:rPr>
          <w:rFonts w:ascii="Times New Roman" w:hAnsi="Times New Roman"/>
          <w:color w:val="000000"/>
        </w:rPr>
        <w:t>rūšis.</w:t>
      </w:r>
    </w:p>
    <w:p w14:paraId="35914F9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2A7EF5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Kitos gydytos grybelių sukeltos infekcinės ligos (atsakas dažnai buvo dalinis arba visiškas) buvo pavieniai </w:t>
      </w:r>
      <w:r w:rsidRPr="00534C57">
        <w:rPr>
          <w:rFonts w:ascii="Times New Roman" w:hAnsi="Times New Roman"/>
          <w:i/>
          <w:iCs/>
          <w:color w:val="000000"/>
        </w:rPr>
        <w:t xml:space="preserve">Alternaria </w:t>
      </w:r>
      <w:r w:rsidRPr="00534C57">
        <w:rPr>
          <w:rFonts w:ascii="Times New Roman" w:hAnsi="Times New Roman"/>
          <w:color w:val="000000"/>
        </w:rPr>
        <w:t xml:space="preserve">rūšių, </w:t>
      </w:r>
      <w:r w:rsidRPr="00534C57">
        <w:rPr>
          <w:rFonts w:ascii="Times New Roman" w:hAnsi="Times New Roman"/>
          <w:i/>
          <w:iCs/>
          <w:color w:val="000000"/>
        </w:rPr>
        <w:t xml:space="preserve">Blastomyces dermatitidis, Blastoschizomyces capitatus, Cladosporium </w:t>
      </w:r>
      <w:r w:rsidRPr="00534C57">
        <w:rPr>
          <w:rFonts w:ascii="Times New Roman" w:hAnsi="Times New Roman"/>
          <w:color w:val="000000"/>
        </w:rPr>
        <w:t xml:space="preserve">rūšių, </w:t>
      </w:r>
      <w:r w:rsidRPr="00534C57">
        <w:rPr>
          <w:rFonts w:ascii="Times New Roman" w:hAnsi="Times New Roman"/>
          <w:i/>
          <w:iCs/>
          <w:color w:val="000000"/>
        </w:rPr>
        <w:t xml:space="preserve">Coccidioides immitis, Conidiobolus coronatus, Cryptococcus neoformans, Exserohilum rostratum, Exophiala spinifera, Fonsecaea pedrosoi, Madurella mycetomatis, Paecilomyces lilacinus, Penicillium </w:t>
      </w:r>
      <w:r w:rsidRPr="00534C57">
        <w:rPr>
          <w:rFonts w:ascii="Times New Roman" w:hAnsi="Times New Roman"/>
          <w:color w:val="000000"/>
        </w:rPr>
        <w:t xml:space="preserve">rūšių, įskaitant </w:t>
      </w:r>
      <w:r w:rsidRPr="00534C57">
        <w:rPr>
          <w:rFonts w:ascii="Times New Roman" w:hAnsi="Times New Roman"/>
          <w:i/>
          <w:iCs/>
          <w:color w:val="000000"/>
        </w:rPr>
        <w:t xml:space="preserve">P. marneffei, Phialophora richardsiae, Scopulariopsis brevicaulis </w:t>
      </w:r>
      <w:r w:rsidRPr="00534C57">
        <w:rPr>
          <w:rFonts w:ascii="Times New Roman" w:hAnsi="Times New Roman"/>
          <w:color w:val="000000"/>
        </w:rPr>
        <w:t xml:space="preserve">ir </w:t>
      </w:r>
      <w:r w:rsidRPr="00534C57">
        <w:rPr>
          <w:rFonts w:ascii="Times New Roman" w:hAnsi="Times New Roman"/>
          <w:i/>
          <w:iCs/>
          <w:color w:val="000000"/>
        </w:rPr>
        <w:t xml:space="preserve">Trichosporon </w:t>
      </w:r>
      <w:r w:rsidRPr="00534C57">
        <w:rPr>
          <w:rFonts w:ascii="Times New Roman" w:hAnsi="Times New Roman"/>
          <w:color w:val="000000"/>
        </w:rPr>
        <w:t xml:space="preserve">rūšių, įskaitant </w:t>
      </w:r>
      <w:r w:rsidRPr="00534C57">
        <w:rPr>
          <w:rFonts w:ascii="Times New Roman" w:hAnsi="Times New Roman"/>
          <w:i/>
          <w:iCs/>
          <w:color w:val="000000"/>
        </w:rPr>
        <w:t xml:space="preserve">T. beigelii </w:t>
      </w:r>
      <w:r w:rsidRPr="00534C57">
        <w:rPr>
          <w:rFonts w:ascii="Times New Roman" w:hAnsi="Times New Roman"/>
          <w:color w:val="000000"/>
        </w:rPr>
        <w:t>sukeltų infekcinių ligų atvejai.</w:t>
      </w:r>
    </w:p>
    <w:p w14:paraId="1F94892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05EAD1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Tyrimais </w:t>
      </w:r>
      <w:r w:rsidRPr="00534C57">
        <w:rPr>
          <w:rFonts w:ascii="Times New Roman" w:hAnsi="Times New Roman"/>
          <w:i/>
          <w:iCs/>
          <w:color w:val="000000"/>
        </w:rPr>
        <w:t xml:space="preserve">in vitro </w:t>
      </w:r>
      <w:r w:rsidRPr="00534C57">
        <w:rPr>
          <w:rFonts w:ascii="Times New Roman" w:hAnsi="Times New Roman"/>
          <w:color w:val="000000"/>
        </w:rPr>
        <w:t xml:space="preserve">nustatyta, kad vaistinis preparatas veikia iš ligonio organizmo išskirtas </w:t>
      </w:r>
      <w:r w:rsidRPr="00534C57">
        <w:rPr>
          <w:rFonts w:ascii="Times New Roman" w:hAnsi="Times New Roman"/>
          <w:i/>
          <w:iCs/>
          <w:color w:val="000000"/>
        </w:rPr>
        <w:t>Acremonium</w:t>
      </w:r>
      <w:r w:rsidRPr="00534C57">
        <w:rPr>
          <w:rFonts w:ascii="Times New Roman" w:hAnsi="Times New Roman"/>
          <w:color w:val="000000"/>
        </w:rPr>
        <w:t xml:space="preserve">, </w:t>
      </w:r>
      <w:r w:rsidRPr="00534C57">
        <w:rPr>
          <w:rFonts w:ascii="Times New Roman" w:hAnsi="Times New Roman"/>
          <w:i/>
          <w:iCs/>
          <w:color w:val="000000"/>
        </w:rPr>
        <w:t>Alternari</w:t>
      </w:r>
      <w:r w:rsidRPr="00534C57">
        <w:rPr>
          <w:rFonts w:ascii="Times New Roman" w:hAnsi="Times New Roman"/>
          <w:color w:val="000000"/>
        </w:rPr>
        <w:t xml:space="preserve">a, </w:t>
      </w:r>
      <w:r w:rsidRPr="00534C57">
        <w:rPr>
          <w:rFonts w:ascii="Times New Roman" w:hAnsi="Times New Roman"/>
          <w:i/>
          <w:iCs/>
          <w:color w:val="000000"/>
        </w:rPr>
        <w:t>Bipolaris</w:t>
      </w:r>
      <w:r w:rsidRPr="00534C57">
        <w:rPr>
          <w:rFonts w:ascii="Times New Roman" w:hAnsi="Times New Roman"/>
          <w:color w:val="000000"/>
        </w:rPr>
        <w:t xml:space="preserve">, </w:t>
      </w:r>
      <w:r w:rsidRPr="00534C57">
        <w:rPr>
          <w:rFonts w:ascii="Times New Roman" w:hAnsi="Times New Roman"/>
          <w:i/>
          <w:iCs/>
          <w:color w:val="000000"/>
        </w:rPr>
        <w:t xml:space="preserve">Cladophialophora </w:t>
      </w:r>
      <w:r w:rsidRPr="00534C57">
        <w:rPr>
          <w:rFonts w:ascii="Times New Roman" w:hAnsi="Times New Roman"/>
          <w:color w:val="000000"/>
        </w:rPr>
        <w:t xml:space="preserve">rūšis ir </w:t>
      </w:r>
      <w:r w:rsidRPr="00534C57">
        <w:rPr>
          <w:rFonts w:ascii="Times New Roman" w:hAnsi="Times New Roman"/>
          <w:i/>
          <w:iCs/>
          <w:color w:val="000000"/>
        </w:rPr>
        <w:t xml:space="preserve">Histoplasma capsulatum. </w:t>
      </w:r>
      <w:r w:rsidRPr="00534C57">
        <w:rPr>
          <w:rFonts w:ascii="Times New Roman" w:hAnsi="Times New Roman"/>
          <w:color w:val="000000"/>
        </w:rPr>
        <w:t>Daugumos padermių mikroorganizmus vorikonazolas slopina esant jo koncentracijai 0,05-2</w:t>
      </w:r>
      <w:r w:rsidR="007B6FA7">
        <w:rPr>
          <w:rFonts w:ascii="Times New Roman" w:hAnsi="Times New Roman"/>
          <w:color w:val="000000"/>
        </w:rPr>
        <w:t> </w:t>
      </w:r>
      <w:r w:rsidRPr="00534C57">
        <w:rPr>
          <w:rFonts w:ascii="Times New Roman" w:hAnsi="Times New Roman"/>
          <w:color w:val="000000"/>
        </w:rPr>
        <w:t>μg/ml.</w:t>
      </w:r>
    </w:p>
    <w:p w14:paraId="6B23BC06"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54F11C8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 xml:space="preserve">In vitro </w:t>
      </w:r>
      <w:r w:rsidRPr="00534C57">
        <w:rPr>
          <w:rFonts w:ascii="Times New Roman" w:hAnsi="Times New Roman"/>
          <w:color w:val="000000"/>
        </w:rPr>
        <w:t xml:space="preserve">vorikonazolas veikia </w:t>
      </w:r>
      <w:r w:rsidRPr="00534C57">
        <w:rPr>
          <w:rFonts w:ascii="Times New Roman" w:hAnsi="Times New Roman"/>
          <w:i/>
          <w:iCs/>
          <w:color w:val="000000"/>
        </w:rPr>
        <w:t xml:space="preserve">Curvularia </w:t>
      </w:r>
      <w:r w:rsidRPr="00534C57">
        <w:rPr>
          <w:rFonts w:ascii="Times New Roman" w:hAnsi="Times New Roman"/>
          <w:color w:val="000000"/>
        </w:rPr>
        <w:t xml:space="preserve">ir </w:t>
      </w:r>
      <w:r w:rsidRPr="00534C57">
        <w:rPr>
          <w:rFonts w:ascii="Times New Roman" w:hAnsi="Times New Roman"/>
          <w:i/>
          <w:iCs/>
          <w:color w:val="000000"/>
        </w:rPr>
        <w:t xml:space="preserve">Sporothrix </w:t>
      </w:r>
      <w:r w:rsidRPr="00534C57">
        <w:rPr>
          <w:rFonts w:ascii="Times New Roman" w:hAnsi="Times New Roman"/>
          <w:color w:val="000000"/>
        </w:rPr>
        <w:t>rūšis, tačiau klinikinė šio reiškinio reikšmė nežinoma.</w:t>
      </w:r>
    </w:p>
    <w:p w14:paraId="40DF511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2378D9E"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Jautrumo ribos</w:t>
      </w:r>
    </w:p>
    <w:p w14:paraId="3840B63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Prieš gydymą iš ligonio organizmo reikia išskirti ir nustatyti ligą sukėlusį mikroorganizmą: išauginti grybelių kultūrą ir atlikti kitokius laboratorinius (serologinius, histopatologinius) tyrimus. Gydymą galima pradėti dar nežinant grybelių kultūrų tyrimo ar laboratorinių tyrimų rezultatų; vis dėlto juos sužinojus, gydymą reikia tinkamai koreguoti.</w:t>
      </w:r>
    </w:p>
    <w:p w14:paraId="259A872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440186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Rūšys, kurios dažniausiai sukelia infekciją žmogui, yra </w:t>
      </w:r>
      <w:r w:rsidRPr="00534C57">
        <w:rPr>
          <w:rFonts w:ascii="Times New Roman" w:hAnsi="Times New Roman"/>
          <w:i/>
          <w:iCs/>
          <w:color w:val="000000"/>
        </w:rPr>
        <w:t>C. albicans</w:t>
      </w:r>
      <w:r w:rsidRPr="00534C57">
        <w:rPr>
          <w:rFonts w:ascii="Times New Roman" w:hAnsi="Times New Roman"/>
          <w:color w:val="000000"/>
        </w:rPr>
        <w:t xml:space="preserve">, </w:t>
      </w:r>
      <w:r w:rsidRPr="00534C57">
        <w:rPr>
          <w:rFonts w:ascii="Times New Roman" w:hAnsi="Times New Roman"/>
          <w:i/>
          <w:iCs/>
          <w:color w:val="000000"/>
        </w:rPr>
        <w:t>C. parapsilosis</w:t>
      </w:r>
      <w:r w:rsidRPr="00534C57">
        <w:rPr>
          <w:rFonts w:ascii="Times New Roman" w:hAnsi="Times New Roman"/>
          <w:color w:val="000000"/>
        </w:rPr>
        <w:t xml:space="preserve">, </w:t>
      </w:r>
      <w:r w:rsidRPr="00534C57">
        <w:rPr>
          <w:rFonts w:ascii="Times New Roman" w:hAnsi="Times New Roman"/>
          <w:i/>
          <w:iCs/>
          <w:color w:val="000000"/>
        </w:rPr>
        <w:t>C. tropicalis</w:t>
      </w:r>
      <w:r w:rsidRPr="00534C57">
        <w:rPr>
          <w:rFonts w:ascii="Times New Roman" w:hAnsi="Times New Roman"/>
          <w:color w:val="000000"/>
        </w:rPr>
        <w:t xml:space="preserve">, </w:t>
      </w:r>
      <w:r w:rsidRPr="00534C57">
        <w:rPr>
          <w:rFonts w:ascii="Times New Roman" w:hAnsi="Times New Roman"/>
          <w:i/>
          <w:iCs/>
          <w:color w:val="000000"/>
        </w:rPr>
        <w:t xml:space="preserve">C. glabrata </w:t>
      </w:r>
      <w:r w:rsidRPr="00534C57">
        <w:rPr>
          <w:rFonts w:ascii="Times New Roman" w:hAnsi="Times New Roman"/>
          <w:color w:val="000000"/>
        </w:rPr>
        <w:t xml:space="preserve">ir </w:t>
      </w:r>
      <w:r w:rsidRPr="00534C57">
        <w:rPr>
          <w:rFonts w:ascii="Times New Roman" w:hAnsi="Times New Roman"/>
          <w:i/>
          <w:iCs/>
          <w:color w:val="000000"/>
        </w:rPr>
        <w:t>C. krusei</w:t>
      </w:r>
      <w:r w:rsidRPr="00534C57">
        <w:rPr>
          <w:rFonts w:ascii="Times New Roman" w:hAnsi="Times New Roman"/>
          <w:color w:val="000000"/>
        </w:rPr>
        <w:t>, visoms joms vorikonazolo mažiausia slopinamoji koncentracija (MSK) dažniausiai yra mažesnė kaip 1</w:t>
      </w:r>
      <w:r w:rsidR="007B6FA7">
        <w:rPr>
          <w:rFonts w:ascii="Times New Roman" w:hAnsi="Times New Roman"/>
          <w:color w:val="000000"/>
        </w:rPr>
        <w:t> </w:t>
      </w:r>
      <w:r w:rsidRPr="00534C57">
        <w:rPr>
          <w:rFonts w:ascii="Times New Roman" w:hAnsi="Times New Roman"/>
          <w:color w:val="000000"/>
        </w:rPr>
        <w:t>mg/l.</w:t>
      </w:r>
    </w:p>
    <w:p w14:paraId="19F5A9A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079100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Vis dėlto </w:t>
      </w:r>
      <w:r w:rsidRPr="00534C57">
        <w:rPr>
          <w:rFonts w:ascii="Times New Roman" w:hAnsi="Times New Roman"/>
          <w:i/>
          <w:iCs/>
          <w:color w:val="000000"/>
        </w:rPr>
        <w:t xml:space="preserve">in vitro </w:t>
      </w:r>
      <w:r w:rsidRPr="00534C57">
        <w:rPr>
          <w:rFonts w:ascii="Times New Roman" w:hAnsi="Times New Roman"/>
          <w:color w:val="000000"/>
        </w:rPr>
        <w:t xml:space="preserve">vorikonazolo aktyvumas </w:t>
      </w:r>
      <w:r w:rsidRPr="00534C57">
        <w:rPr>
          <w:rFonts w:ascii="Times New Roman" w:hAnsi="Times New Roman"/>
          <w:i/>
          <w:iCs/>
          <w:color w:val="000000"/>
        </w:rPr>
        <w:t xml:space="preserve">Candida </w:t>
      </w:r>
      <w:r w:rsidRPr="00534C57">
        <w:rPr>
          <w:rFonts w:ascii="Times New Roman" w:hAnsi="Times New Roman"/>
          <w:color w:val="000000"/>
        </w:rPr>
        <w:t xml:space="preserve">rūšims yra nevienodas. Konkrečiai </w:t>
      </w:r>
      <w:r w:rsidRPr="00534C57">
        <w:rPr>
          <w:rFonts w:ascii="Times New Roman" w:hAnsi="Times New Roman"/>
          <w:i/>
          <w:iCs/>
          <w:color w:val="000000"/>
        </w:rPr>
        <w:t xml:space="preserve">C. Glabrata </w:t>
      </w:r>
      <w:r w:rsidRPr="00534C57">
        <w:rPr>
          <w:rFonts w:ascii="Times New Roman" w:hAnsi="Times New Roman"/>
          <w:color w:val="000000"/>
        </w:rPr>
        <w:t xml:space="preserve">atžvilgiu vorikonazolo MSK flukonazolui atspariems izoliatams yra proporcingai didesnė negu flukonazolui jautriems izoliatams. Todėl kiekvieną kartą reikia stengtis identifikuoti </w:t>
      </w:r>
      <w:r w:rsidRPr="00534C57">
        <w:rPr>
          <w:rFonts w:ascii="Times New Roman" w:hAnsi="Times New Roman"/>
          <w:i/>
          <w:iCs/>
          <w:color w:val="000000"/>
        </w:rPr>
        <w:t xml:space="preserve">Candida </w:t>
      </w:r>
      <w:r w:rsidRPr="00534C57">
        <w:rPr>
          <w:rFonts w:ascii="Times New Roman" w:hAnsi="Times New Roman"/>
          <w:color w:val="000000"/>
        </w:rPr>
        <w:t>rūšį. Jeigu yra galimybė atlikti priešgrybelinio jautrumo mėginį, MSK duomenis galima interpretuoti naudojant jautrumo ribų kriterijus, kuriuos nustatė Europos antimikrobinio jautrumo tyrimų komitetas</w:t>
      </w:r>
    </w:p>
    <w:p w14:paraId="3F69B40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 xml:space="preserve">(angl. </w:t>
      </w:r>
      <w:r w:rsidRPr="00534C57">
        <w:rPr>
          <w:rFonts w:ascii="Times New Roman" w:hAnsi="Times New Roman"/>
          <w:i/>
          <w:iCs/>
          <w:color w:val="000000"/>
        </w:rPr>
        <w:t>The European Committee on Antimicrobial Susceptibility Testing [EUCAST]</w:t>
      </w:r>
      <w:r w:rsidRPr="00534C57">
        <w:rPr>
          <w:rFonts w:ascii="Times New Roman" w:hAnsi="Times New Roman"/>
          <w:color w:val="000000"/>
        </w:rPr>
        <w:t>).</w:t>
      </w:r>
    </w:p>
    <w:p w14:paraId="552BC981"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0BDE4D2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 xml:space="preserve">EUCAST </w:t>
      </w:r>
      <w:r w:rsidRPr="00534C57">
        <w:rPr>
          <w:rFonts w:ascii="Times New Roman" w:hAnsi="Times New Roman"/>
          <w:color w:val="000000"/>
        </w:rPr>
        <w:t>jautrumo ribos</w:t>
      </w:r>
    </w:p>
    <w:p w14:paraId="6A43A617" w14:textId="77777777" w:rsidR="002F3324" w:rsidRPr="00534C57" w:rsidRDefault="002F3324" w:rsidP="002F3324">
      <w:pPr>
        <w:autoSpaceDE w:val="0"/>
        <w:autoSpaceDN w:val="0"/>
        <w:adjustRightInd w:val="0"/>
        <w:spacing w:after="0" w:line="240" w:lineRule="auto"/>
        <w:rPr>
          <w:rFonts w:ascii="Times New Roman" w:hAnsi="Times New Roman"/>
          <w:b/>
          <w:bCs/>
          <w:i/>
          <w:iCs/>
          <w:color w:val="000000"/>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7"/>
        <w:gridCol w:w="2986"/>
        <w:gridCol w:w="3136"/>
      </w:tblGrid>
      <w:tr w:rsidR="00914B2F" w:rsidRPr="00F909DC" w14:paraId="35A7FA1C" w14:textId="77777777" w:rsidTr="007754E0">
        <w:tc>
          <w:tcPr>
            <w:tcW w:w="3087" w:type="dxa"/>
            <w:vMerge w:val="restart"/>
          </w:tcPr>
          <w:p w14:paraId="4047AC07" w14:textId="77777777" w:rsidR="002F3324" w:rsidRPr="00534C57" w:rsidRDefault="002F3324" w:rsidP="002F3324">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b/>
                <w:bCs/>
                <w:i/>
                <w:iCs/>
                <w:color w:val="000000"/>
              </w:rPr>
              <w:t xml:space="preserve">Candida </w:t>
            </w:r>
            <w:r w:rsidR="005B55F5">
              <w:rPr>
                <w:rFonts w:ascii="Times New Roman" w:hAnsi="Times New Roman"/>
                <w:b/>
                <w:bCs/>
                <w:i/>
                <w:iCs/>
                <w:color w:val="000000"/>
              </w:rPr>
              <w:t xml:space="preserve">ir Aspergillus </w:t>
            </w:r>
            <w:r w:rsidRPr="00534C57">
              <w:rPr>
                <w:rFonts w:ascii="Times New Roman" w:hAnsi="Times New Roman"/>
                <w:b/>
                <w:bCs/>
                <w:color w:val="000000"/>
              </w:rPr>
              <w:t>rūšys</w:t>
            </w:r>
          </w:p>
        </w:tc>
        <w:tc>
          <w:tcPr>
            <w:tcW w:w="6122" w:type="dxa"/>
            <w:gridSpan w:val="2"/>
          </w:tcPr>
          <w:p w14:paraId="189F630F" w14:textId="77777777" w:rsidR="002F3324" w:rsidRPr="00534C57" w:rsidRDefault="005B55F5" w:rsidP="002F3324">
            <w:pPr>
              <w:autoSpaceDE w:val="0"/>
              <w:autoSpaceDN w:val="0"/>
              <w:adjustRightInd w:val="0"/>
              <w:spacing w:after="0" w:line="240" w:lineRule="auto"/>
              <w:jc w:val="center"/>
              <w:rPr>
                <w:rFonts w:ascii="Times New Roman" w:hAnsi="Times New Roman"/>
                <w:b/>
                <w:bCs/>
                <w:i/>
                <w:iCs/>
                <w:color w:val="000000"/>
              </w:rPr>
            </w:pPr>
            <w:r>
              <w:rPr>
                <w:rFonts w:ascii="Times New Roman" w:hAnsi="Times New Roman"/>
                <w:b/>
                <w:bCs/>
                <w:color w:val="000000"/>
              </w:rPr>
              <w:t>Minimal</w:t>
            </w:r>
            <w:r w:rsidR="00280F7C">
              <w:rPr>
                <w:rFonts w:ascii="Times New Roman" w:hAnsi="Times New Roman"/>
                <w:b/>
                <w:bCs/>
                <w:color w:val="000000"/>
              </w:rPr>
              <w:t>ios</w:t>
            </w:r>
            <w:r>
              <w:rPr>
                <w:rFonts w:ascii="Times New Roman" w:hAnsi="Times New Roman"/>
                <w:b/>
                <w:bCs/>
                <w:color w:val="000000"/>
              </w:rPr>
              <w:t xml:space="preserve"> slopin</w:t>
            </w:r>
            <w:r w:rsidR="006F640B">
              <w:rPr>
                <w:rFonts w:ascii="Times New Roman" w:hAnsi="Times New Roman"/>
                <w:b/>
                <w:bCs/>
                <w:color w:val="000000"/>
              </w:rPr>
              <w:t>amosios</w:t>
            </w:r>
            <w:r>
              <w:rPr>
                <w:rFonts w:ascii="Times New Roman" w:hAnsi="Times New Roman"/>
                <w:b/>
                <w:bCs/>
                <w:color w:val="000000"/>
              </w:rPr>
              <w:t xml:space="preserve"> koncentraci</w:t>
            </w:r>
            <w:r w:rsidR="006F640B">
              <w:rPr>
                <w:rFonts w:ascii="Times New Roman" w:hAnsi="Times New Roman"/>
                <w:b/>
                <w:bCs/>
                <w:color w:val="000000"/>
              </w:rPr>
              <w:t>os</w:t>
            </w:r>
            <w:r>
              <w:rPr>
                <w:rFonts w:ascii="Times New Roman" w:hAnsi="Times New Roman"/>
                <w:b/>
                <w:bCs/>
                <w:color w:val="000000"/>
              </w:rPr>
              <w:t xml:space="preserve"> (</w:t>
            </w:r>
            <w:r w:rsidR="002F3324" w:rsidRPr="00534C57">
              <w:rPr>
                <w:rFonts w:ascii="Times New Roman" w:hAnsi="Times New Roman"/>
                <w:b/>
                <w:bCs/>
                <w:color w:val="000000"/>
              </w:rPr>
              <w:t>MSK</w:t>
            </w:r>
            <w:r>
              <w:rPr>
                <w:rFonts w:ascii="Times New Roman" w:hAnsi="Times New Roman"/>
                <w:b/>
                <w:bCs/>
                <w:color w:val="000000"/>
              </w:rPr>
              <w:t>)</w:t>
            </w:r>
            <w:r w:rsidR="002F3324" w:rsidRPr="00534C57">
              <w:rPr>
                <w:rFonts w:ascii="Times New Roman" w:hAnsi="Times New Roman"/>
                <w:b/>
                <w:bCs/>
                <w:color w:val="000000"/>
              </w:rPr>
              <w:t xml:space="preserve"> ribos (mg/l)</w:t>
            </w:r>
          </w:p>
        </w:tc>
      </w:tr>
      <w:tr w:rsidR="00914B2F" w:rsidRPr="00F909DC" w14:paraId="015E5BE5" w14:textId="77777777" w:rsidTr="007754E0">
        <w:tc>
          <w:tcPr>
            <w:tcW w:w="3087" w:type="dxa"/>
            <w:vMerge/>
          </w:tcPr>
          <w:p w14:paraId="0832DED7" w14:textId="77777777" w:rsidR="002F3324" w:rsidRPr="00534C57" w:rsidRDefault="002F3324" w:rsidP="002F3324">
            <w:pPr>
              <w:autoSpaceDE w:val="0"/>
              <w:autoSpaceDN w:val="0"/>
              <w:adjustRightInd w:val="0"/>
              <w:spacing w:after="0" w:line="240" w:lineRule="auto"/>
              <w:rPr>
                <w:rFonts w:ascii="Times New Roman" w:hAnsi="Times New Roman"/>
                <w:b/>
                <w:bCs/>
                <w:i/>
                <w:iCs/>
                <w:color w:val="000000"/>
              </w:rPr>
            </w:pPr>
          </w:p>
        </w:tc>
        <w:tc>
          <w:tcPr>
            <w:tcW w:w="2986" w:type="dxa"/>
          </w:tcPr>
          <w:p w14:paraId="229B8957" w14:textId="77777777" w:rsidR="002F3324" w:rsidRPr="00534C57" w:rsidRDefault="002F3324" w:rsidP="002F3324">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b/>
                <w:bCs/>
                <w:color w:val="000000"/>
              </w:rPr>
              <w:t>≤J (jautrios)</w:t>
            </w:r>
          </w:p>
        </w:tc>
        <w:tc>
          <w:tcPr>
            <w:tcW w:w="3136" w:type="dxa"/>
          </w:tcPr>
          <w:p w14:paraId="43F0A107" w14:textId="77777777" w:rsidR="002F3324" w:rsidRPr="00534C57" w:rsidRDefault="002F3324" w:rsidP="002F3324">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b/>
                <w:bCs/>
                <w:color w:val="000000"/>
              </w:rPr>
              <w:t>&gt;A (atsparios)</w:t>
            </w:r>
          </w:p>
        </w:tc>
      </w:tr>
      <w:tr w:rsidR="00914B2F" w:rsidRPr="00F909DC" w14:paraId="7084FAF4" w14:textId="77777777" w:rsidTr="007754E0">
        <w:tc>
          <w:tcPr>
            <w:tcW w:w="3087" w:type="dxa"/>
          </w:tcPr>
          <w:p w14:paraId="1BF80535" w14:textId="77777777" w:rsidR="002F3324" w:rsidRPr="00534C57" w:rsidRDefault="002F3324" w:rsidP="002F3324">
            <w:pPr>
              <w:autoSpaceDE w:val="0"/>
              <w:autoSpaceDN w:val="0"/>
              <w:adjustRightInd w:val="0"/>
              <w:spacing w:after="0" w:line="240" w:lineRule="auto"/>
              <w:rPr>
                <w:rFonts w:ascii="Times New Roman" w:hAnsi="Times New Roman"/>
                <w:b/>
                <w:bCs/>
                <w:i/>
                <w:iCs/>
                <w:color w:val="000000"/>
              </w:rPr>
            </w:pPr>
            <w:r w:rsidRPr="00534C57">
              <w:rPr>
                <w:rFonts w:ascii="Times New Roman" w:hAnsi="Times New Roman"/>
                <w:i/>
                <w:iCs/>
                <w:color w:val="000000"/>
              </w:rPr>
              <w:t>Candida albicans</w:t>
            </w:r>
            <w:r w:rsidRPr="00534C57">
              <w:rPr>
                <w:rFonts w:ascii="Times New Roman" w:hAnsi="Times New Roman"/>
                <w:i/>
                <w:iCs/>
                <w:color w:val="000000"/>
                <w:vertAlign w:val="superscript"/>
              </w:rPr>
              <w:t>1</w:t>
            </w:r>
            <w:r w:rsidR="002C4C09">
              <w:rPr>
                <w:rFonts w:ascii="Times New Roman" w:hAnsi="Times New Roman"/>
                <w:i/>
                <w:iCs/>
                <w:color w:val="000000"/>
                <w:vertAlign w:val="superscript"/>
              </w:rPr>
              <w:t xml:space="preserve"> </w:t>
            </w:r>
            <w:r w:rsidR="00532D4E">
              <w:rPr>
                <w:rFonts w:ascii="Times New Roman" w:hAnsi="Times New Roman"/>
                <w:i/>
                <w:iCs/>
                <w:color w:val="000000"/>
                <w:vertAlign w:val="superscript"/>
              </w:rPr>
              <w:t>,2</w:t>
            </w:r>
          </w:p>
        </w:tc>
        <w:tc>
          <w:tcPr>
            <w:tcW w:w="2986" w:type="dxa"/>
          </w:tcPr>
          <w:p w14:paraId="14EC91C2" w14:textId="77777777" w:rsidR="002F3324" w:rsidRPr="00534C57" w:rsidRDefault="002F3324" w:rsidP="00681F87">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color w:val="000000"/>
              </w:rPr>
              <w:t>0,</w:t>
            </w:r>
            <w:r w:rsidR="005B55F5">
              <w:rPr>
                <w:rFonts w:ascii="Times New Roman" w:hAnsi="Times New Roman"/>
                <w:color w:val="000000"/>
              </w:rPr>
              <w:t>06</w:t>
            </w:r>
          </w:p>
        </w:tc>
        <w:tc>
          <w:tcPr>
            <w:tcW w:w="3136" w:type="dxa"/>
          </w:tcPr>
          <w:p w14:paraId="52A073BD" w14:textId="77777777" w:rsidR="002F3324" w:rsidRPr="00534C57" w:rsidRDefault="002F3324" w:rsidP="00681F87">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color w:val="000000"/>
              </w:rPr>
              <w:t>0,25</w:t>
            </w:r>
          </w:p>
        </w:tc>
      </w:tr>
      <w:tr w:rsidR="00914B2F" w:rsidRPr="00F909DC" w14:paraId="00017785" w14:textId="77777777" w:rsidTr="007754E0">
        <w:tc>
          <w:tcPr>
            <w:tcW w:w="3087" w:type="dxa"/>
          </w:tcPr>
          <w:p w14:paraId="389C4A58" w14:textId="77777777" w:rsidR="002F3324" w:rsidRPr="00534C57" w:rsidRDefault="002F3324" w:rsidP="002F3324">
            <w:pPr>
              <w:autoSpaceDE w:val="0"/>
              <w:autoSpaceDN w:val="0"/>
              <w:adjustRightInd w:val="0"/>
              <w:spacing w:after="0" w:line="240" w:lineRule="auto"/>
              <w:rPr>
                <w:rFonts w:ascii="Times New Roman" w:hAnsi="Times New Roman"/>
                <w:b/>
                <w:bCs/>
                <w:i/>
                <w:iCs/>
                <w:color w:val="000000"/>
              </w:rPr>
            </w:pPr>
            <w:r w:rsidRPr="00534C57">
              <w:rPr>
                <w:rFonts w:ascii="Times New Roman" w:hAnsi="Times New Roman"/>
                <w:i/>
                <w:iCs/>
                <w:color w:val="000000"/>
              </w:rPr>
              <w:t xml:space="preserve">Candida </w:t>
            </w:r>
            <w:r w:rsidR="005B55F5" w:rsidRPr="005B55F5">
              <w:rPr>
                <w:rFonts w:ascii="Times New Roman" w:hAnsi="Times New Roman"/>
                <w:i/>
                <w:iCs/>
                <w:color w:val="000000"/>
                <w:lang w:val="de-DE"/>
              </w:rPr>
              <w:t>dubliniensis</w:t>
            </w:r>
            <w:r w:rsidR="005B55F5" w:rsidRPr="005B55F5">
              <w:rPr>
                <w:rFonts w:ascii="Times New Roman" w:hAnsi="Times New Roman"/>
                <w:i/>
                <w:iCs/>
                <w:color w:val="000000"/>
                <w:vertAlign w:val="superscript"/>
                <w:lang w:val="de-DE"/>
              </w:rPr>
              <w:t>1</w:t>
            </w:r>
            <w:r w:rsidR="002C4C09">
              <w:rPr>
                <w:rFonts w:ascii="Times New Roman" w:hAnsi="Times New Roman"/>
                <w:i/>
                <w:iCs/>
                <w:color w:val="000000"/>
                <w:vertAlign w:val="superscript"/>
                <w:lang w:val="de-DE"/>
              </w:rPr>
              <w:t xml:space="preserve"> </w:t>
            </w:r>
            <w:r w:rsidR="00532D4E">
              <w:rPr>
                <w:rFonts w:ascii="Times New Roman" w:hAnsi="Times New Roman"/>
                <w:i/>
                <w:iCs/>
                <w:color w:val="000000"/>
                <w:vertAlign w:val="superscript"/>
                <w:lang w:val="de-DE"/>
              </w:rPr>
              <w:t>,2</w:t>
            </w:r>
          </w:p>
        </w:tc>
        <w:tc>
          <w:tcPr>
            <w:tcW w:w="2986" w:type="dxa"/>
          </w:tcPr>
          <w:p w14:paraId="5EDCD46E" w14:textId="77777777" w:rsidR="002F3324" w:rsidRPr="00534C57" w:rsidRDefault="002F3324" w:rsidP="00681F87">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color w:val="000000"/>
              </w:rPr>
              <w:t>0,</w:t>
            </w:r>
            <w:r w:rsidR="005B55F5">
              <w:rPr>
                <w:rFonts w:ascii="Times New Roman" w:hAnsi="Times New Roman"/>
                <w:color w:val="000000"/>
              </w:rPr>
              <w:t>06</w:t>
            </w:r>
          </w:p>
        </w:tc>
        <w:tc>
          <w:tcPr>
            <w:tcW w:w="3136" w:type="dxa"/>
          </w:tcPr>
          <w:p w14:paraId="58CE5E38" w14:textId="77777777" w:rsidR="002F3324" w:rsidRPr="00534C57" w:rsidRDefault="002F3324" w:rsidP="00681F87">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color w:val="000000"/>
              </w:rPr>
              <w:t>0,25</w:t>
            </w:r>
          </w:p>
        </w:tc>
      </w:tr>
      <w:tr w:rsidR="005B55F5" w:rsidRPr="00F909DC" w14:paraId="6652D758" w14:textId="77777777" w:rsidTr="007754E0">
        <w:tc>
          <w:tcPr>
            <w:tcW w:w="3087" w:type="dxa"/>
          </w:tcPr>
          <w:p w14:paraId="5352CF61" w14:textId="77777777" w:rsidR="005B55F5" w:rsidRPr="00532D4E" w:rsidRDefault="005B55F5" w:rsidP="002F3324">
            <w:pPr>
              <w:autoSpaceDE w:val="0"/>
              <w:autoSpaceDN w:val="0"/>
              <w:adjustRightInd w:val="0"/>
              <w:spacing w:after="0" w:line="240" w:lineRule="auto"/>
              <w:rPr>
                <w:rFonts w:ascii="Times New Roman" w:hAnsi="Times New Roman"/>
                <w:i/>
                <w:iCs/>
                <w:color w:val="000000"/>
                <w:vertAlign w:val="superscript"/>
              </w:rPr>
            </w:pPr>
            <w:r w:rsidRPr="005B55F5">
              <w:rPr>
                <w:rFonts w:ascii="Times New Roman" w:hAnsi="Times New Roman"/>
                <w:i/>
                <w:iCs/>
                <w:color w:val="000000"/>
                <w:lang w:val="de-DE"/>
              </w:rPr>
              <w:t>Candida glabrata</w:t>
            </w:r>
            <w:r w:rsidR="00532D4E">
              <w:rPr>
                <w:rFonts w:ascii="Times New Roman" w:hAnsi="Times New Roman"/>
                <w:i/>
                <w:iCs/>
                <w:color w:val="000000"/>
                <w:vertAlign w:val="superscript"/>
                <w:lang w:val="de-DE"/>
              </w:rPr>
              <w:t>1</w:t>
            </w:r>
          </w:p>
        </w:tc>
        <w:tc>
          <w:tcPr>
            <w:tcW w:w="2986" w:type="dxa"/>
          </w:tcPr>
          <w:p w14:paraId="2AEAA092" w14:textId="77777777" w:rsidR="005B55F5" w:rsidRPr="00534C57" w:rsidRDefault="005B55F5" w:rsidP="00681F87">
            <w:pPr>
              <w:autoSpaceDE w:val="0"/>
              <w:autoSpaceDN w:val="0"/>
              <w:adjustRightInd w:val="0"/>
              <w:spacing w:after="0" w:line="240" w:lineRule="auto"/>
              <w:jc w:val="center"/>
              <w:rPr>
                <w:rFonts w:ascii="Times New Roman" w:hAnsi="Times New Roman"/>
                <w:color w:val="000000"/>
              </w:rPr>
            </w:pPr>
            <w:r w:rsidRPr="005B55F5">
              <w:rPr>
                <w:rFonts w:ascii="Times New Roman" w:hAnsi="Times New Roman"/>
                <w:color w:val="000000"/>
              </w:rPr>
              <w:t>Įrodymų nepakanka</w:t>
            </w:r>
            <w:r>
              <w:rPr>
                <w:rFonts w:ascii="Times New Roman" w:hAnsi="Times New Roman"/>
                <w:color w:val="000000"/>
              </w:rPr>
              <w:t xml:space="preserve"> (ĮN)</w:t>
            </w:r>
          </w:p>
        </w:tc>
        <w:tc>
          <w:tcPr>
            <w:tcW w:w="3136" w:type="dxa"/>
          </w:tcPr>
          <w:p w14:paraId="061ECAB3" w14:textId="77777777" w:rsidR="005B55F5" w:rsidRPr="00534C57" w:rsidRDefault="005B55F5"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ĮN</w:t>
            </w:r>
          </w:p>
        </w:tc>
      </w:tr>
      <w:tr w:rsidR="005B55F5" w:rsidRPr="00F909DC" w14:paraId="004F5F85" w14:textId="77777777" w:rsidTr="007754E0">
        <w:tc>
          <w:tcPr>
            <w:tcW w:w="3087" w:type="dxa"/>
          </w:tcPr>
          <w:p w14:paraId="131C2C27" w14:textId="77777777" w:rsidR="005B55F5" w:rsidRPr="00532D4E" w:rsidRDefault="005B55F5" w:rsidP="002F3324">
            <w:pPr>
              <w:autoSpaceDE w:val="0"/>
              <w:autoSpaceDN w:val="0"/>
              <w:adjustRightInd w:val="0"/>
              <w:spacing w:after="0" w:line="240" w:lineRule="auto"/>
              <w:rPr>
                <w:rFonts w:ascii="Times New Roman" w:hAnsi="Times New Roman"/>
                <w:i/>
                <w:iCs/>
                <w:color w:val="000000"/>
                <w:vertAlign w:val="superscript"/>
                <w:lang w:val="de-DE"/>
              </w:rPr>
            </w:pPr>
            <w:r w:rsidRPr="005B55F5">
              <w:rPr>
                <w:rFonts w:ascii="Times New Roman" w:hAnsi="Times New Roman"/>
                <w:i/>
                <w:iCs/>
                <w:color w:val="000000"/>
                <w:lang w:val="de-DE"/>
              </w:rPr>
              <w:t>Candida krusei</w:t>
            </w:r>
            <w:r w:rsidR="00532D4E">
              <w:rPr>
                <w:rFonts w:ascii="Times New Roman" w:hAnsi="Times New Roman"/>
                <w:i/>
                <w:iCs/>
                <w:color w:val="000000"/>
                <w:vertAlign w:val="superscript"/>
                <w:lang w:val="de-DE"/>
              </w:rPr>
              <w:t>1</w:t>
            </w:r>
          </w:p>
        </w:tc>
        <w:tc>
          <w:tcPr>
            <w:tcW w:w="2986" w:type="dxa"/>
          </w:tcPr>
          <w:p w14:paraId="3AD69E33" w14:textId="77777777" w:rsidR="005B55F5" w:rsidRPr="005B55F5" w:rsidRDefault="005B55F5" w:rsidP="00681F87">
            <w:pPr>
              <w:autoSpaceDE w:val="0"/>
              <w:autoSpaceDN w:val="0"/>
              <w:adjustRightInd w:val="0"/>
              <w:spacing w:after="0" w:line="240" w:lineRule="auto"/>
              <w:jc w:val="center"/>
              <w:rPr>
                <w:rFonts w:ascii="Times New Roman" w:hAnsi="Times New Roman"/>
                <w:color w:val="000000"/>
              </w:rPr>
            </w:pPr>
            <w:r w:rsidRPr="005B55F5">
              <w:rPr>
                <w:rFonts w:ascii="Times New Roman" w:hAnsi="Times New Roman"/>
                <w:color w:val="000000"/>
              </w:rPr>
              <w:t>ĮN</w:t>
            </w:r>
          </w:p>
        </w:tc>
        <w:tc>
          <w:tcPr>
            <w:tcW w:w="3136" w:type="dxa"/>
          </w:tcPr>
          <w:p w14:paraId="567FCFAF" w14:textId="77777777" w:rsidR="005B55F5" w:rsidRDefault="005B55F5"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ĮN</w:t>
            </w:r>
          </w:p>
        </w:tc>
      </w:tr>
      <w:tr w:rsidR="00914B2F" w:rsidRPr="00F909DC" w14:paraId="6742B392" w14:textId="77777777" w:rsidTr="007754E0">
        <w:trPr>
          <w:trHeight w:val="301"/>
        </w:trPr>
        <w:tc>
          <w:tcPr>
            <w:tcW w:w="3087" w:type="dxa"/>
          </w:tcPr>
          <w:p w14:paraId="001016DC" w14:textId="77777777" w:rsidR="002F3324" w:rsidRPr="00534C57" w:rsidRDefault="002F3324" w:rsidP="002F3324">
            <w:pPr>
              <w:autoSpaceDE w:val="0"/>
              <w:autoSpaceDN w:val="0"/>
              <w:adjustRightInd w:val="0"/>
              <w:spacing w:after="0" w:line="240" w:lineRule="auto"/>
              <w:rPr>
                <w:rFonts w:ascii="Times New Roman" w:hAnsi="Times New Roman"/>
                <w:b/>
                <w:bCs/>
                <w:i/>
                <w:iCs/>
                <w:color w:val="000000"/>
              </w:rPr>
            </w:pPr>
            <w:r w:rsidRPr="00534C57">
              <w:rPr>
                <w:rFonts w:ascii="Times New Roman" w:hAnsi="Times New Roman"/>
                <w:i/>
                <w:iCs/>
                <w:color w:val="000000"/>
              </w:rPr>
              <w:t>Candida parapsilosis</w:t>
            </w:r>
            <w:r w:rsidRPr="00534C57">
              <w:rPr>
                <w:rFonts w:ascii="Times New Roman" w:hAnsi="Times New Roman"/>
                <w:i/>
                <w:iCs/>
                <w:color w:val="000000"/>
                <w:vertAlign w:val="superscript"/>
              </w:rPr>
              <w:t>1</w:t>
            </w:r>
            <w:r w:rsidR="002C4C09">
              <w:rPr>
                <w:rFonts w:ascii="Times New Roman" w:hAnsi="Times New Roman"/>
                <w:i/>
                <w:iCs/>
                <w:color w:val="000000"/>
                <w:vertAlign w:val="superscript"/>
              </w:rPr>
              <w:t xml:space="preserve"> </w:t>
            </w:r>
            <w:r w:rsidR="00B75210">
              <w:rPr>
                <w:rFonts w:ascii="Times New Roman" w:hAnsi="Times New Roman"/>
                <w:i/>
                <w:iCs/>
                <w:color w:val="000000"/>
                <w:vertAlign w:val="superscript"/>
              </w:rPr>
              <w:t>,2</w:t>
            </w:r>
          </w:p>
        </w:tc>
        <w:tc>
          <w:tcPr>
            <w:tcW w:w="2986" w:type="dxa"/>
          </w:tcPr>
          <w:p w14:paraId="0449A97A" w14:textId="77777777" w:rsidR="002F3324" w:rsidRPr="00534C57" w:rsidRDefault="002F3324" w:rsidP="00681F87">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color w:val="000000"/>
              </w:rPr>
              <w:t>0,125</w:t>
            </w:r>
          </w:p>
        </w:tc>
        <w:tc>
          <w:tcPr>
            <w:tcW w:w="3136" w:type="dxa"/>
          </w:tcPr>
          <w:p w14:paraId="18F76DF9" w14:textId="77777777" w:rsidR="002F3324" w:rsidRPr="00534C57" w:rsidRDefault="002F3324" w:rsidP="00681F87">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color w:val="000000"/>
              </w:rPr>
              <w:t>0,25</w:t>
            </w:r>
          </w:p>
        </w:tc>
      </w:tr>
      <w:tr w:rsidR="005B55F5" w:rsidRPr="00F909DC" w14:paraId="63400447" w14:textId="77777777" w:rsidTr="007754E0">
        <w:tc>
          <w:tcPr>
            <w:tcW w:w="3087" w:type="dxa"/>
          </w:tcPr>
          <w:p w14:paraId="04EFC36B" w14:textId="77777777" w:rsidR="005B55F5" w:rsidRPr="00534C57" w:rsidRDefault="005B55F5" w:rsidP="002F3324">
            <w:pPr>
              <w:autoSpaceDE w:val="0"/>
              <w:autoSpaceDN w:val="0"/>
              <w:adjustRightInd w:val="0"/>
              <w:spacing w:after="0" w:line="240" w:lineRule="auto"/>
              <w:rPr>
                <w:rFonts w:ascii="Times New Roman" w:hAnsi="Times New Roman"/>
                <w:b/>
                <w:bCs/>
                <w:i/>
                <w:iCs/>
                <w:color w:val="000000"/>
              </w:rPr>
            </w:pPr>
            <w:r w:rsidRPr="00534C57">
              <w:rPr>
                <w:rFonts w:ascii="Times New Roman" w:hAnsi="Times New Roman"/>
                <w:i/>
                <w:iCs/>
                <w:color w:val="000000"/>
              </w:rPr>
              <w:t xml:space="preserve">Candida </w:t>
            </w:r>
            <w:r w:rsidRPr="005B55F5">
              <w:rPr>
                <w:rFonts w:ascii="Times New Roman" w:hAnsi="Times New Roman"/>
                <w:i/>
                <w:iCs/>
                <w:color w:val="000000"/>
                <w:lang w:val="de-DE"/>
              </w:rPr>
              <w:t>tropicalis</w:t>
            </w:r>
            <w:r w:rsidRPr="005B55F5">
              <w:rPr>
                <w:rFonts w:ascii="Times New Roman" w:hAnsi="Times New Roman"/>
                <w:i/>
                <w:iCs/>
                <w:color w:val="000000"/>
                <w:vertAlign w:val="superscript"/>
                <w:lang w:val="de-DE"/>
              </w:rPr>
              <w:t>1</w:t>
            </w:r>
            <w:r w:rsidR="002C4C09">
              <w:rPr>
                <w:rFonts w:ascii="Times New Roman" w:hAnsi="Times New Roman"/>
                <w:i/>
                <w:iCs/>
                <w:color w:val="000000"/>
                <w:vertAlign w:val="superscript"/>
                <w:lang w:val="de-DE"/>
              </w:rPr>
              <w:t xml:space="preserve"> ,2</w:t>
            </w:r>
          </w:p>
        </w:tc>
        <w:tc>
          <w:tcPr>
            <w:tcW w:w="2986" w:type="dxa"/>
          </w:tcPr>
          <w:p w14:paraId="7D2893B8" w14:textId="77777777" w:rsidR="005B55F5" w:rsidRPr="005B55F5" w:rsidRDefault="005B55F5"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0,125</w:t>
            </w:r>
          </w:p>
        </w:tc>
        <w:tc>
          <w:tcPr>
            <w:tcW w:w="3136" w:type="dxa"/>
          </w:tcPr>
          <w:p w14:paraId="18B7EE5C" w14:textId="77777777" w:rsidR="005B55F5" w:rsidRPr="00DC01BC" w:rsidRDefault="005B55F5"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0,25</w:t>
            </w:r>
          </w:p>
        </w:tc>
      </w:tr>
      <w:tr w:rsidR="005B55F5" w:rsidRPr="00F909DC" w14:paraId="43C75414" w14:textId="77777777" w:rsidTr="007754E0">
        <w:tc>
          <w:tcPr>
            <w:tcW w:w="3087" w:type="dxa"/>
          </w:tcPr>
          <w:p w14:paraId="29F11539" w14:textId="77777777" w:rsidR="005B55F5" w:rsidRPr="00534C57" w:rsidRDefault="005B55F5" w:rsidP="002F3324">
            <w:pPr>
              <w:autoSpaceDE w:val="0"/>
              <w:autoSpaceDN w:val="0"/>
              <w:adjustRightInd w:val="0"/>
              <w:spacing w:after="0" w:line="240" w:lineRule="auto"/>
              <w:rPr>
                <w:rFonts w:ascii="Times New Roman" w:hAnsi="Times New Roman"/>
                <w:b/>
                <w:bCs/>
                <w:i/>
                <w:iCs/>
                <w:color w:val="000000"/>
              </w:rPr>
            </w:pPr>
            <w:r w:rsidRPr="00534C57">
              <w:rPr>
                <w:rFonts w:ascii="Times New Roman" w:hAnsi="Times New Roman"/>
                <w:i/>
                <w:iCs/>
                <w:color w:val="000000"/>
              </w:rPr>
              <w:t xml:space="preserve">Candida </w:t>
            </w:r>
            <w:r w:rsidRPr="005B55F5">
              <w:rPr>
                <w:rFonts w:ascii="Times New Roman" w:hAnsi="Times New Roman"/>
                <w:i/>
                <w:iCs/>
                <w:color w:val="000000"/>
                <w:lang w:val="de-DE"/>
              </w:rPr>
              <w:t>guilliermondii</w:t>
            </w:r>
            <w:r w:rsidR="002C4C09">
              <w:rPr>
                <w:rFonts w:ascii="Times New Roman" w:hAnsi="Times New Roman"/>
                <w:i/>
                <w:iCs/>
                <w:color w:val="000000"/>
                <w:vertAlign w:val="superscript"/>
                <w:lang w:val="de-DE"/>
              </w:rPr>
              <w:t>1 ,3</w:t>
            </w:r>
          </w:p>
        </w:tc>
        <w:tc>
          <w:tcPr>
            <w:tcW w:w="2986" w:type="dxa"/>
          </w:tcPr>
          <w:p w14:paraId="20C80819" w14:textId="77777777" w:rsidR="005B55F5" w:rsidRPr="00DC01BC" w:rsidRDefault="005B55F5" w:rsidP="00681F87">
            <w:pPr>
              <w:autoSpaceDE w:val="0"/>
              <w:autoSpaceDN w:val="0"/>
              <w:adjustRightInd w:val="0"/>
              <w:spacing w:after="0" w:line="240" w:lineRule="auto"/>
              <w:jc w:val="center"/>
              <w:rPr>
                <w:rFonts w:ascii="Times New Roman" w:hAnsi="Times New Roman"/>
                <w:color w:val="000000"/>
              </w:rPr>
            </w:pPr>
            <w:r w:rsidRPr="005B55F5">
              <w:rPr>
                <w:rFonts w:ascii="Times New Roman" w:hAnsi="Times New Roman"/>
                <w:color w:val="000000"/>
              </w:rPr>
              <w:t>ĮN</w:t>
            </w:r>
          </w:p>
        </w:tc>
        <w:tc>
          <w:tcPr>
            <w:tcW w:w="3136" w:type="dxa"/>
          </w:tcPr>
          <w:p w14:paraId="34EB5923" w14:textId="77777777" w:rsidR="005B55F5" w:rsidRPr="00DC01BC" w:rsidRDefault="005B55F5" w:rsidP="00681F87">
            <w:pPr>
              <w:autoSpaceDE w:val="0"/>
              <w:autoSpaceDN w:val="0"/>
              <w:adjustRightInd w:val="0"/>
              <w:spacing w:after="0" w:line="240" w:lineRule="auto"/>
              <w:jc w:val="center"/>
              <w:rPr>
                <w:rFonts w:ascii="Times New Roman" w:hAnsi="Times New Roman"/>
                <w:color w:val="000000"/>
              </w:rPr>
            </w:pPr>
            <w:r w:rsidRPr="00DC01BC">
              <w:rPr>
                <w:rFonts w:ascii="Times New Roman" w:hAnsi="Times New Roman"/>
                <w:color w:val="000000"/>
              </w:rPr>
              <w:t>ĮN</w:t>
            </w:r>
          </w:p>
        </w:tc>
      </w:tr>
      <w:tr w:rsidR="003A5BD3" w:rsidRPr="00F909DC" w14:paraId="2E5AD82C" w14:textId="77777777" w:rsidTr="007754E0">
        <w:tc>
          <w:tcPr>
            <w:tcW w:w="3087" w:type="dxa"/>
          </w:tcPr>
          <w:p w14:paraId="50F15E3A" w14:textId="77777777" w:rsidR="003A5BD3" w:rsidRPr="00534C57" w:rsidRDefault="003A5BD3" w:rsidP="002F3324">
            <w:pPr>
              <w:autoSpaceDE w:val="0"/>
              <w:autoSpaceDN w:val="0"/>
              <w:adjustRightInd w:val="0"/>
              <w:spacing w:after="0" w:line="240" w:lineRule="auto"/>
              <w:rPr>
                <w:rFonts w:ascii="Times New Roman" w:hAnsi="Times New Roman"/>
                <w:b/>
                <w:bCs/>
                <w:i/>
                <w:iCs/>
                <w:color w:val="000000"/>
              </w:rPr>
            </w:pPr>
            <w:r w:rsidRPr="00534C57">
              <w:rPr>
                <w:rFonts w:ascii="Times New Roman" w:hAnsi="Times New Roman"/>
                <w:color w:val="000000"/>
              </w:rPr>
              <w:t xml:space="preserve">Kitos </w:t>
            </w:r>
            <w:r w:rsidRPr="00534C57">
              <w:rPr>
                <w:rFonts w:ascii="Times New Roman" w:hAnsi="Times New Roman"/>
                <w:i/>
                <w:iCs/>
                <w:color w:val="000000"/>
              </w:rPr>
              <w:t xml:space="preserve">Candida </w:t>
            </w:r>
            <w:r w:rsidRPr="00534C57">
              <w:rPr>
                <w:rFonts w:ascii="Times New Roman" w:hAnsi="Times New Roman"/>
                <w:color w:val="000000"/>
              </w:rPr>
              <w:t>rūšys</w:t>
            </w:r>
            <w:r w:rsidR="002C4C09">
              <w:rPr>
                <w:rFonts w:ascii="Times New Roman" w:hAnsi="Times New Roman"/>
                <w:i/>
                <w:iCs/>
                <w:color w:val="000000"/>
                <w:vertAlign w:val="superscript"/>
              </w:rPr>
              <w:t>1 ,4</w:t>
            </w:r>
          </w:p>
        </w:tc>
        <w:tc>
          <w:tcPr>
            <w:tcW w:w="2986" w:type="dxa"/>
          </w:tcPr>
          <w:p w14:paraId="56B8C48A" w14:textId="77777777" w:rsidR="003A5BD3" w:rsidRPr="00534C57" w:rsidRDefault="003A5BD3" w:rsidP="00681F87">
            <w:pPr>
              <w:autoSpaceDE w:val="0"/>
              <w:autoSpaceDN w:val="0"/>
              <w:adjustRightInd w:val="0"/>
              <w:spacing w:after="0" w:line="240" w:lineRule="auto"/>
              <w:jc w:val="center"/>
              <w:rPr>
                <w:rFonts w:ascii="Times New Roman" w:hAnsi="Times New Roman"/>
                <w:b/>
                <w:bCs/>
                <w:i/>
                <w:iCs/>
                <w:color w:val="000000"/>
              </w:rPr>
            </w:pPr>
            <w:r w:rsidRPr="003A5BD3">
              <w:rPr>
                <w:rFonts w:ascii="Times New Roman" w:hAnsi="Times New Roman"/>
                <w:color w:val="000000"/>
              </w:rPr>
              <w:t>ĮN</w:t>
            </w:r>
          </w:p>
        </w:tc>
        <w:tc>
          <w:tcPr>
            <w:tcW w:w="3136" w:type="dxa"/>
          </w:tcPr>
          <w:p w14:paraId="0958CA70" w14:textId="77777777" w:rsidR="003A5BD3" w:rsidRPr="00534C57" w:rsidRDefault="003A5BD3" w:rsidP="00681F87">
            <w:pPr>
              <w:autoSpaceDE w:val="0"/>
              <w:autoSpaceDN w:val="0"/>
              <w:adjustRightInd w:val="0"/>
              <w:spacing w:after="0" w:line="240" w:lineRule="auto"/>
              <w:jc w:val="center"/>
              <w:rPr>
                <w:rFonts w:ascii="Times New Roman" w:hAnsi="Times New Roman"/>
                <w:b/>
                <w:bCs/>
                <w:i/>
                <w:iCs/>
                <w:color w:val="000000"/>
              </w:rPr>
            </w:pPr>
            <w:r w:rsidRPr="00DC01BC">
              <w:rPr>
                <w:rFonts w:ascii="Times New Roman" w:hAnsi="Times New Roman"/>
                <w:color w:val="000000"/>
              </w:rPr>
              <w:t>ĮN</w:t>
            </w:r>
          </w:p>
        </w:tc>
      </w:tr>
      <w:tr w:rsidR="003A5BD3" w:rsidRPr="00F909DC" w14:paraId="3FE6276A" w14:textId="77777777" w:rsidTr="007754E0">
        <w:tc>
          <w:tcPr>
            <w:tcW w:w="3087" w:type="dxa"/>
          </w:tcPr>
          <w:p w14:paraId="6E23CD46" w14:textId="77777777" w:rsidR="003A5BD3" w:rsidRPr="00534C57" w:rsidRDefault="003A5BD3" w:rsidP="002F3324">
            <w:pPr>
              <w:autoSpaceDE w:val="0"/>
              <w:autoSpaceDN w:val="0"/>
              <w:adjustRightInd w:val="0"/>
              <w:spacing w:after="0" w:line="240" w:lineRule="auto"/>
              <w:rPr>
                <w:rFonts w:ascii="Times New Roman" w:hAnsi="Times New Roman"/>
                <w:color w:val="000000"/>
              </w:rPr>
            </w:pPr>
            <w:r w:rsidRPr="003A5BD3">
              <w:rPr>
                <w:rFonts w:ascii="Times New Roman" w:hAnsi="Times New Roman"/>
                <w:i/>
                <w:color w:val="000000"/>
                <w:lang w:val="de-DE"/>
              </w:rPr>
              <w:t>Aspergillus fumigatus</w:t>
            </w:r>
            <w:r w:rsidR="002C4C09">
              <w:rPr>
                <w:rFonts w:ascii="Times New Roman" w:hAnsi="Times New Roman"/>
                <w:i/>
                <w:color w:val="000000"/>
                <w:vertAlign w:val="superscript"/>
                <w:lang w:val="de-DE"/>
              </w:rPr>
              <w:t>5, 6</w:t>
            </w:r>
          </w:p>
        </w:tc>
        <w:tc>
          <w:tcPr>
            <w:tcW w:w="2986" w:type="dxa"/>
          </w:tcPr>
          <w:p w14:paraId="6E86E698"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1</w:t>
            </w:r>
          </w:p>
        </w:tc>
        <w:tc>
          <w:tcPr>
            <w:tcW w:w="3136" w:type="dxa"/>
          </w:tcPr>
          <w:p w14:paraId="48495246"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1</w:t>
            </w:r>
          </w:p>
        </w:tc>
      </w:tr>
      <w:tr w:rsidR="003A5BD3" w:rsidRPr="00F909DC" w14:paraId="45401728" w14:textId="77777777" w:rsidTr="007754E0">
        <w:tc>
          <w:tcPr>
            <w:tcW w:w="3087" w:type="dxa"/>
          </w:tcPr>
          <w:p w14:paraId="7B82DB21" w14:textId="77777777" w:rsidR="003A5BD3" w:rsidRPr="00534C57" w:rsidRDefault="003A5BD3" w:rsidP="002F3324">
            <w:pPr>
              <w:autoSpaceDE w:val="0"/>
              <w:autoSpaceDN w:val="0"/>
              <w:adjustRightInd w:val="0"/>
              <w:spacing w:after="0" w:line="240" w:lineRule="auto"/>
              <w:rPr>
                <w:rFonts w:ascii="Times New Roman" w:hAnsi="Times New Roman"/>
                <w:color w:val="000000"/>
              </w:rPr>
            </w:pPr>
            <w:r w:rsidRPr="003A5BD3">
              <w:rPr>
                <w:rFonts w:ascii="Times New Roman" w:hAnsi="Times New Roman"/>
                <w:i/>
                <w:color w:val="000000"/>
                <w:lang w:val="de-DE"/>
              </w:rPr>
              <w:t>Aspergillus nidulans</w:t>
            </w:r>
            <w:r w:rsidR="002C4C09">
              <w:rPr>
                <w:rFonts w:ascii="Times New Roman" w:hAnsi="Times New Roman"/>
                <w:i/>
                <w:color w:val="000000"/>
                <w:vertAlign w:val="superscript"/>
                <w:lang w:val="de-DE"/>
              </w:rPr>
              <w:t>5, 6</w:t>
            </w:r>
          </w:p>
        </w:tc>
        <w:tc>
          <w:tcPr>
            <w:tcW w:w="2986" w:type="dxa"/>
          </w:tcPr>
          <w:p w14:paraId="661D8815"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1</w:t>
            </w:r>
          </w:p>
        </w:tc>
        <w:tc>
          <w:tcPr>
            <w:tcW w:w="3136" w:type="dxa"/>
          </w:tcPr>
          <w:p w14:paraId="15FA7AA7"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1</w:t>
            </w:r>
          </w:p>
        </w:tc>
      </w:tr>
      <w:tr w:rsidR="003A5BD3" w:rsidRPr="00F909DC" w14:paraId="4BFCC726" w14:textId="77777777" w:rsidTr="007754E0">
        <w:tc>
          <w:tcPr>
            <w:tcW w:w="3087" w:type="dxa"/>
          </w:tcPr>
          <w:p w14:paraId="46C5461A" w14:textId="77777777" w:rsidR="003A5BD3" w:rsidRPr="002C4C09" w:rsidRDefault="003A5BD3" w:rsidP="002F3324">
            <w:pPr>
              <w:autoSpaceDE w:val="0"/>
              <w:autoSpaceDN w:val="0"/>
              <w:adjustRightInd w:val="0"/>
              <w:spacing w:after="0" w:line="240" w:lineRule="auto"/>
              <w:rPr>
                <w:rFonts w:ascii="Times New Roman" w:hAnsi="Times New Roman"/>
                <w:color w:val="000000"/>
                <w:vertAlign w:val="superscript"/>
              </w:rPr>
            </w:pPr>
            <w:r w:rsidRPr="003A5BD3">
              <w:rPr>
                <w:rFonts w:ascii="Times New Roman" w:hAnsi="Times New Roman"/>
                <w:i/>
                <w:color w:val="000000"/>
                <w:lang w:val="de-DE"/>
              </w:rPr>
              <w:t>Aspergillus flavus</w:t>
            </w:r>
            <w:r w:rsidR="002C4C09">
              <w:rPr>
                <w:rFonts w:ascii="Times New Roman" w:hAnsi="Times New Roman"/>
                <w:i/>
                <w:color w:val="000000"/>
                <w:vertAlign w:val="superscript"/>
                <w:lang w:val="de-DE"/>
              </w:rPr>
              <w:t>5</w:t>
            </w:r>
          </w:p>
        </w:tc>
        <w:tc>
          <w:tcPr>
            <w:tcW w:w="2986" w:type="dxa"/>
          </w:tcPr>
          <w:p w14:paraId="191F34DB" w14:textId="77777777" w:rsidR="003A5BD3" w:rsidRPr="00DC01BC" w:rsidRDefault="003A5BD3" w:rsidP="00681F87">
            <w:pPr>
              <w:autoSpaceDE w:val="0"/>
              <w:autoSpaceDN w:val="0"/>
              <w:adjustRightInd w:val="0"/>
              <w:spacing w:after="0" w:line="240" w:lineRule="auto"/>
              <w:jc w:val="center"/>
              <w:rPr>
                <w:rFonts w:ascii="Times New Roman" w:hAnsi="Times New Roman"/>
                <w:color w:val="000000"/>
                <w:vertAlign w:val="superscript"/>
              </w:rPr>
            </w:pPr>
            <w:r w:rsidRPr="003A5BD3">
              <w:rPr>
                <w:rFonts w:ascii="Times New Roman" w:hAnsi="Times New Roman"/>
                <w:color w:val="000000"/>
              </w:rPr>
              <w:t>ĮN</w:t>
            </w:r>
            <w:r w:rsidR="002C4C09">
              <w:rPr>
                <w:rFonts w:ascii="Times New Roman" w:hAnsi="Times New Roman"/>
                <w:color w:val="000000"/>
                <w:vertAlign w:val="superscript"/>
              </w:rPr>
              <w:t>7</w:t>
            </w:r>
          </w:p>
        </w:tc>
        <w:tc>
          <w:tcPr>
            <w:tcW w:w="3136" w:type="dxa"/>
          </w:tcPr>
          <w:p w14:paraId="5D3B6E21"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sidRPr="003A5BD3">
              <w:rPr>
                <w:rFonts w:ascii="Times New Roman" w:hAnsi="Times New Roman"/>
                <w:color w:val="000000"/>
              </w:rPr>
              <w:t>ĮN</w:t>
            </w:r>
            <w:r w:rsidR="002C4C09">
              <w:rPr>
                <w:rFonts w:ascii="Times New Roman" w:hAnsi="Times New Roman"/>
                <w:color w:val="000000"/>
                <w:vertAlign w:val="superscript"/>
              </w:rPr>
              <w:t>7</w:t>
            </w:r>
          </w:p>
        </w:tc>
      </w:tr>
      <w:tr w:rsidR="003A5BD3" w:rsidRPr="00F909DC" w14:paraId="36C6940D" w14:textId="77777777" w:rsidTr="007754E0">
        <w:tc>
          <w:tcPr>
            <w:tcW w:w="3087" w:type="dxa"/>
          </w:tcPr>
          <w:p w14:paraId="3B70CA82" w14:textId="77777777" w:rsidR="003A5BD3" w:rsidRPr="002C4C09" w:rsidRDefault="003A5BD3" w:rsidP="002F3324">
            <w:pPr>
              <w:autoSpaceDE w:val="0"/>
              <w:autoSpaceDN w:val="0"/>
              <w:adjustRightInd w:val="0"/>
              <w:spacing w:after="0" w:line="240" w:lineRule="auto"/>
              <w:rPr>
                <w:rFonts w:ascii="Times New Roman" w:hAnsi="Times New Roman"/>
                <w:color w:val="000000"/>
                <w:vertAlign w:val="superscript"/>
              </w:rPr>
            </w:pPr>
            <w:r w:rsidRPr="003A5BD3">
              <w:rPr>
                <w:rFonts w:ascii="Times New Roman" w:hAnsi="Times New Roman"/>
                <w:i/>
                <w:color w:val="000000"/>
                <w:lang w:val="de-DE"/>
              </w:rPr>
              <w:t>Aspergillus niger</w:t>
            </w:r>
            <w:r w:rsidR="002C4C09">
              <w:rPr>
                <w:rFonts w:ascii="Times New Roman" w:hAnsi="Times New Roman"/>
                <w:i/>
                <w:color w:val="000000"/>
                <w:vertAlign w:val="superscript"/>
                <w:lang w:val="de-DE"/>
              </w:rPr>
              <w:t>5</w:t>
            </w:r>
          </w:p>
        </w:tc>
        <w:tc>
          <w:tcPr>
            <w:tcW w:w="2986" w:type="dxa"/>
          </w:tcPr>
          <w:p w14:paraId="71159E90"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sidRPr="003A5BD3">
              <w:rPr>
                <w:rFonts w:ascii="Times New Roman" w:hAnsi="Times New Roman"/>
                <w:color w:val="000000"/>
              </w:rPr>
              <w:t>ĮN</w:t>
            </w:r>
            <w:r w:rsidR="002C4C09">
              <w:rPr>
                <w:rFonts w:ascii="Times New Roman" w:hAnsi="Times New Roman"/>
                <w:color w:val="000000"/>
                <w:vertAlign w:val="superscript"/>
              </w:rPr>
              <w:t>7</w:t>
            </w:r>
          </w:p>
        </w:tc>
        <w:tc>
          <w:tcPr>
            <w:tcW w:w="3136" w:type="dxa"/>
          </w:tcPr>
          <w:p w14:paraId="6570E323"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sidRPr="003A5BD3">
              <w:rPr>
                <w:rFonts w:ascii="Times New Roman" w:hAnsi="Times New Roman"/>
                <w:color w:val="000000"/>
              </w:rPr>
              <w:t>ĮN</w:t>
            </w:r>
            <w:r w:rsidR="002C4C09">
              <w:rPr>
                <w:rFonts w:ascii="Times New Roman" w:hAnsi="Times New Roman"/>
                <w:color w:val="000000"/>
                <w:vertAlign w:val="superscript"/>
              </w:rPr>
              <w:t>7</w:t>
            </w:r>
          </w:p>
        </w:tc>
      </w:tr>
      <w:tr w:rsidR="003A5BD3" w:rsidRPr="00F909DC" w14:paraId="52A6FDA3" w14:textId="77777777" w:rsidTr="007754E0">
        <w:tc>
          <w:tcPr>
            <w:tcW w:w="3087" w:type="dxa"/>
          </w:tcPr>
          <w:p w14:paraId="7B2A847F" w14:textId="77777777" w:rsidR="003A5BD3" w:rsidRPr="002C4C09" w:rsidRDefault="003A5BD3" w:rsidP="002F3324">
            <w:pPr>
              <w:autoSpaceDE w:val="0"/>
              <w:autoSpaceDN w:val="0"/>
              <w:adjustRightInd w:val="0"/>
              <w:spacing w:after="0" w:line="240" w:lineRule="auto"/>
              <w:rPr>
                <w:rFonts w:ascii="Times New Roman" w:hAnsi="Times New Roman"/>
                <w:color w:val="000000"/>
                <w:vertAlign w:val="superscript"/>
              </w:rPr>
            </w:pPr>
            <w:r w:rsidRPr="003A5BD3">
              <w:rPr>
                <w:rFonts w:ascii="Times New Roman" w:hAnsi="Times New Roman"/>
                <w:i/>
                <w:color w:val="000000"/>
                <w:lang w:val="de-DE"/>
              </w:rPr>
              <w:t>Aspergillus terreus</w:t>
            </w:r>
            <w:r w:rsidR="002C4C09">
              <w:rPr>
                <w:rFonts w:ascii="Times New Roman" w:hAnsi="Times New Roman"/>
                <w:i/>
                <w:color w:val="000000"/>
                <w:vertAlign w:val="superscript"/>
                <w:lang w:val="de-DE"/>
              </w:rPr>
              <w:t>5</w:t>
            </w:r>
          </w:p>
        </w:tc>
        <w:tc>
          <w:tcPr>
            <w:tcW w:w="2986" w:type="dxa"/>
          </w:tcPr>
          <w:p w14:paraId="2929EACF" w14:textId="77777777" w:rsidR="003A5BD3" w:rsidRPr="003A5BD3" w:rsidRDefault="003A5BD3" w:rsidP="002C4C09">
            <w:pPr>
              <w:autoSpaceDE w:val="0"/>
              <w:autoSpaceDN w:val="0"/>
              <w:adjustRightInd w:val="0"/>
              <w:spacing w:after="0" w:line="240" w:lineRule="auto"/>
              <w:jc w:val="center"/>
              <w:rPr>
                <w:rFonts w:ascii="Times New Roman" w:hAnsi="Times New Roman"/>
                <w:color w:val="000000"/>
              </w:rPr>
            </w:pPr>
            <w:r w:rsidRPr="003A5BD3">
              <w:rPr>
                <w:rFonts w:ascii="Times New Roman" w:hAnsi="Times New Roman"/>
                <w:color w:val="000000"/>
              </w:rPr>
              <w:t>ĮN</w:t>
            </w:r>
            <w:r w:rsidR="002C4C09">
              <w:rPr>
                <w:rFonts w:ascii="Times New Roman" w:hAnsi="Times New Roman"/>
                <w:color w:val="000000"/>
                <w:vertAlign w:val="superscript"/>
              </w:rPr>
              <w:t>7</w:t>
            </w:r>
          </w:p>
        </w:tc>
        <w:tc>
          <w:tcPr>
            <w:tcW w:w="3136" w:type="dxa"/>
          </w:tcPr>
          <w:p w14:paraId="4821C59D" w14:textId="77777777" w:rsidR="003A5BD3" w:rsidRPr="003A5BD3" w:rsidRDefault="003A5BD3" w:rsidP="002C4C09">
            <w:pPr>
              <w:autoSpaceDE w:val="0"/>
              <w:autoSpaceDN w:val="0"/>
              <w:adjustRightInd w:val="0"/>
              <w:spacing w:after="0" w:line="240" w:lineRule="auto"/>
              <w:jc w:val="center"/>
              <w:rPr>
                <w:rFonts w:ascii="Times New Roman" w:hAnsi="Times New Roman"/>
                <w:color w:val="000000"/>
              </w:rPr>
            </w:pPr>
            <w:r w:rsidRPr="003A5BD3">
              <w:rPr>
                <w:rFonts w:ascii="Times New Roman" w:hAnsi="Times New Roman"/>
                <w:color w:val="000000"/>
              </w:rPr>
              <w:t>ĮN</w:t>
            </w:r>
            <w:r w:rsidR="002C4C09">
              <w:rPr>
                <w:rFonts w:ascii="Times New Roman" w:hAnsi="Times New Roman"/>
                <w:color w:val="000000"/>
                <w:vertAlign w:val="superscript"/>
              </w:rPr>
              <w:t>7</w:t>
            </w:r>
          </w:p>
        </w:tc>
      </w:tr>
      <w:tr w:rsidR="003A5BD3" w:rsidRPr="00F909DC" w14:paraId="029ABB53" w14:textId="77777777" w:rsidTr="007754E0">
        <w:tc>
          <w:tcPr>
            <w:tcW w:w="3087" w:type="dxa"/>
          </w:tcPr>
          <w:p w14:paraId="6B5D3BBE" w14:textId="77777777" w:rsidR="003A5BD3" w:rsidRPr="00DC01BC" w:rsidRDefault="003C242E" w:rsidP="002F3324">
            <w:pPr>
              <w:autoSpaceDE w:val="0"/>
              <w:autoSpaceDN w:val="0"/>
              <w:adjustRightInd w:val="0"/>
              <w:spacing w:after="0" w:line="240" w:lineRule="auto"/>
              <w:rPr>
                <w:rFonts w:ascii="Times New Roman" w:hAnsi="Times New Roman"/>
                <w:color w:val="000000"/>
                <w:vertAlign w:val="superscript"/>
              </w:rPr>
            </w:pPr>
            <w:r>
              <w:rPr>
                <w:rFonts w:ascii="Times New Roman" w:hAnsi="Times New Roman"/>
                <w:color w:val="000000"/>
              </w:rPr>
              <w:t>S</w:t>
            </w:r>
            <w:r w:rsidR="00574AA8">
              <w:rPr>
                <w:rFonts w:ascii="Times New Roman" w:hAnsi="Times New Roman"/>
                <w:color w:val="000000"/>
              </w:rPr>
              <w:t>u rūšimi nesusijusios</w:t>
            </w:r>
            <w:r>
              <w:rPr>
                <w:rFonts w:ascii="Times New Roman" w:hAnsi="Times New Roman"/>
                <w:color w:val="000000"/>
              </w:rPr>
              <w:t xml:space="preserve"> jautrumo ribos</w:t>
            </w:r>
            <w:r w:rsidR="005271F2">
              <w:rPr>
                <w:rFonts w:ascii="Times New Roman" w:hAnsi="Times New Roman"/>
                <w:color w:val="000000"/>
                <w:vertAlign w:val="superscript"/>
              </w:rPr>
              <w:t>5,8</w:t>
            </w:r>
          </w:p>
        </w:tc>
        <w:tc>
          <w:tcPr>
            <w:tcW w:w="2986" w:type="dxa"/>
          </w:tcPr>
          <w:p w14:paraId="72C9C695"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sidRPr="003A5BD3">
              <w:rPr>
                <w:rFonts w:ascii="Times New Roman" w:hAnsi="Times New Roman"/>
                <w:color w:val="000000"/>
              </w:rPr>
              <w:t>ĮN</w:t>
            </w:r>
          </w:p>
        </w:tc>
        <w:tc>
          <w:tcPr>
            <w:tcW w:w="3136" w:type="dxa"/>
          </w:tcPr>
          <w:p w14:paraId="41D424F6" w14:textId="77777777" w:rsidR="003A5BD3" w:rsidRPr="003A5BD3" w:rsidRDefault="003A5BD3" w:rsidP="00681F87">
            <w:pPr>
              <w:autoSpaceDE w:val="0"/>
              <w:autoSpaceDN w:val="0"/>
              <w:adjustRightInd w:val="0"/>
              <w:spacing w:after="0" w:line="240" w:lineRule="auto"/>
              <w:jc w:val="center"/>
              <w:rPr>
                <w:rFonts w:ascii="Times New Roman" w:hAnsi="Times New Roman"/>
                <w:color w:val="000000"/>
              </w:rPr>
            </w:pPr>
            <w:r w:rsidRPr="003A5BD3">
              <w:rPr>
                <w:rFonts w:ascii="Times New Roman" w:hAnsi="Times New Roman"/>
                <w:color w:val="000000"/>
              </w:rPr>
              <w:t>ĮN</w:t>
            </w:r>
          </w:p>
        </w:tc>
      </w:tr>
      <w:tr w:rsidR="002F3324" w:rsidRPr="00F909DC" w14:paraId="321C71FC" w14:textId="77777777" w:rsidTr="007754E0">
        <w:tc>
          <w:tcPr>
            <w:tcW w:w="9209" w:type="dxa"/>
            <w:gridSpan w:val="3"/>
          </w:tcPr>
          <w:p w14:paraId="05111D59" w14:textId="77777777" w:rsidR="002C4C09" w:rsidRDefault="002F3324" w:rsidP="007754E0">
            <w:pPr>
              <w:autoSpaceDE w:val="0"/>
              <w:autoSpaceDN w:val="0"/>
              <w:adjustRightInd w:val="0"/>
              <w:spacing w:after="0" w:line="240" w:lineRule="auto"/>
              <w:ind w:left="175" w:right="141" w:hanging="175"/>
              <w:rPr>
                <w:rFonts w:ascii="Times New Roman" w:hAnsi="Times New Roman"/>
                <w:b/>
                <w:bCs/>
                <w:color w:val="000000"/>
              </w:rPr>
            </w:pPr>
            <w:r w:rsidRPr="00534C57">
              <w:rPr>
                <w:rFonts w:ascii="Times New Roman" w:hAnsi="Times New Roman"/>
                <w:b/>
                <w:bCs/>
                <w:color w:val="000000"/>
                <w:vertAlign w:val="superscript"/>
              </w:rPr>
              <w:t>1</w:t>
            </w:r>
            <w:r w:rsidRPr="00534C57">
              <w:rPr>
                <w:rFonts w:ascii="Times New Roman" w:hAnsi="Times New Roman"/>
                <w:b/>
                <w:bCs/>
                <w:color w:val="000000"/>
              </w:rPr>
              <w:t xml:space="preserve"> </w:t>
            </w:r>
            <w:r w:rsidR="002C4C09" w:rsidRPr="00C2704B">
              <w:rPr>
                <w:rFonts w:ascii="Times New Roman" w:hAnsi="Times New Roman"/>
                <w:bCs/>
                <w:color w:val="000000"/>
              </w:rPr>
              <w:t>Pastabos</w:t>
            </w:r>
            <w:r w:rsidR="002C4C09">
              <w:rPr>
                <w:rFonts w:ascii="Times New Roman" w:hAnsi="Times New Roman"/>
                <w:bCs/>
                <w:color w:val="000000"/>
              </w:rPr>
              <w:t xml:space="preserve"> dėl I kategorijos: 4 mg/kg </w:t>
            </w:r>
            <w:r w:rsidR="00C2704B">
              <w:rPr>
                <w:rFonts w:ascii="Times New Roman" w:hAnsi="Times New Roman"/>
                <w:bCs/>
                <w:color w:val="000000"/>
              </w:rPr>
              <w:t>į veną 2 kartus per parą. Dėl</w:t>
            </w:r>
            <w:r w:rsidR="00C2704B" w:rsidRPr="00C2704B">
              <w:rPr>
                <w:rFonts w:ascii="Times New Roman" w:hAnsi="Times New Roman"/>
                <w:bCs/>
                <w:i/>
                <w:color w:val="000000"/>
              </w:rPr>
              <w:t xml:space="preserve"> Candida</w:t>
            </w:r>
            <w:r w:rsidR="00C2704B">
              <w:rPr>
                <w:rFonts w:ascii="Times New Roman" w:hAnsi="Times New Roman"/>
                <w:bCs/>
                <w:color w:val="000000"/>
              </w:rPr>
              <w:t xml:space="preserve"> įvedama I kategorija siekiant patvirtinti, kad padidėjusi ekspozicija gaunama vartojant į veną, yra pakankama (galbūt tai patvirtina vaist</w:t>
            </w:r>
            <w:r w:rsidR="005271F2">
              <w:rPr>
                <w:rFonts w:ascii="Times New Roman" w:hAnsi="Times New Roman"/>
                <w:bCs/>
                <w:color w:val="000000"/>
              </w:rPr>
              <w:t>ini</w:t>
            </w:r>
            <w:r w:rsidR="00C2704B">
              <w:rPr>
                <w:rFonts w:ascii="Times New Roman" w:hAnsi="Times New Roman"/>
                <w:bCs/>
                <w:color w:val="000000"/>
              </w:rPr>
              <w:t>o</w:t>
            </w:r>
            <w:r w:rsidR="005271F2">
              <w:rPr>
                <w:rFonts w:ascii="Times New Roman" w:hAnsi="Times New Roman"/>
                <w:bCs/>
                <w:color w:val="000000"/>
              </w:rPr>
              <w:t xml:space="preserve"> preparato</w:t>
            </w:r>
            <w:r w:rsidR="00C2704B">
              <w:rPr>
                <w:rFonts w:ascii="Times New Roman" w:hAnsi="Times New Roman"/>
                <w:bCs/>
                <w:color w:val="000000"/>
              </w:rPr>
              <w:t xml:space="preserve"> </w:t>
            </w:r>
            <w:r w:rsidR="00AF0CF7">
              <w:rPr>
                <w:rFonts w:ascii="Times New Roman" w:hAnsi="Times New Roman"/>
                <w:bCs/>
                <w:color w:val="000000"/>
              </w:rPr>
              <w:t xml:space="preserve">terapinis </w:t>
            </w:r>
            <w:r w:rsidR="00C2704B">
              <w:rPr>
                <w:rFonts w:ascii="Times New Roman" w:hAnsi="Times New Roman"/>
                <w:bCs/>
                <w:color w:val="000000"/>
              </w:rPr>
              <w:t>stebėjimas)</w:t>
            </w:r>
            <w:r w:rsidR="00AF0CF7">
              <w:rPr>
                <w:rFonts w:ascii="Times New Roman" w:hAnsi="Times New Roman"/>
                <w:bCs/>
                <w:color w:val="000000"/>
              </w:rPr>
              <w:t>.</w:t>
            </w:r>
            <w:r w:rsidR="00C2704B">
              <w:rPr>
                <w:rFonts w:ascii="Times New Roman" w:hAnsi="Times New Roman"/>
                <w:bCs/>
                <w:color w:val="000000"/>
              </w:rPr>
              <w:t xml:space="preserve"> Nėra pakankamai informacijos apie </w:t>
            </w:r>
            <w:r w:rsidR="00AF0CF7">
              <w:rPr>
                <w:rFonts w:ascii="Times New Roman" w:hAnsi="Times New Roman"/>
                <w:bCs/>
                <w:color w:val="000000"/>
              </w:rPr>
              <w:t xml:space="preserve">infekcijų, kurias sukelia </w:t>
            </w:r>
            <w:r w:rsidR="00AF0CF7" w:rsidRPr="00C2704B">
              <w:rPr>
                <w:rFonts w:ascii="Times New Roman" w:hAnsi="Times New Roman"/>
                <w:bCs/>
                <w:i/>
                <w:color w:val="000000"/>
              </w:rPr>
              <w:t>Candida</w:t>
            </w:r>
            <w:r w:rsidR="00AF0CF7">
              <w:rPr>
                <w:rFonts w:ascii="Times New Roman" w:hAnsi="Times New Roman"/>
                <w:bCs/>
                <w:color w:val="000000"/>
              </w:rPr>
              <w:t xml:space="preserve"> izoliatai, </w:t>
            </w:r>
            <w:r w:rsidR="00C2704B">
              <w:rPr>
                <w:rFonts w:ascii="Times New Roman" w:hAnsi="Times New Roman"/>
                <w:bCs/>
                <w:color w:val="000000"/>
              </w:rPr>
              <w:t xml:space="preserve">atsaką į </w:t>
            </w:r>
            <w:r w:rsidR="00AF0CF7">
              <w:rPr>
                <w:rFonts w:ascii="Times New Roman" w:hAnsi="Times New Roman"/>
                <w:bCs/>
                <w:color w:val="000000"/>
              </w:rPr>
              <w:t>vori</w:t>
            </w:r>
            <w:r w:rsidR="00C2704B">
              <w:rPr>
                <w:rFonts w:ascii="Times New Roman" w:hAnsi="Times New Roman"/>
                <w:bCs/>
                <w:color w:val="000000"/>
              </w:rPr>
              <w:t>konazol</w:t>
            </w:r>
            <w:r w:rsidR="00AF0CF7">
              <w:rPr>
                <w:rFonts w:ascii="Times New Roman" w:hAnsi="Times New Roman"/>
                <w:bCs/>
                <w:color w:val="000000"/>
              </w:rPr>
              <w:t>ą, esant</w:t>
            </w:r>
            <w:r w:rsidR="00C2704B">
              <w:rPr>
                <w:rFonts w:ascii="Times New Roman" w:hAnsi="Times New Roman"/>
                <w:bCs/>
                <w:color w:val="000000"/>
              </w:rPr>
              <w:t xml:space="preserve"> </w:t>
            </w:r>
            <w:r w:rsidR="00AF0CF7">
              <w:rPr>
                <w:rFonts w:ascii="Times New Roman" w:hAnsi="Times New Roman"/>
                <w:bCs/>
                <w:color w:val="000000"/>
              </w:rPr>
              <w:t xml:space="preserve">didesnei </w:t>
            </w:r>
            <w:r w:rsidR="00C2704B">
              <w:rPr>
                <w:rFonts w:ascii="Times New Roman" w:hAnsi="Times New Roman"/>
                <w:bCs/>
                <w:color w:val="000000"/>
              </w:rPr>
              <w:t>MSK.</w:t>
            </w:r>
          </w:p>
          <w:p w14:paraId="7C9F89AA" w14:textId="77777777" w:rsidR="00DB4E16" w:rsidRPr="00DB4E16" w:rsidRDefault="002C4C09" w:rsidP="007754E0">
            <w:pPr>
              <w:autoSpaceDE w:val="0"/>
              <w:autoSpaceDN w:val="0"/>
              <w:adjustRightInd w:val="0"/>
              <w:spacing w:after="0" w:line="240" w:lineRule="auto"/>
              <w:ind w:left="175" w:right="141" w:hanging="175"/>
              <w:rPr>
                <w:rFonts w:ascii="Times New Roman" w:hAnsi="Times New Roman"/>
                <w:color w:val="000000"/>
              </w:rPr>
            </w:pPr>
            <w:r>
              <w:rPr>
                <w:rFonts w:ascii="Times New Roman" w:hAnsi="Times New Roman"/>
                <w:b/>
                <w:bCs/>
                <w:color w:val="000000"/>
                <w:vertAlign w:val="superscript"/>
              </w:rPr>
              <w:t>2</w:t>
            </w:r>
            <w:r w:rsidR="002F3324" w:rsidRPr="00534C57">
              <w:rPr>
                <w:rFonts w:ascii="Times New Roman" w:hAnsi="Times New Roman"/>
                <w:color w:val="000000"/>
              </w:rPr>
              <w:t>Rūšys, kurių MSK didesnės už jautrių (J)</w:t>
            </w:r>
            <w:r w:rsidR="003C242E">
              <w:rPr>
                <w:rFonts w:ascii="Times New Roman" w:hAnsi="Times New Roman"/>
                <w:color w:val="000000"/>
              </w:rPr>
              <w:t xml:space="preserve"> / vidutiniškai jautrių (VJ)</w:t>
            </w:r>
            <w:r w:rsidR="002F3324" w:rsidRPr="00534C57">
              <w:rPr>
                <w:rFonts w:ascii="Times New Roman" w:hAnsi="Times New Roman"/>
                <w:color w:val="000000"/>
              </w:rPr>
              <w:t xml:space="preserve"> mikroorganizmų jautrumo ribas pasitaiko retai arba jų iki šiol nenustatyta. Bet kurio tokio izoliato identifikaciją ir </w:t>
            </w:r>
            <w:r w:rsidR="00C10181">
              <w:rPr>
                <w:rFonts w:ascii="Times New Roman" w:hAnsi="Times New Roman"/>
                <w:color w:val="000000"/>
              </w:rPr>
              <w:t>priešgrybelinio</w:t>
            </w:r>
            <w:r w:rsidR="00C10181" w:rsidRPr="00534C57">
              <w:rPr>
                <w:rFonts w:ascii="Times New Roman" w:hAnsi="Times New Roman"/>
                <w:color w:val="000000"/>
              </w:rPr>
              <w:t xml:space="preserve"> </w:t>
            </w:r>
            <w:r w:rsidR="002F3324" w:rsidRPr="00534C57">
              <w:rPr>
                <w:rFonts w:ascii="Times New Roman" w:hAnsi="Times New Roman"/>
                <w:color w:val="000000"/>
              </w:rPr>
              <w:t>jautrumo mėginį reikia kartoti ir, jeigu duomenys pasitvirtina, izoliatą nusiųsti į etaloninę laboratoriją.</w:t>
            </w:r>
            <w:r w:rsidR="00DB4E16">
              <w:rPr>
                <w:rFonts w:ascii="Times New Roman" w:hAnsi="Times New Roman"/>
                <w:color w:val="000000"/>
              </w:rPr>
              <w:t xml:space="preserve"> </w:t>
            </w:r>
            <w:r w:rsidR="00DB4E16" w:rsidRPr="00DB4E16">
              <w:rPr>
                <w:rFonts w:ascii="Times New Roman" w:hAnsi="Times New Roman"/>
                <w:color w:val="000000"/>
              </w:rPr>
              <w:t>Kol bus</w:t>
            </w:r>
            <w:r w:rsidR="00DB4E16">
              <w:rPr>
                <w:rFonts w:ascii="Times New Roman" w:hAnsi="Times New Roman"/>
                <w:color w:val="000000"/>
              </w:rPr>
              <w:t xml:space="preserve"> </w:t>
            </w:r>
            <w:r w:rsidR="00DB4E16" w:rsidRPr="00DB4E16">
              <w:rPr>
                <w:rFonts w:ascii="Times New Roman" w:hAnsi="Times New Roman"/>
                <w:color w:val="000000"/>
              </w:rPr>
              <w:t>gauta įrodymų, susijusių su patvirtintų izoliatų, kurių MSK didesnė nei dabartinės atsparumo ribos,</w:t>
            </w:r>
            <w:r w:rsidR="00DB4E16">
              <w:rPr>
                <w:rFonts w:ascii="Times New Roman" w:hAnsi="Times New Roman"/>
                <w:color w:val="000000"/>
              </w:rPr>
              <w:t xml:space="preserve"> </w:t>
            </w:r>
            <w:r w:rsidR="00DB4E16" w:rsidRPr="00DB4E16">
              <w:rPr>
                <w:rFonts w:ascii="Times New Roman" w:hAnsi="Times New Roman"/>
                <w:color w:val="000000"/>
              </w:rPr>
              <w:t>klinikiniu atsaku, jie turi būti registruojami kaip atsparūs. 76</w:t>
            </w:r>
            <w:r w:rsidR="00DB4E16">
              <w:rPr>
                <w:rFonts w:ascii="Times New Roman" w:hAnsi="Times New Roman"/>
                <w:color w:val="000000"/>
              </w:rPr>
              <w:t> </w:t>
            </w:r>
            <w:r w:rsidR="00DB4E16" w:rsidRPr="00DB4E16">
              <w:rPr>
                <w:rFonts w:ascii="Times New Roman" w:hAnsi="Times New Roman"/>
                <w:color w:val="000000"/>
              </w:rPr>
              <w:t>% klinikinis atsakas pasiektas</w:t>
            </w:r>
            <w:r w:rsidR="00DB4E16">
              <w:rPr>
                <w:rFonts w:ascii="Times New Roman" w:hAnsi="Times New Roman"/>
                <w:color w:val="000000"/>
              </w:rPr>
              <w:t xml:space="preserve"> </w:t>
            </w:r>
            <w:r w:rsidR="00DB4E16" w:rsidRPr="00DB4E16">
              <w:rPr>
                <w:rFonts w:ascii="Times New Roman" w:hAnsi="Times New Roman"/>
                <w:color w:val="000000"/>
              </w:rPr>
              <w:t>infekcijoms, sukeltoms žemiau išvardytų rūšių, kai MSK buvo mažesnės nei epidemiologinės</w:t>
            </w:r>
            <w:r w:rsidR="00DB4E16">
              <w:rPr>
                <w:rFonts w:ascii="Times New Roman" w:hAnsi="Times New Roman"/>
                <w:color w:val="000000"/>
              </w:rPr>
              <w:t xml:space="preserve"> ribinės</w:t>
            </w:r>
            <w:r w:rsidR="00DB4E16" w:rsidRPr="00DB4E16">
              <w:rPr>
                <w:rFonts w:ascii="Times New Roman" w:hAnsi="Times New Roman"/>
                <w:color w:val="000000"/>
              </w:rPr>
              <w:t xml:space="preserve"> vertės arba joms lygios. Todėl laikoma, kad laukinio tipo </w:t>
            </w:r>
            <w:r w:rsidR="00DB4E16" w:rsidRPr="00DC01BC">
              <w:rPr>
                <w:rFonts w:ascii="Times New Roman" w:hAnsi="Times New Roman"/>
                <w:i/>
                <w:iCs/>
                <w:color w:val="000000"/>
              </w:rPr>
              <w:t>C. albicans</w:t>
            </w:r>
            <w:r w:rsidR="00DB4E16" w:rsidRPr="007754E0">
              <w:rPr>
                <w:rFonts w:ascii="Times New Roman" w:hAnsi="Times New Roman"/>
                <w:i/>
                <w:color w:val="000000"/>
              </w:rPr>
              <w:t xml:space="preserve">, </w:t>
            </w:r>
            <w:r w:rsidR="00DB4E16" w:rsidRPr="00DC01BC">
              <w:rPr>
                <w:rFonts w:ascii="Times New Roman" w:hAnsi="Times New Roman"/>
                <w:i/>
                <w:iCs/>
                <w:color w:val="000000"/>
              </w:rPr>
              <w:t>C. dubliniensis</w:t>
            </w:r>
            <w:r w:rsidR="00DB4E16" w:rsidRPr="00BA585F">
              <w:rPr>
                <w:rFonts w:ascii="Times New Roman" w:hAnsi="Times New Roman"/>
                <w:i/>
                <w:color w:val="000000"/>
              </w:rPr>
              <w:t xml:space="preserve">, </w:t>
            </w:r>
            <w:r w:rsidR="00DB4E16" w:rsidRPr="00DC01BC">
              <w:rPr>
                <w:rFonts w:ascii="Times New Roman" w:hAnsi="Times New Roman"/>
                <w:i/>
                <w:iCs/>
                <w:color w:val="000000"/>
              </w:rPr>
              <w:t>C.</w:t>
            </w:r>
            <w:r w:rsidR="00DB4E16">
              <w:rPr>
                <w:rFonts w:ascii="Times New Roman" w:hAnsi="Times New Roman"/>
                <w:i/>
                <w:iCs/>
                <w:color w:val="000000"/>
              </w:rPr>
              <w:t xml:space="preserve"> </w:t>
            </w:r>
            <w:r w:rsidR="00DB4E16" w:rsidRPr="00DC01BC">
              <w:rPr>
                <w:rFonts w:ascii="Times New Roman" w:hAnsi="Times New Roman"/>
                <w:i/>
                <w:iCs/>
                <w:color w:val="000000"/>
              </w:rPr>
              <w:t>parapsilosis</w:t>
            </w:r>
            <w:r w:rsidR="00DB4E16" w:rsidRPr="00DB4E16">
              <w:rPr>
                <w:rFonts w:ascii="Times New Roman" w:hAnsi="Times New Roman"/>
                <w:color w:val="000000"/>
              </w:rPr>
              <w:t xml:space="preserve"> ir </w:t>
            </w:r>
            <w:r w:rsidR="00DB4E16" w:rsidRPr="00DC01BC">
              <w:rPr>
                <w:rFonts w:ascii="Times New Roman" w:hAnsi="Times New Roman"/>
                <w:i/>
                <w:iCs/>
                <w:color w:val="000000"/>
              </w:rPr>
              <w:t>C. tropicalis</w:t>
            </w:r>
            <w:r w:rsidR="00DB4E16" w:rsidRPr="00DB4E16">
              <w:rPr>
                <w:rFonts w:ascii="Times New Roman" w:hAnsi="Times New Roman"/>
                <w:color w:val="000000"/>
              </w:rPr>
              <w:t xml:space="preserve"> populiacijos yra jautrios.</w:t>
            </w:r>
          </w:p>
          <w:p w14:paraId="0F7147A5" w14:textId="77777777" w:rsidR="00DB4E16" w:rsidRPr="00DB4E16" w:rsidRDefault="002C4C09" w:rsidP="00BA585F">
            <w:pPr>
              <w:autoSpaceDE w:val="0"/>
              <w:autoSpaceDN w:val="0"/>
              <w:adjustRightInd w:val="0"/>
              <w:spacing w:after="0" w:line="240" w:lineRule="auto"/>
              <w:ind w:left="175" w:right="141" w:hanging="175"/>
              <w:rPr>
                <w:rFonts w:ascii="Times New Roman" w:hAnsi="Times New Roman"/>
                <w:color w:val="000000"/>
              </w:rPr>
            </w:pPr>
            <w:r>
              <w:rPr>
                <w:rFonts w:ascii="Times New Roman" w:hAnsi="Times New Roman"/>
                <w:color w:val="000000"/>
                <w:vertAlign w:val="superscript"/>
              </w:rPr>
              <w:t>3</w:t>
            </w:r>
            <w:r w:rsidR="00DB4E16" w:rsidRPr="00DB4E16">
              <w:rPr>
                <w:rFonts w:ascii="Times New Roman" w:hAnsi="Times New Roman"/>
                <w:color w:val="000000"/>
              </w:rPr>
              <w:t xml:space="preserve"> Šių rūšių epidemiologinio kirpinio vertės (</w:t>
            </w:r>
            <w:r w:rsidR="00DB4E16" w:rsidRPr="00BA585F">
              <w:rPr>
                <w:rFonts w:ascii="Times New Roman" w:hAnsi="Times New Roman"/>
                <w:color w:val="000000"/>
              </w:rPr>
              <w:t>angl.</w:t>
            </w:r>
            <w:r w:rsidR="00DB4E16" w:rsidRPr="00DB4E16">
              <w:rPr>
                <w:rFonts w:ascii="Times New Roman" w:hAnsi="Times New Roman"/>
                <w:color w:val="000000"/>
              </w:rPr>
              <w:t xml:space="preserve"> </w:t>
            </w:r>
            <w:r w:rsidR="00DB4E16" w:rsidRPr="00DC01BC">
              <w:rPr>
                <w:rFonts w:ascii="Times New Roman" w:hAnsi="Times New Roman"/>
                <w:i/>
                <w:iCs/>
                <w:color w:val="000000"/>
              </w:rPr>
              <w:t>ECOFF</w:t>
            </w:r>
            <w:r w:rsidR="00DB4E16" w:rsidRPr="00DB4E16">
              <w:rPr>
                <w:rFonts w:ascii="Times New Roman" w:hAnsi="Times New Roman"/>
                <w:color w:val="000000"/>
              </w:rPr>
              <w:t xml:space="preserve">) iš esmės aukštesnės, nei nustatytos </w:t>
            </w:r>
            <w:r w:rsidR="00DB4E16" w:rsidRPr="00DC01BC">
              <w:rPr>
                <w:rFonts w:ascii="Times New Roman" w:hAnsi="Times New Roman"/>
                <w:i/>
                <w:iCs/>
                <w:color w:val="000000"/>
              </w:rPr>
              <w:t>C. albicans</w:t>
            </w:r>
            <w:r w:rsidR="00DB4E16" w:rsidRPr="00DB4E16">
              <w:rPr>
                <w:rFonts w:ascii="Times New Roman" w:hAnsi="Times New Roman"/>
                <w:color w:val="000000"/>
              </w:rPr>
              <w:t>.</w:t>
            </w:r>
          </w:p>
          <w:p w14:paraId="07D64A1B" w14:textId="77777777" w:rsidR="00DB4E16" w:rsidRDefault="002C4C09" w:rsidP="00BA585F">
            <w:pPr>
              <w:autoSpaceDE w:val="0"/>
              <w:autoSpaceDN w:val="0"/>
              <w:adjustRightInd w:val="0"/>
              <w:spacing w:after="0" w:line="240" w:lineRule="auto"/>
              <w:ind w:left="175" w:right="141" w:hanging="175"/>
              <w:rPr>
                <w:rFonts w:ascii="Times New Roman" w:hAnsi="Times New Roman"/>
                <w:color w:val="000000"/>
              </w:rPr>
            </w:pPr>
            <w:r>
              <w:rPr>
                <w:rFonts w:ascii="Times New Roman" w:hAnsi="Times New Roman"/>
                <w:color w:val="000000"/>
                <w:vertAlign w:val="superscript"/>
              </w:rPr>
              <w:t>4</w:t>
            </w:r>
            <w:r w:rsidR="00DB4E16" w:rsidRPr="00DB4E16">
              <w:rPr>
                <w:rFonts w:ascii="Times New Roman" w:hAnsi="Times New Roman"/>
                <w:color w:val="000000"/>
              </w:rPr>
              <w:t xml:space="preserve"> Su rūšimi nesusijusios ribos nustatytos daugiausia remiantis FK / FD duomenimis ir nuo konkrečių</w:t>
            </w:r>
            <w:r w:rsidR="00DB4E16">
              <w:rPr>
                <w:rFonts w:ascii="Times New Roman" w:hAnsi="Times New Roman"/>
                <w:color w:val="000000"/>
              </w:rPr>
              <w:t xml:space="preserve"> </w:t>
            </w:r>
            <w:r w:rsidR="00DB4E16" w:rsidRPr="00DC01BC">
              <w:rPr>
                <w:rFonts w:ascii="Times New Roman" w:hAnsi="Times New Roman"/>
                <w:i/>
                <w:iCs/>
                <w:color w:val="000000"/>
              </w:rPr>
              <w:t>Candida</w:t>
            </w:r>
            <w:r w:rsidR="00DB4E16" w:rsidRPr="00BA585F">
              <w:rPr>
                <w:rFonts w:ascii="Times New Roman" w:hAnsi="Times New Roman"/>
                <w:color w:val="000000"/>
              </w:rPr>
              <w:t xml:space="preserve"> </w:t>
            </w:r>
            <w:r w:rsidR="00DB4E16" w:rsidRPr="00DB4E16">
              <w:rPr>
                <w:rFonts w:ascii="Times New Roman" w:hAnsi="Times New Roman"/>
                <w:color w:val="000000"/>
              </w:rPr>
              <w:t>rūšių MSK pasiskirstymo nepriklauso. Jos skirtos naudoti tik tiems mikroorganizmams,</w:t>
            </w:r>
            <w:r w:rsidR="00DB4E16">
              <w:rPr>
                <w:rFonts w:ascii="Times New Roman" w:hAnsi="Times New Roman"/>
                <w:color w:val="000000"/>
              </w:rPr>
              <w:t xml:space="preserve"> </w:t>
            </w:r>
            <w:r w:rsidR="00DB4E16" w:rsidRPr="00DB4E16">
              <w:rPr>
                <w:rFonts w:ascii="Times New Roman" w:hAnsi="Times New Roman"/>
                <w:color w:val="000000"/>
              </w:rPr>
              <w:t>kuriems konkrečių ribų nenustatyta.</w:t>
            </w:r>
          </w:p>
          <w:p w14:paraId="42E59406" w14:textId="77777777" w:rsidR="00AF0CF7" w:rsidRPr="00DC22FB" w:rsidRDefault="00AF0CF7" w:rsidP="00BA585F">
            <w:pPr>
              <w:autoSpaceDE w:val="0"/>
              <w:autoSpaceDN w:val="0"/>
              <w:adjustRightInd w:val="0"/>
              <w:spacing w:after="0" w:line="240" w:lineRule="auto"/>
              <w:ind w:left="175" w:right="141" w:hanging="175"/>
              <w:rPr>
                <w:rFonts w:ascii="Times New Roman" w:hAnsi="Times New Roman"/>
                <w:color w:val="000000"/>
              </w:rPr>
            </w:pPr>
            <w:r>
              <w:rPr>
                <w:rFonts w:ascii="Times New Roman" w:hAnsi="Times New Roman"/>
                <w:color w:val="000000"/>
                <w:vertAlign w:val="superscript"/>
              </w:rPr>
              <w:t xml:space="preserve">5  </w:t>
            </w:r>
            <w:r>
              <w:rPr>
                <w:rFonts w:ascii="Times New Roman" w:hAnsi="Times New Roman"/>
                <w:color w:val="000000"/>
              </w:rPr>
              <w:t>Rekomenduojama nuo grybelių sukeltos infekcijos gydomiems pacientams stebėti mažiausias azolo koncentracijas.</w:t>
            </w:r>
          </w:p>
          <w:p w14:paraId="7C6C7614" w14:textId="77777777" w:rsidR="00DB4E16" w:rsidRPr="00DB4E16" w:rsidRDefault="00AF0CF7" w:rsidP="00434CED">
            <w:pPr>
              <w:autoSpaceDE w:val="0"/>
              <w:autoSpaceDN w:val="0"/>
              <w:adjustRightInd w:val="0"/>
              <w:spacing w:after="0" w:line="240" w:lineRule="auto"/>
              <w:ind w:left="175" w:right="141" w:hanging="175"/>
              <w:rPr>
                <w:rFonts w:ascii="Times New Roman" w:hAnsi="Times New Roman"/>
                <w:color w:val="000000"/>
              </w:rPr>
            </w:pPr>
            <w:r>
              <w:rPr>
                <w:rFonts w:ascii="Times New Roman" w:hAnsi="Times New Roman"/>
                <w:color w:val="000000"/>
                <w:vertAlign w:val="superscript"/>
              </w:rPr>
              <w:t>6</w:t>
            </w:r>
            <w:r w:rsidR="00DB4E16" w:rsidRPr="00434CED">
              <w:rPr>
                <w:rFonts w:ascii="Times New Roman" w:hAnsi="Times New Roman"/>
                <w:color w:val="000000"/>
              </w:rPr>
              <w:t xml:space="preserve"> </w:t>
            </w:r>
            <w:r w:rsidR="00DB4E16" w:rsidRPr="00DB4E16">
              <w:rPr>
                <w:rFonts w:ascii="Times New Roman" w:hAnsi="Times New Roman"/>
                <w:color w:val="000000"/>
              </w:rPr>
              <w:t xml:space="preserve">Techninio neapibrėžtumo sritis (angl. </w:t>
            </w:r>
            <w:r w:rsidR="00DB4E16" w:rsidRPr="00DC01BC">
              <w:rPr>
                <w:rFonts w:ascii="Times New Roman" w:hAnsi="Times New Roman"/>
                <w:i/>
                <w:iCs/>
                <w:color w:val="000000"/>
              </w:rPr>
              <w:t>ATU</w:t>
            </w:r>
            <w:r w:rsidR="00DB4E16" w:rsidRPr="00DB4E16">
              <w:rPr>
                <w:rFonts w:ascii="Times New Roman" w:hAnsi="Times New Roman"/>
                <w:color w:val="000000"/>
              </w:rPr>
              <w:t>) lygi 2. Registruoti kaip „A“ pridedant šią pastabą:</w:t>
            </w:r>
            <w:r w:rsidR="00DB4E16">
              <w:rPr>
                <w:rFonts w:ascii="Times New Roman" w:hAnsi="Times New Roman"/>
                <w:color w:val="000000"/>
              </w:rPr>
              <w:t xml:space="preserve"> </w:t>
            </w:r>
            <w:r w:rsidR="00DB4E16" w:rsidRPr="00DB4E16">
              <w:rPr>
                <w:rFonts w:ascii="Times New Roman" w:hAnsi="Times New Roman"/>
                <w:color w:val="000000"/>
              </w:rPr>
              <w:t>„Tam tikromis klinikinėmis aplinkybėmis (neinvazinės formos infekcijų atveju) vorikonazol</w:t>
            </w:r>
            <w:r w:rsidR="00DB4E16">
              <w:rPr>
                <w:rFonts w:ascii="Times New Roman" w:hAnsi="Times New Roman"/>
                <w:color w:val="000000"/>
              </w:rPr>
              <w:t>o</w:t>
            </w:r>
            <w:r w:rsidR="00DB4E16" w:rsidRPr="00DB4E16">
              <w:rPr>
                <w:rFonts w:ascii="Times New Roman" w:hAnsi="Times New Roman"/>
                <w:color w:val="000000"/>
              </w:rPr>
              <w:t xml:space="preserve"> </w:t>
            </w:r>
            <w:r w:rsidR="00DB4E16">
              <w:rPr>
                <w:rFonts w:ascii="Times New Roman" w:hAnsi="Times New Roman"/>
                <w:color w:val="000000"/>
              </w:rPr>
              <w:t xml:space="preserve">vartoti </w:t>
            </w:r>
            <w:r w:rsidR="00DB4E16" w:rsidRPr="00DB4E16">
              <w:rPr>
                <w:rFonts w:ascii="Times New Roman" w:hAnsi="Times New Roman"/>
                <w:color w:val="000000"/>
              </w:rPr>
              <w:t>galima, jeigu užtikrinama pakankama ekspozicija“.</w:t>
            </w:r>
          </w:p>
          <w:p w14:paraId="67FADD8A" w14:textId="77777777" w:rsidR="00DB4E16" w:rsidRPr="00DB4E16" w:rsidRDefault="00AF0CF7" w:rsidP="00201F39">
            <w:pPr>
              <w:autoSpaceDE w:val="0"/>
              <w:autoSpaceDN w:val="0"/>
              <w:adjustRightInd w:val="0"/>
              <w:spacing w:after="0" w:line="240" w:lineRule="auto"/>
              <w:ind w:left="175" w:right="141" w:hanging="175"/>
              <w:rPr>
                <w:rFonts w:ascii="Times New Roman" w:hAnsi="Times New Roman"/>
                <w:color w:val="000000"/>
              </w:rPr>
            </w:pPr>
            <w:r>
              <w:rPr>
                <w:rFonts w:ascii="Times New Roman" w:hAnsi="Times New Roman"/>
                <w:color w:val="000000"/>
                <w:vertAlign w:val="superscript"/>
              </w:rPr>
              <w:t>7</w:t>
            </w:r>
            <w:r w:rsidR="00DB4E16" w:rsidRPr="00DB4E16">
              <w:rPr>
                <w:rFonts w:ascii="Times New Roman" w:hAnsi="Times New Roman"/>
                <w:color w:val="000000"/>
              </w:rPr>
              <w:t xml:space="preserve"> Šių rūšių epidemiologini</w:t>
            </w:r>
            <w:r w:rsidR="00DB4E16">
              <w:rPr>
                <w:rFonts w:ascii="Times New Roman" w:hAnsi="Times New Roman"/>
                <w:color w:val="000000"/>
              </w:rPr>
              <w:t>ų ribų</w:t>
            </w:r>
            <w:r w:rsidR="00DB4E16" w:rsidRPr="00DB4E16">
              <w:rPr>
                <w:rFonts w:ascii="Times New Roman" w:hAnsi="Times New Roman"/>
                <w:color w:val="000000"/>
              </w:rPr>
              <w:t xml:space="preserve"> vertės (angl. </w:t>
            </w:r>
            <w:r w:rsidR="00DB4E16" w:rsidRPr="00DC01BC">
              <w:rPr>
                <w:rFonts w:ascii="Times New Roman" w:hAnsi="Times New Roman"/>
                <w:i/>
                <w:iCs/>
                <w:color w:val="000000"/>
              </w:rPr>
              <w:t>ECOFF</w:t>
            </w:r>
            <w:r w:rsidR="00DB4E16" w:rsidRPr="00DB4E16">
              <w:rPr>
                <w:rFonts w:ascii="Times New Roman" w:hAnsi="Times New Roman"/>
                <w:color w:val="000000"/>
              </w:rPr>
              <w:t>) iš esmės vienu dvigubu skiedimu</w:t>
            </w:r>
            <w:r w:rsidR="00DB4E16">
              <w:rPr>
                <w:rFonts w:ascii="Times New Roman" w:hAnsi="Times New Roman"/>
                <w:color w:val="000000"/>
              </w:rPr>
              <w:t xml:space="preserve"> </w:t>
            </w:r>
            <w:r w:rsidR="00DB4E16" w:rsidRPr="00DB4E16">
              <w:rPr>
                <w:rFonts w:ascii="Times New Roman" w:hAnsi="Times New Roman"/>
                <w:color w:val="000000"/>
              </w:rPr>
              <w:t xml:space="preserve">aukštesnės, nei nustatytos </w:t>
            </w:r>
            <w:r w:rsidR="00DB4E16" w:rsidRPr="00DC01BC">
              <w:rPr>
                <w:rFonts w:ascii="Times New Roman" w:hAnsi="Times New Roman"/>
                <w:i/>
                <w:iCs/>
                <w:color w:val="000000"/>
              </w:rPr>
              <w:t>A. fumigatus</w:t>
            </w:r>
            <w:r w:rsidR="00DB4E16" w:rsidRPr="00DB4E16">
              <w:rPr>
                <w:rFonts w:ascii="Times New Roman" w:hAnsi="Times New Roman"/>
                <w:color w:val="000000"/>
              </w:rPr>
              <w:t>.</w:t>
            </w:r>
          </w:p>
          <w:p w14:paraId="1E11F623" w14:textId="77777777" w:rsidR="002F3324" w:rsidRPr="00534C57" w:rsidRDefault="00AF0CF7" w:rsidP="00201F39">
            <w:pPr>
              <w:autoSpaceDE w:val="0"/>
              <w:autoSpaceDN w:val="0"/>
              <w:adjustRightInd w:val="0"/>
              <w:spacing w:after="0" w:line="240" w:lineRule="auto"/>
              <w:ind w:left="175" w:hanging="175"/>
              <w:rPr>
                <w:rFonts w:ascii="Times New Roman" w:hAnsi="Times New Roman"/>
                <w:color w:val="000000"/>
              </w:rPr>
            </w:pPr>
            <w:r>
              <w:rPr>
                <w:rFonts w:ascii="Times New Roman" w:hAnsi="Times New Roman"/>
                <w:color w:val="000000"/>
                <w:vertAlign w:val="superscript"/>
              </w:rPr>
              <w:t>8</w:t>
            </w:r>
            <w:r w:rsidR="00DB4E16" w:rsidRPr="00DB4E16">
              <w:rPr>
                <w:rFonts w:ascii="Times New Roman" w:hAnsi="Times New Roman"/>
                <w:color w:val="000000"/>
              </w:rPr>
              <w:t xml:space="preserve"> Su rūšimi nesusijusių ribų nenustatyta</w:t>
            </w:r>
            <w:r w:rsidR="00DB4E16">
              <w:rPr>
                <w:rFonts w:ascii="Times New Roman" w:hAnsi="Times New Roman"/>
                <w:color w:val="000000"/>
              </w:rPr>
              <w:t>.</w:t>
            </w:r>
          </w:p>
        </w:tc>
      </w:tr>
    </w:tbl>
    <w:p w14:paraId="084D9F2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4DF3D0A"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Klinikinio patyrimo duomenys</w:t>
      </w:r>
    </w:p>
    <w:p w14:paraId="2335600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Šiame skyrelyje aprašytas sėkmingo gydymo rezultatas yra visiškas arba dalinis atsakas.</w:t>
      </w:r>
    </w:p>
    <w:p w14:paraId="51B0E91E"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0AEC0D2D" w14:textId="77777777" w:rsidR="002F3324" w:rsidRPr="00534C57" w:rsidRDefault="002F3324" w:rsidP="002F3324">
      <w:pPr>
        <w:autoSpaceDE w:val="0"/>
        <w:autoSpaceDN w:val="0"/>
        <w:adjustRightInd w:val="0"/>
        <w:spacing w:after="0" w:line="240" w:lineRule="auto"/>
        <w:rPr>
          <w:rFonts w:ascii="Times New Roman" w:hAnsi="Times New Roman"/>
          <w:i/>
          <w:color w:val="000000"/>
          <w:u w:val="single"/>
        </w:rPr>
      </w:pPr>
      <w:r w:rsidRPr="00534C57">
        <w:rPr>
          <w:rFonts w:ascii="Times New Roman" w:hAnsi="Times New Roman"/>
          <w:i/>
          <w:iCs/>
          <w:color w:val="000000"/>
          <w:u w:val="single"/>
        </w:rPr>
        <w:t xml:space="preserve">Aspergillus </w:t>
      </w:r>
      <w:r w:rsidRPr="00534C57">
        <w:rPr>
          <w:rFonts w:ascii="Times New Roman" w:hAnsi="Times New Roman"/>
          <w:i/>
          <w:color w:val="000000"/>
          <w:u w:val="single"/>
        </w:rPr>
        <w:t>infekcija - veiksmingumas, gydant aspergilioze sergančius pacientus, kurių prognozė bloga</w:t>
      </w:r>
    </w:p>
    <w:p w14:paraId="1CC232B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 xml:space="preserve">In vitro </w:t>
      </w:r>
      <w:r w:rsidRPr="00534C57">
        <w:rPr>
          <w:rFonts w:ascii="Times New Roman" w:hAnsi="Times New Roman"/>
          <w:color w:val="000000"/>
        </w:rPr>
        <w:t xml:space="preserve">vorikonazolas sukelia fungicidinį poveikį </w:t>
      </w:r>
      <w:r w:rsidRPr="00534C57">
        <w:rPr>
          <w:rFonts w:ascii="Times New Roman" w:hAnsi="Times New Roman"/>
          <w:i/>
          <w:iCs/>
          <w:color w:val="000000"/>
        </w:rPr>
        <w:t xml:space="preserve">Aspergillus </w:t>
      </w:r>
      <w:r w:rsidRPr="00534C57">
        <w:rPr>
          <w:rFonts w:ascii="Times New Roman" w:hAnsi="Times New Roman"/>
          <w:color w:val="000000"/>
        </w:rPr>
        <w:t xml:space="preserve">rūšims. Ūminės invazinės aspergiliozės pagrindinio gydymo vorikonazolu poveikio efektyvumo ir pacientų išgyvenamumo pailgėjimo, palyginti su įprastiniu gydymu amfotericinu B, atviras klinikinis tyrimas buvo atliktas keliuose centruose, kuriuose 12 savaičių buvo gydomi atsitiktiniu būdu parinkti 277 ligoniai, kurių imuninės </w:t>
      </w:r>
      <w:r w:rsidRPr="00534C57">
        <w:rPr>
          <w:rFonts w:ascii="Times New Roman" w:hAnsi="Times New Roman"/>
          <w:color w:val="000000"/>
        </w:rPr>
        <w:lastRenderedPageBreak/>
        <w:t>sistemos funkcija buvo nepakankama. Į veną buvo leidžiama įsotinamoji 6</w:t>
      </w:r>
      <w:r w:rsidR="007B6FA7">
        <w:rPr>
          <w:rFonts w:ascii="Times New Roman" w:hAnsi="Times New Roman"/>
          <w:color w:val="000000"/>
        </w:rPr>
        <w:t> </w:t>
      </w:r>
      <w:r w:rsidRPr="00534C57">
        <w:rPr>
          <w:rFonts w:ascii="Times New Roman" w:hAnsi="Times New Roman"/>
          <w:color w:val="000000"/>
        </w:rPr>
        <w:t>mg/kg kūno svorio vorikonazolo dozė kas 12 valandų pirmąsias 24 valandas, vėliau – palaikomoji 4</w:t>
      </w:r>
      <w:r w:rsidR="007B6FA7">
        <w:rPr>
          <w:rFonts w:ascii="Times New Roman" w:hAnsi="Times New Roman"/>
          <w:color w:val="000000"/>
        </w:rPr>
        <w:t> </w:t>
      </w:r>
      <w:r w:rsidRPr="00534C57">
        <w:rPr>
          <w:rFonts w:ascii="Times New Roman" w:hAnsi="Times New Roman"/>
          <w:color w:val="000000"/>
        </w:rPr>
        <w:t>mg/kg kūno svorio dozė kas 12 valandų mažiausiai septynias paras. Vėliau gydymą buvo galima keisti į geriamąją formą ir vartoti 200</w:t>
      </w:r>
      <w:r w:rsidR="007B6FA7">
        <w:rPr>
          <w:rFonts w:ascii="Times New Roman" w:hAnsi="Times New Roman"/>
          <w:color w:val="000000"/>
        </w:rPr>
        <w:t> </w:t>
      </w:r>
      <w:r w:rsidRPr="00534C57">
        <w:rPr>
          <w:rFonts w:ascii="Times New Roman" w:hAnsi="Times New Roman"/>
          <w:color w:val="000000"/>
        </w:rPr>
        <w:t>mg dozę kas 12 valandų. Gydymas į veną leidžiamu vorikonazolu truko vidutiniškai 10 parų (nuo 2 iki 85 parų). Baigus gydymą vorikonazolu į veną, gydymas geriamuoju vorikonazolu truko vidutiniškai 76 paras (nuo 2 iki 232 parų).</w:t>
      </w:r>
    </w:p>
    <w:p w14:paraId="611F84B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134621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53 % vorikonazolu gydytų pacientų bendras vaistinio preparato poveikis buvo patenkinamas (iš dalies arba visiškai išnyko visi būdingi simptomai ir požymiai, išnyko rentgenologinių arba bronchoskopinių tyrimų metu nustatyti pradiniai pokyčiai). Gydant palyginamuoju preparatu, toks poveikis pasireiškė 31 % pacientų. Vorikonazolu gydytų ir 84 dienas išgyvenusių pacientų procentas buvo statistiškai patikimai didesnis nei gydytų palyginamuoju vaistiniu preparatu. Be to, laiko iki mirties ir laiko iki gydymo nutraukimo dėl vorikonazolo toksinio poveikio atžvilgiu, klinikiniai ir statistiniai duomenys rodė, kad pastarasis vaistinis preparatas yra efektyvesnis.</w:t>
      </w:r>
    </w:p>
    <w:p w14:paraId="21A2CF0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DEC7FB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Šis klinikinis tyrimas patvirtina anksčiau atliktų tyrimų rezultatus, rodančius teigiamą baigtį rizikos grupės pacientams, kurių ligos prognozė buvo bloga, įskaitant transplantanto prieš šeimininką ligą, ir ypač sergant smegenų infekcine liga (paprastai susijusios su 100 % mirtingumu).</w:t>
      </w:r>
    </w:p>
    <w:p w14:paraId="74EBFF8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CB6772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Tyrimai atlikti įtraukiant ligonius, sergančius smegenų, sinusų, plaučių ir išsėtine aspergilioze, kuriems buvo transplantuoti kaulų čiulpai, vidaus standieji organai bei kurie sirgo kraujo ar kitokiu vėžiu arba AIDS.</w:t>
      </w:r>
    </w:p>
    <w:p w14:paraId="1F059A9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50845A8"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Kandidemija pacientams, kuriems nėra neutropenijos</w:t>
      </w:r>
    </w:p>
    <w:p w14:paraId="19651DB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Atviro palyginamojo klinikinio tyrimo metu vorikonazolo veiksmingumas buvo palygintas su amfotericino B ir, vėliau, su flukonazolo, kaip pirmaeilio preparato kandidemijos gydymui, veiksmingumu. Tyrime dalyvavo 370 pacientų, kuriems nebuvo neutropenijos (vyresnių negu 12 metų) ir buvo nustatyta kandidemija; iš jų 248 vartojo vorikonazolą. Devyniems vorikonazolą ir 5 amfotereciną B bei vėliau flukonazolą vartojusiems asmenims buvo patvirtinta grybelių sukelta giliųjų audinių infekcinė liga. Pacientai, kurie sirgo inkstų nepakankamumu, į tyrimą neįtraukti. Vidutinė gydymo trukmė abiejose tyrimo grupėse buvo 15 dienų. Atliekant pirminę analizę, Duomenų vertinimo komitetas (DVK), kuris nežinojo tiriamojo medikamento (aklasis būdas), geru vaistinio preparato veiksmingumu įvertino pasveikimą arba visų klinikinių infekcinės ligos simptomų ir požymių pagerėjimą, išnaikinus </w:t>
      </w:r>
      <w:r w:rsidRPr="00534C57">
        <w:rPr>
          <w:rFonts w:ascii="Times New Roman" w:hAnsi="Times New Roman"/>
          <w:i/>
          <w:iCs/>
          <w:color w:val="000000"/>
        </w:rPr>
        <w:t xml:space="preserve">Candida </w:t>
      </w:r>
      <w:r w:rsidRPr="00534C57">
        <w:rPr>
          <w:rFonts w:ascii="Times New Roman" w:hAnsi="Times New Roman"/>
          <w:color w:val="000000"/>
        </w:rPr>
        <w:t>kraujyje ir infekcijos pažeistuose giliuosiuose audiniuose, praėjus 12 savaičių užbaigus gydymą (UG). Pacientai, kurių būklė praėjus 12 savaičių UG nebuvo įvertinta, priskirti prie tų, kuriems gydymas buvo neveiksmingas. Šios analizės metu geras veiksmingumas nustatytas 41 % pacientų abiejose gydymo grupėse.</w:t>
      </w:r>
    </w:p>
    <w:p w14:paraId="5731CD9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CA9317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Antrinės analizės, kurios metu DVK vertino vėliausiu galimu laiku (užbaigus gydymą arba po 2, 6, 12 savaičių užbaigus gydymą), vorikonazolo ir amfoteracino B, vėliau vartojant flukonazolą, geras veiksmingumas buvo atitinkamai 65 % ir 71 %.</w:t>
      </w:r>
    </w:p>
    <w:p w14:paraId="71DA5AC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0D9238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Tyrėjo sėkmingos baigties veiksmingumo įvertinimas kiekvienu laikotarpiu pateiktas lentelėje.</w:t>
      </w:r>
    </w:p>
    <w:p w14:paraId="0535353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09"/>
        <w:gridCol w:w="3026"/>
        <w:gridCol w:w="3025"/>
      </w:tblGrid>
      <w:tr w:rsidR="00914B2F" w:rsidRPr="00F909DC" w14:paraId="23158904" w14:textId="77777777" w:rsidTr="00914B2F">
        <w:tc>
          <w:tcPr>
            <w:tcW w:w="3096" w:type="dxa"/>
          </w:tcPr>
          <w:p w14:paraId="6547F8F0" w14:textId="77777777" w:rsidR="002F3324" w:rsidRPr="00534C57" w:rsidRDefault="002F3324" w:rsidP="002F3324">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b/>
                <w:bCs/>
                <w:i/>
                <w:iCs/>
                <w:color w:val="000000"/>
              </w:rPr>
              <w:t>Vertinimo laikas</w:t>
            </w:r>
          </w:p>
        </w:tc>
        <w:tc>
          <w:tcPr>
            <w:tcW w:w="3096" w:type="dxa"/>
          </w:tcPr>
          <w:p w14:paraId="15260D98" w14:textId="77777777" w:rsidR="002F3324" w:rsidRPr="00534C57" w:rsidRDefault="002F3324" w:rsidP="002F3324">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b/>
                <w:bCs/>
                <w:i/>
                <w:iCs/>
                <w:color w:val="000000"/>
              </w:rPr>
              <w:t>Vorikonazolas (N=248)</w:t>
            </w:r>
          </w:p>
        </w:tc>
        <w:tc>
          <w:tcPr>
            <w:tcW w:w="3096" w:type="dxa"/>
          </w:tcPr>
          <w:p w14:paraId="6FE4441A" w14:textId="77777777" w:rsidR="002F3324" w:rsidRPr="00534C57" w:rsidRDefault="002F3324" w:rsidP="002F3324">
            <w:pPr>
              <w:autoSpaceDE w:val="0"/>
              <w:autoSpaceDN w:val="0"/>
              <w:adjustRightInd w:val="0"/>
              <w:spacing w:after="0" w:line="240" w:lineRule="auto"/>
              <w:jc w:val="center"/>
              <w:rPr>
                <w:rFonts w:ascii="Times New Roman" w:hAnsi="Times New Roman"/>
                <w:b/>
                <w:bCs/>
                <w:i/>
                <w:iCs/>
                <w:color w:val="000000"/>
              </w:rPr>
            </w:pPr>
            <w:r w:rsidRPr="00534C57">
              <w:rPr>
                <w:rFonts w:ascii="Times New Roman" w:hAnsi="Times New Roman"/>
                <w:b/>
                <w:bCs/>
                <w:i/>
                <w:iCs/>
                <w:color w:val="000000"/>
              </w:rPr>
              <w:t>Amfotericinas B → flukonazolas (N=122)</w:t>
            </w:r>
          </w:p>
        </w:tc>
      </w:tr>
      <w:tr w:rsidR="00914B2F" w:rsidRPr="00F909DC" w14:paraId="515A1582" w14:textId="77777777" w:rsidTr="00914B2F">
        <w:tc>
          <w:tcPr>
            <w:tcW w:w="3096" w:type="dxa"/>
          </w:tcPr>
          <w:p w14:paraId="0C3623C4" w14:textId="77777777" w:rsidR="002F3324" w:rsidRPr="00534C57" w:rsidRDefault="002F3324" w:rsidP="002F3324">
            <w:pPr>
              <w:autoSpaceDE w:val="0"/>
              <w:autoSpaceDN w:val="0"/>
              <w:adjustRightInd w:val="0"/>
              <w:spacing w:after="0" w:line="240" w:lineRule="auto"/>
              <w:rPr>
                <w:rFonts w:ascii="Times New Roman" w:hAnsi="Times New Roman"/>
                <w:bCs/>
                <w:iCs/>
                <w:color w:val="000000"/>
              </w:rPr>
            </w:pPr>
            <w:r w:rsidRPr="00534C57">
              <w:rPr>
                <w:rFonts w:ascii="Times New Roman" w:hAnsi="Times New Roman"/>
                <w:bCs/>
                <w:iCs/>
                <w:color w:val="000000"/>
              </w:rPr>
              <w:t>UG</w:t>
            </w:r>
          </w:p>
        </w:tc>
        <w:tc>
          <w:tcPr>
            <w:tcW w:w="3096" w:type="dxa"/>
          </w:tcPr>
          <w:p w14:paraId="1406CA5B"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178 (72 %)</w:t>
            </w:r>
          </w:p>
        </w:tc>
        <w:tc>
          <w:tcPr>
            <w:tcW w:w="3096" w:type="dxa"/>
          </w:tcPr>
          <w:p w14:paraId="638DC8B8"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88 (72 %)</w:t>
            </w:r>
          </w:p>
        </w:tc>
      </w:tr>
      <w:tr w:rsidR="00914B2F" w:rsidRPr="00F909DC" w14:paraId="677ADBA0" w14:textId="77777777" w:rsidTr="00914B2F">
        <w:tc>
          <w:tcPr>
            <w:tcW w:w="3096" w:type="dxa"/>
          </w:tcPr>
          <w:p w14:paraId="07F7EDD4" w14:textId="77777777" w:rsidR="002F3324" w:rsidRPr="00534C57" w:rsidRDefault="002F3324" w:rsidP="002F3324">
            <w:pPr>
              <w:autoSpaceDE w:val="0"/>
              <w:autoSpaceDN w:val="0"/>
              <w:adjustRightInd w:val="0"/>
              <w:spacing w:after="0" w:line="240" w:lineRule="auto"/>
              <w:rPr>
                <w:rFonts w:ascii="Times New Roman" w:hAnsi="Times New Roman"/>
                <w:b/>
                <w:bCs/>
                <w:iCs/>
                <w:color w:val="000000"/>
              </w:rPr>
            </w:pPr>
            <w:r w:rsidRPr="00534C57">
              <w:rPr>
                <w:rFonts w:ascii="Times New Roman" w:hAnsi="Times New Roman"/>
                <w:iCs/>
                <w:color w:val="000000"/>
              </w:rPr>
              <w:t>UG po 2 savaičių</w:t>
            </w:r>
          </w:p>
        </w:tc>
        <w:tc>
          <w:tcPr>
            <w:tcW w:w="3096" w:type="dxa"/>
          </w:tcPr>
          <w:p w14:paraId="4D6B8A13"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125 (50 %)</w:t>
            </w:r>
          </w:p>
        </w:tc>
        <w:tc>
          <w:tcPr>
            <w:tcW w:w="3096" w:type="dxa"/>
          </w:tcPr>
          <w:p w14:paraId="319CCD40"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62 (51 %)</w:t>
            </w:r>
          </w:p>
        </w:tc>
      </w:tr>
      <w:tr w:rsidR="00914B2F" w:rsidRPr="00F909DC" w14:paraId="06FA4E43" w14:textId="77777777" w:rsidTr="00914B2F">
        <w:tc>
          <w:tcPr>
            <w:tcW w:w="3096" w:type="dxa"/>
          </w:tcPr>
          <w:p w14:paraId="6F487EFC" w14:textId="77777777" w:rsidR="002F3324" w:rsidRPr="00534C57" w:rsidRDefault="002F3324" w:rsidP="002F3324">
            <w:pPr>
              <w:autoSpaceDE w:val="0"/>
              <w:autoSpaceDN w:val="0"/>
              <w:adjustRightInd w:val="0"/>
              <w:spacing w:after="0" w:line="240" w:lineRule="auto"/>
              <w:rPr>
                <w:rFonts w:ascii="Times New Roman" w:hAnsi="Times New Roman"/>
                <w:b/>
                <w:bCs/>
                <w:iCs/>
                <w:color w:val="000000"/>
              </w:rPr>
            </w:pPr>
            <w:r w:rsidRPr="00534C57">
              <w:rPr>
                <w:rFonts w:ascii="Times New Roman" w:hAnsi="Times New Roman"/>
                <w:iCs/>
                <w:color w:val="000000"/>
              </w:rPr>
              <w:t>UG po 6 savaičių</w:t>
            </w:r>
          </w:p>
        </w:tc>
        <w:tc>
          <w:tcPr>
            <w:tcW w:w="3096" w:type="dxa"/>
          </w:tcPr>
          <w:p w14:paraId="4B3C7F09"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104 (42 %)</w:t>
            </w:r>
          </w:p>
        </w:tc>
        <w:tc>
          <w:tcPr>
            <w:tcW w:w="3096" w:type="dxa"/>
          </w:tcPr>
          <w:p w14:paraId="6AE24EEA"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55 (45 %)</w:t>
            </w:r>
          </w:p>
        </w:tc>
      </w:tr>
      <w:tr w:rsidR="00914B2F" w:rsidRPr="00F909DC" w14:paraId="0B69C651" w14:textId="77777777" w:rsidTr="00914B2F">
        <w:tc>
          <w:tcPr>
            <w:tcW w:w="3096" w:type="dxa"/>
          </w:tcPr>
          <w:p w14:paraId="4B991F81" w14:textId="77777777" w:rsidR="002F3324" w:rsidRPr="00534C57" w:rsidRDefault="002F3324" w:rsidP="002F3324">
            <w:pPr>
              <w:autoSpaceDE w:val="0"/>
              <w:autoSpaceDN w:val="0"/>
              <w:adjustRightInd w:val="0"/>
              <w:spacing w:after="0" w:line="240" w:lineRule="auto"/>
              <w:rPr>
                <w:rFonts w:ascii="Times New Roman" w:hAnsi="Times New Roman"/>
                <w:b/>
                <w:bCs/>
                <w:iCs/>
                <w:color w:val="000000"/>
              </w:rPr>
            </w:pPr>
            <w:r w:rsidRPr="00534C57">
              <w:rPr>
                <w:rFonts w:ascii="Times New Roman" w:hAnsi="Times New Roman"/>
                <w:iCs/>
                <w:color w:val="000000"/>
              </w:rPr>
              <w:t>UG po 12 savaičių</w:t>
            </w:r>
          </w:p>
        </w:tc>
        <w:tc>
          <w:tcPr>
            <w:tcW w:w="3096" w:type="dxa"/>
          </w:tcPr>
          <w:p w14:paraId="4C5A766C"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104 (42 %)</w:t>
            </w:r>
          </w:p>
        </w:tc>
        <w:tc>
          <w:tcPr>
            <w:tcW w:w="3096" w:type="dxa"/>
          </w:tcPr>
          <w:p w14:paraId="457DEFEA" w14:textId="77777777" w:rsidR="002F3324" w:rsidRPr="00534C57" w:rsidRDefault="002F3324" w:rsidP="002F3324">
            <w:pPr>
              <w:autoSpaceDE w:val="0"/>
              <w:autoSpaceDN w:val="0"/>
              <w:adjustRightInd w:val="0"/>
              <w:spacing w:after="0" w:line="240" w:lineRule="auto"/>
              <w:jc w:val="center"/>
              <w:rPr>
                <w:rFonts w:ascii="Times New Roman" w:hAnsi="Times New Roman"/>
                <w:b/>
                <w:bCs/>
                <w:iCs/>
                <w:color w:val="000000"/>
              </w:rPr>
            </w:pPr>
            <w:r w:rsidRPr="00534C57">
              <w:rPr>
                <w:rFonts w:ascii="Times New Roman" w:hAnsi="Times New Roman"/>
                <w:iCs/>
                <w:color w:val="000000"/>
              </w:rPr>
              <w:t>51 (42 %)</w:t>
            </w:r>
          </w:p>
        </w:tc>
      </w:tr>
    </w:tbl>
    <w:p w14:paraId="73E9D0E3"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6BFF8EE5"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i/>
          <w:iCs/>
          <w:color w:val="000000"/>
          <w:u w:val="single"/>
        </w:rPr>
        <w:t xml:space="preserve">Candida </w:t>
      </w:r>
      <w:r w:rsidRPr="00534C57">
        <w:rPr>
          <w:rFonts w:ascii="Times New Roman" w:hAnsi="Times New Roman"/>
          <w:color w:val="000000"/>
          <w:u w:val="single"/>
        </w:rPr>
        <w:t>sukeltos sunkios atsparios infekcinės ligos</w:t>
      </w:r>
    </w:p>
    <w:p w14:paraId="4619DFE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Tyrimai atlikti su 55 pacientais, sergančiais sunkia atsparia sistemine </w:t>
      </w:r>
      <w:r w:rsidRPr="00534C57">
        <w:rPr>
          <w:rFonts w:ascii="Times New Roman" w:hAnsi="Times New Roman"/>
          <w:i/>
          <w:iCs/>
          <w:color w:val="000000"/>
        </w:rPr>
        <w:t xml:space="preserve">Candida </w:t>
      </w:r>
      <w:r w:rsidRPr="00534C57">
        <w:rPr>
          <w:rFonts w:ascii="Times New Roman" w:hAnsi="Times New Roman"/>
          <w:color w:val="000000"/>
        </w:rPr>
        <w:t xml:space="preserve">sukelta infekcine liga (įskaitant kandidemiją, išsėtinę arba kitokią invazinę kandidamikozę), kuriai anksčiau vartoti priešgrybelinio poveikio preparatai, ypač flukonazolas, buvo neefektyvūs. Geras poveikis pasireiškė 24 pacientams (15 iš jų visiškai pasveiko, 9 iš dalies). Gydant flukonazolo poveikiui atsparių ne </w:t>
      </w:r>
      <w:r w:rsidRPr="00534C57">
        <w:rPr>
          <w:rFonts w:ascii="Times New Roman" w:hAnsi="Times New Roman"/>
          <w:i/>
          <w:iCs/>
          <w:color w:val="000000"/>
        </w:rPr>
        <w:lastRenderedPageBreak/>
        <w:t xml:space="preserve">albicans </w:t>
      </w:r>
      <w:r w:rsidRPr="00534C57">
        <w:rPr>
          <w:rFonts w:ascii="Times New Roman" w:hAnsi="Times New Roman"/>
          <w:color w:val="000000"/>
        </w:rPr>
        <w:t xml:space="preserve">rūšių sukeltą infekcinę ligą, geras poveikis pasireiškė 3 pacientams (visiškai pasveiko) iš 3, sergančių </w:t>
      </w:r>
      <w:r w:rsidRPr="00534C57">
        <w:rPr>
          <w:rFonts w:ascii="Times New Roman" w:hAnsi="Times New Roman"/>
          <w:i/>
          <w:iCs/>
          <w:color w:val="000000"/>
        </w:rPr>
        <w:t xml:space="preserve">C. krusei </w:t>
      </w:r>
      <w:r w:rsidRPr="00534C57">
        <w:rPr>
          <w:rFonts w:ascii="Times New Roman" w:hAnsi="Times New Roman"/>
          <w:color w:val="000000"/>
        </w:rPr>
        <w:t xml:space="preserve">sukelta infekcine liga, ir 6 pacientams iš 8, sergančių </w:t>
      </w:r>
      <w:r w:rsidRPr="00534C57">
        <w:rPr>
          <w:rFonts w:ascii="Times New Roman" w:hAnsi="Times New Roman"/>
          <w:i/>
          <w:iCs/>
          <w:color w:val="000000"/>
        </w:rPr>
        <w:t xml:space="preserve">C. glabrata </w:t>
      </w:r>
      <w:r w:rsidRPr="00534C57">
        <w:rPr>
          <w:rFonts w:ascii="Times New Roman" w:hAnsi="Times New Roman"/>
          <w:color w:val="000000"/>
        </w:rPr>
        <w:t>sukelta liga (5 ligoniai pasveiko visiškai, 1 iš dalies). Klinikinio poveikio veiksmingumas buvo paremtas ribotais mikroorganizmų jautrumo duomenimis.</w:t>
      </w:r>
    </w:p>
    <w:p w14:paraId="69AF6C5E" w14:textId="77777777" w:rsidR="002F3324" w:rsidRPr="00534C57" w:rsidRDefault="002F3324" w:rsidP="002F3324">
      <w:pPr>
        <w:autoSpaceDE w:val="0"/>
        <w:autoSpaceDN w:val="0"/>
        <w:adjustRightInd w:val="0"/>
        <w:spacing w:after="0" w:line="240" w:lineRule="auto"/>
        <w:rPr>
          <w:rFonts w:ascii="Times New Roman" w:hAnsi="Times New Roman"/>
          <w:i/>
          <w:iCs/>
          <w:color w:val="000000"/>
        </w:rPr>
      </w:pPr>
    </w:p>
    <w:p w14:paraId="09DD4EFC"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i/>
          <w:iCs/>
          <w:color w:val="000000"/>
          <w:u w:val="single"/>
        </w:rPr>
        <w:t xml:space="preserve">Scedosporium </w:t>
      </w:r>
      <w:r w:rsidRPr="00534C57">
        <w:rPr>
          <w:rFonts w:ascii="Times New Roman" w:hAnsi="Times New Roman"/>
          <w:color w:val="000000"/>
          <w:u w:val="single"/>
        </w:rPr>
        <w:t xml:space="preserve">ir </w:t>
      </w:r>
      <w:r w:rsidRPr="00534C57">
        <w:rPr>
          <w:rFonts w:ascii="Times New Roman" w:hAnsi="Times New Roman"/>
          <w:i/>
          <w:iCs/>
          <w:color w:val="000000"/>
          <w:u w:val="single"/>
        </w:rPr>
        <w:t xml:space="preserve">Fusarium </w:t>
      </w:r>
      <w:r w:rsidRPr="00534C57">
        <w:rPr>
          <w:rFonts w:ascii="Times New Roman" w:hAnsi="Times New Roman"/>
          <w:color w:val="000000"/>
          <w:u w:val="single"/>
        </w:rPr>
        <w:t>sukeltos infekcinės ligos</w:t>
      </w:r>
    </w:p>
    <w:p w14:paraId="0A2BBE3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efektyviai veikia toliau išvardytas retas grybelių rūšis.</w:t>
      </w:r>
    </w:p>
    <w:p w14:paraId="4B2C0A7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39A0E3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 xml:space="preserve">Scedosporium </w:t>
      </w:r>
      <w:r w:rsidRPr="00534C57">
        <w:rPr>
          <w:rFonts w:ascii="Times New Roman" w:hAnsi="Times New Roman"/>
          <w:color w:val="000000"/>
        </w:rPr>
        <w:t xml:space="preserve">rūšys: vorikonazolo poveikis buvo geras 16 pacientų iš 28, sergančių </w:t>
      </w:r>
      <w:r w:rsidRPr="00534C57">
        <w:rPr>
          <w:rFonts w:ascii="Times New Roman" w:hAnsi="Times New Roman"/>
          <w:i/>
          <w:iCs/>
          <w:color w:val="000000"/>
        </w:rPr>
        <w:t xml:space="preserve">S. apiospermum </w:t>
      </w:r>
      <w:r w:rsidRPr="00534C57">
        <w:rPr>
          <w:rFonts w:ascii="Times New Roman" w:hAnsi="Times New Roman"/>
          <w:color w:val="000000"/>
        </w:rPr>
        <w:t xml:space="preserve">sukelta infekcine liga (6 pacientai išgijo visiškai, 10 iš dalies), bei 2 pacientams (abu išgijo iš dalies) iš 7, užsikrėtusių </w:t>
      </w:r>
      <w:r w:rsidRPr="00534C57">
        <w:rPr>
          <w:rFonts w:ascii="Times New Roman" w:hAnsi="Times New Roman"/>
          <w:i/>
          <w:iCs/>
          <w:color w:val="000000"/>
        </w:rPr>
        <w:t xml:space="preserve">S. prolificans </w:t>
      </w:r>
      <w:r w:rsidRPr="00534C57">
        <w:rPr>
          <w:rFonts w:ascii="Times New Roman" w:hAnsi="Times New Roman"/>
          <w:color w:val="000000"/>
        </w:rPr>
        <w:t xml:space="preserve">sukelta infekcine liga. Be to, gerą poveikį preparatas sukėlė 1 ligoniui iš 3, kurie sirgo daugiau kaip vieno mikroorganizmo, įskaitant </w:t>
      </w:r>
      <w:r w:rsidRPr="00534C57">
        <w:rPr>
          <w:rFonts w:ascii="Times New Roman" w:hAnsi="Times New Roman"/>
          <w:i/>
          <w:iCs/>
          <w:color w:val="000000"/>
        </w:rPr>
        <w:t xml:space="preserve">Scedosporium </w:t>
      </w:r>
      <w:r w:rsidRPr="00534C57">
        <w:rPr>
          <w:rFonts w:ascii="Times New Roman" w:hAnsi="Times New Roman"/>
          <w:color w:val="000000"/>
        </w:rPr>
        <w:t>rūšių, sukelta infekcine liga.</w:t>
      </w:r>
    </w:p>
    <w:p w14:paraId="7820E49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0ED87B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i/>
          <w:iCs/>
          <w:color w:val="000000"/>
        </w:rPr>
        <w:t xml:space="preserve">Fusarium </w:t>
      </w:r>
      <w:r w:rsidRPr="00534C57">
        <w:rPr>
          <w:rFonts w:ascii="Times New Roman" w:hAnsi="Times New Roman"/>
          <w:color w:val="000000"/>
        </w:rPr>
        <w:t>rūšys: geras gydomasis vorikonazolo poveikis pasireiškė 7 pacientams (3 išgijo visiškai, 4 iš dalies) iš 17. Iš šių 7 pacientų 3 sirgo akių, 1 – sinusų ir 3 - išsėtine grybelių sukelta infekcine liga. Be to, keturiems ligoniams, sergantiems fuzarioze, pasireiškė ir kitokių mikroorganizmų sukeltos infekcine ligos požymių. Dviem iš jų gydymas buvo sėkmingas.</w:t>
      </w:r>
    </w:p>
    <w:p w14:paraId="537B2BE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75002E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Dauguma pacientų, vartojusių vorikonazolo aukščiau aprašytoms retoms infekcinėms ligoms gydyti, anksčiau buvo gydyti kitokiais vaistiniais preparatais nuo grybelių. Ligoniai šių preparatų netoleravo arba infekcija jų poveikiui buvo atspari.</w:t>
      </w:r>
    </w:p>
    <w:p w14:paraId="138C246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25E082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u w:val="single"/>
        </w:rPr>
        <w:t>Pirminė invazinių grybelinių infekcijų profilaktika – veiksmingumas pacientams, kuriems buvo atlikta hemopoezinių kamieninių ląstelių transplantacija be anksčiau nustatytos ar įtariamos invazinės grybelių sukeltos infekcinės ligos</w:t>
      </w:r>
    </w:p>
    <w:p w14:paraId="6C6C37A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buvo lyginamas su itrakonazolu kaip pirmaeiliu profilaktikai vartojamu vaistiniu preparatu, atvirame, palyginamajame daugiacentriame tyrime suaugusiesiems ir paaugliams, kuriems buvo atlikta alogeninė hemopoezinių kamieninių ląstelių transplantacija be anksčiau nustatytos ar įtariamos invazinės grybelių sukeltos infekcinės ligos. Sėkmė buvo apibrėžta kaip gebėjimas tęsti tiriamojo vaistinio preparato vartojimą profilaktikai 100 parų po hemopoezinių kamieninių ląstelių transplantacijos (be sustojimo &gt;14 parų) ir išgyventi be nustatytos ar įtariamos invazinės grybelių sukeltos infekcinės ligos 180 parų po hemopoezinių kamieninių ląstelių transplantacijos. Modifikuoto tikslingo gydymo (MITT) grupėje buvo 465 pacientai, kuriems buvo atlikta alogeninė hemopoezinių kamieninių ląstelių transplantacija, iš jų 45 % pacientų sirgo ūmine mieloleukemija. 58 % pacientų buvo taikomi mieloabliaciniai gydymo režimai. Profilaktika tiriamuoju vaistiniu preparatu buvo pradėta iš karto po hemopoezinių kamieninių ląstelių transplantacijos: 224 pacientai vartojo vorikonazolo ir 241 pacientas – itrakonazolo. Vidutinė profilaktinio gydymo vorikonazolu trukmė buvo 96 paros, o itrakonazolu – 68 paros MITT grupėje.</w:t>
      </w:r>
    </w:p>
    <w:p w14:paraId="0EA0004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B38537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Sėkmės lygis ir kiti antriniai vertinimo kriterijai yra pateikti toliau lentelėje.</w:t>
      </w:r>
    </w:p>
    <w:p w14:paraId="2AE7506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bl>
      <w:tblPr>
        <w:tblW w:w="9288" w:type="dxa"/>
        <w:tblInd w:w="99" w:type="dxa"/>
        <w:tblLayout w:type="fixed"/>
        <w:tblCellMar>
          <w:left w:w="0" w:type="dxa"/>
          <w:right w:w="0" w:type="dxa"/>
        </w:tblCellMar>
        <w:tblLook w:val="01E0" w:firstRow="1" w:lastRow="1" w:firstColumn="1" w:lastColumn="1" w:noHBand="0" w:noVBand="0"/>
      </w:tblPr>
      <w:tblGrid>
        <w:gridCol w:w="1858"/>
        <w:gridCol w:w="1610"/>
        <w:gridCol w:w="1560"/>
        <w:gridCol w:w="3000"/>
        <w:gridCol w:w="1260"/>
      </w:tblGrid>
      <w:tr w:rsidR="002F3324" w:rsidRPr="00F909DC" w14:paraId="340D9F8E" w14:textId="77777777" w:rsidTr="00D21150">
        <w:trPr>
          <w:trHeight w:hRule="exact" w:val="768"/>
        </w:trPr>
        <w:tc>
          <w:tcPr>
            <w:tcW w:w="1858" w:type="dxa"/>
            <w:tcBorders>
              <w:top w:val="single" w:sz="4" w:space="0" w:color="000000"/>
              <w:left w:val="single" w:sz="4" w:space="0" w:color="000000"/>
              <w:bottom w:val="single" w:sz="4" w:space="0" w:color="000000"/>
              <w:right w:val="single" w:sz="4" w:space="0" w:color="000000"/>
            </w:tcBorders>
          </w:tcPr>
          <w:p w14:paraId="07054F07"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Tyrimo</w:t>
            </w:r>
          </w:p>
          <w:p w14:paraId="71B56275" w14:textId="77777777" w:rsidR="002F3324" w:rsidRPr="00534C57" w:rsidRDefault="002F3324" w:rsidP="002F3324">
            <w:pPr>
              <w:spacing w:after="0" w:line="240" w:lineRule="auto"/>
              <w:ind w:left="102" w:right="767"/>
              <w:rPr>
                <w:rFonts w:ascii="Times New Roman" w:eastAsia="Times New Roman" w:hAnsi="Times New Roman"/>
              </w:rPr>
            </w:pPr>
            <w:r w:rsidRPr="00534C57">
              <w:rPr>
                <w:rFonts w:ascii="Times New Roman" w:eastAsia="Times New Roman" w:hAnsi="Times New Roman"/>
                <w:b/>
                <w:bCs/>
              </w:rPr>
              <w:t>vertinimo kriterijai</w:t>
            </w:r>
          </w:p>
        </w:tc>
        <w:tc>
          <w:tcPr>
            <w:tcW w:w="1610" w:type="dxa"/>
            <w:tcBorders>
              <w:top w:val="single" w:sz="4" w:space="0" w:color="000000"/>
              <w:left w:val="single" w:sz="4" w:space="0" w:color="000000"/>
              <w:bottom w:val="single" w:sz="4" w:space="0" w:color="000000"/>
              <w:right w:val="single" w:sz="4" w:space="0" w:color="000000"/>
            </w:tcBorders>
          </w:tcPr>
          <w:p w14:paraId="568F1511"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Vorikonazolas</w:t>
            </w:r>
          </w:p>
          <w:p w14:paraId="4A28230A"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spacing w:val="-1"/>
              </w:rPr>
              <w:t>N</w:t>
            </w:r>
            <w:r w:rsidRPr="00534C57">
              <w:rPr>
                <w:rFonts w:ascii="Times New Roman" w:eastAsia="Times New Roman" w:hAnsi="Times New Roman"/>
                <w:b/>
                <w:bCs/>
              </w:rPr>
              <w:t>=224</w:t>
            </w:r>
          </w:p>
        </w:tc>
        <w:tc>
          <w:tcPr>
            <w:tcW w:w="1560" w:type="dxa"/>
            <w:tcBorders>
              <w:top w:val="single" w:sz="4" w:space="0" w:color="000000"/>
              <w:left w:val="single" w:sz="4" w:space="0" w:color="000000"/>
              <w:bottom w:val="single" w:sz="4" w:space="0" w:color="000000"/>
              <w:right w:val="single" w:sz="4" w:space="0" w:color="000000"/>
            </w:tcBorders>
          </w:tcPr>
          <w:p w14:paraId="00D505C3"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Itrakonazolas</w:t>
            </w:r>
          </w:p>
          <w:p w14:paraId="074AB620"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spacing w:val="-1"/>
              </w:rPr>
              <w:t>N=241</w:t>
            </w:r>
          </w:p>
        </w:tc>
        <w:tc>
          <w:tcPr>
            <w:tcW w:w="3000" w:type="dxa"/>
            <w:tcBorders>
              <w:top w:val="single" w:sz="4" w:space="0" w:color="000000"/>
              <w:left w:val="single" w:sz="4" w:space="0" w:color="000000"/>
              <w:bottom w:val="single" w:sz="4" w:space="0" w:color="000000"/>
              <w:right w:val="single" w:sz="4" w:space="0" w:color="000000"/>
            </w:tcBorders>
          </w:tcPr>
          <w:p w14:paraId="5839AA83"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Proporcijų skirtumas ir 95</w:t>
            </w:r>
            <w:r w:rsidR="007B6FA7">
              <w:rPr>
                <w:rFonts w:ascii="Times New Roman" w:eastAsia="Times New Roman" w:hAnsi="Times New Roman"/>
                <w:b/>
                <w:bCs/>
              </w:rPr>
              <w:t> </w:t>
            </w:r>
            <w:r w:rsidRPr="00534C57">
              <w:rPr>
                <w:rFonts w:ascii="Times New Roman" w:eastAsia="Times New Roman" w:hAnsi="Times New Roman"/>
                <w:b/>
                <w:bCs/>
              </w:rPr>
              <w:t>% pasikliovimo intervalas</w:t>
            </w:r>
          </w:p>
          <w:p w14:paraId="374F5478"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(PI)</w:t>
            </w:r>
          </w:p>
        </w:tc>
        <w:tc>
          <w:tcPr>
            <w:tcW w:w="1260" w:type="dxa"/>
            <w:tcBorders>
              <w:top w:val="single" w:sz="4" w:space="0" w:color="000000"/>
              <w:left w:val="single" w:sz="4" w:space="0" w:color="000000"/>
              <w:bottom w:val="single" w:sz="4" w:space="0" w:color="000000"/>
              <w:right w:val="single" w:sz="4" w:space="0" w:color="000000"/>
            </w:tcBorders>
          </w:tcPr>
          <w:p w14:paraId="79685EE6"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p vertė</w:t>
            </w:r>
          </w:p>
        </w:tc>
      </w:tr>
      <w:tr w:rsidR="002F3324" w:rsidRPr="00F909DC" w14:paraId="317756CE" w14:textId="77777777" w:rsidTr="00D21150">
        <w:trPr>
          <w:trHeight w:hRule="exact" w:val="264"/>
        </w:trPr>
        <w:tc>
          <w:tcPr>
            <w:tcW w:w="1858" w:type="dxa"/>
            <w:tcBorders>
              <w:top w:val="single" w:sz="4" w:space="0" w:color="000000"/>
              <w:left w:val="single" w:sz="4" w:space="0" w:color="000000"/>
              <w:bottom w:val="single" w:sz="4" w:space="0" w:color="000000"/>
              <w:right w:val="single" w:sz="4" w:space="0" w:color="000000"/>
            </w:tcBorders>
          </w:tcPr>
          <w:p w14:paraId="09AEEA20"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Sėkmė</w:t>
            </w:r>
            <w:r w:rsidRPr="00534C57">
              <w:rPr>
                <w:rFonts w:ascii="Times New Roman" w:eastAsia="Times New Roman" w:hAnsi="Times New Roman"/>
                <w:spacing w:val="-1"/>
              </w:rPr>
              <w:t xml:space="preserve"> </w:t>
            </w:r>
            <w:r w:rsidRPr="00534C57">
              <w:rPr>
                <w:rFonts w:ascii="Times New Roman" w:eastAsia="Times New Roman" w:hAnsi="Times New Roman"/>
              </w:rPr>
              <w:t>180* pa</w:t>
            </w:r>
            <w:r w:rsidRPr="00534C57">
              <w:rPr>
                <w:rFonts w:ascii="Times New Roman" w:eastAsia="Times New Roman" w:hAnsi="Times New Roman"/>
                <w:spacing w:val="-2"/>
              </w:rPr>
              <w:t>r</w:t>
            </w:r>
            <w:r w:rsidRPr="00534C57">
              <w:rPr>
                <w:rFonts w:ascii="Times New Roman" w:eastAsia="Times New Roman" w:hAnsi="Times New Roman"/>
              </w:rPr>
              <w:t>ą</w:t>
            </w:r>
          </w:p>
        </w:tc>
        <w:tc>
          <w:tcPr>
            <w:tcW w:w="1610" w:type="dxa"/>
            <w:tcBorders>
              <w:top w:val="single" w:sz="4" w:space="0" w:color="000000"/>
              <w:left w:val="single" w:sz="4" w:space="0" w:color="000000"/>
              <w:bottom w:val="single" w:sz="4" w:space="0" w:color="000000"/>
              <w:right w:val="single" w:sz="4" w:space="0" w:color="000000"/>
            </w:tcBorders>
          </w:tcPr>
          <w:p w14:paraId="16587172"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 xml:space="preserve">109 (48,7 </w:t>
            </w:r>
            <w:r w:rsidRPr="00534C57">
              <w:rPr>
                <w:rFonts w:ascii="Times New Roman" w:eastAsia="Times New Roman" w:hAnsi="Times New Roman"/>
                <w:spacing w:val="-2"/>
              </w:rPr>
              <w:t>%)</w:t>
            </w:r>
          </w:p>
        </w:tc>
        <w:tc>
          <w:tcPr>
            <w:tcW w:w="1560" w:type="dxa"/>
            <w:tcBorders>
              <w:top w:val="single" w:sz="4" w:space="0" w:color="000000"/>
              <w:left w:val="single" w:sz="4" w:space="0" w:color="000000"/>
              <w:bottom w:val="single" w:sz="4" w:space="0" w:color="000000"/>
              <w:right w:val="single" w:sz="4" w:space="0" w:color="000000"/>
            </w:tcBorders>
          </w:tcPr>
          <w:p w14:paraId="5A04CF25"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 xml:space="preserve">80 (33,2 </w:t>
            </w:r>
            <w:r w:rsidRPr="00534C57">
              <w:rPr>
                <w:rFonts w:ascii="Times New Roman" w:eastAsia="Times New Roman" w:hAnsi="Times New Roman"/>
                <w:spacing w:val="-2"/>
              </w:rPr>
              <w:t>%)</w:t>
            </w:r>
          </w:p>
        </w:tc>
        <w:tc>
          <w:tcPr>
            <w:tcW w:w="3000" w:type="dxa"/>
            <w:tcBorders>
              <w:top w:val="single" w:sz="4" w:space="0" w:color="000000"/>
              <w:left w:val="single" w:sz="4" w:space="0" w:color="000000"/>
              <w:bottom w:val="single" w:sz="4" w:space="0" w:color="000000"/>
              <w:right w:val="single" w:sz="4" w:space="0" w:color="000000"/>
            </w:tcBorders>
          </w:tcPr>
          <w:p w14:paraId="058BA925"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16,4 % (7,7 %, 25,1 %)**</w:t>
            </w:r>
          </w:p>
        </w:tc>
        <w:tc>
          <w:tcPr>
            <w:tcW w:w="1260" w:type="dxa"/>
            <w:tcBorders>
              <w:top w:val="single" w:sz="4" w:space="0" w:color="000000"/>
              <w:left w:val="single" w:sz="4" w:space="0" w:color="000000"/>
              <w:bottom w:val="single" w:sz="4" w:space="0" w:color="000000"/>
              <w:right w:val="single" w:sz="4" w:space="0" w:color="000000"/>
            </w:tcBorders>
          </w:tcPr>
          <w:p w14:paraId="59E496BA"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0,0002**</w:t>
            </w:r>
          </w:p>
        </w:tc>
      </w:tr>
      <w:tr w:rsidR="002F3324" w:rsidRPr="00F909DC" w14:paraId="460601F5" w14:textId="77777777" w:rsidTr="00D21150">
        <w:trPr>
          <w:trHeight w:hRule="exact" w:val="264"/>
        </w:trPr>
        <w:tc>
          <w:tcPr>
            <w:tcW w:w="1858" w:type="dxa"/>
            <w:tcBorders>
              <w:top w:val="single" w:sz="4" w:space="0" w:color="000000"/>
              <w:left w:val="single" w:sz="4" w:space="0" w:color="000000"/>
              <w:bottom w:val="single" w:sz="4" w:space="0" w:color="000000"/>
              <w:right w:val="single" w:sz="4" w:space="0" w:color="000000"/>
            </w:tcBorders>
          </w:tcPr>
          <w:p w14:paraId="4A49F2A1"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Sėkmė 100 pa</w:t>
            </w:r>
            <w:r w:rsidRPr="00534C57">
              <w:rPr>
                <w:rFonts w:ascii="Times New Roman" w:eastAsia="Times New Roman" w:hAnsi="Times New Roman"/>
                <w:spacing w:val="1"/>
              </w:rPr>
              <w:t>r</w:t>
            </w:r>
            <w:r w:rsidRPr="00534C57">
              <w:rPr>
                <w:rFonts w:ascii="Times New Roman" w:eastAsia="Times New Roman" w:hAnsi="Times New Roman"/>
              </w:rPr>
              <w:t>ą</w:t>
            </w:r>
          </w:p>
        </w:tc>
        <w:tc>
          <w:tcPr>
            <w:tcW w:w="1610" w:type="dxa"/>
            <w:tcBorders>
              <w:top w:val="single" w:sz="4" w:space="0" w:color="000000"/>
              <w:left w:val="single" w:sz="4" w:space="0" w:color="000000"/>
              <w:bottom w:val="single" w:sz="4" w:space="0" w:color="000000"/>
              <w:right w:val="single" w:sz="4" w:space="0" w:color="000000"/>
            </w:tcBorders>
          </w:tcPr>
          <w:p w14:paraId="11EDE382"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121 (54,0 %)</w:t>
            </w:r>
          </w:p>
        </w:tc>
        <w:tc>
          <w:tcPr>
            <w:tcW w:w="1560" w:type="dxa"/>
            <w:tcBorders>
              <w:top w:val="single" w:sz="4" w:space="0" w:color="000000"/>
              <w:left w:val="single" w:sz="4" w:space="0" w:color="000000"/>
              <w:bottom w:val="single" w:sz="4" w:space="0" w:color="000000"/>
              <w:right w:val="single" w:sz="4" w:space="0" w:color="000000"/>
            </w:tcBorders>
          </w:tcPr>
          <w:p w14:paraId="6E3D9D9C"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96 (39,8 %)</w:t>
            </w:r>
          </w:p>
        </w:tc>
        <w:tc>
          <w:tcPr>
            <w:tcW w:w="3000" w:type="dxa"/>
            <w:tcBorders>
              <w:top w:val="single" w:sz="4" w:space="0" w:color="000000"/>
              <w:left w:val="single" w:sz="4" w:space="0" w:color="000000"/>
              <w:bottom w:val="single" w:sz="4" w:space="0" w:color="000000"/>
              <w:right w:val="single" w:sz="4" w:space="0" w:color="000000"/>
            </w:tcBorders>
          </w:tcPr>
          <w:p w14:paraId="4CD44A07"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15,4 % (6,6 %, 24,2 %)**</w:t>
            </w:r>
          </w:p>
        </w:tc>
        <w:tc>
          <w:tcPr>
            <w:tcW w:w="1260" w:type="dxa"/>
            <w:tcBorders>
              <w:top w:val="single" w:sz="4" w:space="0" w:color="000000"/>
              <w:left w:val="single" w:sz="4" w:space="0" w:color="000000"/>
              <w:bottom w:val="single" w:sz="4" w:space="0" w:color="000000"/>
              <w:right w:val="single" w:sz="4" w:space="0" w:color="000000"/>
            </w:tcBorders>
          </w:tcPr>
          <w:p w14:paraId="0728DF2A"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0,0006**</w:t>
            </w:r>
          </w:p>
        </w:tc>
      </w:tr>
      <w:tr w:rsidR="002F3324" w:rsidRPr="00F909DC" w14:paraId="0A9E792F" w14:textId="77777777" w:rsidTr="00D21150">
        <w:trPr>
          <w:trHeight w:hRule="exact" w:val="1274"/>
        </w:trPr>
        <w:tc>
          <w:tcPr>
            <w:tcW w:w="1858" w:type="dxa"/>
            <w:tcBorders>
              <w:top w:val="single" w:sz="4" w:space="0" w:color="000000"/>
              <w:left w:val="single" w:sz="4" w:space="0" w:color="000000"/>
              <w:bottom w:val="single" w:sz="4" w:space="0" w:color="000000"/>
              <w:right w:val="single" w:sz="4" w:space="0" w:color="000000"/>
            </w:tcBorders>
          </w:tcPr>
          <w:p w14:paraId="6F85FA94"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Atlikta bent 100</w:t>
            </w:r>
          </w:p>
          <w:p w14:paraId="01EAF329" w14:textId="77777777" w:rsidR="002F3324" w:rsidRPr="00534C57" w:rsidRDefault="002F3324" w:rsidP="002F3324">
            <w:pPr>
              <w:spacing w:after="0" w:line="240" w:lineRule="auto"/>
              <w:ind w:left="102" w:right="138"/>
              <w:rPr>
                <w:rFonts w:ascii="Times New Roman" w:eastAsia="Times New Roman" w:hAnsi="Times New Roman"/>
              </w:rPr>
            </w:pPr>
            <w:r w:rsidRPr="00534C57">
              <w:rPr>
                <w:rFonts w:ascii="Times New Roman" w:eastAsia="Times New Roman" w:hAnsi="Times New Roman"/>
              </w:rPr>
              <w:t>pa</w:t>
            </w:r>
            <w:r w:rsidRPr="00534C57">
              <w:rPr>
                <w:rFonts w:ascii="Times New Roman" w:eastAsia="Times New Roman" w:hAnsi="Times New Roman"/>
                <w:spacing w:val="1"/>
              </w:rPr>
              <w:t>r</w:t>
            </w:r>
            <w:r w:rsidRPr="00534C57">
              <w:rPr>
                <w:rFonts w:ascii="Times New Roman" w:eastAsia="Times New Roman" w:hAnsi="Times New Roman"/>
              </w:rPr>
              <w:t xml:space="preserve">ų profilaktinio </w:t>
            </w:r>
            <w:r w:rsidRPr="00534C57">
              <w:rPr>
                <w:rFonts w:ascii="Times New Roman" w:eastAsia="Times New Roman" w:hAnsi="Times New Roman"/>
                <w:spacing w:val="-1"/>
              </w:rPr>
              <w:t>gydymo</w:t>
            </w:r>
          </w:p>
          <w:p w14:paraId="2D7F14E2"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tir</w:t>
            </w:r>
            <w:r w:rsidRPr="00534C57">
              <w:rPr>
                <w:rFonts w:ascii="Times New Roman" w:eastAsia="Times New Roman" w:hAnsi="Times New Roman"/>
                <w:spacing w:val="1"/>
              </w:rPr>
              <w:t>i</w:t>
            </w:r>
            <w:r w:rsidRPr="00534C57">
              <w:rPr>
                <w:rFonts w:ascii="Times New Roman" w:eastAsia="Times New Roman" w:hAnsi="Times New Roman"/>
                <w:spacing w:val="-1"/>
              </w:rPr>
              <w:t>amuo</w:t>
            </w:r>
            <w:r w:rsidRPr="00534C57">
              <w:rPr>
                <w:rFonts w:ascii="Times New Roman" w:eastAsia="Times New Roman" w:hAnsi="Times New Roman"/>
                <w:spacing w:val="3"/>
              </w:rPr>
              <w:t>j</w:t>
            </w:r>
            <w:r w:rsidRPr="00534C57">
              <w:rPr>
                <w:rFonts w:ascii="Times New Roman" w:eastAsia="Times New Roman" w:hAnsi="Times New Roman"/>
              </w:rPr>
              <w:t>u</w:t>
            </w:r>
          </w:p>
          <w:p w14:paraId="7F50E34A"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preparatu</w:t>
            </w:r>
          </w:p>
        </w:tc>
        <w:tc>
          <w:tcPr>
            <w:tcW w:w="1610" w:type="dxa"/>
            <w:tcBorders>
              <w:top w:val="single" w:sz="4" w:space="0" w:color="000000"/>
              <w:left w:val="single" w:sz="4" w:space="0" w:color="000000"/>
              <w:bottom w:val="single" w:sz="4" w:space="0" w:color="000000"/>
              <w:right w:val="single" w:sz="4" w:space="0" w:color="000000"/>
            </w:tcBorders>
          </w:tcPr>
          <w:p w14:paraId="5D2C7FC6"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120 (53,6 %)</w:t>
            </w:r>
          </w:p>
        </w:tc>
        <w:tc>
          <w:tcPr>
            <w:tcW w:w="1560" w:type="dxa"/>
            <w:tcBorders>
              <w:top w:val="single" w:sz="4" w:space="0" w:color="000000"/>
              <w:left w:val="single" w:sz="4" w:space="0" w:color="000000"/>
              <w:bottom w:val="single" w:sz="4" w:space="0" w:color="000000"/>
              <w:right w:val="single" w:sz="4" w:space="0" w:color="000000"/>
            </w:tcBorders>
          </w:tcPr>
          <w:p w14:paraId="0F2EAC5E"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94 (39,0 %)</w:t>
            </w:r>
          </w:p>
        </w:tc>
        <w:tc>
          <w:tcPr>
            <w:tcW w:w="3000" w:type="dxa"/>
            <w:tcBorders>
              <w:top w:val="single" w:sz="4" w:space="0" w:color="000000"/>
              <w:left w:val="single" w:sz="4" w:space="0" w:color="000000"/>
              <w:bottom w:val="single" w:sz="4" w:space="0" w:color="000000"/>
              <w:right w:val="single" w:sz="4" w:space="0" w:color="000000"/>
            </w:tcBorders>
          </w:tcPr>
          <w:p w14:paraId="0C975909"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14,6 % (5,6 %, 23,5 %)</w:t>
            </w:r>
          </w:p>
        </w:tc>
        <w:tc>
          <w:tcPr>
            <w:tcW w:w="1260" w:type="dxa"/>
            <w:tcBorders>
              <w:top w:val="single" w:sz="4" w:space="0" w:color="000000"/>
              <w:left w:val="single" w:sz="4" w:space="0" w:color="000000"/>
              <w:bottom w:val="single" w:sz="4" w:space="0" w:color="000000"/>
              <w:right w:val="single" w:sz="4" w:space="0" w:color="000000"/>
            </w:tcBorders>
          </w:tcPr>
          <w:p w14:paraId="253F5B4E"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0,0015</w:t>
            </w:r>
          </w:p>
        </w:tc>
      </w:tr>
      <w:tr w:rsidR="002F3324" w:rsidRPr="00F909DC" w14:paraId="53203D56" w14:textId="77777777" w:rsidTr="00D21150">
        <w:trPr>
          <w:trHeight w:hRule="exact" w:val="516"/>
        </w:trPr>
        <w:tc>
          <w:tcPr>
            <w:tcW w:w="1858" w:type="dxa"/>
            <w:tcBorders>
              <w:top w:val="single" w:sz="4" w:space="0" w:color="000000"/>
              <w:left w:val="single" w:sz="4" w:space="0" w:color="000000"/>
              <w:bottom w:val="single" w:sz="4" w:space="0" w:color="000000"/>
              <w:right w:val="single" w:sz="4" w:space="0" w:color="000000"/>
            </w:tcBorders>
          </w:tcPr>
          <w:p w14:paraId="7C9BBC3D"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I</w:t>
            </w:r>
            <w:r w:rsidRPr="00534C57">
              <w:rPr>
                <w:rFonts w:ascii="Times New Roman" w:eastAsia="Times New Roman" w:hAnsi="Times New Roman"/>
                <w:spacing w:val="3"/>
              </w:rPr>
              <w:t>š</w:t>
            </w:r>
            <w:r w:rsidRPr="00534C57">
              <w:rPr>
                <w:rFonts w:ascii="Times New Roman" w:eastAsia="Times New Roman" w:hAnsi="Times New Roman"/>
              </w:rPr>
              <w:t>gyveno iki 180</w:t>
            </w:r>
          </w:p>
          <w:p w14:paraId="7D916AE4"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pa</w:t>
            </w:r>
            <w:r w:rsidRPr="00534C57">
              <w:rPr>
                <w:rFonts w:ascii="Times New Roman" w:eastAsia="Times New Roman" w:hAnsi="Times New Roman"/>
                <w:spacing w:val="1"/>
              </w:rPr>
              <w:t>r</w:t>
            </w:r>
            <w:r w:rsidRPr="00534C57">
              <w:rPr>
                <w:rFonts w:ascii="Times New Roman" w:eastAsia="Times New Roman" w:hAnsi="Times New Roman"/>
              </w:rPr>
              <w:t>os</w:t>
            </w:r>
          </w:p>
        </w:tc>
        <w:tc>
          <w:tcPr>
            <w:tcW w:w="1610" w:type="dxa"/>
            <w:tcBorders>
              <w:top w:val="single" w:sz="4" w:space="0" w:color="000000"/>
              <w:left w:val="single" w:sz="4" w:space="0" w:color="000000"/>
              <w:bottom w:val="single" w:sz="4" w:space="0" w:color="000000"/>
              <w:right w:val="single" w:sz="4" w:space="0" w:color="000000"/>
            </w:tcBorders>
          </w:tcPr>
          <w:p w14:paraId="4EBE9B0C"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184 (82,1 %)</w:t>
            </w:r>
          </w:p>
        </w:tc>
        <w:tc>
          <w:tcPr>
            <w:tcW w:w="1560" w:type="dxa"/>
            <w:tcBorders>
              <w:top w:val="single" w:sz="4" w:space="0" w:color="000000"/>
              <w:left w:val="single" w:sz="4" w:space="0" w:color="000000"/>
              <w:bottom w:val="single" w:sz="4" w:space="0" w:color="000000"/>
              <w:right w:val="single" w:sz="4" w:space="0" w:color="000000"/>
            </w:tcBorders>
          </w:tcPr>
          <w:p w14:paraId="014EFCB2"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197 (81,7 %)</w:t>
            </w:r>
          </w:p>
        </w:tc>
        <w:tc>
          <w:tcPr>
            <w:tcW w:w="3000" w:type="dxa"/>
            <w:tcBorders>
              <w:top w:val="single" w:sz="4" w:space="0" w:color="000000"/>
              <w:left w:val="single" w:sz="4" w:space="0" w:color="000000"/>
              <w:bottom w:val="single" w:sz="4" w:space="0" w:color="000000"/>
              <w:right w:val="single" w:sz="4" w:space="0" w:color="000000"/>
            </w:tcBorders>
          </w:tcPr>
          <w:p w14:paraId="4E40EA44"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 xml:space="preserve">0,4 % </w:t>
            </w:r>
            <w:r w:rsidRPr="00534C57">
              <w:rPr>
                <w:rFonts w:ascii="Times New Roman" w:eastAsia="Times New Roman" w:hAnsi="Times New Roman"/>
                <w:spacing w:val="1"/>
              </w:rPr>
              <w:t>(</w:t>
            </w:r>
            <w:r w:rsidRPr="00534C57">
              <w:rPr>
                <w:rFonts w:ascii="Times New Roman" w:eastAsia="Times New Roman" w:hAnsi="Times New Roman"/>
                <w:spacing w:val="-4"/>
              </w:rPr>
              <w:t>-</w:t>
            </w:r>
            <w:r w:rsidRPr="00534C57">
              <w:rPr>
                <w:rFonts w:ascii="Times New Roman" w:eastAsia="Times New Roman" w:hAnsi="Times New Roman"/>
              </w:rPr>
              <w:t>6,6 %, 7,4 %)</w:t>
            </w:r>
          </w:p>
        </w:tc>
        <w:tc>
          <w:tcPr>
            <w:tcW w:w="1260" w:type="dxa"/>
            <w:tcBorders>
              <w:top w:val="single" w:sz="4" w:space="0" w:color="000000"/>
              <w:left w:val="single" w:sz="4" w:space="0" w:color="000000"/>
              <w:bottom w:val="single" w:sz="4" w:space="0" w:color="000000"/>
              <w:right w:val="single" w:sz="4" w:space="0" w:color="000000"/>
            </w:tcBorders>
          </w:tcPr>
          <w:p w14:paraId="2B6815FC"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0,9107</w:t>
            </w:r>
          </w:p>
        </w:tc>
      </w:tr>
      <w:tr w:rsidR="002F3324" w:rsidRPr="00F909DC" w14:paraId="7763645B" w14:textId="77777777" w:rsidTr="00D21150">
        <w:trPr>
          <w:trHeight w:hRule="exact" w:val="1274"/>
        </w:trPr>
        <w:tc>
          <w:tcPr>
            <w:tcW w:w="1858" w:type="dxa"/>
            <w:tcBorders>
              <w:top w:val="single" w:sz="4" w:space="0" w:color="000000"/>
              <w:left w:val="single" w:sz="4" w:space="0" w:color="000000"/>
              <w:bottom w:val="single" w:sz="4" w:space="0" w:color="000000"/>
              <w:right w:val="single" w:sz="4" w:space="0" w:color="000000"/>
            </w:tcBorders>
          </w:tcPr>
          <w:p w14:paraId="16DDEF73"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lastRenderedPageBreak/>
              <w:t>Nustatyta arba</w:t>
            </w:r>
          </w:p>
          <w:p w14:paraId="5B37D522" w14:textId="77777777" w:rsidR="002F3324" w:rsidRPr="00534C57" w:rsidRDefault="002F3324" w:rsidP="002F3324">
            <w:pPr>
              <w:spacing w:after="0" w:line="240" w:lineRule="auto"/>
              <w:ind w:left="102" w:right="164"/>
              <w:rPr>
                <w:rFonts w:ascii="Times New Roman" w:eastAsia="Times New Roman" w:hAnsi="Times New Roman"/>
              </w:rPr>
            </w:pPr>
            <w:r w:rsidRPr="00534C57">
              <w:rPr>
                <w:rFonts w:ascii="Times New Roman" w:eastAsia="Times New Roman" w:hAnsi="Times New Roman"/>
              </w:rPr>
              <w:t>įtariama invazinė grybelių sukelta</w:t>
            </w:r>
          </w:p>
          <w:p w14:paraId="07F868B3"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infekcinė liga iki</w:t>
            </w:r>
          </w:p>
          <w:p w14:paraId="5FD54B5B"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 xml:space="preserve">180 </w:t>
            </w:r>
            <w:r w:rsidRPr="00534C57">
              <w:rPr>
                <w:rFonts w:ascii="Times New Roman" w:eastAsia="Times New Roman" w:hAnsi="Times New Roman"/>
                <w:spacing w:val="-1"/>
              </w:rPr>
              <w:t>pa</w:t>
            </w:r>
            <w:r w:rsidRPr="00534C57">
              <w:rPr>
                <w:rFonts w:ascii="Times New Roman" w:eastAsia="Times New Roman" w:hAnsi="Times New Roman"/>
                <w:spacing w:val="1"/>
              </w:rPr>
              <w:t>r</w:t>
            </w:r>
            <w:r w:rsidRPr="00534C57">
              <w:rPr>
                <w:rFonts w:ascii="Times New Roman" w:eastAsia="Times New Roman" w:hAnsi="Times New Roman"/>
              </w:rPr>
              <w:t>os</w:t>
            </w:r>
          </w:p>
        </w:tc>
        <w:tc>
          <w:tcPr>
            <w:tcW w:w="1610" w:type="dxa"/>
            <w:tcBorders>
              <w:top w:val="single" w:sz="4" w:space="0" w:color="000000"/>
              <w:left w:val="single" w:sz="4" w:space="0" w:color="000000"/>
              <w:bottom w:val="single" w:sz="4" w:space="0" w:color="000000"/>
              <w:right w:val="single" w:sz="4" w:space="0" w:color="000000"/>
            </w:tcBorders>
          </w:tcPr>
          <w:p w14:paraId="14B8C1F8"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3 (1,3 %)</w:t>
            </w:r>
          </w:p>
        </w:tc>
        <w:tc>
          <w:tcPr>
            <w:tcW w:w="1560" w:type="dxa"/>
            <w:tcBorders>
              <w:top w:val="single" w:sz="4" w:space="0" w:color="000000"/>
              <w:left w:val="single" w:sz="4" w:space="0" w:color="000000"/>
              <w:bottom w:val="single" w:sz="4" w:space="0" w:color="000000"/>
              <w:right w:val="single" w:sz="4" w:space="0" w:color="000000"/>
            </w:tcBorders>
          </w:tcPr>
          <w:p w14:paraId="0EF60DC1"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5 (2,1 %)</w:t>
            </w:r>
          </w:p>
        </w:tc>
        <w:tc>
          <w:tcPr>
            <w:tcW w:w="3000" w:type="dxa"/>
            <w:tcBorders>
              <w:top w:val="single" w:sz="4" w:space="0" w:color="000000"/>
              <w:left w:val="single" w:sz="4" w:space="0" w:color="000000"/>
              <w:bottom w:val="single" w:sz="4" w:space="0" w:color="000000"/>
              <w:right w:val="single" w:sz="4" w:space="0" w:color="000000"/>
            </w:tcBorders>
          </w:tcPr>
          <w:p w14:paraId="107A639B"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w:t>
            </w:r>
            <w:r w:rsidRPr="00534C57">
              <w:rPr>
                <w:rFonts w:ascii="Times New Roman" w:eastAsia="Times New Roman" w:hAnsi="Times New Roman"/>
              </w:rPr>
              <w:t xml:space="preserve">0,7 % </w:t>
            </w:r>
            <w:r w:rsidRPr="00534C57">
              <w:rPr>
                <w:rFonts w:ascii="Times New Roman" w:eastAsia="Times New Roman" w:hAnsi="Times New Roman"/>
                <w:spacing w:val="1"/>
              </w:rPr>
              <w:t>(</w:t>
            </w:r>
            <w:r w:rsidRPr="00534C57">
              <w:rPr>
                <w:rFonts w:ascii="Times New Roman" w:eastAsia="Times New Roman" w:hAnsi="Times New Roman"/>
                <w:spacing w:val="-4"/>
              </w:rPr>
              <w:t>-</w:t>
            </w:r>
            <w:r w:rsidRPr="00534C57">
              <w:rPr>
                <w:rFonts w:ascii="Times New Roman" w:eastAsia="Times New Roman" w:hAnsi="Times New Roman"/>
              </w:rPr>
              <w:t>3,1 %, 1,6 %)</w:t>
            </w:r>
          </w:p>
        </w:tc>
        <w:tc>
          <w:tcPr>
            <w:tcW w:w="1260" w:type="dxa"/>
            <w:tcBorders>
              <w:top w:val="single" w:sz="4" w:space="0" w:color="000000"/>
              <w:left w:val="single" w:sz="4" w:space="0" w:color="000000"/>
              <w:bottom w:val="single" w:sz="4" w:space="0" w:color="000000"/>
              <w:right w:val="single" w:sz="4" w:space="0" w:color="000000"/>
            </w:tcBorders>
          </w:tcPr>
          <w:p w14:paraId="424BF784"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0,5390</w:t>
            </w:r>
          </w:p>
        </w:tc>
      </w:tr>
      <w:tr w:rsidR="002F3324" w:rsidRPr="00F909DC" w14:paraId="4921D1D4" w14:textId="77777777" w:rsidTr="00D21150">
        <w:trPr>
          <w:trHeight w:hRule="exact" w:val="1274"/>
        </w:trPr>
        <w:tc>
          <w:tcPr>
            <w:tcW w:w="1858" w:type="dxa"/>
            <w:tcBorders>
              <w:top w:val="single" w:sz="4" w:space="0" w:color="000000"/>
              <w:left w:val="single" w:sz="4" w:space="0" w:color="000000"/>
              <w:bottom w:val="single" w:sz="4" w:space="0" w:color="000000"/>
              <w:right w:val="single" w:sz="4" w:space="0" w:color="000000"/>
            </w:tcBorders>
          </w:tcPr>
          <w:p w14:paraId="3B0DFC5B"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Nustatyta arba</w:t>
            </w:r>
          </w:p>
          <w:p w14:paraId="22970E4B" w14:textId="77777777" w:rsidR="002F3324" w:rsidRPr="00534C57" w:rsidRDefault="002F3324" w:rsidP="002F3324">
            <w:pPr>
              <w:spacing w:after="0" w:line="240" w:lineRule="auto"/>
              <w:ind w:left="102" w:right="164"/>
              <w:rPr>
                <w:rFonts w:ascii="Times New Roman" w:eastAsia="Times New Roman" w:hAnsi="Times New Roman"/>
              </w:rPr>
            </w:pPr>
            <w:r w:rsidRPr="00534C57">
              <w:rPr>
                <w:rFonts w:ascii="Times New Roman" w:eastAsia="Times New Roman" w:hAnsi="Times New Roman"/>
              </w:rPr>
              <w:t>įtariama invazinė grybelių sukelta infekcinė liga iki</w:t>
            </w:r>
          </w:p>
          <w:p w14:paraId="180C27EB"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 xml:space="preserve">100 </w:t>
            </w:r>
            <w:r w:rsidRPr="00534C57">
              <w:rPr>
                <w:rFonts w:ascii="Times New Roman" w:eastAsia="Times New Roman" w:hAnsi="Times New Roman"/>
                <w:spacing w:val="-1"/>
              </w:rPr>
              <w:t>pa</w:t>
            </w:r>
            <w:r w:rsidRPr="00534C57">
              <w:rPr>
                <w:rFonts w:ascii="Times New Roman" w:eastAsia="Times New Roman" w:hAnsi="Times New Roman"/>
                <w:spacing w:val="1"/>
              </w:rPr>
              <w:t>r</w:t>
            </w:r>
            <w:r w:rsidRPr="00534C57">
              <w:rPr>
                <w:rFonts w:ascii="Times New Roman" w:eastAsia="Times New Roman" w:hAnsi="Times New Roman"/>
              </w:rPr>
              <w:t>os</w:t>
            </w:r>
          </w:p>
        </w:tc>
        <w:tc>
          <w:tcPr>
            <w:tcW w:w="1610" w:type="dxa"/>
            <w:tcBorders>
              <w:top w:val="single" w:sz="4" w:space="0" w:color="000000"/>
              <w:left w:val="single" w:sz="4" w:space="0" w:color="000000"/>
              <w:bottom w:val="single" w:sz="4" w:space="0" w:color="000000"/>
              <w:right w:val="single" w:sz="4" w:space="0" w:color="000000"/>
            </w:tcBorders>
          </w:tcPr>
          <w:p w14:paraId="25641F97"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2 (0,9 %)</w:t>
            </w:r>
          </w:p>
        </w:tc>
        <w:tc>
          <w:tcPr>
            <w:tcW w:w="1560" w:type="dxa"/>
            <w:tcBorders>
              <w:top w:val="single" w:sz="4" w:space="0" w:color="000000"/>
              <w:left w:val="single" w:sz="4" w:space="0" w:color="000000"/>
              <w:bottom w:val="single" w:sz="4" w:space="0" w:color="000000"/>
              <w:right w:val="single" w:sz="4" w:space="0" w:color="000000"/>
            </w:tcBorders>
          </w:tcPr>
          <w:p w14:paraId="0D1CA6B2"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4 (1,7</w:t>
            </w:r>
            <w:r w:rsidRPr="00534C57">
              <w:rPr>
                <w:rFonts w:ascii="Times New Roman" w:eastAsia="Times New Roman" w:hAnsi="Times New Roman"/>
                <w:spacing w:val="-2"/>
              </w:rPr>
              <w:t xml:space="preserve"> </w:t>
            </w:r>
            <w:r w:rsidRPr="00534C57">
              <w:rPr>
                <w:rFonts w:ascii="Times New Roman" w:eastAsia="Times New Roman" w:hAnsi="Times New Roman"/>
                <w:spacing w:val="1"/>
              </w:rPr>
              <w:t>%)</w:t>
            </w:r>
          </w:p>
        </w:tc>
        <w:tc>
          <w:tcPr>
            <w:tcW w:w="3000" w:type="dxa"/>
            <w:tcBorders>
              <w:top w:val="single" w:sz="4" w:space="0" w:color="000000"/>
              <w:left w:val="single" w:sz="4" w:space="0" w:color="000000"/>
              <w:bottom w:val="single" w:sz="4" w:space="0" w:color="000000"/>
              <w:right w:val="single" w:sz="4" w:space="0" w:color="000000"/>
            </w:tcBorders>
          </w:tcPr>
          <w:p w14:paraId="1F33AF0B"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w:t>
            </w:r>
            <w:r w:rsidRPr="00534C57">
              <w:rPr>
                <w:rFonts w:ascii="Times New Roman" w:eastAsia="Times New Roman" w:hAnsi="Times New Roman"/>
              </w:rPr>
              <w:t>0,8 %</w:t>
            </w:r>
            <w:r w:rsidRPr="00534C57">
              <w:rPr>
                <w:rFonts w:ascii="Times New Roman" w:eastAsia="Times New Roman" w:hAnsi="Times New Roman"/>
                <w:spacing w:val="1"/>
              </w:rPr>
              <w:t xml:space="preserve"> (</w:t>
            </w:r>
            <w:r w:rsidRPr="00534C57">
              <w:rPr>
                <w:rFonts w:ascii="Times New Roman" w:eastAsia="Times New Roman" w:hAnsi="Times New Roman"/>
                <w:spacing w:val="-4"/>
              </w:rPr>
              <w:t>-</w:t>
            </w:r>
            <w:r w:rsidRPr="00534C57">
              <w:rPr>
                <w:rFonts w:ascii="Times New Roman" w:eastAsia="Times New Roman" w:hAnsi="Times New Roman"/>
              </w:rPr>
              <w:t>2,8 %,</w:t>
            </w:r>
            <w:r w:rsidRPr="00534C57">
              <w:rPr>
                <w:rFonts w:ascii="Times New Roman" w:eastAsia="Times New Roman" w:hAnsi="Times New Roman"/>
                <w:spacing w:val="1"/>
              </w:rPr>
              <w:t xml:space="preserve"> </w:t>
            </w:r>
            <w:r w:rsidRPr="00534C57">
              <w:rPr>
                <w:rFonts w:ascii="Times New Roman" w:eastAsia="Times New Roman" w:hAnsi="Times New Roman"/>
              </w:rPr>
              <w:t xml:space="preserve">1,3 </w:t>
            </w:r>
            <w:r w:rsidRPr="00534C57">
              <w:rPr>
                <w:rFonts w:ascii="Times New Roman" w:eastAsia="Times New Roman" w:hAnsi="Times New Roman"/>
                <w:spacing w:val="-2"/>
              </w:rPr>
              <w:t>%)</w:t>
            </w:r>
          </w:p>
        </w:tc>
        <w:tc>
          <w:tcPr>
            <w:tcW w:w="1260" w:type="dxa"/>
            <w:tcBorders>
              <w:top w:val="single" w:sz="4" w:space="0" w:color="000000"/>
              <w:left w:val="single" w:sz="4" w:space="0" w:color="000000"/>
              <w:bottom w:val="single" w:sz="4" w:space="0" w:color="000000"/>
              <w:right w:val="single" w:sz="4" w:space="0" w:color="000000"/>
            </w:tcBorders>
          </w:tcPr>
          <w:p w14:paraId="1CCEEB33"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0,4589</w:t>
            </w:r>
          </w:p>
        </w:tc>
      </w:tr>
      <w:tr w:rsidR="002F3324" w:rsidRPr="00F909DC" w14:paraId="629951F5" w14:textId="77777777" w:rsidTr="00D21150">
        <w:trPr>
          <w:trHeight w:hRule="exact" w:val="1529"/>
        </w:trPr>
        <w:tc>
          <w:tcPr>
            <w:tcW w:w="1858" w:type="dxa"/>
            <w:tcBorders>
              <w:top w:val="single" w:sz="4" w:space="0" w:color="000000"/>
              <w:left w:val="single" w:sz="4" w:space="0" w:color="000000"/>
              <w:bottom w:val="single" w:sz="4" w:space="0" w:color="000000"/>
              <w:right w:val="single" w:sz="4" w:space="0" w:color="000000"/>
            </w:tcBorders>
          </w:tcPr>
          <w:p w14:paraId="317B84BD"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Nustatyta arba</w:t>
            </w:r>
          </w:p>
          <w:p w14:paraId="6AA00E84" w14:textId="77777777" w:rsidR="002F3324" w:rsidRPr="00534C57" w:rsidRDefault="002F3324" w:rsidP="002F3324">
            <w:pPr>
              <w:spacing w:after="0" w:line="240" w:lineRule="auto"/>
              <w:ind w:left="102" w:right="101"/>
              <w:rPr>
                <w:rFonts w:ascii="Times New Roman" w:eastAsia="Times New Roman" w:hAnsi="Times New Roman"/>
              </w:rPr>
            </w:pPr>
            <w:r w:rsidRPr="00534C57">
              <w:rPr>
                <w:rFonts w:ascii="Times New Roman" w:eastAsia="Times New Roman" w:hAnsi="Times New Roman"/>
              </w:rPr>
              <w:t>įtariama invazinė grybelių sukelta infekcinė liga vartojant tiriamąjį vaistinį preparatą</w:t>
            </w:r>
          </w:p>
        </w:tc>
        <w:tc>
          <w:tcPr>
            <w:tcW w:w="1610" w:type="dxa"/>
            <w:tcBorders>
              <w:top w:val="single" w:sz="4" w:space="0" w:color="000000"/>
              <w:left w:val="single" w:sz="4" w:space="0" w:color="000000"/>
              <w:bottom w:val="single" w:sz="4" w:space="0" w:color="000000"/>
              <w:right w:val="single" w:sz="4" w:space="0" w:color="000000"/>
            </w:tcBorders>
          </w:tcPr>
          <w:p w14:paraId="1959BF36"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w:t>
            </w:r>
          </w:p>
        </w:tc>
        <w:tc>
          <w:tcPr>
            <w:tcW w:w="1560" w:type="dxa"/>
            <w:tcBorders>
              <w:top w:val="single" w:sz="4" w:space="0" w:color="000000"/>
              <w:left w:val="single" w:sz="4" w:space="0" w:color="000000"/>
              <w:bottom w:val="single" w:sz="4" w:space="0" w:color="000000"/>
              <w:right w:val="single" w:sz="4" w:space="0" w:color="000000"/>
            </w:tcBorders>
          </w:tcPr>
          <w:p w14:paraId="23094B9E"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3 (1,2 %)</w:t>
            </w:r>
          </w:p>
        </w:tc>
        <w:tc>
          <w:tcPr>
            <w:tcW w:w="3000" w:type="dxa"/>
            <w:tcBorders>
              <w:top w:val="single" w:sz="4" w:space="0" w:color="000000"/>
              <w:left w:val="single" w:sz="4" w:space="0" w:color="000000"/>
              <w:bottom w:val="single" w:sz="4" w:space="0" w:color="000000"/>
              <w:right w:val="single" w:sz="4" w:space="0" w:color="000000"/>
            </w:tcBorders>
          </w:tcPr>
          <w:p w14:paraId="36A6AD70"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w:t>
            </w:r>
            <w:r w:rsidRPr="00534C57">
              <w:rPr>
                <w:rFonts w:ascii="Times New Roman" w:eastAsia="Times New Roman" w:hAnsi="Times New Roman"/>
              </w:rPr>
              <w:t xml:space="preserve">1,2 % </w:t>
            </w:r>
            <w:r w:rsidRPr="00534C57">
              <w:rPr>
                <w:rFonts w:ascii="Times New Roman" w:eastAsia="Times New Roman" w:hAnsi="Times New Roman"/>
                <w:spacing w:val="1"/>
              </w:rPr>
              <w:t>(</w:t>
            </w:r>
            <w:r w:rsidRPr="00534C57">
              <w:rPr>
                <w:rFonts w:ascii="Times New Roman" w:eastAsia="Times New Roman" w:hAnsi="Times New Roman"/>
                <w:spacing w:val="-4"/>
              </w:rPr>
              <w:t>-</w:t>
            </w:r>
            <w:r w:rsidRPr="00534C57">
              <w:rPr>
                <w:rFonts w:ascii="Times New Roman" w:eastAsia="Times New Roman" w:hAnsi="Times New Roman"/>
              </w:rPr>
              <w:t>2,6 %, 0,2 %)</w:t>
            </w:r>
          </w:p>
        </w:tc>
        <w:tc>
          <w:tcPr>
            <w:tcW w:w="1260" w:type="dxa"/>
            <w:tcBorders>
              <w:top w:val="single" w:sz="4" w:space="0" w:color="000000"/>
              <w:left w:val="single" w:sz="4" w:space="0" w:color="000000"/>
              <w:bottom w:val="single" w:sz="4" w:space="0" w:color="000000"/>
              <w:right w:val="single" w:sz="4" w:space="0" w:color="000000"/>
            </w:tcBorders>
          </w:tcPr>
          <w:p w14:paraId="33586EA4"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0,0813</w:t>
            </w:r>
          </w:p>
        </w:tc>
      </w:tr>
    </w:tbl>
    <w:p w14:paraId="2EEA0FAD"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Pagrindinis tyrimo vertinimo kriterijus</w:t>
      </w:r>
    </w:p>
    <w:p w14:paraId="64683A5C"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Proporcijų skirtumas, 95 %</w:t>
      </w:r>
      <w:r w:rsidRPr="00534C57">
        <w:rPr>
          <w:rFonts w:ascii="Times New Roman" w:eastAsia="Times New Roman" w:hAnsi="Times New Roman"/>
          <w:spacing w:val="1"/>
        </w:rPr>
        <w:t xml:space="preserve"> </w:t>
      </w:r>
      <w:r w:rsidRPr="00534C57">
        <w:rPr>
          <w:rFonts w:ascii="Times New Roman" w:eastAsia="Times New Roman" w:hAnsi="Times New Roman"/>
          <w:spacing w:val="-1"/>
        </w:rPr>
        <w:t>P</w:t>
      </w:r>
      <w:r w:rsidRPr="00534C57">
        <w:rPr>
          <w:rFonts w:ascii="Times New Roman" w:eastAsia="Times New Roman" w:hAnsi="Times New Roman"/>
        </w:rPr>
        <w:t>I</w:t>
      </w:r>
      <w:r w:rsidRPr="00534C57">
        <w:rPr>
          <w:rFonts w:ascii="Times New Roman" w:eastAsia="Times New Roman" w:hAnsi="Times New Roman"/>
          <w:spacing w:val="-4"/>
        </w:rPr>
        <w:t xml:space="preserve"> </w:t>
      </w:r>
      <w:r w:rsidRPr="00534C57">
        <w:rPr>
          <w:rFonts w:ascii="Times New Roman" w:eastAsia="Times New Roman" w:hAnsi="Times New Roman"/>
        </w:rPr>
        <w:t>ir p vertės, gautos po atsitiktinės atrankos koregavimo</w:t>
      </w:r>
    </w:p>
    <w:p w14:paraId="0D93C57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90A8113" w14:textId="77777777" w:rsidR="002F3324" w:rsidRPr="00534C57" w:rsidRDefault="002F3324" w:rsidP="002F3324">
      <w:pPr>
        <w:spacing w:after="0" w:line="240" w:lineRule="auto"/>
        <w:ind w:right="79"/>
        <w:rPr>
          <w:rFonts w:ascii="Times New Roman" w:eastAsia="Times New Roman" w:hAnsi="Times New Roman"/>
        </w:rPr>
      </w:pPr>
      <w:r w:rsidRPr="00534C57">
        <w:rPr>
          <w:rFonts w:ascii="Times New Roman" w:eastAsia="Times New Roman" w:hAnsi="Times New Roman"/>
          <w:spacing w:val="-4"/>
        </w:rPr>
        <w:t>I</w:t>
      </w:r>
      <w:r w:rsidRPr="00534C57">
        <w:rPr>
          <w:rFonts w:ascii="Times New Roman" w:eastAsia="Times New Roman" w:hAnsi="Times New Roman"/>
          <w:spacing w:val="2"/>
        </w:rPr>
        <w:t>n</w:t>
      </w:r>
      <w:r w:rsidRPr="00534C57">
        <w:rPr>
          <w:rFonts w:ascii="Times New Roman" w:eastAsia="Times New Roman" w:hAnsi="Times New Roman"/>
          <w:spacing w:val="-2"/>
        </w:rPr>
        <w:t>v</w:t>
      </w:r>
      <w:r w:rsidRPr="00534C57">
        <w:rPr>
          <w:rFonts w:ascii="Times New Roman" w:eastAsia="Times New Roman" w:hAnsi="Times New Roman"/>
          <w:spacing w:val="3"/>
        </w:rPr>
        <w:t>a</w:t>
      </w:r>
      <w:r w:rsidRPr="00534C57">
        <w:rPr>
          <w:rFonts w:ascii="Times New Roman" w:eastAsia="Times New Roman" w:hAnsi="Times New Roman"/>
        </w:rPr>
        <w:t>zinės grybelių sukeltos</w:t>
      </w:r>
      <w:r w:rsidRPr="00534C57">
        <w:rPr>
          <w:rFonts w:ascii="Times New Roman" w:eastAsia="Times New Roman" w:hAnsi="Times New Roman"/>
          <w:spacing w:val="-1"/>
        </w:rPr>
        <w:t xml:space="preserve"> </w:t>
      </w:r>
      <w:r w:rsidRPr="00534C57">
        <w:rPr>
          <w:rFonts w:ascii="Times New Roman" w:eastAsia="Times New Roman" w:hAnsi="Times New Roman"/>
        </w:rPr>
        <w:t>infekcinės ligos protrūkio dažnis iki 180</w:t>
      </w:r>
      <w:r w:rsidRPr="00534C57">
        <w:rPr>
          <w:rFonts w:ascii="Times New Roman" w:eastAsia="Times New Roman" w:hAnsi="Times New Roman"/>
          <w:spacing w:val="-1"/>
        </w:rPr>
        <w:t xml:space="preserve"> pa</w:t>
      </w:r>
      <w:r w:rsidRPr="00534C57">
        <w:rPr>
          <w:rFonts w:ascii="Times New Roman" w:eastAsia="Times New Roman" w:hAnsi="Times New Roman"/>
          <w:spacing w:val="1"/>
        </w:rPr>
        <w:t>r</w:t>
      </w:r>
      <w:r w:rsidRPr="00534C57">
        <w:rPr>
          <w:rFonts w:ascii="Times New Roman" w:eastAsia="Times New Roman" w:hAnsi="Times New Roman"/>
        </w:rPr>
        <w:t>os</w:t>
      </w:r>
      <w:r w:rsidRPr="00534C57">
        <w:rPr>
          <w:rFonts w:ascii="Times New Roman" w:eastAsia="Times New Roman" w:hAnsi="Times New Roman"/>
          <w:spacing w:val="-2"/>
        </w:rPr>
        <w:t xml:space="preserve"> </w:t>
      </w:r>
      <w:r w:rsidRPr="00534C57">
        <w:rPr>
          <w:rFonts w:ascii="Times New Roman" w:eastAsia="Times New Roman" w:hAnsi="Times New Roman"/>
        </w:rPr>
        <w:t>ir pagrindinis tyrimo vertinimo kriterijus, kuris yra sėkmė 180</w:t>
      </w:r>
      <w:r w:rsidRPr="00534C57">
        <w:rPr>
          <w:rFonts w:ascii="Times New Roman" w:eastAsia="Times New Roman" w:hAnsi="Times New Roman"/>
          <w:spacing w:val="-1"/>
        </w:rPr>
        <w:t xml:space="preserve"> </w:t>
      </w:r>
      <w:r w:rsidRPr="00534C57">
        <w:rPr>
          <w:rFonts w:ascii="Times New Roman" w:eastAsia="Times New Roman" w:hAnsi="Times New Roman"/>
        </w:rPr>
        <w:t>pa</w:t>
      </w:r>
      <w:r w:rsidRPr="00534C57">
        <w:rPr>
          <w:rFonts w:ascii="Times New Roman" w:eastAsia="Times New Roman" w:hAnsi="Times New Roman"/>
          <w:spacing w:val="-2"/>
        </w:rPr>
        <w:t>r</w:t>
      </w:r>
      <w:r w:rsidRPr="00534C57">
        <w:rPr>
          <w:rFonts w:ascii="Times New Roman" w:eastAsia="Times New Roman" w:hAnsi="Times New Roman"/>
        </w:rPr>
        <w:t>ą, pacientams, sergantiems ūmine mieloleukemija ir kuriems yra taikomas mieloabliacinis</w:t>
      </w:r>
      <w:r w:rsidRPr="00534C57">
        <w:rPr>
          <w:rFonts w:ascii="Times New Roman" w:eastAsia="Times New Roman" w:hAnsi="Times New Roman"/>
          <w:spacing w:val="-1"/>
        </w:rPr>
        <w:t xml:space="preserve"> </w:t>
      </w:r>
      <w:r w:rsidRPr="00534C57">
        <w:rPr>
          <w:rFonts w:ascii="Times New Roman" w:eastAsia="Times New Roman" w:hAnsi="Times New Roman"/>
        </w:rPr>
        <w:t>gydymas, atitinkamai yra pate</w:t>
      </w:r>
      <w:r w:rsidRPr="00534C57">
        <w:rPr>
          <w:rFonts w:ascii="Times New Roman" w:eastAsia="Times New Roman" w:hAnsi="Times New Roman"/>
          <w:spacing w:val="1"/>
        </w:rPr>
        <w:t>i</w:t>
      </w:r>
      <w:r w:rsidRPr="00534C57">
        <w:rPr>
          <w:rFonts w:ascii="Times New Roman" w:eastAsia="Times New Roman" w:hAnsi="Times New Roman"/>
        </w:rPr>
        <w:t>kta toliau lentelėje.</w:t>
      </w:r>
    </w:p>
    <w:p w14:paraId="2306ADDD" w14:textId="77777777" w:rsidR="002F3324" w:rsidRPr="00534C57" w:rsidRDefault="002F3324" w:rsidP="002F3324">
      <w:pPr>
        <w:spacing w:after="0" w:line="240" w:lineRule="auto"/>
        <w:rPr>
          <w:rFonts w:ascii="Times New Roman" w:hAnsi="Times New Roman"/>
        </w:rPr>
      </w:pPr>
    </w:p>
    <w:p w14:paraId="5248C9C8" w14:textId="77777777" w:rsidR="002F3324" w:rsidRPr="00534C57" w:rsidRDefault="002F3324" w:rsidP="002F3324">
      <w:pPr>
        <w:spacing w:after="0" w:line="240" w:lineRule="auto"/>
        <w:ind w:right="-20"/>
        <w:rPr>
          <w:rFonts w:ascii="Times New Roman" w:eastAsia="Times New Roman" w:hAnsi="Times New Roman"/>
        </w:rPr>
      </w:pPr>
      <w:r w:rsidRPr="00534C57">
        <w:rPr>
          <w:rFonts w:ascii="Times New Roman" w:eastAsia="Times New Roman" w:hAnsi="Times New Roman"/>
          <w:b/>
          <w:bCs/>
          <w:position w:val="-1"/>
        </w:rPr>
        <w:t>Ūminė mieloleukemija</w:t>
      </w:r>
    </w:p>
    <w:p w14:paraId="4D71D6F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tbl>
      <w:tblPr>
        <w:tblW w:w="0" w:type="auto"/>
        <w:tblInd w:w="99" w:type="dxa"/>
        <w:tblLayout w:type="fixed"/>
        <w:tblCellMar>
          <w:left w:w="0" w:type="dxa"/>
          <w:right w:w="0" w:type="dxa"/>
        </w:tblCellMar>
        <w:tblLook w:val="01E0" w:firstRow="1" w:lastRow="1" w:firstColumn="1" w:lastColumn="1" w:noHBand="0" w:noVBand="0"/>
      </w:tblPr>
      <w:tblGrid>
        <w:gridCol w:w="1858"/>
        <w:gridCol w:w="1610"/>
        <w:gridCol w:w="1560"/>
        <w:gridCol w:w="3000"/>
      </w:tblGrid>
      <w:tr w:rsidR="002F3324" w:rsidRPr="00F909DC" w14:paraId="58B4023A" w14:textId="77777777" w:rsidTr="00D21150">
        <w:trPr>
          <w:trHeight w:hRule="exact" w:val="768"/>
        </w:trPr>
        <w:tc>
          <w:tcPr>
            <w:tcW w:w="1858" w:type="dxa"/>
            <w:tcBorders>
              <w:top w:val="single" w:sz="4" w:space="0" w:color="000000"/>
              <w:left w:val="single" w:sz="4" w:space="0" w:color="000000"/>
              <w:bottom w:val="single" w:sz="4" w:space="0" w:color="000000"/>
              <w:right w:val="single" w:sz="4" w:space="0" w:color="000000"/>
            </w:tcBorders>
          </w:tcPr>
          <w:p w14:paraId="2350D5B7" w14:textId="77777777" w:rsidR="002F3324" w:rsidRPr="00534C57" w:rsidRDefault="002F3324" w:rsidP="002F3324">
            <w:pPr>
              <w:spacing w:after="0" w:line="240" w:lineRule="auto"/>
              <w:ind w:left="102" w:right="766"/>
              <w:rPr>
                <w:rFonts w:ascii="Times New Roman" w:eastAsia="Times New Roman" w:hAnsi="Times New Roman"/>
              </w:rPr>
            </w:pPr>
            <w:r w:rsidRPr="00534C57">
              <w:rPr>
                <w:rFonts w:ascii="Times New Roman" w:eastAsia="Times New Roman" w:hAnsi="Times New Roman"/>
                <w:b/>
                <w:bCs/>
              </w:rPr>
              <w:t>Tyrimo</w:t>
            </w:r>
            <w:r w:rsidR="00AC7A35">
              <w:rPr>
                <w:rFonts w:ascii="Times New Roman" w:eastAsia="Times New Roman" w:hAnsi="Times New Roman"/>
                <w:b/>
                <w:bCs/>
              </w:rPr>
              <w:t xml:space="preserve"> </w:t>
            </w:r>
            <w:r w:rsidRPr="00534C57">
              <w:rPr>
                <w:rFonts w:ascii="Times New Roman" w:eastAsia="Times New Roman" w:hAnsi="Times New Roman"/>
                <w:b/>
                <w:bCs/>
              </w:rPr>
              <w:t>vertinimo kriterijai</w:t>
            </w:r>
          </w:p>
        </w:tc>
        <w:tc>
          <w:tcPr>
            <w:tcW w:w="1610" w:type="dxa"/>
            <w:tcBorders>
              <w:top w:val="single" w:sz="4" w:space="0" w:color="000000"/>
              <w:left w:val="single" w:sz="4" w:space="0" w:color="000000"/>
              <w:bottom w:val="single" w:sz="4" w:space="0" w:color="000000"/>
              <w:right w:val="single" w:sz="4" w:space="0" w:color="000000"/>
            </w:tcBorders>
          </w:tcPr>
          <w:p w14:paraId="6F239D5A"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Vorikonazolas</w:t>
            </w:r>
          </w:p>
          <w:p w14:paraId="445877A9"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spacing w:val="-1"/>
              </w:rPr>
              <w:t>N=98</w:t>
            </w:r>
          </w:p>
        </w:tc>
        <w:tc>
          <w:tcPr>
            <w:tcW w:w="1560" w:type="dxa"/>
            <w:tcBorders>
              <w:top w:val="single" w:sz="4" w:space="0" w:color="000000"/>
              <w:left w:val="single" w:sz="4" w:space="0" w:color="000000"/>
              <w:bottom w:val="single" w:sz="4" w:space="0" w:color="000000"/>
              <w:right w:val="single" w:sz="4" w:space="0" w:color="000000"/>
            </w:tcBorders>
          </w:tcPr>
          <w:p w14:paraId="10F372E0"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Itrakonazolas</w:t>
            </w:r>
          </w:p>
          <w:p w14:paraId="668AC51A"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spacing w:val="-1"/>
              </w:rPr>
              <w:t>N=109</w:t>
            </w:r>
          </w:p>
        </w:tc>
        <w:tc>
          <w:tcPr>
            <w:tcW w:w="3000" w:type="dxa"/>
            <w:tcBorders>
              <w:top w:val="single" w:sz="4" w:space="0" w:color="000000"/>
              <w:left w:val="single" w:sz="4" w:space="0" w:color="000000"/>
              <w:bottom w:val="single" w:sz="4" w:space="0" w:color="000000"/>
              <w:right w:val="single" w:sz="4" w:space="0" w:color="000000"/>
            </w:tcBorders>
          </w:tcPr>
          <w:p w14:paraId="74B86C74"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Proporcijų skirtumas ir 95</w:t>
            </w:r>
            <w:r w:rsidR="007B6FA7">
              <w:rPr>
                <w:rFonts w:ascii="Times New Roman" w:eastAsia="Times New Roman" w:hAnsi="Times New Roman"/>
                <w:b/>
                <w:bCs/>
              </w:rPr>
              <w:t> </w:t>
            </w:r>
            <w:r w:rsidRPr="00534C57">
              <w:rPr>
                <w:rFonts w:ascii="Times New Roman" w:eastAsia="Times New Roman" w:hAnsi="Times New Roman"/>
                <w:b/>
                <w:bCs/>
              </w:rPr>
              <w:t>% pasikliovimo intervalas</w:t>
            </w:r>
          </w:p>
          <w:p w14:paraId="6225A190"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(PI)</w:t>
            </w:r>
          </w:p>
        </w:tc>
      </w:tr>
      <w:tr w:rsidR="002F3324" w:rsidRPr="00F909DC" w14:paraId="479F8CFF" w14:textId="77777777" w:rsidTr="00D21150">
        <w:trPr>
          <w:trHeight w:hRule="exact" w:val="1277"/>
        </w:trPr>
        <w:tc>
          <w:tcPr>
            <w:tcW w:w="1858" w:type="dxa"/>
            <w:tcBorders>
              <w:top w:val="single" w:sz="4" w:space="0" w:color="000000"/>
              <w:left w:val="single" w:sz="4" w:space="0" w:color="000000"/>
              <w:bottom w:val="single" w:sz="4" w:space="0" w:color="000000"/>
              <w:right w:val="single" w:sz="4" w:space="0" w:color="000000"/>
            </w:tcBorders>
          </w:tcPr>
          <w:p w14:paraId="0CC66103"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I</w:t>
            </w:r>
            <w:r w:rsidRPr="00534C57">
              <w:rPr>
                <w:rFonts w:ascii="Times New Roman" w:eastAsia="Times New Roman" w:hAnsi="Times New Roman"/>
                <w:spacing w:val="2"/>
              </w:rPr>
              <w:t>n</w:t>
            </w:r>
            <w:r w:rsidRPr="00534C57">
              <w:rPr>
                <w:rFonts w:ascii="Times New Roman" w:eastAsia="Times New Roman" w:hAnsi="Times New Roman"/>
                <w:spacing w:val="-2"/>
              </w:rPr>
              <w:t>v</w:t>
            </w:r>
            <w:r w:rsidRPr="00534C57">
              <w:rPr>
                <w:rFonts w:ascii="Times New Roman" w:eastAsia="Times New Roman" w:hAnsi="Times New Roman"/>
                <w:spacing w:val="3"/>
              </w:rPr>
              <w:t>a</w:t>
            </w:r>
            <w:r w:rsidRPr="00534C57">
              <w:rPr>
                <w:rFonts w:ascii="Times New Roman" w:eastAsia="Times New Roman" w:hAnsi="Times New Roman"/>
              </w:rPr>
              <w:t>zinės grybelių</w:t>
            </w:r>
          </w:p>
          <w:p w14:paraId="31845FD2" w14:textId="77777777" w:rsidR="002F3324" w:rsidRPr="00534C57" w:rsidRDefault="002F3324" w:rsidP="002F3324">
            <w:pPr>
              <w:spacing w:after="0" w:line="240" w:lineRule="auto"/>
              <w:ind w:left="102" w:right="296"/>
              <w:rPr>
                <w:rFonts w:ascii="Times New Roman" w:eastAsia="Times New Roman" w:hAnsi="Times New Roman"/>
              </w:rPr>
            </w:pPr>
            <w:r w:rsidRPr="00534C57">
              <w:rPr>
                <w:rFonts w:ascii="Times New Roman" w:eastAsia="Times New Roman" w:hAnsi="Times New Roman"/>
              </w:rPr>
              <w:t>sukeltos infekcinės ligos</w:t>
            </w:r>
          </w:p>
          <w:p w14:paraId="3E5CC9D0" w14:textId="77777777" w:rsidR="002F3324" w:rsidRPr="00534C57" w:rsidRDefault="002F3324" w:rsidP="002F3324">
            <w:pPr>
              <w:spacing w:after="0" w:line="240" w:lineRule="auto"/>
              <w:ind w:left="102" w:right="217"/>
              <w:rPr>
                <w:rFonts w:ascii="Times New Roman" w:eastAsia="Times New Roman" w:hAnsi="Times New Roman"/>
              </w:rPr>
            </w:pPr>
            <w:r w:rsidRPr="00534C57">
              <w:rPr>
                <w:rFonts w:ascii="Times New Roman" w:eastAsia="Times New Roman" w:hAnsi="Times New Roman"/>
              </w:rPr>
              <w:t>protrūkis iki 180 pa</w:t>
            </w:r>
            <w:r w:rsidRPr="00534C57">
              <w:rPr>
                <w:rFonts w:ascii="Times New Roman" w:eastAsia="Times New Roman" w:hAnsi="Times New Roman"/>
                <w:spacing w:val="1"/>
              </w:rPr>
              <w:t>r</w:t>
            </w:r>
            <w:r w:rsidRPr="00534C57">
              <w:rPr>
                <w:rFonts w:ascii="Times New Roman" w:eastAsia="Times New Roman" w:hAnsi="Times New Roman"/>
              </w:rPr>
              <w:t>os</w:t>
            </w:r>
          </w:p>
        </w:tc>
        <w:tc>
          <w:tcPr>
            <w:tcW w:w="1610" w:type="dxa"/>
            <w:tcBorders>
              <w:top w:val="single" w:sz="4" w:space="0" w:color="000000"/>
              <w:left w:val="single" w:sz="4" w:space="0" w:color="000000"/>
              <w:bottom w:val="single" w:sz="4" w:space="0" w:color="000000"/>
              <w:right w:val="single" w:sz="4" w:space="0" w:color="000000"/>
            </w:tcBorders>
          </w:tcPr>
          <w:p w14:paraId="08B71831"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 (1,0 %)</w:t>
            </w:r>
          </w:p>
        </w:tc>
        <w:tc>
          <w:tcPr>
            <w:tcW w:w="1560" w:type="dxa"/>
            <w:tcBorders>
              <w:top w:val="single" w:sz="4" w:space="0" w:color="000000"/>
              <w:left w:val="single" w:sz="4" w:space="0" w:color="000000"/>
              <w:bottom w:val="single" w:sz="4" w:space="0" w:color="000000"/>
              <w:right w:val="single" w:sz="4" w:space="0" w:color="000000"/>
            </w:tcBorders>
          </w:tcPr>
          <w:p w14:paraId="7327CB4B" w14:textId="77777777" w:rsidR="002F3324" w:rsidRPr="00534C57" w:rsidRDefault="002F3324" w:rsidP="002F3324">
            <w:pPr>
              <w:spacing w:after="0" w:line="240" w:lineRule="auto"/>
              <w:ind w:left="157" w:right="-20"/>
              <w:rPr>
                <w:rFonts w:ascii="Times New Roman" w:eastAsia="Times New Roman" w:hAnsi="Times New Roman"/>
              </w:rPr>
            </w:pPr>
            <w:r w:rsidRPr="00534C57">
              <w:rPr>
                <w:rFonts w:ascii="Times New Roman" w:eastAsia="Times New Roman" w:hAnsi="Times New Roman"/>
              </w:rPr>
              <w:t>2 (1,8 %)</w:t>
            </w:r>
          </w:p>
        </w:tc>
        <w:tc>
          <w:tcPr>
            <w:tcW w:w="3000" w:type="dxa"/>
            <w:tcBorders>
              <w:top w:val="single" w:sz="4" w:space="0" w:color="000000"/>
              <w:left w:val="single" w:sz="4" w:space="0" w:color="000000"/>
              <w:bottom w:val="single" w:sz="4" w:space="0" w:color="000000"/>
              <w:right w:val="single" w:sz="4" w:space="0" w:color="000000"/>
            </w:tcBorders>
          </w:tcPr>
          <w:p w14:paraId="58AEDEA0"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w:t>
            </w:r>
            <w:r w:rsidRPr="00534C57">
              <w:rPr>
                <w:rFonts w:ascii="Times New Roman" w:eastAsia="Times New Roman" w:hAnsi="Times New Roman"/>
              </w:rPr>
              <w:t xml:space="preserve">0,8 % </w:t>
            </w:r>
            <w:r w:rsidRPr="00534C57">
              <w:rPr>
                <w:rFonts w:ascii="Times New Roman" w:eastAsia="Times New Roman" w:hAnsi="Times New Roman"/>
                <w:spacing w:val="1"/>
              </w:rPr>
              <w:t>(</w:t>
            </w:r>
            <w:r w:rsidRPr="00534C57">
              <w:rPr>
                <w:rFonts w:ascii="Times New Roman" w:eastAsia="Times New Roman" w:hAnsi="Times New Roman"/>
                <w:spacing w:val="-4"/>
              </w:rPr>
              <w:t>-</w:t>
            </w:r>
            <w:r w:rsidRPr="00534C57">
              <w:rPr>
                <w:rFonts w:ascii="Times New Roman" w:eastAsia="Times New Roman" w:hAnsi="Times New Roman"/>
              </w:rPr>
              <w:t>4,0 %, 2,4 %) **</w:t>
            </w:r>
          </w:p>
        </w:tc>
      </w:tr>
      <w:tr w:rsidR="002F3324" w:rsidRPr="00F909DC" w14:paraId="3BE9A4E9" w14:textId="77777777" w:rsidTr="00D21150">
        <w:trPr>
          <w:trHeight w:hRule="exact" w:val="262"/>
        </w:trPr>
        <w:tc>
          <w:tcPr>
            <w:tcW w:w="1858" w:type="dxa"/>
            <w:tcBorders>
              <w:top w:val="single" w:sz="4" w:space="0" w:color="000000"/>
              <w:left w:val="single" w:sz="4" w:space="0" w:color="000000"/>
              <w:bottom w:val="single" w:sz="4" w:space="0" w:color="000000"/>
              <w:right w:val="single" w:sz="4" w:space="0" w:color="000000"/>
            </w:tcBorders>
          </w:tcPr>
          <w:p w14:paraId="4EF0E98E"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Sėkmė</w:t>
            </w:r>
            <w:r w:rsidRPr="00534C57">
              <w:rPr>
                <w:rFonts w:ascii="Times New Roman" w:eastAsia="Times New Roman" w:hAnsi="Times New Roman"/>
                <w:spacing w:val="-1"/>
              </w:rPr>
              <w:t xml:space="preserve"> </w:t>
            </w:r>
            <w:r w:rsidRPr="00534C57">
              <w:rPr>
                <w:rFonts w:ascii="Times New Roman" w:eastAsia="Times New Roman" w:hAnsi="Times New Roman"/>
              </w:rPr>
              <w:t>180* pa</w:t>
            </w:r>
            <w:r w:rsidRPr="00534C57">
              <w:rPr>
                <w:rFonts w:ascii="Times New Roman" w:eastAsia="Times New Roman" w:hAnsi="Times New Roman"/>
                <w:spacing w:val="-2"/>
              </w:rPr>
              <w:t>r</w:t>
            </w:r>
            <w:r w:rsidRPr="00534C57">
              <w:rPr>
                <w:rFonts w:ascii="Times New Roman" w:eastAsia="Times New Roman" w:hAnsi="Times New Roman"/>
              </w:rPr>
              <w:t>ą</w:t>
            </w:r>
          </w:p>
        </w:tc>
        <w:tc>
          <w:tcPr>
            <w:tcW w:w="1610" w:type="dxa"/>
            <w:tcBorders>
              <w:top w:val="single" w:sz="4" w:space="0" w:color="000000"/>
              <w:left w:val="single" w:sz="4" w:space="0" w:color="000000"/>
              <w:bottom w:val="single" w:sz="4" w:space="0" w:color="000000"/>
              <w:right w:val="single" w:sz="4" w:space="0" w:color="000000"/>
            </w:tcBorders>
          </w:tcPr>
          <w:p w14:paraId="0B3CBB0A"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55 (56,1 %)</w:t>
            </w:r>
          </w:p>
        </w:tc>
        <w:tc>
          <w:tcPr>
            <w:tcW w:w="1560" w:type="dxa"/>
            <w:tcBorders>
              <w:top w:val="single" w:sz="4" w:space="0" w:color="000000"/>
              <w:left w:val="single" w:sz="4" w:space="0" w:color="000000"/>
              <w:bottom w:val="single" w:sz="4" w:space="0" w:color="000000"/>
              <w:right w:val="single" w:sz="4" w:space="0" w:color="000000"/>
            </w:tcBorders>
          </w:tcPr>
          <w:p w14:paraId="33E028EE"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45 (41,3 %)</w:t>
            </w:r>
          </w:p>
        </w:tc>
        <w:tc>
          <w:tcPr>
            <w:tcW w:w="3000" w:type="dxa"/>
            <w:tcBorders>
              <w:top w:val="single" w:sz="4" w:space="0" w:color="000000"/>
              <w:left w:val="single" w:sz="4" w:space="0" w:color="000000"/>
              <w:bottom w:val="single" w:sz="4" w:space="0" w:color="000000"/>
              <w:right w:val="single" w:sz="4" w:space="0" w:color="000000"/>
            </w:tcBorders>
          </w:tcPr>
          <w:p w14:paraId="398EF213"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14,7 % (1,7</w:t>
            </w:r>
            <w:r w:rsidRPr="00534C57">
              <w:rPr>
                <w:rFonts w:ascii="Times New Roman" w:eastAsia="Times New Roman" w:hAnsi="Times New Roman"/>
                <w:spacing w:val="-2"/>
              </w:rPr>
              <w:t xml:space="preserve"> </w:t>
            </w:r>
            <w:r w:rsidRPr="00534C57">
              <w:rPr>
                <w:rFonts w:ascii="Times New Roman" w:eastAsia="Times New Roman" w:hAnsi="Times New Roman"/>
              </w:rPr>
              <w:t>%,</w:t>
            </w:r>
            <w:r w:rsidRPr="00534C57">
              <w:rPr>
                <w:rFonts w:ascii="Times New Roman" w:eastAsia="Times New Roman" w:hAnsi="Times New Roman"/>
                <w:spacing w:val="1"/>
              </w:rPr>
              <w:t xml:space="preserve"> </w:t>
            </w:r>
            <w:r w:rsidRPr="00534C57">
              <w:rPr>
                <w:rFonts w:ascii="Times New Roman" w:eastAsia="Times New Roman" w:hAnsi="Times New Roman"/>
              </w:rPr>
              <w:t>2</w:t>
            </w:r>
            <w:r w:rsidRPr="00534C57">
              <w:rPr>
                <w:rFonts w:ascii="Times New Roman" w:eastAsia="Times New Roman" w:hAnsi="Times New Roman"/>
                <w:spacing w:val="-2"/>
              </w:rPr>
              <w:t>7</w:t>
            </w:r>
            <w:r w:rsidRPr="00534C57">
              <w:rPr>
                <w:rFonts w:ascii="Times New Roman" w:eastAsia="Times New Roman" w:hAnsi="Times New Roman"/>
              </w:rPr>
              <w:t>,7 %)***</w:t>
            </w:r>
          </w:p>
        </w:tc>
      </w:tr>
    </w:tbl>
    <w:p w14:paraId="0D68489A"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Pagrindinis tyrimo vertinimo kriterijus</w:t>
      </w:r>
    </w:p>
    <w:p w14:paraId="74B5FA22"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Vartojant</w:t>
      </w:r>
      <w:r w:rsidRPr="00534C57">
        <w:rPr>
          <w:rFonts w:ascii="Times New Roman" w:eastAsia="Times New Roman" w:hAnsi="Times New Roman"/>
          <w:spacing w:val="-1"/>
        </w:rPr>
        <w:t xml:space="preserve"> </w:t>
      </w:r>
      <w:r w:rsidRPr="00534C57">
        <w:rPr>
          <w:rFonts w:ascii="Times New Roman" w:eastAsia="Times New Roman" w:hAnsi="Times New Roman"/>
        </w:rPr>
        <w:t>5</w:t>
      </w:r>
      <w:r w:rsidRPr="00534C57">
        <w:rPr>
          <w:rFonts w:ascii="Times New Roman" w:eastAsia="Times New Roman" w:hAnsi="Times New Roman"/>
          <w:spacing w:val="-1"/>
        </w:rPr>
        <w:t xml:space="preserve"> </w:t>
      </w:r>
      <w:r w:rsidRPr="00534C57">
        <w:rPr>
          <w:rFonts w:ascii="Times New Roman" w:eastAsia="Times New Roman" w:hAnsi="Times New Roman"/>
        </w:rPr>
        <w:t>%</w:t>
      </w:r>
      <w:r w:rsidRPr="00534C57">
        <w:rPr>
          <w:rFonts w:ascii="Times New Roman" w:eastAsia="Times New Roman" w:hAnsi="Times New Roman"/>
          <w:spacing w:val="-1"/>
        </w:rPr>
        <w:t xml:space="preserve"> </w:t>
      </w:r>
      <w:r w:rsidRPr="00534C57">
        <w:rPr>
          <w:rFonts w:ascii="Times New Roman" w:eastAsia="Times New Roman" w:hAnsi="Times New Roman"/>
        </w:rPr>
        <w:t>ribą</w:t>
      </w:r>
      <w:r w:rsidRPr="00534C57">
        <w:rPr>
          <w:rFonts w:ascii="Times New Roman" w:eastAsia="Times New Roman" w:hAnsi="Times New Roman"/>
          <w:spacing w:val="-1"/>
        </w:rPr>
        <w:t xml:space="preserve"> </w:t>
      </w:r>
      <w:r w:rsidRPr="00534C57">
        <w:rPr>
          <w:rFonts w:ascii="Times New Roman" w:eastAsia="Times New Roman" w:hAnsi="Times New Roman"/>
        </w:rPr>
        <w:t>parodytas</w:t>
      </w:r>
      <w:r w:rsidRPr="00534C57">
        <w:rPr>
          <w:rFonts w:ascii="Times New Roman" w:eastAsia="Times New Roman" w:hAnsi="Times New Roman"/>
          <w:spacing w:val="-1"/>
        </w:rPr>
        <w:t xml:space="preserve"> </w:t>
      </w:r>
      <w:r w:rsidRPr="00534C57">
        <w:rPr>
          <w:rFonts w:ascii="Times New Roman" w:eastAsia="Times New Roman" w:hAnsi="Times New Roman"/>
        </w:rPr>
        <w:t>ne</w:t>
      </w:r>
      <w:r w:rsidRPr="00534C57">
        <w:rPr>
          <w:rFonts w:ascii="Times New Roman" w:eastAsia="Times New Roman" w:hAnsi="Times New Roman"/>
          <w:spacing w:val="-1"/>
        </w:rPr>
        <w:t xml:space="preserve"> </w:t>
      </w:r>
      <w:r w:rsidRPr="00534C57">
        <w:rPr>
          <w:rFonts w:ascii="Times New Roman" w:eastAsia="Times New Roman" w:hAnsi="Times New Roman"/>
        </w:rPr>
        <w:t>mažesnis</w:t>
      </w:r>
      <w:r w:rsidRPr="00534C57">
        <w:rPr>
          <w:rFonts w:ascii="Times New Roman" w:eastAsia="Times New Roman" w:hAnsi="Times New Roman"/>
          <w:spacing w:val="-1"/>
        </w:rPr>
        <w:t xml:space="preserve"> </w:t>
      </w:r>
      <w:r w:rsidRPr="00534C57">
        <w:rPr>
          <w:rFonts w:ascii="Times New Roman" w:eastAsia="Times New Roman" w:hAnsi="Times New Roman"/>
        </w:rPr>
        <w:t>veiksmingumas</w:t>
      </w:r>
    </w:p>
    <w:p w14:paraId="0449E16B"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Proporcijų skirtumas, 95 %</w:t>
      </w:r>
      <w:r w:rsidRPr="00534C57">
        <w:rPr>
          <w:rFonts w:ascii="Times New Roman" w:eastAsia="Times New Roman" w:hAnsi="Times New Roman"/>
          <w:spacing w:val="1"/>
        </w:rPr>
        <w:t xml:space="preserve"> </w:t>
      </w:r>
      <w:r w:rsidRPr="00534C57">
        <w:rPr>
          <w:rFonts w:ascii="Times New Roman" w:eastAsia="Times New Roman" w:hAnsi="Times New Roman"/>
          <w:spacing w:val="-1"/>
        </w:rPr>
        <w:t>P</w:t>
      </w:r>
      <w:r w:rsidRPr="00534C57">
        <w:rPr>
          <w:rFonts w:ascii="Times New Roman" w:eastAsia="Times New Roman" w:hAnsi="Times New Roman"/>
        </w:rPr>
        <w:t>I</w:t>
      </w:r>
      <w:r w:rsidRPr="00534C57">
        <w:rPr>
          <w:rFonts w:ascii="Times New Roman" w:eastAsia="Times New Roman" w:hAnsi="Times New Roman"/>
          <w:spacing w:val="-1"/>
        </w:rPr>
        <w:t xml:space="preserve"> </w:t>
      </w:r>
      <w:r w:rsidRPr="00534C57">
        <w:rPr>
          <w:rFonts w:ascii="Times New Roman" w:eastAsia="Times New Roman" w:hAnsi="Times New Roman"/>
        </w:rPr>
        <w:t>gautos</w:t>
      </w:r>
      <w:r w:rsidRPr="00534C57">
        <w:rPr>
          <w:rFonts w:ascii="Times New Roman" w:eastAsia="Times New Roman" w:hAnsi="Times New Roman"/>
          <w:spacing w:val="-1"/>
        </w:rPr>
        <w:t xml:space="preserve"> </w:t>
      </w:r>
      <w:r w:rsidRPr="00534C57">
        <w:rPr>
          <w:rFonts w:ascii="Times New Roman" w:eastAsia="Times New Roman" w:hAnsi="Times New Roman"/>
        </w:rPr>
        <w:t>po</w:t>
      </w:r>
      <w:r w:rsidRPr="00534C57">
        <w:rPr>
          <w:rFonts w:ascii="Times New Roman" w:eastAsia="Times New Roman" w:hAnsi="Times New Roman"/>
          <w:spacing w:val="-1"/>
        </w:rPr>
        <w:t xml:space="preserve"> </w:t>
      </w:r>
      <w:r w:rsidRPr="00534C57">
        <w:rPr>
          <w:rFonts w:ascii="Times New Roman" w:eastAsia="Times New Roman" w:hAnsi="Times New Roman"/>
        </w:rPr>
        <w:t>atsitiktinės</w:t>
      </w:r>
      <w:r w:rsidRPr="00534C57">
        <w:rPr>
          <w:rFonts w:ascii="Times New Roman" w:eastAsia="Times New Roman" w:hAnsi="Times New Roman"/>
          <w:spacing w:val="-1"/>
        </w:rPr>
        <w:t xml:space="preserve"> </w:t>
      </w:r>
      <w:r w:rsidRPr="00534C57">
        <w:rPr>
          <w:rFonts w:ascii="Times New Roman" w:eastAsia="Times New Roman" w:hAnsi="Times New Roman"/>
        </w:rPr>
        <w:t>atrankos</w:t>
      </w:r>
      <w:r w:rsidRPr="00534C57">
        <w:rPr>
          <w:rFonts w:ascii="Times New Roman" w:eastAsia="Times New Roman" w:hAnsi="Times New Roman"/>
          <w:spacing w:val="-1"/>
        </w:rPr>
        <w:t xml:space="preserve"> </w:t>
      </w:r>
      <w:r w:rsidRPr="00534C57">
        <w:rPr>
          <w:rFonts w:ascii="Times New Roman" w:eastAsia="Times New Roman" w:hAnsi="Times New Roman"/>
        </w:rPr>
        <w:t>koregavimo</w:t>
      </w:r>
    </w:p>
    <w:p w14:paraId="21596B1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E6EF593" w14:textId="77777777" w:rsidR="002F3324" w:rsidRPr="00534C57" w:rsidRDefault="002F3324" w:rsidP="002F3324">
      <w:pPr>
        <w:spacing w:after="0" w:line="240" w:lineRule="auto"/>
        <w:ind w:right="-20"/>
        <w:rPr>
          <w:rFonts w:ascii="Times New Roman" w:eastAsia="Times New Roman" w:hAnsi="Times New Roman"/>
          <w:b/>
          <w:bCs/>
          <w:position w:val="-1"/>
        </w:rPr>
      </w:pPr>
      <w:r w:rsidRPr="00534C57">
        <w:rPr>
          <w:rFonts w:ascii="Times New Roman" w:eastAsia="Times New Roman" w:hAnsi="Times New Roman"/>
          <w:b/>
          <w:bCs/>
          <w:position w:val="-1"/>
        </w:rPr>
        <w:t>Mieloabliac</w:t>
      </w:r>
      <w:r w:rsidRPr="00534C57">
        <w:rPr>
          <w:rFonts w:ascii="Times New Roman" w:eastAsia="Times New Roman" w:hAnsi="Times New Roman"/>
          <w:b/>
          <w:bCs/>
          <w:spacing w:val="1"/>
          <w:position w:val="-1"/>
        </w:rPr>
        <w:t>i</w:t>
      </w:r>
      <w:r w:rsidRPr="00534C57">
        <w:rPr>
          <w:rFonts w:ascii="Times New Roman" w:eastAsia="Times New Roman" w:hAnsi="Times New Roman"/>
          <w:b/>
          <w:bCs/>
          <w:position w:val="-1"/>
        </w:rPr>
        <w:t>nio</w:t>
      </w:r>
      <w:r w:rsidRPr="00534C57">
        <w:rPr>
          <w:rFonts w:ascii="Times New Roman" w:eastAsia="Times New Roman" w:hAnsi="Times New Roman"/>
          <w:b/>
          <w:bCs/>
          <w:spacing w:val="-1"/>
          <w:position w:val="-1"/>
        </w:rPr>
        <w:t xml:space="preserve"> </w:t>
      </w:r>
      <w:r w:rsidRPr="00534C57">
        <w:rPr>
          <w:rFonts w:ascii="Times New Roman" w:eastAsia="Times New Roman" w:hAnsi="Times New Roman"/>
          <w:b/>
          <w:bCs/>
          <w:position w:val="-1"/>
        </w:rPr>
        <w:t>gydymo</w:t>
      </w:r>
      <w:r w:rsidRPr="00534C57">
        <w:rPr>
          <w:rFonts w:ascii="Times New Roman" w:eastAsia="Times New Roman" w:hAnsi="Times New Roman"/>
          <w:b/>
          <w:bCs/>
          <w:spacing w:val="-1"/>
          <w:position w:val="-1"/>
        </w:rPr>
        <w:t xml:space="preserve"> </w:t>
      </w:r>
      <w:r w:rsidRPr="00534C57">
        <w:rPr>
          <w:rFonts w:ascii="Times New Roman" w:eastAsia="Times New Roman" w:hAnsi="Times New Roman"/>
          <w:b/>
          <w:bCs/>
          <w:position w:val="-1"/>
        </w:rPr>
        <w:t>režimai</w:t>
      </w:r>
    </w:p>
    <w:p w14:paraId="01CFF188" w14:textId="77777777" w:rsidR="002F3324" w:rsidRPr="00534C57" w:rsidRDefault="002F3324" w:rsidP="002F3324">
      <w:pPr>
        <w:spacing w:after="0" w:line="240" w:lineRule="auto"/>
        <w:ind w:right="-20"/>
        <w:rPr>
          <w:rFonts w:ascii="Times New Roman" w:eastAsia="Times New Roman" w:hAnsi="Times New Roman"/>
          <w:b/>
          <w:bCs/>
          <w:position w:val="-1"/>
        </w:rPr>
      </w:pPr>
    </w:p>
    <w:tbl>
      <w:tblPr>
        <w:tblW w:w="0" w:type="auto"/>
        <w:tblInd w:w="99" w:type="dxa"/>
        <w:tblLayout w:type="fixed"/>
        <w:tblCellMar>
          <w:left w:w="0" w:type="dxa"/>
          <w:right w:w="0" w:type="dxa"/>
        </w:tblCellMar>
        <w:tblLook w:val="01E0" w:firstRow="1" w:lastRow="1" w:firstColumn="1" w:lastColumn="1" w:noHBand="0" w:noVBand="0"/>
      </w:tblPr>
      <w:tblGrid>
        <w:gridCol w:w="1858"/>
        <w:gridCol w:w="1610"/>
        <w:gridCol w:w="1560"/>
        <w:gridCol w:w="3000"/>
      </w:tblGrid>
      <w:tr w:rsidR="002F3324" w:rsidRPr="00F909DC" w14:paraId="29F36560" w14:textId="77777777" w:rsidTr="00D21150">
        <w:trPr>
          <w:trHeight w:hRule="exact" w:val="768"/>
        </w:trPr>
        <w:tc>
          <w:tcPr>
            <w:tcW w:w="1858" w:type="dxa"/>
            <w:tcBorders>
              <w:top w:val="single" w:sz="4" w:space="0" w:color="000000"/>
              <w:left w:val="single" w:sz="4" w:space="0" w:color="000000"/>
              <w:bottom w:val="single" w:sz="4" w:space="0" w:color="000000"/>
              <w:right w:val="single" w:sz="4" w:space="0" w:color="000000"/>
            </w:tcBorders>
          </w:tcPr>
          <w:p w14:paraId="21719BE4"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Tyrimo vertinimo</w:t>
            </w:r>
            <w:r w:rsidR="00AC7A35">
              <w:rPr>
                <w:rFonts w:ascii="Times New Roman" w:eastAsia="Times New Roman" w:hAnsi="Times New Roman"/>
                <w:b/>
                <w:bCs/>
              </w:rPr>
              <w:t xml:space="preserve"> </w:t>
            </w:r>
            <w:r w:rsidRPr="00534C57">
              <w:rPr>
                <w:rFonts w:ascii="Times New Roman" w:eastAsia="Times New Roman" w:hAnsi="Times New Roman"/>
                <w:b/>
                <w:bCs/>
              </w:rPr>
              <w:t>kriterijai</w:t>
            </w:r>
          </w:p>
        </w:tc>
        <w:tc>
          <w:tcPr>
            <w:tcW w:w="1610" w:type="dxa"/>
            <w:tcBorders>
              <w:top w:val="single" w:sz="4" w:space="0" w:color="000000"/>
              <w:left w:val="single" w:sz="4" w:space="0" w:color="000000"/>
              <w:bottom w:val="single" w:sz="4" w:space="0" w:color="000000"/>
              <w:right w:val="single" w:sz="4" w:space="0" w:color="000000"/>
            </w:tcBorders>
          </w:tcPr>
          <w:p w14:paraId="1E763720"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Vorikonazolas</w:t>
            </w:r>
          </w:p>
          <w:p w14:paraId="382D8112"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spacing w:val="-1"/>
              </w:rPr>
              <w:t>N=</w:t>
            </w:r>
            <w:r w:rsidRPr="00534C57">
              <w:rPr>
                <w:rFonts w:ascii="Times New Roman" w:eastAsia="Times New Roman" w:hAnsi="Times New Roman"/>
                <w:b/>
                <w:bCs/>
              </w:rPr>
              <w:t>125</w:t>
            </w:r>
          </w:p>
        </w:tc>
        <w:tc>
          <w:tcPr>
            <w:tcW w:w="1560" w:type="dxa"/>
            <w:tcBorders>
              <w:top w:val="single" w:sz="4" w:space="0" w:color="000000"/>
              <w:left w:val="single" w:sz="4" w:space="0" w:color="000000"/>
              <w:bottom w:val="single" w:sz="4" w:space="0" w:color="000000"/>
              <w:right w:val="single" w:sz="4" w:space="0" w:color="000000"/>
            </w:tcBorders>
          </w:tcPr>
          <w:p w14:paraId="44BD5D17"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Itrakonazolas</w:t>
            </w:r>
          </w:p>
          <w:p w14:paraId="2FA9151F"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spacing w:val="-1"/>
              </w:rPr>
              <w:t>N=</w:t>
            </w:r>
            <w:r w:rsidRPr="00534C57">
              <w:rPr>
                <w:rFonts w:ascii="Times New Roman" w:eastAsia="Times New Roman" w:hAnsi="Times New Roman"/>
                <w:b/>
                <w:bCs/>
              </w:rPr>
              <w:t>143</w:t>
            </w:r>
          </w:p>
        </w:tc>
        <w:tc>
          <w:tcPr>
            <w:tcW w:w="3000" w:type="dxa"/>
            <w:tcBorders>
              <w:top w:val="single" w:sz="4" w:space="0" w:color="000000"/>
              <w:left w:val="single" w:sz="4" w:space="0" w:color="000000"/>
              <w:bottom w:val="single" w:sz="4" w:space="0" w:color="000000"/>
              <w:right w:val="single" w:sz="4" w:space="0" w:color="000000"/>
            </w:tcBorders>
          </w:tcPr>
          <w:p w14:paraId="049C10F8"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Proporcijų skirtumas ir 95</w:t>
            </w:r>
            <w:r w:rsidR="007B6FA7">
              <w:rPr>
                <w:rFonts w:ascii="Times New Roman" w:eastAsia="Times New Roman" w:hAnsi="Times New Roman"/>
                <w:b/>
                <w:bCs/>
              </w:rPr>
              <w:t> </w:t>
            </w:r>
            <w:r w:rsidRPr="00534C57">
              <w:rPr>
                <w:rFonts w:ascii="Times New Roman" w:eastAsia="Times New Roman" w:hAnsi="Times New Roman"/>
                <w:b/>
                <w:bCs/>
              </w:rPr>
              <w:t>% pasikliovimo intervalas</w:t>
            </w:r>
          </w:p>
          <w:p w14:paraId="7243B13D"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b/>
                <w:bCs/>
              </w:rPr>
              <w:t>(PI)</w:t>
            </w:r>
          </w:p>
        </w:tc>
      </w:tr>
      <w:tr w:rsidR="002F3324" w:rsidRPr="00F909DC" w14:paraId="6252F5D1" w14:textId="77777777" w:rsidTr="00D21150">
        <w:trPr>
          <w:trHeight w:hRule="exact" w:val="1274"/>
        </w:trPr>
        <w:tc>
          <w:tcPr>
            <w:tcW w:w="1858" w:type="dxa"/>
            <w:tcBorders>
              <w:top w:val="single" w:sz="4" w:space="0" w:color="000000"/>
              <w:left w:val="single" w:sz="4" w:space="0" w:color="000000"/>
              <w:bottom w:val="single" w:sz="4" w:space="0" w:color="000000"/>
              <w:right w:val="single" w:sz="4" w:space="0" w:color="000000"/>
            </w:tcBorders>
          </w:tcPr>
          <w:p w14:paraId="7984E339"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I</w:t>
            </w:r>
            <w:r w:rsidRPr="00534C57">
              <w:rPr>
                <w:rFonts w:ascii="Times New Roman" w:eastAsia="Times New Roman" w:hAnsi="Times New Roman"/>
                <w:spacing w:val="2"/>
              </w:rPr>
              <w:t>n</w:t>
            </w:r>
            <w:r w:rsidRPr="00534C57">
              <w:rPr>
                <w:rFonts w:ascii="Times New Roman" w:eastAsia="Times New Roman" w:hAnsi="Times New Roman"/>
                <w:spacing w:val="-2"/>
              </w:rPr>
              <w:t>v</w:t>
            </w:r>
            <w:r w:rsidRPr="00534C57">
              <w:rPr>
                <w:rFonts w:ascii="Times New Roman" w:eastAsia="Times New Roman" w:hAnsi="Times New Roman"/>
                <w:spacing w:val="3"/>
              </w:rPr>
              <w:t>a</w:t>
            </w:r>
            <w:r w:rsidRPr="00534C57">
              <w:rPr>
                <w:rFonts w:ascii="Times New Roman" w:eastAsia="Times New Roman" w:hAnsi="Times New Roman"/>
              </w:rPr>
              <w:t>zinės grybelių</w:t>
            </w:r>
          </w:p>
          <w:p w14:paraId="7A0DE941" w14:textId="77777777" w:rsidR="002F3324" w:rsidRPr="00534C57" w:rsidRDefault="002F3324" w:rsidP="002F3324">
            <w:pPr>
              <w:spacing w:after="0" w:line="240" w:lineRule="auto"/>
              <w:ind w:left="102" w:right="217"/>
              <w:rPr>
                <w:rFonts w:ascii="Times New Roman" w:eastAsia="Times New Roman" w:hAnsi="Times New Roman"/>
              </w:rPr>
            </w:pPr>
            <w:r w:rsidRPr="00534C57">
              <w:rPr>
                <w:rFonts w:ascii="Times New Roman" w:eastAsia="Times New Roman" w:hAnsi="Times New Roman"/>
              </w:rPr>
              <w:t>sukeltos infekcinės ligos protrūkis iki 180 pa</w:t>
            </w:r>
            <w:r w:rsidRPr="00534C57">
              <w:rPr>
                <w:rFonts w:ascii="Times New Roman" w:eastAsia="Times New Roman" w:hAnsi="Times New Roman"/>
                <w:spacing w:val="1"/>
              </w:rPr>
              <w:t>r</w:t>
            </w:r>
            <w:r w:rsidRPr="00534C57">
              <w:rPr>
                <w:rFonts w:ascii="Times New Roman" w:eastAsia="Times New Roman" w:hAnsi="Times New Roman"/>
              </w:rPr>
              <w:t>os</w:t>
            </w:r>
          </w:p>
        </w:tc>
        <w:tc>
          <w:tcPr>
            <w:tcW w:w="1610" w:type="dxa"/>
            <w:tcBorders>
              <w:top w:val="single" w:sz="4" w:space="0" w:color="000000"/>
              <w:left w:val="single" w:sz="4" w:space="0" w:color="000000"/>
              <w:bottom w:val="single" w:sz="4" w:space="0" w:color="000000"/>
              <w:right w:val="single" w:sz="4" w:space="0" w:color="000000"/>
            </w:tcBorders>
          </w:tcPr>
          <w:p w14:paraId="02BA6405"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2 (1,6 %)</w:t>
            </w:r>
          </w:p>
        </w:tc>
        <w:tc>
          <w:tcPr>
            <w:tcW w:w="1560" w:type="dxa"/>
            <w:tcBorders>
              <w:top w:val="single" w:sz="4" w:space="0" w:color="000000"/>
              <w:left w:val="single" w:sz="4" w:space="0" w:color="000000"/>
              <w:bottom w:val="single" w:sz="4" w:space="0" w:color="000000"/>
              <w:right w:val="single" w:sz="4" w:space="0" w:color="000000"/>
            </w:tcBorders>
          </w:tcPr>
          <w:p w14:paraId="439BBB9A" w14:textId="77777777" w:rsidR="002F3324" w:rsidRPr="00534C57" w:rsidRDefault="002F3324" w:rsidP="002F3324">
            <w:pPr>
              <w:spacing w:after="0" w:line="240" w:lineRule="auto"/>
              <w:ind w:left="157" w:right="-20"/>
              <w:rPr>
                <w:rFonts w:ascii="Times New Roman" w:eastAsia="Times New Roman" w:hAnsi="Times New Roman"/>
              </w:rPr>
            </w:pPr>
            <w:r w:rsidRPr="00534C57">
              <w:rPr>
                <w:rFonts w:ascii="Times New Roman" w:eastAsia="Times New Roman" w:hAnsi="Times New Roman"/>
              </w:rPr>
              <w:t>3 (2,1 %)</w:t>
            </w:r>
          </w:p>
        </w:tc>
        <w:tc>
          <w:tcPr>
            <w:tcW w:w="3000" w:type="dxa"/>
            <w:tcBorders>
              <w:top w:val="single" w:sz="4" w:space="0" w:color="000000"/>
              <w:left w:val="single" w:sz="4" w:space="0" w:color="000000"/>
              <w:bottom w:val="single" w:sz="4" w:space="0" w:color="000000"/>
              <w:right w:val="single" w:sz="4" w:space="0" w:color="000000"/>
            </w:tcBorders>
          </w:tcPr>
          <w:p w14:paraId="4878EE18"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spacing w:val="-4"/>
              </w:rPr>
              <w:t>-</w:t>
            </w:r>
            <w:r w:rsidRPr="00534C57">
              <w:rPr>
                <w:rFonts w:ascii="Times New Roman" w:eastAsia="Times New Roman" w:hAnsi="Times New Roman"/>
              </w:rPr>
              <w:t xml:space="preserve">0,5 % </w:t>
            </w:r>
            <w:r w:rsidRPr="00534C57">
              <w:rPr>
                <w:rFonts w:ascii="Times New Roman" w:eastAsia="Times New Roman" w:hAnsi="Times New Roman"/>
                <w:spacing w:val="1"/>
              </w:rPr>
              <w:t>(</w:t>
            </w:r>
            <w:r w:rsidRPr="00534C57">
              <w:rPr>
                <w:rFonts w:ascii="Times New Roman" w:eastAsia="Times New Roman" w:hAnsi="Times New Roman"/>
                <w:spacing w:val="-4"/>
              </w:rPr>
              <w:t>-</w:t>
            </w:r>
            <w:r w:rsidRPr="00534C57">
              <w:rPr>
                <w:rFonts w:ascii="Times New Roman" w:eastAsia="Times New Roman" w:hAnsi="Times New Roman"/>
              </w:rPr>
              <w:t>3,7 %, 2,7 %) **</w:t>
            </w:r>
          </w:p>
        </w:tc>
      </w:tr>
      <w:tr w:rsidR="002F3324" w:rsidRPr="00F909DC" w14:paraId="35CC87D5" w14:textId="77777777" w:rsidTr="00D21150">
        <w:trPr>
          <w:trHeight w:hRule="exact" w:val="264"/>
        </w:trPr>
        <w:tc>
          <w:tcPr>
            <w:tcW w:w="1858" w:type="dxa"/>
            <w:tcBorders>
              <w:top w:val="single" w:sz="4" w:space="0" w:color="000000"/>
              <w:left w:val="single" w:sz="4" w:space="0" w:color="000000"/>
              <w:bottom w:val="single" w:sz="4" w:space="0" w:color="000000"/>
              <w:right w:val="single" w:sz="4" w:space="0" w:color="000000"/>
            </w:tcBorders>
          </w:tcPr>
          <w:p w14:paraId="23AD50BC"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Sėkmė</w:t>
            </w:r>
            <w:r w:rsidRPr="00534C57">
              <w:rPr>
                <w:rFonts w:ascii="Times New Roman" w:eastAsia="Times New Roman" w:hAnsi="Times New Roman"/>
                <w:spacing w:val="-1"/>
              </w:rPr>
              <w:t xml:space="preserve"> </w:t>
            </w:r>
            <w:r w:rsidRPr="00534C57">
              <w:rPr>
                <w:rFonts w:ascii="Times New Roman" w:eastAsia="Times New Roman" w:hAnsi="Times New Roman"/>
              </w:rPr>
              <w:t>180* pa</w:t>
            </w:r>
            <w:r w:rsidRPr="00534C57">
              <w:rPr>
                <w:rFonts w:ascii="Times New Roman" w:eastAsia="Times New Roman" w:hAnsi="Times New Roman"/>
                <w:spacing w:val="-2"/>
              </w:rPr>
              <w:t>r</w:t>
            </w:r>
            <w:r w:rsidRPr="00534C57">
              <w:rPr>
                <w:rFonts w:ascii="Times New Roman" w:eastAsia="Times New Roman" w:hAnsi="Times New Roman"/>
              </w:rPr>
              <w:t>ą</w:t>
            </w:r>
          </w:p>
        </w:tc>
        <w:tc>
          <w:tcPr>
            <w:tcW w:w="1610" w:type="dxa"/>
            <w:tcBorders>
              <w:top w:val="single" w:sz="4" w:space="0" w:color="000000"/>
              <w:left w:val="single" w:sz="4" w:space="0" w:color="000000"/>
              <w:bottom w:val="single" w:sz="4" w:space="0" w:color="000000"/>
              <w:right w:val="single" w:sz="4" w:space="0" w:color="000000"/>
            </w:tcBorders>
          </w:tcPr>
          <w:p w14:paraId="4AFEEECC"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70 (56,0</w:t>
            </w:r>
            <w:r w:rsidRPr="00534C57">
              <w:rPr>
                <w:rFonts w:ascii="Times New Roman" w:eastAsia="Times New Roman" w:hAnsi="Times New Roman"/>
                <w:spacing w:val="-2"/>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11BF249"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 xml:space="preserve">53 </w:t>
            </w:r>
            <w:r w:rsidRPr="00534C57">
              <w:rPr>
                <w:rFonts w:ascii="Times New Roman" w:eastAsia="Times New Roman" w:hAnsi="Times New Roman"/>
                <w:spacing w:val="1"/>
              </w:rPr>
              <w:t>(</w:t>
            </w:r>
            <w:r w:rsidRPr="00534C57">
              <w:rPr>
                <w:rFonts w:ascii="Times New Roman" w:eastAsia="Times New Roman" w:hAnsi="Times New Roman"/>
              </w:rPr>
              <w:t>37,1</w:t>
            </w:r>
            <w:r w:rsidRPr="00534C57">
              <w:rPr>
                <w:rFonts w:ascii="Times New Roman" w:eastAsia="Times New Roman" w:hAnsi="Times New Roman"/>
                <w:spacing w:val="-2"/>
              </w:rPr>
              <w:t xml:space="preserve"> %)</w:t>
            </w:r>
          </w:p>
        </w:tc>
        <w:tc>
          <w:tcPr>
            <w:tcW w:w="3000" w:type="dxa"/>
            <w:tcBorders>
              <w:top w:val="single" w:sz="4" w:space="0" w:color="000000"/>
              <w:left w:val="single" w:sz="4" w:space="0" w:color="000000"/>
              <w:bottom w:val="single" w:sz="4" w:space="0" w:color="000000"/>
              <w:right w:val="single" w:sz="4" w:space="0" w:color="000000"/>
            </w:tcBorders>
          </w:tcPr>
          <w:p w14:paraId="182A9CC2" w14:textId="77777777" w:rsidR="002F3324" w:rsidRPr="00534C57" w:rsidRDefault="002F3324" w:rsidP="002F3324">
            <w:pPr>
              <w:spacing w:after="0" w:line="240" w:lineRule="auto"/>
              <w:ind w:left="102" w:right="-20"/>
              <w:rPr>
                <w:rFonts w:ascii="Times New Roman" w:eastAsia="Times New Roman" w:hAnsi="Times New Roman"/>
              </w:rPr>
            </w:pPr>
            <w:r w:rsidRPr="00534C57">
              <w:rPr>
                <w:rFonts w:ascii="Times New Roman" w:eastAsia="Times New Roman" w:hAnsi="Times New Roman"/>
              </w:rPr>
              <w:t>20,1 %</w:t>
            </w:r>
            <w:r w:rsidRPr="00534C57">
              <w:rPr>
                <w:rFonts w:ascii="Times New Roman" w:eastAsia="Times New Roman" w:hAnsi="Times New Roman"/>
                <w:spacing w:val="-1"/>
              </w:rPr>
              <w:t xml:space="preserve"> </w:t>
            </w:r>
            <w:r w:rsidRPr="00534C57">
              <w:rPr>
                <w:rFonts w:ascii="Times New Roman" w:eastAsia="Times New Roman" w:hAnsi="Times New Roman"/>
                <w:spacing w:val="1"/>
              </w:rPr>
              <w:t>(</w:t>
            </w:r>
            <w:r w:rsidRPr="00534C57">
              <w:rPr>
                <w:rFonts w:ascii="Times New Roman" w:eastAsia="Times New Roman" w:hAnsi="Times New Roman"/>
              </w:rPr>
              <w:t>8,5</w:t>
            </w:r>
            <w:r w:rsidRPr="00534C57">
              <w:rPr>
                <w:rFonts w:ascii="Times New Roman" w:eastAsia="Times New Roman" w:hAnsi="Times New Roman"/>
                <w:spacing w:val="-2"/>
              </w:rPr>
              <w:t xml:space="preserve"> </w:t>
            </w:r>
            <w:r w:rsidRPr="00534C57">
              <w:rPr>
                <w:rFonts w:ascii="Times New Roman" w:eastAsia="Times New Roman" w:hAnsi="Times New Roman"/>
              </w:rPr>
              <w:t>%,</w:t>
            </w:r>
            <w:r w:rsidRPr="00534C57">
              <w:rPr>
                <w:rFonts w:ascii="Times New Roman" w:eastAsia="Times New Roman" w:hAnsi="Times New Roman"/>
                <w:spacing w:val="1"/>
              </w:rPr>
              <w:t xml:space="preserve"> </w:t>
            </w:r>
            <w:r w:rsidRPr="00534C57">
              <w:rPr>
                <w:rFonts w:ascii="Times New Roman" w:eastAsia="Times New Roman" w:hAnsi="Times New Roman"/>
              </w:rPr>
              <w:t>3</w:t>
            </w:r>
            <w:r w:rsidRPr="00534C57">
              <w:rPr>
                <w:rFonts w:ascii="Times New Roman" w:eastAsia="Times New Roman" w:hAnsi="Times New Roman"/>
                <w:spacing w:val="-2"/>
              </w:rPr>
              <w:t>1</w:t>
            </w:r>
            <w:r w:rsidRPr="00534C57">
              <w:rPr>
                <w:rFonts w:ascii="Times New Roman" w:eastAsia="Times New Roman" w:hAnsi="Times New Roman"/>
              </w:rPr>
              <w:t>,7 %)***</w:t>
            </w:r>
          </w:p>
        </w:tc>
      </w:tr>
    </w:tbl>
    <w:p w14:paraId="0283C98E"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Pagrindinis tyrimo vertinimo kriterijus</w:t>
      </w:r>
    </w:p>
    <w:p w14:paraId="14D7F187"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Vartojant</w:t>
      </w:r>
      <w:r w:rsidRPr="00534C57">
        <w:rPr>
          <w:rFonts w:ascii="Times New Roman" w:eastAsia="Times New Roman" w:hAnsi="Times New Roman"/>
          <w:spacing w:val="-1"/>
        </w:rPr>
        <w:t xml:space="preserve"> </w:t>
      </w:r>
      <w:r w:rsidRPr="00534C57">
        <w:rPr>
          <w:rFonts w:ascii="Times New Roman" w:eastAsia="Times New Roman" w:hAnsi="Times New Roman"/>
        </w:rPr>
        <w:t>5</w:t>
      </w:r>
      <w:r w:rsidRPr="00534C57">
        <w:rPr>
          <w:rFonts w:ascii="Times New Roman" w:eastAsia="Times New Roman" w:hAnsi="Times New Roman"/>
          <w:spacing w:val="-1"/>
        </w:rPr>
        <w:t xml:space="preserve"> </w:t>
      </w:r>
      <w:r w:rsidRPr="00534C57">
        <w:rPr>
          <w:rFonts w:ascii="Times New Roman" w:eastAsia="Times New Roman" w:hAnsi="Times New Roman"/>
        </w:rPr>
        <w:t>%</w:t>
      </w:r>
      <w:r w:rsidRPr="00534C57">
        <w:rPr>
          <w:rFonts w:ascii="Times New Roman" w:eastAsia="Times New Roman" w:hAnsi="Times New Roman"/>
          <w:spacing w:val="-1"/>
        </w:rPr>
        <w:t xml:space="preserve"> </w:t>
      </w:r>
      <w:r w:rsidRPr="00534C57">
        <w:rPr>
          <w:rFonts w:ascii="Times New Roman" w:eastAsia="Times New Roman" w:hAnsi="Times New Roman"/>
        </w:rPr>
        <w:t>ribą</w:t>
      </w:r>
      <w:r w:rsidRPr="00534C57">
        <w:rPr>
          <w:rFonts w:ascii="Times New Roman" w:eastAsia="Times New Roman" w:hAnsi="Times New Roman"/>
          <w:spacing w:val="-1"/>
        </w:rPr>
        <w:t xml:space="preserve"> </w:t>
      </w:r>
      <w:r w:rsidRPr="00534C57">
        <w:rPr>
          <w:rFonts w:ascii="Times New Roman" w:eastAsia="Times New Roman" w:hAnsi="Times New Roman"/>
        </w:rPr>
        <w:t>parodytas</w:t>
      </w:r>
      <w:r w:rsidRPr="00534C57">
        <w:rPr>
          <w:rFonts w:ascii="Times New Roman" w:eastAsia="Times New Roman" w:hAnsi="Times New Roman"/>
          <w:spacing w:val="-1"/>
        </w:rPr>
        <w:t xml:space="preserve"> </w:t>
      </w:r>
      <w:r w:rsidRPr="00534C57">
        <w:rPr>
          <w:rFonts w:ascii="Times New Roman" w:eastAsia="Times New Roman" w:hAnsi="Times New Roman"/>
        </w:rPr>
        <w:t>ne</w:t>
      </w:r>
      <w:r w:rsidRPr="00534C57">
        <w:rPr>
          <w:rFonts w:ascii="Times New Roman" w:eastAsia="Times New Roman" w:hAnsi="Times New Roman"/>
          <w:spacing w:val="-1"/>
        </w:rPr>
        <w:t xml:space="preserve"> </w:t>
      </w:r>
      <w:r w:rsidRPr="00534C57">
        <w:rPr>
          <w:rFonts w:ascii="Times New Roman" w:eastAsia="Times New Roman" w:hAnsi="Times New Roman"/>
        </w:rPr>
        <w:t>mažesnis</w:t>
      </w:r>
      <w:r w:rsidRPr="00534C57">
        <w:rPr>
          <w:rFonts w:ascii="Times New Roman" w:eastAsia="Times New Roman" w:hAnsi="Times New Roman"/>
          <w:spacing w:val="-1"/>
        </w:rPr>
        <w:t xml:space="preserve"> </w:t>
      </w:r>
      <w:r w:rsidRPr="00534C57">
        <w:rPr>
          <w:rFonts w:ascii="Times New Roman" w:eastAsia="Times New Roman" w:hAnsi="Times New Roman"/>
        </w:rPr>
        <w:t>veiksmingumas</w:t>
      </w:r>
    </w:p>
    <w:p w14:paraId="3B599094" w14:textId="77777777" w:rsidR="002F3324" w:rsidRPr="00534C57" w:rsidRDefault="002F3324" w:rsidP="002F3324">
      <w:pPr>
        <w:spacing w:after="0" w:line="240" w:lineRule="auto"/>
        <w:ind w:left="218" w:right="-20"/>
        <w:rPr>
          <w:rFonts w:ascii="Times New Roman" w:eastAsia="Times New Roman" w:hAnsi="Times New Roman"/>
        </w:rPr>
      </w:pPr>
      <w:r w:rsidRPr="00534C57">
        <w:rPr>
          <w:rFonts w:ascii="Times New Roman" w:eastAsia="Times New Roman" w:hAnsi="Times New Roman"/>
        </w:rPr>
        <w:t>*** Proporcijų skirtumas, 95 %</w:t>
      </w:r>
      <w:r w:rsidRPr="00534C57">
        <w:rPr>
          <w:rFonts w:ascii="Times New Roman" w:eastAsia="Times New Roman" w:hAnsi="Times New Roman"/>
          <w:spacing w:val="1"/>
        </w:rPr>
        <w:t xml:space="preserve"> </w:t>
      </w:r>
      <w:r w:rsidRPr="00534C57">
        <w:rPr>
          <w:rFonts w:ascii="Times New Roman" w:eastAsia="Times New Roman" w:hAnsi="Times New Roman"/>
          <w:spacing w:val="-1"/>
        </w:rPr>
        <w:t>P</w:t>
      </w:r>
      <w:r w:rsidRPr="00534C57">
        <w:rPr>
          <w:rFonts w:ascii="Times New Roman" w:eastAsia="Times New Roman" w:hAnsi="Times New Roman"/>
        </w:rPr>
        <w:t>I</w:t>
      </w:r>
      <w:r w:rsidRPr="00534C57">
        <w:rPr>
          <w:rFonts w:ascii="Times New Roman" w:eastAsia="Times New Roman" w:hAnsi="Times New Roman"/>
          <w:spacing w:val="-1"/>
        </w:rPr>
        <w:t xml:space="preserve"> </w:t>
      </w:r>
      <w:r w:rsidRPr="00534C57">
        <w:rPr>
          <w:rFonts w:ascii="Times New Roman" w:eastAsia="Times New Roman" w:hAnsi="Times New Roman"/>
        </w:rPr>
        <w:t>gautos po atsitiktinės atra</w:t>
      </w:r>
      <w:r w:rsidRPr="00534C57">
        <w:rPr>
          <w:rFonts w:ascii="Times New Roman" w:eastAsia="Times New Roman" w:hAnsi="Times New Roman"/>
          <w:spacing w:val="-1"/>
        </w:rPr>
        <w:t>nko</w:t>
      </w:r>
      <w:r w:rsidRPr="00534C57">
        <w:rPr>
          <w:rFonts w:ascii="Times New Roman" w:eastAsia="Times New Roman" w:hAnsi="Times New Roman"/>
        </w:rPr>
        <w:t>s</w:t>
      </w:r>
      <w:r w:rsidRPr="00534C57">
        <w:rPr>
          <w:rFonts w:ascii="Times New Roman" w:eastAsia="Times New Roman" w:hAnsi="Times New Roman"/>
          <w:spacing w:val="-1"/>
        </w:rPr>
        <w:t xml:space="preserve"> koregavimo</w:t>
      </w:r>
    </w:p>
    <w:p w14:paraId="760C41A6" w14:textId="77777777" w:rsidR="002F3324" w:rsidRPr="00534C57" w:rsidRDefault="002F3324" w:rsidP="002F3324">
      <w:pPr>
        <w:spacing w:after="0" w:line="240" w:lineRule="auto"/>
        <w:ind w:right="-20"/>
        <w:rPr>
          <w:rFonts w:ascii="Times New Roman" w:eastAsia="Times New Roman" w:hAnsi="Times New Roman"/>
        </w:rPr>
      </w:pPr>
    </w:p>
    <w:p w14:paraId="4F3F6CDF" w14:textId="77777777" w:rsidR="002F3324" w:rsidRPr="00534C57" w:rsidRDefault="002F3324" w:rsidP="002F3324">
      <w:pPr>
        <w:spacing w:after="0" w:line="240" w:lineRule="auto"/>
        <w:ind w:right="58"/>
        <w:rPr>
          <w:rFonts w:ascii="Times New Roman" w:eastAsia="Times New Roman" w:hAnsi="Times New Roman"/>
        </w:rPr>
      </w:pPr>
      <w:r w:rsidRPr="00534C57">
        <w:rPr>
          <w:rFonts w:ascii="Times New Roman" w:eastAsia="Times New Roman" w:hAnsi="Times New Roman"/>
        </w:rPr>
        <w:t xml:space="preserve">Antrinė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invazinių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grybelinių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infekcijų </w:t>
      </w:r>
      <w:r w:rsidRPr="00534C57">
        <w:rPr>
          <w:rFonts w:ascii="Times New Roman" w:eastAsia="Times New Roman" w:hAnsi="Times New Roman"/>
          <w:spacing w:val="-68"/>
        </w:rPr>
        <w:t xml:space="preserve"> </w:t>
      </w:r>
      <w:r w:rsidRPr="00534C57">
        <w:rPr>
          <w:rFonts w:ascii="Times New Roman" w:eastAsia="Times New Roman" w:hAnsi="Times New Roman"/>
        </w:rPr>
        <w:t>profilaktika</w:t>
      </w:r>
      <w:r w:rsidRPr="00534C57">
        <w:rPr>
          <w:rFonts w:ascii="Times New Roman" w:eastAsia="Times New Roman" w:hAnsi="Times New Roman"/>
          <w:spacing w:val="-69"/>
        </w:rPr>
        <w:t xml:space="preserve"> </w:t>
      </w:r>
      <w:r w:rsidRPr="00534C57">
        <w:rPr>
          <w:rFonts w:ascii="Times New Roman" w:eastAsia="Times New Roman" w:hAnsi="Times New Roman"/>
        </w:rPr>
        <w:t>–</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veiksmingumas </w:t>
      </w:r>
      <w:r w:rsidRPr="00534C57">
        <w:rPr>
          <w:rFonts w:ascii="Times New Roman" w:eastAsia="Times New Roman" w:hAnsi="Times New Roman"/>
          <w:spacing w:val="-68"/>
        </w:rPr>
        <w:t xml:space="preserve"> </w:t>
      </w:r>
      <w:r w:rsidRPr="00534C57">
        <w:rPr>
          <w:rFonts w:ascii="Times New Roman" w:eastAsia="Times New Roman" w:hAnsi="Times New Roman"/>
        </w:rPr>
        <w:t>pacientams,</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kuriems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buvo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atlikta </w:t>
      </w:r>
      <w:r w:rsidRPr="00534C57">
        <w:rPr>
          <w:rFonts w:ascii="Times New Roman" w:eastAsia="Times New Roman" w:hAnsi="Times New Roman"/>
          <w:spacing w:val="-1"/>
        </w:rPr>
        <w:t>hemopo</w:t>
      </w:r>
      <w:r w:rsidRPr="00534C57">
        <w:rPr>
          <w:rFonts w:ascii="Times New Roman" w:eastAsia="Times New Roman" w:hAnsi="Times New Roman"/>
        </w:rPr>
        <w:t>e</w:t>
      </w:r>
      <w:r w:rsidRPr="00534C57">
        <w:rPr>
          <w:rFonts w:ascii="Times New Roman" w:eastAsia="Times New Roman" w:hAnsi="Times New Roman"/>
          <w:spacing w:val="-2"/>
        </w:rPr>
        <w:t>z</w:t>
      </w:r>
      <w:r w:rsidRPr="00534C57">
        <w:rPr>
          <w:rFonts w:ascii="Times New Roman" w:eastAsia="Times New Roman" w:hAnsi="Times New Roman"/>
        </w:rPr>
        <w:t>inių</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kamieninių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ląstelių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transplantacija </w:t>
      </w:r>
      <w:r w:rsidRPr="00534C57">
        <w:rPr>
          <w:rFonts w:ascii="Times New Roman" w:eastAsia="Times New Roman" w:hAnsi="Times New Roman"/>
          <w:spacing w:val="-71"/>
        </w:rPr>
        <w:t xml:space="preserve"> </w:t>
      </w:r>
      <w:r w:rsidRPr="00534C57">
        <w:rPr>
          <w:rFonts w:ascii="Times New Roman" w:eastAsia="Times New Roman" w:hAnsi="Times New Roman"/>
          <w:spacing w:val="1"/>
        </w:rPr>
        <w:t xml:space="preserve">ir </w:t>
      </w:r>
      <w:r w:rsidRPr="00534C57">
        <w:rPr>
          <w:rFonts w:ascii="Times New Roman" w:eastAsia="Times New Roman" w:hAnsi="Times New Roman"/>
          <w:spacing w:val="-70"/>
        </w:rPr>
        <w:t xml:space="preserve"> </w:t>
      </w:r>
      <w:r w:rsidRPr="00534C57">
        <w:rPr>
          <w:rFonts w:ascii="Times New Roman" w:eastAsia="Times New Roman" w:hAnsi="Times New Roman"/>
        </w:rPr>
        <w:t xml:space="preserve">anksčiau </w:t>
      </w:r>
      <w:r w:rsidRPr="00534C57">
        <w:rPr>
          <w:rFonts w:ascii="Times New Roman" w:eastAsia="Times New Roman" w:hAnsi="Times New Roman"/>
          <w:spacing w:val="-68"/>
        </w:rPr>
        <w:t xml:space="preserve">     </w:t>
      </w:r>
      <w:r w:rsidRPr="00534C57">
        <w:rPr>
          <w:rFonts w:ascii="Times New Roman" w:eastAsia="Times New Roman" w:hAnsi="Times New Roman"/>
          <w:spacing w:val="-1"/>
        </w:rPr>
        <w:t>nustaty</w:t>
      </w:r>
      <w:r w:rsidRPr="00534C57">
        <w:rPr>
          <w:rFonts w:ascii="Times New Roman" w:eastAsia="Times New Roman" w:hAnsi="Times New Roman"/>
          <w:spacing w:val="1"/>
        </w:rPr>
        <w:t>t</w:t>
      </w:r>
      <w:r w:rsidRPr="00534C57">
        <w:rPr>
          <w:rFonts w:ascii="Times New Roman" w:eastAsia="Times New Roman" w:hAnsi="Times New Roman"/>
        </w:rPr>
        <w:t>a</w:t>
      </w:r>
      <w:r w:rsidRPr="00534C57">
        <w:rPr>
          <w:rFonts w:ascii="Times New Roman" w:eastAsia="Times New Roman" w:hAnsi="Times New Roman"/>
          <w:spacing w:val="-67"/>
        </w:rPr>
        <w:t xml:space="preserve">                 </w:t>
      </w:r>
      <w:r w:rsidRPr="00534C57">
        <w:rPr>
          <w:rFonts w:ascii="Times New Roman" w:eastAsia="Times New Roman" w:hAnsi="Times New Roman"/>
        </w:rPr>
        <w:t xml:space="preserve"> ar </w:t>
      </w:r>
      <w:r w:rsidRPr="00534C57">
        <w:rPr>
          <w:rFonts w:ascii="Times New Roman" w:eastAsia="Times New Roman" w:hAnsi="Times New Roman"/>
          <w:spacing w:val="-68"/>
        </w:rPr>
        <w:t xml:space="preserve"> </w:t>
      </w:r>
      <w:r w:rsidRPr="00534C57">
        <w:rPr>
          <w:rFonts w:ascii="Times New Roman" w:eastAsia="Times New Roman" w:hAnsi="Times New Roman"/>
        </w:rPr>
        <w:t>įtaria</w:t>
      </w:r>
      <w:r w:rsidRPr="00534C57">
        <w:rPr>
          <w:rFonts w:ascii="Times New Roman" w:eastAsia="Times New Roman" w:hAnsi="Times New Roman"/>
          <w:spacing w:val="-4"/>
        </w:rPr>
        <w:t>m</w:t>
      </w:r>
      <w:r w:rsidRPr="00534C57">
        <w:rPr>
          <w:rFonts w:ascii="Times New Roman" w:eastAsia="Times New Roman" w:hAnsi="Times New Roman"/>
        </w:rPr>
        <w:t xml:space="preserve">a </w:t>
      </w:r>
      <w:r w:rsidRPr="00534C57">
        <w:rPr>
          <w:rFonts w:ascii="Times New Roman" w:eastAsia="Times New Roman" w:hAnsi="Times New Roman"/>
          <w:spacing w:val="-67"/>
        </w:rPr>
        <w:t xml:space="preserve"> </w:t>
      </w:r>
      <w:r w:rsidRPr="00534C57">
        <w:rPr>
          <w:rFonts w:ascii="Times New Roman" w:eastAsia="Times New Roman" w:hAnsi="Times New Roman"/>
        </w:rPr>
        <w:t>invazinė</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 grybelių sukel</w:t>
      </w:r>
      <w:r w:rsidRPr="00534C57">
        <w:rPr>
          <w:rFonts w:ascii="Times New Roman" w:eastAsia="Times New Roman" w:hAnsi="Times New Roman"/>
          <w:spacing w:val="1"/>
        </w:rPr>
        <w:t>t</w:t>
      </w:r>
      <w:r w:rsidRPr="00534C57">
        <w:rPr>
          <w:rFonts w:ascii="Times New Roman" w:eastAsia="Times New Roman" w:hAnsi="Times New Roman"/>
        </w:rPr>
        <w:t>a</w:t>
      </w:r>
      <w:r w:rsidRPr="00534C57">
        <w:rPr>
          <w:rFonts w:ascii="Times New Roman" w:eastAsia="Times New Roman" w:hAnsi="Times New Roman"/>
          <w:spacing w:val="-70"/>
        </w:rPr>
        <w:t xml:space="preserve"> </w:t>
      </w:r>
      <w:r w:rsidRPr="00534C57">
        <w:rPr>
          <w:rFonts w:ascii="Times New Roman" w:eastAsia="Times New Roman" w:hAnsi="Times New Roman"/>
        </w:rPr>
        <w:t xml:space="preserve">i nfekcinė </w:t>
      </w:r>
      <w:r w:rsidRPr="00534C57">
        <w:rPr>
          <w:rFonts w:ascii="Times New Roman" w:eastAsia="Times New Roman" w:hAnsi="Times New Roman"/>
          <w:spacing w:val="-68"/>
        </w:rPr>
        <w:t xml:space="preserve"> </w:t>
      </w:r>
      <w:r w:rsidRPr="00534C57">
        <w:rPr>
          <w:rFonts w:ascii="Times New Roman" w:eastAsia="Times New Roman" w:hAnsi="Times New Roman"/>
        </w:rPr>
        <w:t>li</w:t>
      </w:r>
      <w:r w:rsidRPr="00534C57">
        <w:rPr>
          <w:rFonts w:ascii="Times New Roman" w:eastAsia="Times New Roman" w:hAnsi="Times New Roman"/>
          <w:spacing w:val="-3"/>
        </w:rPr>
        <w:t>g</w:t>
      </w:r>
      <w:r w:rsidRPr="00534C57">
        <w:rPr>
          <w:rFonts w:ascii="Times New Roman" w:eastAsia="Times New Roman" w:hAnsi="Times New Roman"/>
        </w:rPr>
        <w:t>a.</w:t>
      </w:r>
    </w:p>
    <w:p w14:paraId="4F4092AF" w14:textId="77777777" w:rsidR="002F3324" w:rsidRPr="00534C57" w:rsidRDefault="002F3324" w:rsidP="002F3324">
      <w:pPr>
        <w:spacing w:after="0" w:line="240" w:lineRule="auto"/>
        <w:ind w:right="610"/>
        <w:rPr>
          <w:rFonts w:ascii="Times New Roman" w:eastAsia="Times New Roman" w:hAnsi="Times New Roman"/>
        </w:rPr>
      </w:pPr>
      <w:r w:rsidRPr="00534C57">
        <w:rPr>
          <w:rFonts w:ascii="Times New Roman" w:eastAsia="Times New Roman" w:hAnsi="Times New Roman"/>
        </w:rPr>
        <w:lastRenderedPageBreak/>
        <w:t>Vorikonazolas</w:t>
      </w:r>
      <w:r w:rsidRPr="00534C57">
        <w:rPr>
          <w:rFonts w:ascii="Times New Roman" w:eastAsia="Times New Roman" w:hAnsi="Times New Roman"/>
          <w:spacing w:val="-2"/>
        </w:rPr>
        <w:t xml:space="preserve"> </w:t>
      </w:r>
      <w:r w:rsidRPr="00534C57">
        <w:rPr>
          <w:rFonts w:ascii="Times New Roman" w:eastAsia="Times New Roman" w:hAnsi="Times New Roman"/>
          <w:spacing w:val="-1"/>
        </w:rPr>
        <w:t>buv</w:t>
      </w:r>
      <w:r w:rsidRPr="00534C57">
        <w:rPr>
          <w:rFonts w:ascii="Times New Roman" w:eastAsia="Times New Roman" w:hAnsi="Times New Roman"/>
        </w:rPr>
        <w:t>o tiriamas kaip antrinės</w:t>
      </w:r>
      <w:r w:rsidRPr="00534C57">
        <w:rPr>
          <w:rFonts w:ascii="Times New Roman" w:eastAsia="Times New Roman" w:hAnsi="Times New Roman"/>
          <w:spacing w:val="-2"/>
        </w:rPr>
        <w:t xml:space="preserve"> </w:t>
      </w:r>
      <w:r w:rsidRPr="00534C57">
        <w:rPr>
          <w:rFonts w:ascii="Times New Roman" w:eastAsia="Times New Roman" w:hAnsi="Times New Roman"/>
        </w:rPr>
        <w:t>profilaktikos</w:t>
      </w:r>
      <w:r w:rsidRPr="00534C57">
        <w:rPr>
          <w:rFonts w:ascii="Times New Roman" w:eastAsia="Times New Roman" w:hAnsi="Times New Roman"/>
          <w:spacing w:val="-1"/>
        </w:rPr>
        <w:t xml:space="preserve"> </w:t>
      </w:r>
      <w:r w:rsidRPr="00534C57">
        <w:rPr>
          <w:rFonts w:ascii="Times New Roman" w:eastAsia="Times New Roman" w:hAnsi="Times New Roman"/>
        </w:rPr>
        <w:t>priemonė</w:t>
      </w:r>
      <w:r w:rsidRPr="00534C57">
        <w:rPr>
          <w:rFonts w:ascii="Times New Roman" w:eastAsia="Times New Roman" w:hAnsi="Times New Roman"/>
          <w:spacing w:val="1"/>
        </w:rPr>
        <w:t xml:space="preserve"> </w:t>
      </w:r>
      <w:r w:rsidRPr="00534C57">
        <w:rPr>
          <w:rFonts w:ascii="Times New Roman" w:eastAsia="Times New Roman" w:hAnsi="Times New Roman"/>
        </w:rPr>
        <w:t>atvirame, ne</w:t>
      </w:r>
      <w:r w:rsidRPr="00534C57">
        <w:rPr>
          <w:rFonts w:ascii="Times New Roman" w:eastAsia="Times New Roman" w:hAnsi="Times New Roman"/>
          <w:spacing w:val="-1"/>
        </w:rPr>
        <w:t xml:space="preserve">palyginamame </w:t>
      </w:r>
      <w:r w:rsidRPr="00534C57">
        <w:rPr>
          <w:rFonts w:ascii="Times New Roman" w:eastAsia="Times New Roman" w:hAnsi="Times New Roman"/>
        </w:rPr>
        <w:t>daugiacentriame tyrime suaugusiems, kuriems buvo atlikta alogeninė hemopo</w:t>
      </w:r>
      <w:r w:rsidRPr="00534C57">
        <w:rPr>
          <w:rFonts w:ascii="Times New Roman" w:eastAsia="Times New Roman" w:hAnsi="Times New Roman"/>
          <w:spacing w:val="-1"/>
        </w:rPr>
        <w:t>e</w:t>
      </w:r>
      <w:r w:rsidRPr="00534C57">
        <w:rPr>
          <w:rFonts w:ascii="Times New Roman" w:eastAsia="Times New Roman" w:hAnsi="Times New Roman"/>
          <w:spacing w:val="-2"/>
        </w:rPr>
        <w:t>z</w:t>
      </w:r>
      <w:r w:rsidRPr="00534C57">
        <w:rPr>
          <w:rFonts w:ascii="Times New Roman" w:eastAsia="Times New Roman" w:hAnsi="Times New Roman"/>
        </w:rPr>
        <w:t>inių kamieninių ląstelių transplantacija</w:t>
      </w:r>
      <w:r w:rsidRPr="00534C57">
        <w:rPr>
          <w:rFonts w:ascii="Times New Roman" w:eastAsia="Times New Roman" w:hAnsi="Times New Roman"/>
          <w:spacing w:val="-1"/>
        </w:rPr>
        <w:t xml:space="preserve"> </w:t>
      </w:r>
      <w:r w:rsidRPr="00534C57">
        <w:rPr>
          <w:rFonts w:ascii="Times New Roman" w:eastAsia="Times New Roman" w:hAnsi="Times New Roman"/>
        </w:rPr>
        <w:t xml:space="preserve">ir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anksčiau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nustatyta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ar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įtariama </w:t>
      </w:r>
      <w:r w:rsidRPr="00534C57">
        <w:rPr>
          <w:rFonts w:ascii="Times New Roman" w:eastAsia="Times New Roman" w:hAnsi="Times New Roman"/>
          <w:spacing w:val="-68"/>
        </w:rPr>
        <w:t xml:space="preserve">         </w:t>
      </w:r>
      <w:r w:rsidRPr="00534C57">
        <w:rPr>
          <w:rFonts w:ascii="Times New Roman" w:eastAsia="Times New Roman" w:hAnsi="Times New Roman"/>
        </w:rPr>
        <w:t xml:space="preserve">invazinė </w:t>
      </w:r>
      <w:r w:rsidRPr="00534C57">
        <w:rPr>
          <w:rFonts w:ascii="Times New Roman" w:eastAsia="Times New Roman" w:hAnsi="Times New Roman"/>
          <w:spacing w:val="-68"/>
        </w:rPr>
        <w:t xml:space="preserve"> </w:t>
      </w:r>
      <w:r w:rsidRPr="00534C57">
        <w:rPr>
          <w:rFonts w:ascii="Times New Roman" w:eastAsia="Times New Roman" w:hAnsi="Times New Roman"/>
        </w:rPr>
        <w:t>grybelių sukelta</w:t>
      </w:r>
      <w:r w:rsidRPr="00534C57">
        <w:rPr>
          <w:rFonts w:ascii="Times New Roman" w:eastAsia="Times New Roman" w:hAnsi="Times New Roman"/>
          <w:spacing w:val="-68"/>
        </w:rPr>
        <w:t xml:space="preserve">                                </w:t>
      </w:r>
      <w:r w:rsidRPr="00534C57">
        <w:rPr>
          <w:rFonts w:ascii="Times New Roman" w:eastAsia="Times New Roman" w:hAnsi="Times New Roman"/>
          <w:spacing w:val="-3"/>
        </w:rPr>
        <w:t>i</w:t>
      </w:r>
      <w:r w:rsidRPr="00534C57">
        <w:rPr>
          <w:rFonts w:ascii="Times New Roman" w:eastAsia="Times New Roman" w:hAnsi="Times New Roman"/>
        </w:rPr>
        <w:t xml:space="preserve">nfekcinė </w:t>
      </w:r>
      <w:r w:rsidRPr="00534C57">
        <w:rPr>
          <w:rFonts w:ascii="Times New Roman" w:eastAsia="Times New Roman" w:hAnsi="Times New Roman"/>
          <w:spacing w:val="-68"/>
        </w:rPr>
        <w:t xml:space="preserve">      </w:t>
      </w:r>
      <w:r w:rsidRPr="00534C57">
        <w:rPr>
          <w:rFonts w:ascii="Times New Roman" w:eastAsia="Times New Roman" w:hAnsi="Times New Roman"/>
        </w:rPr>
        <w:t>liga. Pagrindinis vertinimo kriterijus buvo nustatytos</w:t>
      </w:r>
      <w:r w:rsidRPr="00534C57">
        <w:rPr>
          <w:rFonts w:ascii="Times New Roman" w:eastAsia="Times New Roman" w:hAnsi="Times New Roman"/>
          <w:spacing w:val="-1"/>
        </w:rPr>
        <w:t xml:space="preserve"> </w:t>
      </w:r>
      <w:r w:rsidRPr="00534C57">
        <w:rPr>
          <w:rFonts w:ascii="Times New Roman" w:eastAsia="Times New Roman" w:hAnsi="Times New Roman"/>
        </w:rPr>
        <w:t>ir įtariamos invazinės grybelių sukeltos infekcinės ligos atsiradimo dažnis per pirmuosius metus po hemopoe</w:t>
      </w:r>
      <w:r w:rsidRPr="00534C57">
        <w:rPr>
          <w:rFonts w:ascii="Times New Roman" w:eastAsia="Times New Roman" w:hAnsi="Times New Roman"/>
          <w:spacing w:val="-2"/>
        </w:rPr>
        <w:t>z</w:t>
      </w:r>
      <w:r w:rsidRPr="00534C57">
        <w:rPr>
          <w:rFonts w:ascii="Times New Roman" w:eastAsia="Times New Roman" w:hAnsi="Times New Roman"/>
        </w:rPr>
        <w:t>inių kamieninių ląstelių transplantacijos. Modifikuoto tikslingo gydymo (MITT) gru</w:t>
      </w:r>
      <w:r w:rsidRPr="00534C57">
        <w:rPr>
          <w:rFonts w:ascii="Times New Roman" w:eastAsia="Times New Roman" w:hAnsi="Times New Roman"/>
          <w:spacing w:val="-1"/>
        </w:rPr>
        <w:t>p</w:t>
      </w:r>
      <w:r w:rsidRPr="00534C57">
        <w:rPr>
          <w:rFonts w:ascii="Times New Roman" w:eastAsia="Times New Roman" w:hAnsi="Times New Roman"/>
          <w:spacing w:val="-2"/>
        </w:rPr>
        <w:t>ė</w:t>
      </w:r>
      <w:r w:rsidRPr="00534C57">
        <w:rPr>
          <w:rFonts w:ascii="Times New Roman" w:eastAsia="Times New Roman" w:hAnsi="Times New Roman"/>
          <w:spacing w:val="3"/>
        </w:rPr>
        <w:t>j</w:t>
      </w:r>
      <w:r w:rsidRPr="00534C57">
        <w:rPr>
          <w:rFonts w:ascii="Times New Roman" w:eastAsia="Times New Roman" w:hAnsi="Times New Roman"/>
        </w:rPr>
        <w:t xml:space="preserve">e buvo </w:t>
      </w:r>
      <w:r w:rsidRPr="00534C57">
        <w:rPr>
          <w:rFonts w:ascii="Times New Roman" w:eastAsia="Times New Roman" w:hAnsi="Times New Roman"/>
          <w:spacing w:val="-2"/>
        </w:rPr>
        <w:t>4</w:t>
      </w:r>
      <w:r w:rsidRPr="00534C57">
        <w:rPr>
          <w:rFonts w:ascii="Times New Roman" w:eastAsia="Times New Roman" w:hAnsi="Times New Roman"/>
        </w:rPr>
        <w:t>0 pacien</w:t>
      </w:r>
      <w:r w:rsidRPr="00534C57">
        <w:rPr>
          <w:rFonts w:ascii="Times New Roman" w:eastAsia="Times New Roman" w:hAnsi="Times New Roman"/>
          <w:spacing w:val="1"/>
        </w:rPr>
        <w:t>t</w:t>
      </w:r>
      <w:r w:rsidRPr="00534C57">
        <w:rPr>
          <w:rFonts w:ascii="Times New Roman" w:eastAsia="Times New Roman" w:hAnsi="Times New Roman"/>
        </w:rPr>
        <w:t>ų,</w:t>
      </w:r>
      <w:r w:rsidRPr="00534C57">
        <w:rPr>
          <w:rFonts w:ascii="Times New Roman" w:eastAsia="Times New Roman" w:hAnsi="Times New Roman"/>
          <w:spacing w:val="-1"/>
        </w:rPr>
        <w:t xml:space="preserve"> </w:t>
      </w:r>
      <w:r w:rsidRPr="00534C57">
        <w:rPr>
          <w:rFonts w:ascii="Times New Roman" w:eastAsia="Times New Roman" w:hAnsi="Times New Roman"/>
        </w:rPr>
        <w:t>kurie anksčiau sirgo invazine grybelių sukelta infekcine liga, įskaitant 31 sergantį aspergilioze, 5 kandidiaze ir 4 kitomis invazinėmis grybelių sukeltomis infekcinėmis ligomis.</w:t>
      </w:r>
      <w:r w:rsidRPr="00534C57">
        <w:rPr>
          <w:rFonts w:ascii="Times New Roman" w:eastAsia="Times New Roman" w:hAnsi="Times New Roman"/>
          <w:spacing w:val="-1"/>
        </w:rPr>
        <w:t xml:space="preserve"> </w:t>
      </w:r>
      <w:r w:rsidRPr="00534C57">
        <w:rPr>
          <w:rFonts w:ascii="Times New Roman" w:eastAsia="Times New Roman" w:hAnsi="Times New Roman"/>
        </w:rPr>
        <w:t>Vidutinė</w:t>
      </w:r>
      <w:r w:rsidRPr="00534C57">
        <w:rPr>
          <w:rFonts w:ascii="Times New Roman" w:eastAsia="Times New Roman" w:hAnsi="Times New Roman"/>
          <w:spacing w:val="-1"/>
        </w:rPr>
        <w:t xml:space="preserve"> </w:t>
      </w:r>
      <w:r w:rsidRPr="00534C57">
        <w:rPr>
          <w:rFonts w:ascii="Times New Roman" w:eastAsia="Times New Roman" w:hAnsi="Times New Roman"/>
        </w:rPr>
        <w:t>profilaktinio</w:t>
      </w:r>
      <w:r w:rsidRPr="00534C57">
        <w:rPr>
          <w:rFonts w:ascii="Times New Roman" w:eastAsia="Times New Roman" w:hAnsi="Times New Roman"/>
          <w:spacing w:val="-1"/>
        </w:rPr>
        <w:t xml:space="preserve"> </w:t>
      </w:r>
      <w:r w:rsidRPr="00534C57">
        <w:rPr>
          <w:rFonts w:ascii="Times New Roman" w:eastAsia="Times New Roman" w:hAnsi="Times New Roman"/>
        </w:rPr>
        <w:t>gydymo</w:t>
      </w:r>
      <w:r w:rsidRPr="00534C57">
        <w:rPr>
          <w:rFonts w:ascii="Times New Roman" w:eastAsia="Times New Roman" w:hAnsi="Times New Roman"/>
          <w:spacing w:val="-1"/>
        </w:rPr>
        <w:t xml:space="preserve"> </w:t>
      </w:r>
      <w:r w:rsidRPr="00534C57">
        <w:rPr>
          <w:rFonts w:ascii="Times New Roman" w:eastAsia="Times New Roman" w:hAnsi="Times New Roman"/>
        </w:rPr>
        <w:t>tiriamuoju preparatu</w:t>
      </w:r>
      <w:r w:rsidRPr="00534C57">
        <w:rPr>
          <w:rFonts w:ascii="Times New Roman" w:eastAsia="Times New Roman" w:hAnsi="Times New Roman"/>
          <w:spacing w:val="-2"/>
        </w:rPr>
        <w:t xml:space="preserve"> </w:t>
      </w:r>
      <w:r w:rsidRPr="00534C57">
        <w:rPr>
          <w:rFonts w:ascii="Times New Roman" w:eastAsia="Times New Roman" w:hAnsi="Times New Roman"/>
          <w:spacing w:val="1"/>
        </w:rPr>
        <w:t>tru</w:t>
      </w:r>
      <w:r w:rsidRPr="00534C57">
        <w:rPr>
          <w:rFonts w:ascii="Times New Roman" w:eastAsia="Times New Roman" w:hAnsi="Times New Roman"/>
          <w:spacing w:val="-2"/>
        </w:rPr>
        <w:t>k</w:t>
      </w:r>
      <w:r w:rsidRPr="00534C57">
        <w:rPr>
          <w:rFonts w:ascii="Times New Roman" w:eastAsia="Times New Roman" w:hAnsi="Times New Roman"/>
          <w:spacing w:val="-1"/>
        </w:rPr>
        <w:t>m</w:t>
      </w:r>
      <w:r w:rsidRPr="00534C57">
        <w:rPr>
          <w:rFonts w:ascii="Times New Roman" w:eastAsia="Times New Roman" w:hAnsi="Times New Roman"/>
        </w:rPr>
        <w:t>ė</w:t>
      </w:r>
      <w:r w:rsidRPr="00534C57">
        <w:rPr>
          <w:rFonts w:ascii="Times New Roman" w:eastAsia="Times New Roman" w:hAnsi="Times New Roman"/>
          <w:spacing w:val="-1"/>
        </w:rPr>
        <w:t xml:space="preserve"> buv</w:t>
      </w:r>
      <w:r w:rsidRPr="00534C57">
        <w:rPr>
          <w:rFonts w:ascii="Times New Roman" w:eastAsia="Times New Roman" w:hAnsi="Times New Roman"/>
        </w:rPr>
        <w:t>o</w:t>
      </w:r>
      <w:r w:rsidRPr="00534C57">
        <w:rPr>
          <w:rFonts w:ascii="Times New Roman" w:eastAsia="Times New Roman" w:hAnsi="Times New Roman"/>
          <w:spacing w:val="-1"/>
        </w:rPr>
        <w:t xml:space="preserve"> </w:t>
      </w:r>
      <w:r w:rsidRPr="00534C57">
        <w:rPr>
          <w:rFonts w:ascii="Times New Roman" w:eastAsia="Times New Roman" w:hAnsi="Times New Roman"/>
        </w:rPr>
        <w:t>95,5 pa</w:t>
      </w:r>
      <w:r w:rsidRPr="00534C57">
        <w:rPr>
          <w:rFonts w:ascii="Times New Roman" w:eastAsia="Times New Roman" w:hAnsi="Times New Roman"/>
          <w:spacing w:val="1"/>
        </w:rPr>
        <w:t>r</w:t>
      </w:r>
      <w:r w:rsidRPr="00534C57">
        <w:rPr>
          <w:rFonts w:ascii="Times New Roman" w:eastAsia="Times New Roman" w:hAnsi="Times New Roman"/>
        </w:rPr>
        <w:t>os</w:t>
      </w:r>
      <w:r w:rsidRPr="00534C57">
        <w:rPr>
          <w:rFonts w:ascii="Times New Roman" w:eastAsia="Times New Roman" w:hAnsi="Times New Roman"/>
          <w:spacing w:val="-1"/>
        </w:rPr>
        <w:t xml:space="preserve"> </w:t>
      </w:r>
      <w:r w:rsidRPr="00534C57">
        <w:rPr>
          <w:rFonts w:ascii="Times New Roman" w:eastAsia="Times New Roman" w:hAnsi="Times New Roman"/>
        </w:rPr>
        <w:t>MITT</w:t>
      </w:r>
      <w:r w:rsidRPr="00534C57">
        <w:rPr>
          <w:rFonts w:ascii="Times New Roman" w:eastAsia="Times New Roman" w:hAnsi="Times New Roman"/>
          <w:spacing w:val="-1"/>
        </w:rPr>
        <w:t xml:space="preserve"> </w:t>
      </w:r>
      <w:r w:rsidRPr="00534C57">
        <w:rPr>
          <w:rFonts w:ascii="Times New Roman" w:eastAsia="Times New Roman" w:hAnsi="Times New Roman"/>
        </w:rPr>
        <w:t>grupėje.</w:t>
      </w:r>
    </w:p>
    <w:p w14:paraId="7B481E16" w14:textId="77777777" w:rsidR="002F3324" w:rsidRPr="00534C57" w:rsidRDefault="002F3324" w:rsidP="002F3324">
      <w:pPr>
        <w:spacing w:after="0" w:line="240" w:lineRule="auto"/>
        <w:rPr>
          <w:rFonts w:ascii="Times New Roman" w:hAnsi="Times New Roman"/>
        </w:rPr>
      </w:pPr>
    </w:p>
    <w:p w14:paraId="18B71C05" w14:textId="77777777" w:rsidR="002F3324" w:rsidRPr="00534C57" w:rsidRDefault="002F3324" w:rsidP="002F3324">
      <w:pPr>
        <w:spacing w:after="0" w:line="240" w:lineRule="auto"/>
        <w:ind w:right="93"/>
        <w:rPr>
          <w:rFonts w:ascii="Times New Roman" w:eastAsia="Times New Roman" w:hAnsi="Times New Roman"/>
        </w:rPr>
      </w:pPr>
      <w:r w:rsidRPr="00534C57">
        <w:rPr>
          <w:rFonts w:ascii="Times New Roman" w:eastAsia="Times New Roman" w:hAnsi="Times New Roman"/>
        </w:rPr>
        <w:t>Per pirmuosius metus po hemopoe</w:t>
      </w:r>
      <w:r w:rsidRPr="00534C57">
        <w:rPr>
          <w:rFonts w:ascii="Times New Roman" w:eastAsia="Times New Roman" w:hAnsi="Times New Roman"/>
          <w:spacing w:val="-2"/>
        </w:rPr>
        <w:t>z</w:t>
      </w:r>
      <w:r w:rsidRPr="00534C57">
        <w:rPr>
          <w:rFonts w:ascii="Times New Roman" w:eastAsia="Times New Roman" w:hAnsi="Times New Roman"/>
        </w:rPr>
        <w:t>inių kamieninių ląstelių transplantacijos</w:t>
      </w:r>
      <w:r w:rsidRPr="00534C57">
        <w:rPr>
          <w:rFonts w:ascii="Times New Roman" w:eastAsia="Times New Roman" w:hAnsi="Times New Roman"/>
          <w:spacing w:val="-3"/>
        </w:rPr>
        <w:t xml:space="preserve"> </w:t>
      </w:r>
      <w:r w:rsidRPr="00534C57">
        <w:rPr>
          <w:rFonts w:ascii="Times New Roman" w:eastAsia="Times New Roman" w:hAnsi="Times New Roman"/>
        </w:rPr>
        <w:t>buvo nustatytos arba įtariamos invazinės gry</w:t>
      </w:r>
      <w:r w:rsidRPr="00534C57">
        <w:rPr>
          <w:rFonts w:ascii="Times New Roman" w:eastAsia="Times New Roman" w:hAnsi="Times New Roman"/>
          <w:spacing w:val="-1"/>
        </w:rPr>
        <w:t>b</w:t>
      </w:r>
      <w:r w:rsidRPr="00534C57">
        <w:rPr>
          <w:rFonts w:ascii="Times New Roman" w:eastAsia="Times New Roman" w:hAnsi="Times New Roman"/>
        </w:rPr>
        <w:t>elių sukeltos infekcinės ligos 7,5 % (3 iš 40 pacientų), įskaitant vieną kandidemiją, vieną scedosporiozę (abu atkritimo atvejai) ir vieną zigomikozę. Išgyvenimo dažnis 180 pa</w:t>
      </w:r>
      <w:r w:rsidRPr="00534C57">
        <w:rPr>
          <w:rFonts w:ascii="Times New Roman" w:eastAsia="Times New Roman" w:hAnsi="Times New Roman"/>
          <w:spacing w:val="1"/>
        </w:rPr>
        <w:t>r</w:t>
      </w:r>
      <w:r w:rsidRPr="00534C57">
        <w:rPr>
          <w:rFonts w:ascii="Times New Roman" w:eastAsia="Times New Roman" w:hAnsi="Times New Roman"/>
        </w:rPr>
        <w:t>ą</w:t>
      </w:r>
      <w:r w:rsidRPr="00534C57">
        <w:rPr>
          <w:rFonts w:ascii="Times New Roman" w:eastAsia="Times New Roman" w:hAnsi="Times New Roman"/>
          <w:spacing w:val="-1"/>
        </w:rPr>
        <w:t xml:space="preserve"> </w:t>
      </w:r>
      <w:r w:rsidRPr="00534C57">
        <w:rPr>
          <w:rFonts w:ascii="Times New Roman" w:eastAsia="Times New Roman" w:hAnsi="Times New Roman"/>
        </w:rPr>
        <w:t>buvo</w:t>
      </w:r>
      <w:r w:rsidRPr="00534C57">
        <w:rPr>
          <w:rFonts w:ascii="Times New Roman" w:eastAsia="Times New Roman" w:hAnsi="Times New Roman"/>
          <w:spacing w:val="-1"/>
        </w:rPr>
        <w:t xml:space="preserve"> </w:t>
      </w:r>
      <w:r w:rsidRPr="00534C57">
        <w:rPr>
          <w:rFonts w:ascii="Times New Roman" w:eastAsia="Times New Roman" w:hAnsi="Times New Roman"/>
        </w:rPr>
        <w:t>80,0 % (32 iš 40 pacientų), po 1 metų</w:t>
      </w:r>
      <w:r w:rsidRPr="00534C57">
        <w:rPr>
          <w:rFonts w:ascii="Times New Roman" w:eastAsia="Times New Roman" w:hAnsi="Times New Roman"/>
          <w:spacing w:val="-1"/>
        </w:rPr>
        <w:t xml:space="preserve"> </w:t>
      </w:r>
      <w:r w:rsidRPr="00534C57">
        <w:rPr>
          <w:rFonts w:ascii="Times New Roman" w:eastAsia="Times New Roman" w:hAnsi="Times New Roman"/>
        </w:rPr>
        <w:t>– 70,0 % (28 iš 40 pacientų).</w:t>
      </w:r>
    </w:p>
    <w:p w14:paraId="43BAA03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9A0505D"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Gydymo trukmė</w:t>
      </w:r>
    </w:p>
    <w:p w14:paraId="4637F47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Klinikinių tyrimų metu ilgiau kaip 12 savaičių vorikonazolo vartojo 705 pacientai, daugiau kaip 6 mėnesius - 164 ligoniai.</w:t>
      </w:r>
    </w:p>
    <w:p w14:paraId="6BA9B27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831A05B" w14:textId="77777777" w:rsidR="002F3324" w:rsidRPr="00BE562B" w:rsidRDefault="002F3324" w:rsidP="002F3324">
      <w:pPr>
        <w:autoSpaceDE w:val="0"/>
        <w:autoSpaceDN w:val="0"/>
        <w:adjustRightInd w:val="0"/>
        <w:spacing w:after="0" w:line="240" w:lineRule="auto"/>
        <w:rPr>
          <w:rFonts w:ascii="Times New Roman" w:hAnsi="Times New Roman"/>
          <w:color w:val="000000"/>
          <w:u w:val="single"/>
        </w:rPr>
      </w:pPr>
      <w:r w:rsidRPr="00BE562B">
        <w:rPr>
          <w:rFonts w:ascii="Times New Roman" w:hAnsi="Times New Roman"/>
          <w:color w:val="000000"/>
          <w:u w:val="single"/>
        </w:rPr>
        <w:t>Vaikų populiacija</w:t>
      </w:r>
    </w:p>
    <w:p w14:paraId="52E1A464" w14:textId="77777777" w:rsidR="002F3324" w:rsidRPr="00534C57" w:rsidRDefault="007534B9" w:rsidP="002F3324">
      <w:pPr>
        <w:autoSpaceDE w:val="0"/>
        <w:autoSpaceDN w:val="0"/>
        <w:adjustRightInd w:val="0"/>
        <w:spacing w:after="0" w:line="240" w:lineRule="auto"/>
        <w:rPr>
          <w:rFonts w:ascii="Times New Roman" w:hAnsi="Times New Roman"/>
          <w:color w:val="000000"/>
        </w:rPr>
      </w:pPr>
      <w:r w:rsidRPr="00534C57">
        <w:rPr>
          <w:rFonts w:ascii="Times New Roman" w:eastAsia="Times New Roman" w:hAnsi="Times New Roman"/>
        </w:rPr>
        <w:t>Penkiasdešimt trys vaikai nuo 2 iki &lt; 18 metų buvo gydomi vorikonazolu dviejuose perspektyviniuose atviruose ne</w:t>
      </w:r>
      <w:r w:rsidRPr="00534C57">
        <w:rPr>
          <w:rFonts w:ascii="Times New Roman" w:eastAsia="Times New Roman" w:hAnsi="Times New Roman"/>
          <w:spacing w:val="1"/>
        </w:rPr>
        <w:t>l</w:t>
      </w:r>
      <w:r w:rsidRPr="00534C57">
        <w:rPr>
          <w:rFonts w:ascii="Times New Roman" w:eastAsia="Times New Roman" w:hAnsi="Times New Roman"/>
        </w:rPr>
        <w:t>yginamuosiuose</w:t>
      </w:r>
      <w:r w:rsidRPr="00534C57">
        <w:rPr>
          <w:rFonts w:ascii="Times New Roman" w:eastAsia="Times New Roman" w:hAnsi="Times New Roman"/>
          <w:spacing w:val="-1"/>
        </w:rPr>
        <w:t xml:space="preserve"> </w:t>
      </w:r>
      <w:r w:rsidRPr="00534C57">
        <w:rPr>
          <w:rFonts w:ascii="Times New Roman" w:eastAsia="Times New Roman" w:hAnsi="Times New Roman"/>
        </w:rPr>
        <w:t>daugiacentriuose</w:t>
      </w:r>
      <w:r w:rsidRPr="00534C57">
        <w:rPr>
          <w:rFonts w:ascii="Times New Roman" w:eastAsia="Times New Roman" w:hAnsi="Times New Roman"/>
          <w:spacing w:val="-1"/>
        </w:rPr>
        <w:t xml:space="preserve"> </w:t>
      </w:r>
      <w:r w:rsidRPr="00534C57">
        <w:rPr>
          <w:rFonts w:ascii="Times New Roman" w:eastAsia="Times New Roman" w:hAnsi="Times New Roman"/>
        </w:rPr>
        <w:t>klinikiniuose</w:t>
      </w:r>
      <w:r w:rsidRPr="00534C57">
        <w:rPr>
          <w:rFonts w:ascii="Times New Roman" w:eastAsia="Times New Roman" w:hAnsi="Times New Roman"/>
          <w:spacing w:val="-1"/>
        </w:rPr>
        <w:t xml:space="preserve"> </w:t>
      </w:r>
      <w:r w:rsidRPr="00534C57">
        <w:rPr>
          <w:rFonts w:ascii="Times New Roman" w:eastAsia="Times New Roman" w:hAnsi="Times New Roman"/>
        </w:rPr>
        <w:t>tyrimuose.</w:t>
      </w:r>
      <w:r w:rsidRPr="00534C57">
        <w:rPr>
          <w:rFonts w:ascii="Times New Roman" w:eastAsia="Times New Roman" w:hAnsi="Times New Roman"/>
          <w:spacing w:val="-1"/>
        </w:rPr>
        <w:t xml:space="preserve"> </w:t>
      </w:r>
      <w:r w:rsidRPr="00534C57">
        <w:rPr>
          <w:rFonts w:ascii="Times New Roman" w:eastAsia="Times New Roman" w:hAnsi="Times New Roman"/>
        </w:rPr>
        <w:t>Viename</w:t>
      </w:r>
      <w:r w:rsidRPr="00534C57">
        <w:rPr>
          <w:rFonts w:ascii="Times New Roman" w:eastAsia="Times New Roman" w:hAnsi="Times New Roman"/>
          <w:spacing w:val="-1"/>
        </w:rPr>
        <w:t xml:space="preserve"> </w:t>
      </w:r>
      <w:r w:rsidRPr="00534C57">
        <w:rPr>
          <w:rFonts w:ascii="Times New Roman" w:eastAsia="Times New Roman" w:hAnsi="Times New Roman"/>
        </w:rPr>
        <w:t>tyrime</w:t>
      </w:r>
      <w:r w:rsidRPr="00534C57">
        <w:rPr>
          <w:rFonts w:ascii="Times New Roman" w:eastAsia="Times New Roman" w:hAnsi="Times New Roman"/>
          <w:spacing w:val="-1"/>
        </w:rPr>
        <w:t xml:space="preserve"> </w:t>
      </w:r>
      <w:r w:rsidRPr="00534C57">
        <w:rPr>
          <w:rFonts w:ascii="Times New Roman" w:eastAsia="Times New Roman" w:hAnsi="Times New Roman"/>
        </w:rPr>
        <w:t>dalyvavo</w:t>
      </w:r>
      <w:r w:rsidRPr="00534C57">
        <w:rPr>
          <w:rFonts w:ascii="Times New Roman" w:eastAsia="Times New Roman" w:hAnsi="Times New Roman"/>
          <w:spacing w:val="-1"/>
        </w:rPr>
        <w:t xml:space="preserve"> </w:t>
      </w:r>
      <w:r w:rsidRPr="00534C57">
        <w:rPr>
          <w:rFonts w:ascii="Times New Roman" w:eastAsia="Times New Roman" w:hAnsi="Times New Roman"/>
        </w:rPr>
        <w:t>31 pacientas, sergantis galima, patvirtinta ar tikėtina invazine aspergiloze (IA), iš kurių 14 pacientų sirgo patvirtinta arba tikėtina IA ir jiems buvo atliekamos MITT veiks</w:t>
      </w:r>
      <w:r w:rsidRPr="00534C57">
        <w:rPr>
          <w:rFonts w:ascii="Times New Roman" w:eastAsia="Times New Roman" w:hAnsi="Times New Roman"/>
          <w:spacing w:val="-5"/>
        </w:rPr>
        <w:t>m</w:t>
      </w:r>
      <w:r w:rsidRPr="00534C57">
        <w:rPr>
          <w:rFonts w:ascii="Times New Roman" w:eastAsia="Times New Roman" w:hAnsi="Times New Roman"/>
        </w:rPr>
        <w:t>ingumo analizės. Kitame tyrime dalyvavo 22 pacientai, sergantys invazine kandidoze, įskaitant kandidemiją (ICC) ir ezofaginę kandidozę (EC), kuriems buvo reikalingas pirminis ar gelbstintis gydymas; 17 iš jų buvo atliekamos MITT veiksmingumo analizės. Per 6</w:t>
      </w:r>
      <w:r w:rsidRPr="00534C57">
        <w:rPr>
          <w:rFonts w:ascii="Times New Roman" w:eastAsia="Times New Roman" w:hAnsi="Times New Roman"/>
          <w:spacing w:val="-1"/>
        </w:rPr>
        <w:t xml:space="preserve"> </w:t>
      </w:r>
      <w:r w:rsidRPr="00534C57">
        <w:rPr>
          <w:rFonts w:ascii="Times New Roman" w:eastAsia="Times New Roman" w:hAnsi="Times New Roman"/>
        </w:rPr>
        <w:t>savaites</w:t>
      </w:r>
      <w:r w:rsidRPr="00534C57">
        <w:rPr>
          <w:rFonts w:ascii="Times New Roman" w:eastAsia="Times New Roman" w:hAnsi="Times New Roman"/>
          <w:spacing w:val="-1"/>
        </w:rPr>
        <w:t xml:space="preserve"> </w:t>
      </w:r>
      <w:r w:rsidRPr="00534C57">
        <w:rPr>
          <w:rFonts w:ascii="Times New Roman" w:eastAsia="Times New Roman" w:hAnsi="Times New Roman"/>
        </w:rPr>
        <w:t>vaistinis</w:t>
      </w:r>
      <w:r w:rsidRPr="00534C57">
        <w:rPr>
          <w:rFonts w:ascii="Times New Roman" w:eastAsia="Times New Roman" w:hAnsi="Times New Roman"/>
          <w:spacing w:val="-1"/>
        </w:rPr>
        <w:t xml:space="preserve"> </w:t>
      </w:r>
      <w:r w:rsidRPr="00534C57">
        <w:rPr>
          <w:rFonts w:ascii="Times New Roman" w:eastAsia="Times New Roman" w:hAnsi="Times New Roman"/>
        </w:rPr>
        <w:t>preparatas</w:t>
      </w:r>
      <w:r w:rsidRPr="00534C57">
        <w:rPr>
          <w:rFonts w:ascii="Times New Roman" w:eastAsia="Times New Roman" w:hAnsi="Times New Roman"/>
          <w:spacing w:val="-1"/>
        </w:rPr>
        <w:t xml:space="preserve"> </w:t>
      </w:r>
      <w:r w:rsidRPr="00534C57">
        <w:rPr>
          <w:rFonts w:ascii="Times New Roman" w:eastAsia="Times New Roman" w:hAnsi="Times New Roman"/>
        </w:rPr>
        <w:t>padarė</w:t>
      </w:r>
      <w:r w:rsidRPr="00534C57">
        <w:rPr>
          <w:rFonts w:ascii="Times New Roman" w:eastAsia="Times New Roman" w:hAnsi="Times New Roman"/>
          <w:spacing w:val="-1"/>
        </w:rPr>
        <w:t xml:space="preserve"> </w:t>
      </w:r>
      <w:r w:rsidRPr="00534C57">
        <w:rPr>
          <w:rFonts w:ascii="Times New Roman" w:eastAsia="Times New Roman" w:hAnsi="Times New Roman"/>
        </w:rPr>
        <w:t>poveikį</w:t>
      </w:r>
      <w:r w:rsidRPr="00534C57">
        <w:rPr>
          <w:rFonts w:ascii="Times New Roman" w:eastAsia="Times New Roman" w:hAnsi="Times New Roman"/>
          <w:spacing w:val="-1"/>
        </w:rPr>
        <w:t xml:space="preserve"> </w:t>
      </w:r>
      <w:r w:rsidRPr="00534C57">
        <w:rPr>
          <w:rFonts w:ascii="Times New Roman" w:eastAsia="Times New Roman" w:hAnsi="Times New Roman"/>
        </w:rPr>
        <w:t>64,3 %</w:t>
      </w:r>
      <w:r w:rsidRPr="00534C57">
        <w:rPr>
          <w:rFonts w:ascii="Times New Roman" w:eastAsia="Times New Roman" w:hAnsi="Times New Roman"/>
          <w:spacing w:val="-1"/>
        </w:rPr>
        <w:t xml:space="preserve"> </w:t>
      </w:r>
      <w:r w:rsidRPr="00534C57">
        <w:rPr>
          <w:rFonts w:ascii="Times New Roman" w:eastAsia="Times New Roman" w:hAnsi="Times New Roman"/>
          <w:spacing w:val="1"/>
        </w:rPr>
        <w:t>(</w:t>
      </w:r>
      <w:r w:rsidRPr="00534C57">
        <w:rPr>
          <w:rFonts w:ascii="Times New Roman" w:eastAsia="Times New Roman" w:hAnsi="Times New Roman"/>
        </w:rPr>
        <w:t>9 iš 14) pacientų, sergančių IA (40</w:t>
      </w:r>
      <w:r w:rsidRPr="00534C57">
        <w:rPr>
          <w:rFonts w:ascii="Times New Roman" w:eastAsia="Times New Roman" w:hAnsi="Times New Roman"/>
          <w:spacing w:val="-2"/>
        </w:rPr>
        <w:t xml:space="preserve"> </w:t>
      </w:r>
      <w:r w:rsidRPr="00534C57">
        <w:rPr>
          <w:rFonts w:ascii="Times New Roman" w:eastAsia="Times New Roman" w:hAnsi="Times New Roman"/>
        </w:rPr>
        <w:t>% (2 iš 5) pacientų nuo 2 iki &lt; 12 metų ir 77,8</w:t>
      </w:r>
      <w:r w:rsidRPr="00534C57">
        <w:rPr>
          <w:rFonts w:ascii="Times New Roman" w:eastAsia="Times New Roman" w:hAnsi="Times New Roman"/>
          <w:spacing w:val="-3"/>
        </w:rPr>
        <w:t xml:space="preserve"> </w:t>
      </w:r>
      <w:r w:rsidRPr="00534C57">
        <w:rPr>
          <w:rFonts w:ascii="Times New Roman" w:eastAsia="Times New Roman" w:hAnsi="Times New Roman"/>
        </w:rPr>
        <w:t>% (7 iš 9) pacientų nuo 12 iki &lt; 18 metų). Vaistinis</w:t>
      </w:r>
      <w:r w:rsidRPr="00534C57">
        <w:rPr>
          <w:rFonts w:ascii="Times New Roman" w:eastAsia="Times New Roman" w:hAnsi="Times New Roman"/>
          <w:spacing w:val="-1"/>
        </w:rPr>
        <w:t xml:space="preserve"> </w:t>
      </w:r>
      <w:r w:rsidRPr="00534C57">
        <w:rPr>
          <w:rFonts w:ascii="Times New Roman" w:eastAsia="Times New Roman" w:hAnsi="Times New Roman"/>
        </w:rPr>
        <w:t>preparatas</w:t>
      </w:r>
      <w:r w:rsidRPr="00534C57">
        <w:rPr>
          <w:rFonts w:ascii="Times New Roman" w:eastAsia="Times New Roman" w:hAnsi="Times New Roman"/>
          <w:spacing w:val="-1"/>
        </w:rPr>
        <w:t xml:space="preserve"> </w:t>
      </w:r>
      <w:r w:rsidRPr="00534C57">
        <w:rPr>
          <w:rFonts w:ascii="Times New Roman" w:eastAsia="Times New Roman" w:hAnsi="Times New Roman"/>
        </w:rPr>
        <w:t>GP padarė</w:t>
      </w:r>
      <w:r w:rsidRPr="00534C57">
        <w:rPr>
          <w:rFonts w:ascii="Times New Roman" w:eastAsia="Times New Roman" w:hAnsi="Times New Roman"/>
          <w:spacing w:val="-1"/>
        </w:rPr>
        <w:t xml:space="preserve"> </w:t>
      </w:r>
      <w:r w:rsidRPr="00534C57">
        <w:rPr>
          <w:rFonts w:ascii="Times New Roman" w:eastAsia="Times New Roman" w:hAnsi="Times New Roman"/>
        </w:rPr>
        <w:t>poveikį</w:t>
      </w:r>
      <w:r w:rsidRPr="00534C57">
        <w:rPr>
          <w:rFonts w:ascii="Times New Roman" w:eastAsia="Times New Roman" w:hAnsi="Times New Roman"/>
          <w:spacing w:val="-1"/>
        </w:rPr>
        <w:t xml:space="preserve"> </w:t>
      </w:r>
      <w:r w:rsidRPr="00534C57">
        <w:rPr>
          <w:rFonts w:ascii="Times New Roman" w:eastAsia="Times New Roman" w:hAnsi="Times New Roman"/>
        </w:rPr>
        <w:t xml:space="preserve">85,7 % (6 iš 7) pacientų, sergančių </w:t>
      </w:r>
      <w:r w:rsidRPr="00534C57">
        <w:rPr>
          <w:rFonts w:ascii="Times New Roman" w:eastAsia="Times New Roman" w:hAnsi="Times New Roman"/>
          <w:spacing w:val="-1"/>
        </w:rPr>
        <w:t>ICC</w:t>
      </w:r>
      <w:r w:rsidRPr="00534C57">
        <w:rPr>
          <w:rFonts w:ascii="Times New Roman" w:eastAsia="Times New Roman" w:hAnsi="Times New Roman"/>
        </w:rPr>
        <w:t>,</w:t>
      </w:r>
      <w:r w:rsidRPr="00534C57">
        <w:rPr>
          <w:rFonts w:ascii="Times New Roman" w:eastAsia="Times New Roman" w:hAnsi="Times New Roman"/>
          <w:spacing w:val="-1"/>
        </w:rPr>
        <w:t xml:space="preserve"> ir </w:t>
      </w:r>
      <w:r w:rsidRPr="00534C57">
        <w:rPr>
          <w:rFonts w:ascii="Times New Roman" w:eastAsia="Times New Roman" w:hAnsi="Times New Roman"/>
        </w:rPr>
        <w:t>70 % (7 iš 10) pacientų, sergančių EC. Bendras</w:t>
      </w:r>
      <w:r w:rsidRPr="00534C57">
        <w:rPr>
          <w:rFonts w:ascii="Times New Roman" w:eastAsia="Times New Roman" w:hAnsi="Times New Roman"/>
          <w:spacing w:val="-1"/>
        </w:rPr>
        <w:t xml:space="preserve"> </w:t>
      </w:r>
      <w:r w:rsidRPr="00534C57">
        <w:rPr>
          <w:rFonts w:ascii="Times New Roman" w:eastAsia="Times New Roman" w:hAnsi="Times New Roman"/>
        </w:rPr>
        <w:t>atsako</w:t>
      </w:r>
      <w:r w:rsidRPr="00534C57">
        <w:rPr>
          <w:rFonts w:ascii="Times New Roman" w:eastAsia="Times New Roman" w:hAnsi="Times New Roman"/>
          <w:spacing w:val="-1"/>
        </w:rPr>
        <w:t xml:space="preserve"> </w:t>
      </w:r>
      <w:r w:rsidRPr="00534C57">
        <w:rPr>
          <w:rFonts w:ascii="Times New Roman" w:eastAsia="Times New Roman" w:hAnsi="Times New Roman"/>
        </w:rPr>
        <w:t>dažn</w:t>
      </w:r>
      <w:r w:rsidRPr="00534C57">
        <w:rPr>
          <w:rFonts w:ascii="Times New Roman" w:eastAsia="Times New Roman" w:hAnsi="Times New Roman"/>
          <w:spacing w:val="1"/>
        </w:rPr>
        <w:t>i</w:t>
      </w:r>
      <w:r w:rsidRPr="00534C57">
        <w:rPr>
          <w:rFonts w:ascii="Times New Roman" w:eastAsia="Times New Roman" w:hAnsi="Times New Roman"/>
        </w:rPr>
        <w:t>s</w:t>
      </w:r>
      <w:r w:rsidRPr="00534C57">
        <w:rPr>
          <w:rFonts w:ascii="Times New Roman" w:eastAsia="Times New Roman" w:hAnsi="Times New Roman"/>
          <w:spacing w:val="1"/>
        </w:rPr>
        <w:t xml:space="preserve"> (</w:t>
      </w:r>
      <w:r w:rsidRPr="00534C57">
        <w:rPr>
          <w:rFonts w:ascii="Times New Roman" w:eastAsia="Times New Roman" w:hAnsi="Times New Roman"/>
        </w:rPr>
        <w:t>ICC</w:t>
      </w:r>
      <w:r w:rsidRPr="00534C57">
        <w:rPr>
          <w:rFonts w:ascii="Times New Roman" w:eastAsia="Times New Roman" w:hAnsi="Times New Roman"/>
          <w:spacing w:val="-1"/>
        </w:rPr>
        <w:t xml:space="preserve"> </w:t>
      </w:r>
      <w:r w:rsidRPr="00534C57">
        <w:rPr>
          <w:rFonts w:ascii="Times New Roman" w:eastAsia="Times New Roman" w:hAnsi="Times New Roman"/>
        </w:rPr>
        <w:t>ir</w:t>
      </w:r>
      <w:r w:rsidRPr="00534C57">
        <w:rPr>
          <w:rFonts w:ascii="Times New Roman" w:eastAsia="Times New Roman" w:hAnsi="Times New Roman"/>
          <w:spacing w:val="-1"/>
        </w:rPr>
        <w:t xml:space="preserve"> </w:t>
      </w:r>
      <w:r w:rsidRPr="00534C57">
        <w:rPr>
          <w:rFonts w:ascii="Times New Roman" w:eastAsia="Times New Roman" w:hAnsi="Times New Roman"/>
        </w:rPr>
        <w:t>EC</w:t>
      </w:r>
      <w:r w:rsidRPr="00534C57">
        <w:rPr>
          <w:rFonts w:ascii="Times New Roman" w:eastAsia="Times New Roman" w:hAnsi="Times New Roman"/>
          <w:spacing w:val="-1"/>
        </w:rPr>
        <w:t xml:space="preserve"> </w:t>
      </w:r>
      <w:r w:rsidRPr="00534C57">
        <w:rPr>
          <w:rFonts w:ascii="Times New Roman" w:eastAsia="Times New Roman" w:hAnsi="Times New Roman"/>
        </w:rPr>
        <w:t>kartu</w:t>
      </w:r>
      <w:r w:rsidRPr="00534C57">
        <w:rPr>
          <w:rFonts w:ascii="Times New Roman" w:eastAsia="Times New Roman" w:hAnsi="Times New Roman"/>
          <w:spacing w:val="-1"/>
        </w:rPr>
        <w:t xml:space="preserve"> </w:t>
      </w:r>
      <w:r w:rsidRPr="00534C57">
        <w:rPr>
          <w:rFonts w:ascii="Times New Roman" w:eastAsia="Times New Roman" w:hAnsi="Times New Roman"/>
        </w:rPr>
        <w:t xml:space="preserve">sudėjus) – </w:t>
      </w:r>
      <w:r w:rsidRPr="00534C57">
        <w:rPr>
          <w:rFonts w:ascii="Times New Roman" w:eastAsia="Times New Roman" w:hAnsi="Times New Roman"/>
          <w:spacing w:val="-1"/>
        </w:rPr>
        <w:t>88,</w:t>
      </w:r>
      <w:r w:rsidRPr="00534C57">
        <w:rPr>
          <w:rFonts w:ascii="Times New Roman" w:eastAsia="Times New Roman" w:hAnsi="Times New Roman"/>
        </w:rPr>
        <w:t>9 % (8 iš 9)</w:t>
      </w:r>
      <w:r w:rsidRPr="00534C57">
        <w:rPr>
          <w:rFonts w:ascii="Times New Roman" w:eastAsia="Times New Roman" w:hAnsi="Times New Roman"/>
          <w:spacing w:val="1"/>
        </w:rPr>
        <w:t xml:space="preserve"> </w:t>
      </w:r>
      <w:r w:rsidRPr="00534C57">
        <w:rPr>
          <w:rFonts w:ascii="Times New Roman" w:eastAsia="Times New Roman" w:hAnsi="Times New Roman"/>
        </w:rPr>
        <w:t>pacientų nuo 2 iki &lt; 12</w:t>
      </w:r>
      <w:r w:rsidRPr="00534C57">
        <w:rPr>
          <w:rFonts w:ascii="Times New Roman" w:eastAsia="Times New Roman" w:hAnsi="Times New Roman"/>
          <w:spacing w:val="-2"/>
        </w:rPr>
        <w:t xml:space="preserve"> </w:t>
      </w:r>
      <w:r w:rsidRPr="00534C57">
        <w:rPr>
          <w:rFonts w:ascii="Times New Roman" w:eastAsia="Times New Roman" w:hAnsi="Times New Roman"/>
          <w:spacing w:val="-1"/>
        </w:rPr>
        <w:t>met</w:t>
      </w:r>
      <w:r w:rsidRPr="00534C57">
        <w:rPr>
          <w:rFonts w:ascii="Times New Roman" w:eastAsia="Times New Roman" w:hAnsi="Times New Roman"/>
        </w:rPr>
        <w:t>ų grupėje</w:t>
      </w:r>
      <w:r w:rsidRPr="00534C57">
        <w:rPr>
          <w:rFonts w:ascii="Times New Roman" w:eastAsia="Times New Roman" w:hAnsi="Times New Roman"/>
          <w:spacing w:val="-2"/>
        </w:rPr>
        <w:t xml:space="preserve"> </w:t>
      </w:r>
      <w:r w:rsidRPr="00534C57">
        <w:rPr>
          <w:rFonts w:ascii="Times New Roman" w:eastAsia="Times New Roman" w:hAnsi="Times New Roman"/>
          <w:spacing w:val="1"/>
        </w:rPr>
        <w:t>i</w:t>
      </w:r>
      <w:r w:rsidRPr="00534C57">
        <w:rPr>
          <w:rFonts w:ascii="Times New Roman" w:eastAsia="Times New Roman" w:hAnsi="Times New Roman"/>
        </w:rPr>
        <w:t>r</w:t>
      </w:r>
      <w:r w:rsidRPr="00534C57">
        <w:rPr>
          <w:rFonts w:ascii="Times New Roman" w:eastAsia="Times New Roman" w:hAnsi="Times New Roman"/>
          <w:spacing w:val="1"/>
        </w:rPr>
        <w:t xml:space="preserve"> </w:t>
      </w:r>
      <w:r w:rsidRPr="00534C57">
        <w:rPr>
          <w:rFonts w:ascii="Times New Roman" w:eastAsia="Times New Roman" w:hAnsi="Times New Roman"/>
          <w:spacing w:val="-1"/>
        </w:rPr>
        <w:t>62,</w:t>
      </w:r>
      <w:r w:rsidRPr="00534C57">
        <w:rPr>
          <w:rFonts w:ascii="Times New Roman" w:eastAsia="Times New Roman" w:hAnsi="Times New Roman"/>
        </w:rPr>
        <w:t>5 % (5 iš 8) pacientų nuo 12 iki &lt;</w:t>
      </w:r>
      <w:r w:rsidRPr="00534C57">
        <w:rPr>
          <w:rFonts w:ascii="Times New Roman" w:eastAsia="Times New Roman" w:hAnsi="Times New Roman"/>
          <w:spacing w:val="-2"/>
        </w:rPr>
        <w:t xml:space="preserve"> 1</w:t>
      </w:r>
      <w:r w:rsidRPr="00534C57">
        <w:rPr>
          <w:rFonts w:ascii="Times New Roman" w:eastAsia="Times New Roman" w:hAnsi="Times New Roman"/>
        </w:rPr>
        <w:t xml:space="preserve">8 </w:t>
      </w:r>
      <w:r w:rsidRPr="00534C57">
        <w:rPr>
          <w:rFonts w:ascii="Times New Roman" w:eastAsia="Times New Roman" w:hAnsi="Times New Roman"/>
          <w:spacing w:val="-1"/>
        </w:rPr>
        <w:t>met</w:t>
      </w:r>
      <w:r w:rsidRPr="00534C57">
        <w:rPr>
          <w:rFonts w:ascii="Times New Roman" w:eastAsia="Times New Roman" w:hAnsi="Times New Roman"/>
        </w:rPr>
        <w:t>ų grupėje.</w:t>
      </w:r>
    </w:p>
    <w:p w14:paraId="356C684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AE9E887"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Klinikiniai tyrimai vertinant QTc intervalą</w:t>
      </w:r>
    </w:p>
    <w:p w14:paraId="1A8A505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Buvo atliktas placebu kontroliuojamas atsitiktinės atrankos vienos dozės kryžminis tyrimas siekiant išsiaiškinti, kaip kinta QTc intervalas sveikiems savanoriams, gavusiems ketokonazolą ir tris skirtingas geriamas vorikonazolo dozes. Įvertinus placebo įtaką rezultatui, didžiausias QTc palyginti su pradiniais duomenimis buvo 5,1, 4,8 ir 8,2 ms, vartojant atitinkamai 800, 1200 ir 1600</w:t>
      </w:r>
      <w:r w:rsidR="007B6FA7">
        <w:rPr>
          <w:rFonts w:ascii="Times New Roman" w:hAnsi="Times New Roman"/>
          <w:color w:val="000000"/>
        </w:rPr>
        <w:t> </w:t>
      </w:r>
      <w:r w:rsidRPr="00534C57">
        <w:rPr>
          <w:rFonts w:ascii="Times New Roman" w:hAnsi="Times New Roman"/>
          <w:color w:val="000000"/>
        </w:rPr>
        <w:t>mg vorikonazolo dozes, ir 7,0</w:t>
      </w:r>
      <w:r w:rsidR="007B6FA7">
        <w:rPr>
          <w:rFonts w:ascii="Times New Roman" w:hAnsi="Times New Roman"/>
          <w:color w:val="000000"/>
        </w:rPr>
        <w:t> </w:t>
      </w:r>
      <w:r w:rsidRPr="00534C57">
        <w:rPr>
          <w:rFonts w:ascii="Times New Roman" w:hAnsi="Times New Roman"/>
          <w:color w:val="000000"/>
        </w:rPr>
        <w:t>ms po 800</w:t>
      </w:r>
      <w:r w:rsidR="007B6FA7">
        <w:rPr>
          <w:rFonts w:ascii="Times New Roman" w:hAnsi="Times New Roman"/>
          <w:color w:val="000000"/>
        </w:rPr>
        <w:t> </w:t>
      </w:r>
      <w:r w:rsidRPr="00534C57">
        <w:rPr>
          <w:rFonts w:ascii="Times New Roman" w:hAnsi="Times New Roman"/>
          <w:color w:val="000000"/>
        </w:rPr>
        <w:t>mg ketokonazolo dozės. Nei vienoje iš tirtų grupių nebuvo QTc reikšmės nukrypimo nuo bazinės linijos ≥60</w:t>
      </w:r>
      <w:r w:rsidR="007B6FA7">
        <w:rPr>
          <w:rFonts w:ascii="Times New Roman" w:hAnsi="Times New Roman"/>
          <w:color w:val="000000"/>
        </w:rPr>
        <w:t> </w:t>
      </w:r>
      <w:r w:rsidRPr="00534C57">
        <w:rPr>
          <w:rFonts w:ascii="Times New Roman" w:hAnsi="Times New Roman"/>
          <w:color w:val="000000"/>
        </w:rPr>
        <w:t>ms. Tyrimo metu nebuvo nustatyta didesnio už kliniškai svarbią 500</w:t>
      </w:r>
      <w:r w:rsidR="007B6FA7">
        <w:rPr>
          <w:rFonts w:ascii="Times New Roman" w:hAnsi="Times New Roman"/>
          <w:color w:val="000000"/>
        </w:rPr>
        <w:t> </w:t>
      </w:r>
      <w:r w:rsidRPr="00534C57">
        <w:rPr>
          <w:rFonts w:ascii="Times New Roman" w:hAnsi="Times New Roman"/>
          <w:color w:val="000000"/>
        </w:rPr>
        <w:t>ms reikšmę intervalo.</w:t>
      </w:r>
    </w:p>
    <w:p w14:paraId="473A115F"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9B94095"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5.2 Farmakokinetinės savybės</w:t>
      </w:r>
    </w:p>
    <w:p w14:paraId="72EF4A26"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0FC9295"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Bendras farmakokinetikos apibūdinimas</w:t>
      </w:r>
    </w:p>
    <w:p w14:paraId="549044D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Tirta vorikonazolo farmakokinetika sveikų savanorių, specialių žmonių grupių ir pacientų organizme. Pacientai, kuriems buvo aspergiliozės rizika (daugelis jų sirgo piktybiniais limfinių audinių arba kraujodaros organų piktybiniais navikais), 14 dienų du kartus per parą gėrė po 200</w:t>
      </w:r>
      <w:r w:rsidR="007B6FA7">
        <w:rPr>
          <w:rFonts w:ascii="Times New Roman" w:hAnsi="Times New Roman"/>
          <w:color w:val="000000"/>
        </w:rPr>
        <w:t> </w:t>
      </w:r>
      <w:r w:rsidRPr="00534C57">
        <w:rPr>
          <w:rFonts w:ascii="Times New Roman" w:hAnsi="Times New Roman"/>
          <w:color w:val="000000"/>
        </w:rPr>
        <w:t>mg arba 300</w:t>
      </w:r>
      <w:r w:rsidR="007B6FA7">
        <w:rPr>
          <w:rFonts w:ascii="Times New Roman" w:hAnsi="Times New Roman"/>
          <w:color w:val="000000"/>
        </w:rPr>
        <w:t> </w:t>
      </w:r>
      <w:r w:rsidRPr="00534C57">
        <w:rPr>
          <w:rFonts w:ascii="Times New Roman" w:hAnsi="Times New Roman"/>
          <w:color w:val="000000"/>
        </w:rPr>
        <w:t>mg vorikonazolo. Jiems nustatyta, kad preparato absorbcija vyksta greitai ir pastoviai, vaistinio preparato kaupimasis ir nelinijinė farmakokinetika yra tokia pati kaip ir sveikų žmonių organizme.</w:t>
      </w:r>
    </w:p>
    <w:p w14:paraId="3DAE608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5B9BBC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Dėl vorikonazolo metabolizmo įsotinimo jo farmakokinetika būna nelinijinė. Didinant dozę, daugiau nei proporcingai didėja vaistinio preparato ekspozicija. Nustatyta, kad didinant varikanozolo vartojamą per burną dozę nuo 200</w:t>
      </w:r>
      <w:r w:rsidR="007B6FA7">
        <w:rPr>
          <w:rFonts w:ascii="Times New Roman" w:hAnsi="Times New Roman"/>
          <w:color w:val="000000"/>
        </w:rPr>
        <w:t> </w:t>
      </w:r>
      <w:r w:rsidRPr="00534C57">
        <w:rPr>
          <w:rFonts w:ascii="Times New Roman" w:hAnsi="Times New Roman"/>
          <w:color w:val="000000"/>
        </w:rPr>
        <w:t>mg iki 300</w:t>
      </w:r>
      <w:r w:rsidR="007B6FA7">
        <w:rPr>
          <w:rFonts w:ascii="Times New Roman" w:hAnsi="Times New Roman"/>
          <w:color w:val="000000"/>
        </w:rPr>
        <w:t> </w:t>
      </w:r>
      <w:r w:rsidRPr="00534C57">
        <w:rPr>
          <w:rFonts w:ascii="Times New Roman" w:hAnsi="Times New Roman"/>
          <w:color w:val="000000"/>
        </w:rPr>
        <w:t>mg du kartus per parą, vidutiniškai 2,5 karto padidėja jo ekspozicija (AUCτ). Vartojant palaikomąją 200</w:t>
      </w:r>
      <w:r w:rsidR="007B6FA7">
        <w:rPr>
          <w:rFonts w:ascii="Times New Roman" w:hAnsi="Times New Roman"/>
          <w:color w:val="000000"/>
        </w:rPr>
        <w:t> </w:t>
      </w:r>
      <w:r w:rsidRPr="00534C57">
        <w:rPr>
          <w:rFonts w:ascii="Times New Roman" w:hAnsi="Times New Roman"/>
          <w:color w:val="000000"/>
        </w:rPr>
        <w:t>mg dozę per burną (arba 100</w:t>
      </w:r>
      <w:r w:rsidR="007B6FA7">
        <w:rPr>
          <w:rFonts w:ascii="Times New Roman" w:hAnsi="Times New Roman"/>
          <w:color w:val="000000"/>
        </w:rPr>
        <w:t> </w:t>
      </w:r>
      <w:r w:rsidRPr="00534C57">
        <w:rPr>
          <w:rFonts w:ascii="Times New Roman" w:hAnsi="Times New Roman"/>
          <w:color w:val="000000"/>
        </w:rPr>
        <w:t>mg pacientams, kurių kūno masė yra mažesnė kaip 40</w:t>
      </w:r>
      <w:r w:rsidR="007B6FA7">
        <w:rPr>
          <w:rFonts w:ascii="Times New Roman" w:hAnsi="Times New Roman"/>
          <w:color w:val="000000"/>
        </w:rPr>
        <w:t> </w:t>
      </w:r>
      <w:r w:rsidRPr="00534C57">
        <w:rPr>
          <w:rFonts w:ascii="Times New Roman" w:hAnsi="Times New Roman"/>
          <w:color w:val="000000"/>
        </w:rPr>
        <w:t>kg), buvo pasiekta panaši vorikonazolo ekspozicija, kaip suleidžiant 3 mg/kg kūno svorio dozę į veną. Vartojant palaikomąją 300 mg dozę per burną (arba 150</w:t>
      </w:r>
      <w:r w:rsidR="007B6FA7">
        <w:rPr>
          <w:rFonts w:ascii="Times New Roman" w:hAnsi="Times New Roman"/>
          <w:color w:val="000000"/>
        </w:rPr>
        <w:t> </w:t>
      </w:r>
      <w:r w:rsidRPr="00534C57">
        <w:rPr>
          <w:rFonts w:ascii="Times New Roman" w:hAnsi="Times New Roman"/>
          <w:color w:val="000000"/>
        </w:rPr>
        <w:t>mg pacientams, kurių kūno masė yra mažesnė kaip 40</w:t>
      </w:r>
      <w:r w:rsidR="007B6FA7">
        <w:rPr>
          <w:rFonts w:ascii="Times New Roman" w:hAnsi="Times New Roman"/>
          <w:color w:val="000000"/>
        </w:rPr>
        <w:t> </w:t>
      </w:r>
      <w:r w:rsidRPr="00534C57">
        <w:rPr>
          <w:rFonts w:ascii="Times New Roman" w:hAnsi="Times New Roman"/>
          <w:color w:val="000000"/>
        </w:rPr>
        <w:t xml:space="preserve">kg), buvo pasiekta panaši vorikonazolo ekspozicija, </w:t>
      </w:r>
      <w:r w:rsidRPr="00534C57">
        <w:rPr>
          <w:rFonts w:ascii="Times New Roman" w:hAnsi="Times New Roman"/>
          <w:color w:val="000000"/>
        </w:rPr>
        <w:lastRenderedPageBreak/>
        <w:t>kaip suleidžiant 4</w:t>
      </w:r>
      <w:r w:rsidR="007B6FA7">
        <w:rPr>
          <w:rFonts w:ascii="Times New Roman" w:hAnsi="Times New Roman"/>
          <w:color w:val="000000"/>
        </w:rPr>
        <w:t> </w:t>
      </w:r>
      <w:r w:rsidRPr="00534C57">
        <w:rPr>
          <w:rFonts w:ascii="Times New Roman" w:hAnsi="Times New Roman"/>
          <w:color w:val="000000"/>
        </w:rPr>
        <w:t>mg/kg kūno svorio dozę į veną. Suleidžiant pagal rekomenduojamą dozavimą į veną arba vartojant įsotinamąją dozę per burną, vaistinio preparato koncentracijos plazmoje pusiausvyra nusistovi per pirmąsias 24 valandas. Jei įsotinamoji dozė nevartojama, vartojant kartotines vorikonazolo dozes du kartus per parą, daugelio tiriamųjų organizme vaistinis preparatas kaupiasi ir koncentracijos plazmoje pusiausvyra nusistovi 6-ą parą.</w:t>
      </w:r>
    </w:p>
    <w:p w14:paraId="2165F65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FA77BA2"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Absorbcija</w:t>
      </w:r>
    </w:p>
    <w:p w14:paraId="373ED98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Išgertas vorikonazolas greitai ir visiškai absorbuojamas. Jo didžiausia koncentracija plazmoje (Cmax) pasiekiama praėjus 1-2</w:t>
      </w:r>
      <w:r w:rsidR="007B6FA7">
        <w:rPr>
          <w:rFonts w:ascii="Times New Roman" w:hAnsi="Times New Roman"/>
          <w:color w:val="000000"/>
        </w:rPr>
        <w:t> </w:t>
      </w:r>
      <w:r w:rsidRPr="00534C57">
        <w:rPr>
          <w:rFonts w:ascii="Times New Roman" w:hAnsi="Times New Roman"/>
          <w:color w:val="000000"/>
        </w:rPr>
        <w:t>val. po dozės pavartojimo. Išgerto vorikonazolo absoliutus biologinis prieinamumas yra maždaug 96 %. Vartojant kartotines vorikonazolo dozes su labai riebiu maistu, Cmax ir AUCτ atitinkamai sumažėja 34 % ir 24 %. Skrandžio pH pokytis vorikonazolo absorbcijai įtakos nedaro.</w:t>
      </w:r>
    </w:p>
    <w:p w14:paraId="012B1A0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D927B85"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Pasiskirstymas</w:t>
      </w:r>
    </w:p>
    <w:p w14:paraId="27999C9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plačiai pasiskirsto organizmo audiniuose – esant nusistovėjusiai koncentracijai pasiskirstymo tūris yra maždaug 4,6</w:t>
      </w:r>
      <w:r w:rsidR="007B6FA7">
        <w:rPr>
          <w:rFonts w:ascii="Times New Roman" w:hAnsi="Times New Roman"/>
          <w:color w:val="000000"/>
        </w:rPr>
        <w:t> </w:t>
      </w:r>
      <w:r w:rsidRPr="00534C57">
        <w:rPr>
          <w:rFonts w:ascii="Times New Roman" w:hAnsi="Times New Roman"/>
          <w:color w:val="000000"/>
        </w:rPr>
        <w:t>l/kg kūno svorio. Su plazmos baltymais jungiasi maždaug 58 % preparato. Iš 8 pacientų, dalyvavusių labdaros programoje, visiems paimtuose cerebrospinalinio skysčio pavyzdžiuose vorikonazolo koncentracija buvo tokia, kurią nustatyti įmanoma.</w:t>
      </w:r>
    </w:p>
    <w:p w14:paraId="4B1A562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C680091"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Biotransformacija</w:t>
      </w:r>
    </w:p>
    <w:p w14:paraId="4CEA91D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Tyrimai </w:t>
      </w:r>
      <w:r w:rsidRPr="00534C57">
        <w:rPr>
          <w:rFonts w:ascii="Times New Roman" w:hAnsi="Times New Roman"/>
          <w:i/>
          <w:iCs/>
          <w:color w:val="000000"/>
        </w:rPr>
        <w:t xml:space="preserve">in vitro </w:t>
      </w:r>
      <w:r w:rsidRPr="00534C57">
        <w:rPr>
          <w:rFonts w:ascii="Times New Roman" w:hAnsi="Times New Roman"/>
          <w:color w:val="000000"/>
        </w:rPr>
        <w:t>parodė, kad vorikonazolo metabolizmą veikia kepenų citochromo P450 CYP2C19, CYP2C9 ir CYP3A4 izofermentai.</w:t>
      </w:r>
    </w:p>
    <w:p w14:paraId="5DE8E24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A3DB87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farmakokinetikos kintamumas skirtingų pacientų organizme yra labai didelis.</w:t>
      </w:r>
    </w:p>
    <w:p w14:paraId="3CD9FAE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17A612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Tyrimais </w:t>
      </w:r>
      <w:r w:rsidRPr="00534C57">
        <w:rPr>
          <w:rFonts w:ascii="Times New Roman" w:hAnsi="Times New Roman"/>
          <w:i/>
          <w:iCs/>
          <w:color w:val="000000"/>
        </w:rPr>
        <w:t xml:space="preserve">in vivo </w:t>
      </w:r>
      <w:r w:rsidRPr="00534C57">
        <w:rPr>
          <w:rFonts w:ascii="Times New Roman" w:hAnsi="Times New Roman"/>
          <w:color w:val="000000"/>
        </w:rPr>
        <w:t>nustatyta, kad CYP2C19 yra labai svarbus vorikonazolo metabolizmui. Šis fermentas pasižymi genetiniu polimorfizmu. Pavyzdžiui, tikėtina, kad 15-20 % azijiečių metabolizuoja silpnai. Silpnas metabolizmas yra tik 3-5 % baltosios ir juodosios rasės žmonių organizme. Tyrimai, atlikti su sveikais baltosios ir japonų rasės tiriamaisiais, parodė, kad, esant silpnam metabolizmui, vorikonazolo ekspozicija (AUCτ) būna vidutiniškai 4 kartus didesnė nei homozigotinių asmenų, kurių organizme metabolizmas yra intensyvus. Heterozigotinių intensyviai metabolizuojančių vorikonazolį individų organizme vaistinio preparato ekspozicija yra maždaug 2 kartus didesnė nei analoginių homozigotinių individų.</w:t>
      </w:r>
    </w:p>
    <w:p w14:paraId="1EEEFA9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10FC39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Svarbiausias vorikonazolo metabolitas yra N-oksidas, kuris sudaro 72 % visų plazmoje esančių radioaktyviai žymėtų metabolitų. Šis metabolitas sukelia labai nedidelį priešgrybelinį poveikį ir bendram vorikonazolo veiksmingumui įtakos nedaro.</w:t>
      </w:r>
    </w:p>
    <w:p w14:paraId="64CEC70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BB53AB7"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Eliminacija</w:t>
      </w:r>
    </w:p>
    <w:p w14:paraId="229A780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Vorikonazolas eliminuojamas metabolizavimo kepenyse būdu, mažiau kaip 2 % dozės šalinama nepakitusiu pavidalu su šlapimu.</w:t>
      </w:r>
    </w:p>
    <w:p w14:paraId="1AFAFCE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9C526C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Į veną suleidus kelias radioaktyviai žymėto vorikonazolo dozes, maždaug 80 % radioaktyvumo nustatoma šlapime ir 83 % - jeigu vaistinio preparato kelis kartus buvo išgerta. Daugiausia (&gt; 94 %) radioaktyvios medžiagos išsiskiria per pirmąsias 96 valandas vienodai vartojant vaistinį preparatą per burną arba suleidžiant į veną.</w:t>
      </w:r>
    </w:p>
    <w:p w14:paraId="0B6C5EC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77BE52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Galutinis vorikonazolo pusinės eliminacijos laikas priklauso nuo dozės ir, išgėrus 200</w:t>
      </w:r>
      <w:r w:rsidR="007B6FA7">
        <w:rPr>
          <w:rFonts w:ascii="Times New Roman" w:hAnsi="Times New Roman"/>
          <w:color w:val="000000"/>
        </w:rPr>
        <w:t> </w:t>
      </w:r>
      <w:r w:rsidRPr="00534C57">
        <w:rPr>
          <w:rFonts w:ascii="Times New Roman" w:hAnsi="Times New Roman"/>
          <w:color w:val="000000"/>
        </w:rPr>
        <w:t>mg dozę, trunka maždaug 6</w:t>
      </w:r>
      <w:r w:rsidR="007B6FA7">
        <w:rPr>
          <w:rFonts w:ascii="Times New Roman" w:hAnsi="Times New Roman"/>
          <w:color w:val="000000"/>
        </w:rPr>
        <w:t> </w:t>
      </w:r>
      <w:r w:rsidRPr="00534C57">
        <w:rPr>
          <w:rFonts w:ascii="Times New Roman" w:hAnsi="Times New Roman"/>
          <w:color w:val="000000"/>
        </w:rPr>
        <w:t>val. Kadangi vaistinio preparato farmakokinetika yra nelinijinė, galutinio pusinės eliminacijos laiko rodmenys netinka vorikonazolo kaupimuisi organizme arba išsiskyrimui iš jo prognozuoti.</w:t>
      </w:r>
    </w:p>
    <w:p w14:paraId="47122D1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F584F67"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Farmakokinetika specialių grupių pacientų organizme</w:t>
      </w:r>
    </w:p>
    <w:p w14:paraId="19EAF4EB"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p>
    <w:p w14:paraId="65C28E5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Lytis</w:t>
      </w:r>
    </w:p>
    <w:p w14:paraId="73DACD6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Kartotinių geriamųjų vaisto dozių tyrimo duomenimis, Cmax ir AUCτ jaunų sveikų moterų organizme buvo atitinkamai 83 % ir 113 % didesni, palyginti su sveikų jaunų (18-45 metų) vyrų. To paties tyrimo </w:t>
      </w:r>
      <w:r w:rsidRPr="00534C57">
        <w:rPr>
          <w:rFonts w:ascii="Times New Roman" w:hAnsi="Times New Roman"/>
          <w:color w:val="000000"/>
        </w:rPr>
        <w:lastRenderedPageBreak/>
        <w:t>duomenimis, didelio sveikų senyvų (≥ 65 metų) vyrų ir moterų Cmax ir AUCτ rodmenų skirtumo nepastebėta.</w:t>
      </w:r>
    </w:p>
    <w:p w14:paraId="2C07050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4585C9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Klinikinėje praktikoje dozės dėl lyčių skirtumo nebuvo koreguojamos. Vaistinio preparato saugumo duomenys ir koncentracijos vyrų ir moterų plazmoje buvo panašūs. Todėl atsižvelgiant į lytį, dozės koreguoti nereikia.</w:t>
      </w:r>
    </w:p>
    <w:p w14:paraId="6CE4190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5A08F57"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Senyvi žmonės</w:t>
      </w:r>
    </w:p>
    <w:p w14:paraId="7BA7AAD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Nustatyta, kad sveikiems senyviems (≥ 65 metų) vyrams geriant kartotines vorikonazolo dozes, Cmax ir AUCτ rodmenys būna atitinkamai 61 % ir 86 % didesni negu sveikų jaunų (18-45 metų) vyrų. Didelio sveikų senyvų (≥ 65 metų) moterų ir sveikų jaunų (18-45 metų) moterų Cmax ir AUCτ rodmenų skirtumo nėra.</w:t>
      </w:r>
    </w:p>
    <w:p w14:paraId="6A51B05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AE75A0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Klinikinių gydomųjų tyrimų metu dozė, atsižvelgiant į amžių, nebuvo koreguojama. Buvo tirtas ryšys tarp vaistinio preparato koncentracijos plazmoje ir ligonio amžiaus. Vorikonazolo saugumo jauniems ir senyviems pacientams duomenys buvo panašūs, todėl senyviems žmonėms dozės koreguoti nebūtina (žr. 4.2 skyrių).</w:t>
      </w:r>
    </w:p>
    <w:p w14:paraId="787525D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1389F03"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Vaikų populiacija</w:t>
      </w:r>
    </w:p>
    <w:p w14:paraId="3439191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Rekomenduojamos dozės vaikams ir paaugliams buvo nustatytos, remiantis populiacijos farmakokinetikos tyrimų, kuriuose dalyvavo 112 nuo 2 iki 12 metų vaikų ir 26 nuo 12 iki 17 metų paaugliai, kurių imunitetas sutrikęs, duomenimis. Trijų farmakokinetikos vaikų organizme tyrimų metu buvo tirtos kartotinės 3, 4, 6, 7 ir 8</w:t>
      </w:r>
      <w:r w:rsidR="007B6FA7">
        <w:rPr>
          <w:rFonts w:ascii="Times New Roman" w:hAnsi="Times New Roman"/>
          <w:color w:val="000000"/>
        </w:rPr>
        <w:t> </w:t>
      </w:r>
      <w:r w:rsidRPr="00534C57">
        <w:rPr>
          <w:rFonts w:ascii="Times New Roman" w:hAnsi="Times New Roman"/>
          <w:color w:val="000000"/>
        </w:rPr>
        <w:t>mg/kg kūno svorio dozės du kartus per parą į veną leidžiamos ir kartotinės 4 mg/kg, 6 mg/kg kūno svorio ir 200</w:t>
      </w:r>
      <w:r w:rsidR="007B6FA7">
        <w:rPr>
          <w:rFonts w:ascii="Times New Roman" w:hAnsi="Times New Roman"/>
          <w:color w:val="000000"/>
        </w:rPr>
        <w:t> </w:t>
      </w:r>
      <w:r w:rsidRPr="00534C57">
        <w:rPr>
          <w:rFonts w:ascii="Times New Roman" w:hAnsi="Times New Roman"/>
          <w:color w:val="000000"/>
        </w:rPr>
        <w:t>mg du kartus per parą geriamosios dozės per burną (vartoti milteliai geriamajai suspensijai paruošti). Vieno farmakokinetikos paauglių organizme tyrimo metu buvo įvertintas 6</w:t>
      </w:r>
      <w:r w:rsidR="007B6FA7">
        <w:rPr>
          <w:rFonts w:ascii="Times New Roman" w:hAnsi="Times New Roman"/>
          <w:color w:val="000000"/>
        </w:rPr>
        <w:t> </w:t>
      </w:r>
      <w:r w:rsidRPr="00534C57">
        <w:rPr>
          <w:rFonts w:ascii="Times New Roman" w:hAnsi="Times New Roman"/>
          <w:color w:val="000000"/>
        </w:rPr>
        <w:t>mg/kg kūno svorio įsotinamosios leidžiamos į veną dozės pirmąją parą vėliau suleidžiant  4 mg/kg dozę kūno svorio į veną du kartus per parą ir vartojant 300</w:t>
      </w:r>
      <w:r w:rsidR="007B6FA7">
        <w:rPr>
          <w:rFonts w:ascii="Times New Roman" w:hAnsi="Times New Roman"/>
          <w:color w:val="000000"/>
        </w:rPr>
        <w:t> </w:t>
      </w:r>
      <w:r w:rsidRPr="00534C57">
        <w:rPr>
          <w:rFonts w:ascii="Times New Roman" w:hAnsi="Times New Roman"/>
          <w:color w:val="000000"/>
        </w:rPr>
        <w:t>mg geriamųjų tablečių dozę du kartus per parą. Vaikų populiacijos pacientų duomenų kintamumas buvo didesnis, palyginti su suaugusiųjų.</w:t>
      </w:r>
    </w:p>
    <w:p w14:paraId="0D839F5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D853B6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Vaikų ir suaugusiųjų populiacijos pacientų farmakokinetikos duomenų palyginimas rodo, kad numatytoji bendroji ekspozicija (AUCτ) vaikų organizme po 9</w:t>
      </w:r>
      <w:r w:rsidR="007B6FA7">
        <w:rPr>
          <w:rFonts w:ascii="Times New Roman" w:hAnsi="Times New Roman"/>
          <w:color w:val="000000"/>
        </w:rPr>
        <w:t> </w:t>
      </w:r>
      <w:r w:rsidRPr="00534C57">
        <w:rPr>
          <w:rFonts w:ascii="Times New Roman" w:hAnsi="Times New Roman"/>
          <w:color w:val="000000"/>
        </w:rPr>
        <w:t>mg/kg kūno svorio įsotinamosios suleistos į veną dozės buvo panaši į suaugusiųjų po 6</w:t>
      </w:r>
      <w:r w:rsidR="007B6FA7">
        <w:rPr>
          <w:rFonts w:ascii="Times New Roman" w:hAnsi="Times New Roman"/>
          <w:color w:val="000000"/>
        </w:rPr>
        <w:t> </w:t>
      </w:r>
      <w:r w:rsidRPr="00534C57">
        <w:rPr>
          <w:rFonts w:ascii="Times New Roman" w:hAnsi="Times New Roman"/>
          <w:color w:val="000000"/>
        </w:rPr>
        <w:t>mg/kg kūno svorio įsotinamosios suleistos į veną dozės. Numatytoji bendroji ekspozicija vaikų organizme suleidžiant 4 ir 8</w:t>
      </w:r>
      <w:r w:rsidR="007B6FA7">
        <w:rPr>
          <w:rFonts w:ascii="Times New Roman" w:hAnsi="Times New Roman"/>
          <w:color w:val="000000"/>
        </w:rPr>
        <w:t> </w:t>
      </w:r>
      <w:r w:rsidRPr="00534C57">
        <w:rPr>
          <w:rFonts w:ascii="Times New Roman" w:hAnsi="Times New Roman"/>
          <w:color w:val="000000"/>
        </w:rPr>
        <w:t>mg/kg kūno svorio palaikomąsias dozes į veną du kartus per parą buvo panaši į tas, kurios būna suaugusiųjų, kuriems į veną du kartus per parą suleidžiamos atitinkamai 3 ir 4</w:t>
      </w:r>
      <w:r w:rsidR="007B6FA7">
        <w:rPr>
          <w:rFonts w:ascii="Times New Roman" w:hAnsi="Times New Roman"/>
          <w:color w:val="000000"/>
        </w:rPr>
        <w:t> </w:t>
      </w:r>
      <w:r w:rsidRPr="00534C57">
        <w:rPr>
          <w:rFonts w:ascii="Times New Roman" w:hAnsi="Times New Roman"/>
          <w:color w:val="000000"/>
        </w:rPr>
        <w:t>mg/kg kūno svorio palaikomosios dozės, organizme. Numatytoji bendroji ekspozicija vaikų organizme vartojant 9</w:t>
      </w:r>
      <w:r w:rsidR="007B6FA7">
        <w:rPr>
          <w:rFonts w:ascii="Times New Roman" w:hAnsi="Times New Roman"/>
          <w:color w:val="000000"/>
        </w:rPr>
        <w:t> </w:t>
      </w:r>
      <w:r w:rsidRPr="00534C57">
        <w:rPr>
          <w:rFonts w:ascii="Times New Roman" w:hAnsi="Times New Roman"/>
          <w:color w:val="000000"/>
        </w:rPr>
        <w:t>mg/kg kūno svorio palaikomąsias dozes per burną du kartus per parą (didžiausia 350</w:t>
      </w:r>
      <w:r w:rsidR="007B6FA7">
        <w:rPr>
          <w:rFonts w:ascii="Times New Roman" w:hAnsi="Times New Roman"/>
          <w:color w:val="000000"/>
        </w:rPr>
        <w:t> </w:t>
      </w:r>
      <w:r w:rsidRPr="00534C57">
        <w:rPr>
          <w:rFonts w:ascii="Times New Roman" w:hAnsi="Times New Roman"/>
          <w:color w:val="000000"/>
        </w:rPr>
        <w:t xml:space="preserve">mg dozė) buvo panaši į tas, kurios būna suaugusiųjų, vartojančių </w:t>
      </w:r>
      <w:r w:rsidR="00716B9E">
        <w:rPr>
          <w:rFonts w:ascii="Times New Roman" w:hAnsi="Times New Roman"/>
          <w:color w:val="000000"/>
        </w:rPr>
        <w:t> </w:t>
      </w:r>
      <w:r w:rsidR="00716B9E" w:rsidRPr="00534C57">
        <w:rPr>
          <w:rFonts w:ascii="Times New Roman" w:hAnsi="Times New Roman"/>
          <w:color w:val="000000"/>
        </w:rPr>
        <w:t>200</w:t>
      </w:r>
      <w:r w:rsidR="00716B9E">
        <w:rPr>
          <w:rFonts w:ascii="Times New Roman" w:hAnsi="Times New Roman"/>
          <w:color w:val="000000"/>
        </w:rPr>
        <w:t> </w:t>
      </w:r>
      <w:r w:rsidRPr="00534C57">
        <w:rPr>
          <w:rFonts w:ascii="Times New Roman" w:hAnsi="Times New Roman"/>
          <w:color w:val="000000"/>
        </w:rPr>
        <w:t>mg dozę per burną du kartus per parą, organizme. Suleidžiant 8</w:t>
      </w:r>
      <w:r w:rsidR="007B6FA7">
        <w:rPr>
          <w:rFonts w:ascii="Times New Roman" w:hAnsi="Times New Roman"/>
          <w:color w:val="000000"/>
        </w:rPr>
        <w:t> </w:t>
      </w:r>
      <w:r w:rsidRPr="00534C57">
        <w:rPr>
          <w:rFonts w:ascii="Times New Roman" w:hAnsi="Times New Roman"/>
          <w:color w:val="000000"/>
        </w:rPr>
        <w:t>mg/kg kūno svorio dozę į veną, vorikonazolo ekspozicija būna maždaug 2 kartus didesnė nei vartojant 9</w:t>
      </w:r>
      <w:r w:rsidR="007B6FA7">
        <w:rPr>
          <w:rFonts w:ascii="Times New Roman" w:hAnsi="Times New Roman"/>
          <w:color w:val="000000"/>
        </w:rPr>
        <w:t> </w:t>
      </w:r>
      <w:r w:rsidRPr="00534C57">
        <w:rPr>
          <w:rFonts w:ascii="Times New Roman" w:hAnsi="Times New Roman"/>
          <w:color w:val="000000"/>
        </w:rPr>
        <w:t>mg/kg kūno svorio dozę per burną.</w:t>
      </w:r>
    </w:p>
    <w:p w14:paraId="4B44B3F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5B9B50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Didesnė palaikomoji dozė suleidžiama į veną pacientams vaikams, palyginti su suaugusiaisiais, rodo didesnį eliminacijos pajėgumą vaikų organizme dėl didesnio kepenų masės ir kūno masės santykio. Vis dėlto vaikų, kurie serga malabsorbcija arba kurių pagal amžių yra labai maža kūno masė, organizme biologinis prieinamumas gali būti mažesnis. Tokiu atveju rekomenduojama vorikonazolą suleisti į veną.</w:t>
      </w:r>
    </w:p>
    <w:p w14:paraId="60625EE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8E0895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Vorikonazolo ekspozicijos daugumos paauglių pacientų organizme buvo panašios į suaugusiųjų, kurie gydyti pagal tą patį dozavimo planą. Vis dėlto kai kurių jaunų paauglių, kurių kūno masė buvo maža, organizme buvo nustatyta mažesnė vorikonazolo ekspozicija, palyginti su suaugusiųjų. Tikėtina, kad tokių asmenų organizme vorikonazolas metabolizuojamas panašiau į vaikų negu kaip į suaugusiųjų. Remiantis farmakokinetikos duomenų populiacijoje analize, 12-14 metų paaugliai, kurių kūno svoris yra mažesnis kaip 50</w:t>
      </w:r>
      <w:r w:rsidR="007B6FA7">
        <w:rPr>
          <w:rFonts w:ascii="Times New Roman" w:hAnsi="Times New Roman"/>
          <w:color w:val="000000"/>
        </w:rPr>
        <w:t> </w:t>
      </w:r>
      <w:r w:rsidRPr="00534C57">
        <w:rPr>
          <w:rFonts w:ascii="Times New Roman" w:hAnsi="Times New Roman"/>
          <w:color w:val="000000"/>
        </w:rPr>
        <w:t>kg, turi vartoti vaikų dozes (žr. 4.2 skyrių).</w:t>
      </w:r>
    </w:p>
    <w:p w14:paraId="1901568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3621C70"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Inkstų funkcijos sutrikimas</w:t>
      </w:r>
    </w:p>
    <w:p w14:paraId="45E9DDE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Vienkartinės per burną vartojamos vorikonazolo dozės (200</w:t>
      </w:r>
      <w:r w:rsidR="007B6FA7">
        <w:rPr>
          <w:rFonts w:ascii="Times New Roman" w:hAnsi="Times New Roman"/>
          <w:color w:val="000000"/>
        </w:rPr>
        <w:t> </w:t>
      </w:r>
      <w:r w:rsidRPr="00534C57">
        <w:rPr>
          <w:rFonts w:ascii="Times New Roman" w:hAnsi="Times New Roman"/>
          <w:color w:val="000000"/>
        </w:rPr>
        <w:t>mg) asmenų, kurių inkstų funkcija normali arba kuriems yra lengvas (kreatinino klirensas 41-60</w:t>
      </w:r>
      <w:r w:rsidR="007B6FA7">
        <w:rPr>
          <w:rFonts w:ascii="Times New Roman" w:hAnsi="Times New Roman"/>
          <w:color w:val="000000"/>
        </w:rPr>
        <w:t> </w:t>
      </w:r>
      <w:r w:rsidRPr="00534C57">
        <w:rPr>
          <w:rFonts w:ascii="Times New Roman" w:hAnsi="Times New Roman"/>
          <w:color w:val="000000"/>
        </w:rPr>
        <w:t>ml/min.) ar sunkus inkstų funkcijos sutrikimas (kreatinino klirensas &lt; 20</w:t>
      </w:r>
      <w:r w:rsidR="007B6FA7">
        <w:rPr>
          <w:rFonts w:ascii="Times New Roman" w:hAnsi="Times New Roman"/>
          <w:color w:val="000000"/>
        </w:rPr>
        <w:t> </w:t>
      </w:r>
      <w:r w:rsidRPr="00534C57">
        <w:rPr>
          <w:rFonts w:ascii="Times New Roman" w:hAnsi="Times New Roman"/>
          <w:color w:val="000000"/>
        </w:rPr>
        <w:t>ml/min.) tyrimo duomenimis, inkstų funkcijos sutrikimas neturi didelės įtakos vorikonazolo farmakokinetikai. Pacientų, kurių inkstų funkcijos sutrikimas buvo įvairaus laipsnio, plazmoje vorikonazolas su plazmos baltymais jungėsi vienodai</w:t>
      </w:r>
      <w:r w:rsidRPr="00534C57">
        <w:rPr>
          <w:rFonts w:ascii="Times New Roman" w:hAnsi="Times New Roman"/>
        </w:rPr>
        <w:t xml:space="preserve"> </w:t>
      </w:r>
      <w:r w:rsidRPr="00534C57">
        <w:rPr>
          <w:rFonts w:ascii="Times New Roman" w:hAnsi="Times New Roman"/>
          <w:color w:val="000000"/>
        </w:rPr>
        <w:t>(žr. 4.2 ir 4.4 skyrius).</w:t>
      </w:r>
    </w:p>
    <w:p w14:paraId="37F2283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FFD2B74" w14:textId="77777777" w:rsidR="002F3324" w:rsidRPr="00534C57" w:rsidRDefault="002F3324" w:rsidP="002F3324">
      <w:pPr>
        <w:autoSpaceDE w:val="0"/>
        <w:autoSpaceDN w:val="0"/>
        <w:adjustRightInd w:val="0"/>
        <w:spacing w:after="0" w:line="240" w:lineRule="auto"/>
        <w:rPr>
          <w:rFonts w:ascii="Times New Roman" w:hAnsi="Times New Roman"/>
          <w:color w:val="000000"/>
          <w:u w:val="single"/>
        </w:rPr>
      </w:pPr>
      <w:r w:rsidRPr="00534C57">
        <w:rPr>
          <w:rFonts w:ascii="Times New Roman" w:hAnsi="Times New Roman"/>
          <w:color w:val="000000"/>
          <w:u w:val="single"/>
        </w:rPr>
        <w:t>Kepenų funkcijos sutrikimas</w:t>
      </w:r>
    </w:p>
    <w:p w14:paraId="0E78F5C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Tiriamųjų, kuriems yra lengva arba vidutinio sunkumo kepenų cirozė (A ir B klasės pagal Child-Pugh), išgėrusių vienkartinę vorikonazolo 200</w:t>
      </w:r>
      <w:r w:rsidR="007B6FA7">
        <w:rPr>
          <w:rFonts w:ascii="Times New Roman" w:hAnsi="Times New Roman"/>
          <w:color w:val="000000"/>
        </w:rPr>
        <w:t> </w:t>
      </w:r>
      <w:r w:rsidRPr="00534C57">
        <w:rPr>
          <w:rFonts w:ascii="Times New Roman" w:hAnsi="Times New Roman"/>
          <w:color w:val="000000"/>
        </w:rPr>
        <w:t>mg dozę, AUC buvo 233 % didesnis nei tiriamųjų su normalia kepenų funkcija. Vaistinio preparato jungimasis prie baltymų nuo kepenų funkcijos sutrikimo nepriklauso.</w:t>
      </w:r>
    </w:p>
    <w:p w14:paraId="517AB28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B20DFC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Kartotinių dozių vartojimo per burną tyrimo duomenimis, tiriamųjų, sergančių vidutinio sunkumo kepenų ciroze (B klasės pagal Child-Pugh) bei vartojančių palaikomąją 100</w:t>
      </w:r>
      <w:r w:rsidR="007B6FA7">
        <w:rPr>
          <w:rFonts w:ascii="Times New Roman" w:hAnsi="Times New Roman"/>
          <w:color w:val="000000"/>
        </w:rPr>
        <w:t> </w:t>
      </w:r>
      <w:r w:rsidRPr="00534C57">
        <w:rPr>
          <w:rFonts w:ascii="Times New Roman" w:hAnsi="Times New Roman"/>
          <w:color w:val="000000"/>
        </w:rPr>
        <w:t>mg dozę du kartus per parą, ir tiriamųjų, kurių kepenų funkcija yra normali, vartojančių palaikomąją 200</w:t>
      </w:r>
      <w:r w:rsidR="007B6FA7">
        <w:rPr>
          <w:rFonts w:ascii="Times New Roman" w:hAnsi="Times New Roman"/>
          <w:color w:val="000000"/>
        </w:rPr>
        <w:t> </w:t>
      </w:r>
      <w:r w:rsidRPr="00534C57">
        <w:rPr>
          <w:rFonts w:ascii="Times New Roman" w:hAnsi="Times New Roman"/>
          <w:color w:val="000000"/>
        </w:rPr>
        <w:t>mg dozę du kartus per parą, AUCτ rodmenys buvo panašūs. Duomenų apie vaistinio preparato farmakokinetiką pacientų, sergančių sunkia kepenų ciroze (C klasės pagal Child-Pugh), organizme nėra (žr. 4.2 ir 4.4 skyrius).</w:t>
      </w:r>
    </w:p>
    <w:p w14:paraId="6736C317"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3AE740D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5.3 Ikiklinikinių saugumo tyrimų duomenys</w:t>
      </w:r>
    </w:p>
    <w:p w14:paraId="54B0539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B84E5D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Vorikanozolo kartotinių dozių toksiškumo tyrimai parodė, kad organas-taikinys yra kepenys. Hepatotoksinis poveikis pasireiškia, kai vorikonazolo ekspozicija plazmoje buvo panaši į tą, kuri būna gydomąsias dozes vartojančio žmogaus organizme, tai yra panašiai kaip ir kitų priešgrybelinių preparatų atveju. Be to, žiurkėms, pelėms ir šunims vorikonazolas sukėlė nežymius antinksčių pokyčius. Įprastų farmakologinio saugumo, genotoksiškumo ir galimo kancerogeniškumo tyrimai specifinio pavojaus žmogui nerodo.</w:t>
      </w:r>
    </w:p>
    <w:p w14:paraId="04720BE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63E4EA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Reprodukcijos tyrimų duomenimis, vorikonazolas sukėlė teratogeninį poveikį žiurkėms ir embriotoksinį poveikį triušiams, esant sisteminei ekspozicijai, kuri pasiekiama vartojant gydomąsias dozes žmonėms. Tiriant žiurkių prenatalinį ir postnatalinį vystymąsi, kai vaistinio preparato ekspozicija buvo mažesnė už tą, kuri pasiekiama vartojant gydomąsias dozes žmonėms, vorikonazolas pailgino vaikingumo laikotarpį, pasunkino jauniklių atsivedimą, padidino patelių žuvimą ir sumažino vados išgyvenamumą. Preparato poveikį vados atsivedimui tikriausiai lemia rūšims specifiniai mechanizmai, susiję su estradiolio koncentracijos mažėjimu, kurie būdingi ir kitiems azolų grupės priešgrybeliniams preparatams. Vorikonazolo vartojimas nesutrikdė žiurkių patinų ir patelių vislumo, kai ekspozicija žiurkių organizme buvo panaši į tą, kuri būna vartojant gydomąsias dozes žmonėms.</w:t>
      </w:r>
    </w:p>
    <w:p w14:paraId="3F5BC13F"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3E11554B"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3A01FC0F"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 </w:t>
      </w:r>
      <w:r w:rsidR="006332D5">
        <w:rPr>
          <w:rFonts w:ascii="Times New Roman" w:hAnsi="Times New Roman"/>
          <w:b/>
          <w:bCs/>
          <w:color w:val="000000"/>
        </w:rPr>
        <w:tab/>
      </w:r>
      <w:r w:rsidRPr="00534C57">
        <w:rPr>
          <w:rFonts w:ascii="Times New Roman" w:hAnsi="Times New Roman"/>
          <w:b/>
          <w:bCs/>
          <w:color w:val="000000"/>
        </w:rPr>
        <w:t>FARMACINĖ INFORMACIJA</w:t>
      </w:r>
    </w:p>
    <w:p w14:paraId="792F8ECE"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3086805B"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6.1 </w:t>
      </w:r>
      <w:r w:rsidR="006332D5">
        <w:rPr>
          <w:rFonts w:ascii="Times New Roman" w:hAnsi="Times New Roman"/>
          <w:b/>
          <w:bCs/>
          <w:color w:val="000000"/>
        </w:rPr>
        <w:tab/>
      </w:r>
      <w:r w:rsidRPr="00534C57">
        <w:rPr>
          <w:rFonts w:ascii="Times New Roman" w:hAnsi="Times New Roman"/>
          <w:b/>
          <w:bCs/>
          <w:color w:val="000000"/>
        </w:rPr>
        <w:t>Pagalbinių medžiagų sąrašas</w:t>
      </w:r>
    </w:p>
    <w:p w14:paraId="32F6DEED"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p>
    <w:p w14:paraId="43D308F5" w14:textId="77777777" w:rsidR="002F3324" w:rsidRPr="00534C57" w:rsidRDefault="002F3324" w:rsidP="002F3324">
      <w:pPr>
        <w:autoSpaceDE w:val="0"/>
        <w:autoSpaceDN w:val="0"/>
        <w:adjustRightInd w:val="0"/>
        <w:spacing w:after="0" w:line="240" w:lineRule="auto"/>
        <w:rPr>
          <w:rFonts w:ascii="Times New Roman" w:hAnsi="Times New Roman"/>
          <w:i/>
          <w:color w:val="000000"/>
        </w:rPr>
      </w:pPr>
      <w:r w:rsidRPr="00534C57">
        <w:rPr>
          <w:rFonts w:ascii="Times New Roman" w:hAnsi="Times New Roman"/>
          <w:i/>
          <w:color w:val="000000"/>
        </w:rPr>
        <w:t>Tabletės šerdis</w:t>
      </w:r>
    </w:p>
    <w:p w14:paraId="120B773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Laktozė monohidratas</w:t>
      </w:r>
    </w:p>
    <w:p w14:paraId="5CE88AF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Kroskarmeliozės natrio druska</w:t>
      </w:r>
    </w:p>
    <w:p w14:paraId="6028CCD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Povidonas K25</w:t>
      </w:r>
    </w:p>
    <w:p w14:paraId="1848735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Pregelifikuotas kukurūzų krakmolas</w:t>
      </w:r>
    </w:p>
    <w:p w14:paraId="2E7E5CE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Magnio stearatas</w:t>
      </w:r>
    </w:p>
    <w:p w14:paraId="40BFB50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590D1F2" w14:textId="77777777" w:rsidR="002F3324" w:rsidRPr="00534C57" w:rsidRDefault="002F3324" w:rsidP="002F3324">
      <w:pPr>
        <w:autoSpaceDE w:val="0"/>
        <w:autoSpaceDN w:val="0"/>
        <w:adjustRightInd w:val="0"/>
        <w:spacing w:after="0" w:line="240" w:lineRule="auto"/>
        <w:rPr>
          <w:rFonts w:ascii="Times New Roman" w:hAnsi="Times New Roman"/>
          <w:i/>
          <w:color w:val="000000"/>
        </w:rPr>
      </w:pPr>
      <w:r w:rsidRPr="00534C57">
        <w:rPr>
          <w:rFonts w:ascii="Times New Roman" w:hAnsi="Times New Roman"/>
          <w:i/>
          <w:color w:val="000000"/>
        </w:rPr>
        <w:t>Tabletės plėvelė</w:t>
      </w:r>
    </w:p>
    <w:p w14:paraId="6FD2E2D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Hipromeliozė 5 mPa·s</w:t>
      </w:r>
    </w:p>
    <w:p w14:paraId="085444B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Glicerolis (85</w:t>
      </w:r>
      <w:r w:rsidR="00167903">
        <w:rPr>
          <w:rFonts w:ascii="Times New Roman" w:hAnsi="Times New Roman"/>
          <w:color w:val="000000"/>
        </w:rPr>
        <w:t> </w:t>
      </w:r>
      <w:r w:rsidRPr="00534C57">
        <w:rPr>
          <w:rFonts w:ascii="Times New Roman" w:hAnsi="Times New Roman"/>
          <w:color w:val="000000"/>
        </w:rPr>
        <w:t>%)</w:t>
      </w:r>
    </w:p>
    <w:p w14:paraId="23DD03C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Titano dioksidas (E 171)</w:t>
      </w:r>
    </w:p>
    <w:p w14:paraId="70E61D2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46F9BF7B"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6.2 </w:t>
      </w:r>
      <w:r w:rsidR="006332D5">
        <w:rPr>
          <w:rFonts w:ascii="Times New Roman" w:hAnsi="Times New Roman"/>
          <w:b/>
          <w:bCs/>
          <w:color w:val="000000"/>
        </w:rPr>
        <w:tab/>
      </w:r>
      <w:r w:rsidRPr="00534C57">
        <w:rPr>
          <w:rFonts w:ascii="Times New Roman" w:hAnsi="Times New Roman"/>
          <w:b/>
          <w:bCs/>
          <w:color w:val="000000"/>
        </w:rPr>
        <w:t>Nesuderinamumas</w:t>
      </w:r>
    </w:p>
    <w:p w14:paraId="7633A8D2"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p>
    <w:p w14:paraId="36E08A02"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Duomenys nebūtini.</w:t>
      </w:r>
    </w:p>
    <w:p w14:paraId="5F1B432B"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33ECBDA9"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6.3 </w:t>
      </w:r>
      <w:r w:rsidR="006332D5">
        <w:rPr>
          <w:rFonts w:ascii="Times New Roman" w:hAnsi="Times New Roman"/>
          <w:b/>
          <w:bCs/>
          <w:color w:val="000000"/>
        </w:rPr>
        <w:tab/>
      </w:r>
      <w:r w:rsidRPr="00534C57">
        <w:rPr>
          <w:rFonts w:ascii="Times New Roman" w:hAnsi="Times New Roman"/>
          <w:b/>
          <w:bCs/>
          <w:color w:val="000000"/>
        </w:rPr>
        <w:t>Tinkamumo laikas</w:t>
      </w:r>
    </w:p>
    <w:p w14:paraId="1C34CB99"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p>
    <w:p w14:paraId="30735FD6"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3 metai.</w:t>
      </w:r>
    </w:p>
    <w:p w14:paraId="55305182"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39B3CDFB"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41F1E349"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6.4 </w:t>
      </w:r>
      <w:r w:rsidR="006332D5">
        <w:rPr>
          <w:rFonts w:ascii="Times New Roman" w:hAnsi="Times New Roman"/>
          <w:b/>
          <w:bCs/>
          <w:color w:val="000000"/>
        </w:rPr>
        <w:tab/>
      </w:r>
      <w:r w:rsidRPr="00534C57">
        <w:rPr>
          <w:rFonts w:ascii="Times New Roman" w:hAnsi="Times New Roman"/>
          <w:b/>
          <w:bCs/>
          <w:color w:val="000000"/>
        </w:rPr>
        <w:t>Specialios laikymo sąlygos</w:t>
      </w:r>
    </w:p>
    <w:p w14:paraId="77A93DD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2B61E2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Šiam vaistiniam preparatui specialių laikymo sąlygų nereikia.</w:t>
      </w:r>
    </w:p>
    <w:p w14:paraId="0FB05953"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7B5F88BC"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6.5 </w:t>
      </w:r>
      <w:r w:rsidR="006332D5">
        <w:rPr>
          <w:rFonts w:ascii="Times New Roman" w:hAnsi="Times New Roman"/>
          <w:b/>
          <w:bCs/>
          <w:color w:val="000000"/>
        </w:rPr>
        <w:tab/>
      </w:r>
      <w:r w:rsidRPr="00534C57">
        <w:rPr>
          <w:rFonts w:ascii="Times New Roman" w:hAnsi="Times New Roman"/>
          <w:b/>
          <w:bCs/>
          <w:color w:val="000000"/>
        </w:rPr>
        <w:t>Talpyklės pobūdis ir jos turinys</w:t>
      </w:r>
    </w:p>
    <w:p w14:paraId="1B0D8E5C"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p>
    <w:p w14:paraId="721B0ED9"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PVC / aliuminio lizdinės plokštelės su 2, 10, 14, 20, 28, 30, 50, 56, 98 arba 100 plėvele dengtų tablečių.</w:t>
      </w:r>
    </w:p>
    <w:p w14:paraId="13159A37"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PVC / aliuminio lizdinės plokštelės su 2x1, 10x1, 14x1, 20x1, 28x1, 30x1, 50x1, 56x1, 98x1 arba 100x1 plėvele dengtų tablečių.</w:t>
      </w:r>
    </w:p>
    <w:p w14:paraId="3EC9DB5D"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rPr>
      </w:pPr>
    </w:p>
    <w:p w14:paraId="60F15F24"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Gali būti tiekiamos ne visų dydžių pakuotės.</w:t>
      </w:r>
    </w:p>
    <w:p w14:paraId="26DBD88C"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5B0F3EFC"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6.6 </w:t>
      </w:r>
      <w:r w:rsidR="006332D5">
        <w:rPr>
          <w:rFonts w:ascii="Times New Roman" w:hAnsi="Times New Roman"/>
          <w:b/>
          <w:bCs/>
          <w:color w:val="000000"/>
        </w:rPr>
        <w:tab/>
      </w:r>
      <w:r w:rsidRPr="00534C57">
        <w:rPr>
          <w:rFonts w:ascii="Times New Roman" w:hAnsi="Times New Roman"/>
          <w:b/>
          <w:bCs/>
          <w:color w:val="000000"/>
        </w:rPr>
        <w:t>Specialūs reikalavimai atliekoms tvarkyti</w:t>
      </w:r>
    </w:p>
    <w:p w14:paraId="72F0385D"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p>
    <w:p w14:paraId="04AF3A6E" w14:textId="77777777" w:rsidR="002F3324" w:rsidRPr="00534C57" w:rsidRDefault="000971B8"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eastAsia="Times New Roman" w:hAnsi="Times New Roman"/>
          <w:szCs w:val="20"/>
          <w:lang w:eastAsia="lt-LT" w:bidi="lt-LT"/>
        </w:rPr>
        <w:t>Nesuvartotą vaistinį preparatą ar atliekas reikia tvarkyti laikantis vietinių reikalavimų.</w:t>
      </w:r>
    </w:p>
    <w:p w14:paraId="51613E24" w14:textId="77777777" w:rsidR="002F3324"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1A99BD0D" w14:textId="77777777" w:rsidR="00A46711" w:rsidRPr="00534C57" w:rsidRDefault="00A46711" w:rsidP="00951727">
      <w:pPr>
        <w:tabs>
          <w:tab w:val="left" w:pos="567"/>
        </w:tabs>
        <w:autoSpaceDE w:val="0"/>
        <w:autoSpaceDN w:val="0"/>
        <w:adjustRightInd w:val="0"/>
        <w:spacing w:after="0" w:line="240" w:lineRule="auto"/>
        <w:rPr>
          <w:rFonts w:ascii="Times New Roman" w:hAnsi="Times New Roman"/>
          <w:b/>
          <w:bCs/>
          <w:color w:val="000000"/>
        </w:rPr>
      </w:pPr>
    </w:p>
    <w:p w14:paraId="16F66AA0"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7. </w:t>
      </w:r>
      <w:r w:rsidR="006332D5">
        <w:rPr>
          <w:rFonts w:ascii="Times New Roman" w:hAnsi="Times New Roman"/>
          <w:b/>
          <w:bCs/>
          <w:color w:val="000000"/>
        </w:rPr>
        <w:tab/>
      </w:r>
      <w:r w:rsidRPr="00534C57">
        <w:rPr>
          <w:rFonts w:ascii="Times New Roman" w:hAnsi="Times New Roman"/>
          <w:b/>
          <w:bCs/>
          <w:color w:val="000000"/>
        </w:rPr>
        <w:t>REGISTRUOTOJAS</w:t>
      </w:r>
    </w:p>
    <w:p w14:paraId="066539DF"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color w:val="000000"/>
        </w:rPr>
      </w:pPr>
    </w:p>
    <w:p w14:paraId="7469C6E6" w14:textId="77777777" w:rsidR="002F3324" w:rsidRPr="00534C57" w:rsidRDefault="002F3324" w:rsidP="00951727">
      <w:pPr>
        <w:tabs>
          <w:tab w:val="left" w:pos="567"/>
        </w:tabs>
        <w:spacing w:after="0" w:line="240" w:lineRule="auto"/>
        <w:rPr>
          <w:rFonts w:ascii="Times New Roman" w:hAnsi="Times New Roman"/>
          <w:lang w:eastAsia="lt-LT"/>
        </w:rPr>
      </w:pPr>
      <w:r w:rsidRPr="00534C57">
        <w:rPr>
          <w:rFonts w:ascii="Times New Roman" w:hAnsi="Times New Roman"/>
          <w:lang w:eastAsia="lt-LT"/>
        </w:rPr>
        <w:t>Teva Pharma B.V.</w:t>
      </w:r>
    </w:p>
    <w:p w14:paraId="190049D0" w14:textId="77777777" w:rsidR="002F3324" w:rsidRPr="00534C57" w:rsidRDefault="002F3324" w:rsidP="00951727">
      <w:pPr>
        <w:tabs>
          <w:tab w:val="left" w:pos="567"/>
        </w:tabs>
        <w:spacing w:after="0" w:line="240" w:lineRule="auto"/>
        <w:rPr>
          <w:rFonts w:ascii="Times New Roman" w:eastAsia="Times New Roman" w:hAnsi="Times New Roman"/>
          <w:lang w:eastAsia="de-DE"/>
        </w:rPr>
      </w:pPr>
      <w:r w:rsidRPr="00534C57">
        <w:rPr>
          <w:rFonts w:ascii="Times New Roman" w:eastAsia="Times New Roman" w:hAnsi="Times New Roman"/>
          <w:lang w:eastAsia="de-DE"/>
        </w:rPr>
        <w:t>Swensweg 5</w:t>
      </w:r>
    </w:p>
    <w:p w14:paraId="3B1C658A" w14:textId="77777777" w:rsidR="002F3324" w:rsidRPr="00534C57" w:rsidRDefault="002F3324" w:rsidP="00951727">
      <w:pPr>
        <w:tabs>
          <w:tab w:val="left" w:pos="567"/>
        </w:tabs>
        <w:spacing w:after="0" w:line="240" w:lineRule="auto"/>
        <w:rPr>
          <w:rFonts w:ascii="Times New Roman" w:eastAsia="Times New Roman" w:hAnsi="Times New Roman"/>
          <w:lang w:eastAsia="de-DE"/>
        </w:rPr>
      </w:pPr>
      <w:r w:rsidRPr="00534C57">
        <w:rPr>
          <w:rFonts w:ascii="Times New Roman" w:eastAsia="Times New Roman" w:hAnsi="Times New Roman"/>
          <w:lang w:eastAsia="de-DE"/>
        </w:rPr>
        <w:t>2031 GA Haarlem</w:t>
      </w:r>
    </w:p>
    <w:p w14:paraId="4B7022B8" w14:textId="77777777" w:rsidR="002F3324" w:rsidRPr="00534C57" w:rsidRDefault="002F3324" w:rsidP="00951727">
      <w:pPr>
        <w:tabs>
          <w:tab w:val="left" w:pos="567"/>
        </w:tabs>
        <w:spacing w:after="0" w:line="240" w:lineRule="auto"/>
        <w:rPr>
          <w:rFonts w:ascii="Times New Roman" w:hAnsi="Times New Roman"/>
          <w:lang w:eastAsia="lt-LT"/>
        </w:rPr>
      </w:pPr>
      <w:r w:rsidRPr="00534C57">
        <w:rPr>
          <w:rFonts w:ascii="Times New Roman" w:hAnsi="Times New Roman"/>
          <w:lang w:eastAsia="lt-LT"/>
        </w:rPr>
        <w:t>Nyderlandai</w:t>
      </w:r>
    </w:p>
    <w:p w14:paraId="27F0C08A"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5A1743D9"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4992D43E"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8. </w:t>
      </w:r>
      <w:r w:rsidR="006332D5">
        <w:rPr>
          <w:rFonts w:ascii="Times New Roman" w:hAnsi="Times New Roman"/>
          <w:b/>
          <w:bCs/>
          <w:color w:val="000000"/>
        </w:rPr>
        <w:tab/>
      </w:r>
      <w:r w:rsidRPr="00534C57">
        <w:rPr>
          <w:rFonts w:ascii="Times New Roman" w:hAnsi="Times New Roman"/>
          <w:b/>
          <w:bCs/>
          <w:color w:val="000000"/>
        </w:rPr>
        <w:t>REGISTRACIJOS PAŽYMĖJIMO NUMERIS (-IAI)</w:t>
      </w:r>
    </w:p>
    <w:p w14:paraId="20E52465" w14:textId="77777777" w:rsidR="002F3324" w:rsidRPr="00534C57" w:rsidRDefault="002F3324" w:rsidP="00951727">
      <w:pPr>
        <w:tabs>
          <w:tab w:val="left" w:pos="567"/>
        </w:tabs>
        <w:spacing w:after="0" w:line="240" w:lineRule="auto"/>
        <w:rPr>
          <w:rFonts w:ascii="Times New Roman" w:hAnsi="Times New Roman"/>
        </w:rPr>
      </w:pPr>
    </w:p>
    <w:p w14:paraId="11B1F050"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LT/1/13/3368/001 – N2</w:t>
      </w:r>
    </w:p>
    <w:p w14:paraId="725CFAAF"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LT/1/13/3368/002 – N10</w:t>
      </w:r>
    </w:p>
    <w:p w14:paraId="740A12AB"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LT/1/13/3368/003 – N14</w:t>
      </w:r>
    </w:p>
    <w:p w14:paraId="417B1724"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LT/1/13/3368/004 – N20</w:t>
      </w:r>
    </w:p>
    <w:p w14:paraId="2A33A502"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LT/1/13/3368/005 – N28</w:t>
      </w:r>
    </w:p>
    <w:p w14:paraId="1A4E0AE8"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LT/1/13/3368/006 – N30</w:t>
      </w:r>
    </w:p>
    <w:p w14:paraId="3F051D34"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LT/1/13/3368/007 – N50</w:t>
      </w:r>
    </w:p>
    <w:p w14:paraId="423E3333"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LT/1/13/3368/008 – N56</w:t>
      </w:r>
    </w:p>
    <w:p w14:paraId="673F072A" w14:textId="77777777" w:rsidR="005319D1" w:rsidRPr="005319D1"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LT/1/13/3368/009 – N98</w:t>
      </w:r>
    </w:p>
    <w:p w14:paraId="7802B5B7" w14:textId="77777777" w:rsidR="002F3324" w:rsidRDefault="005319D1" w:rsidP="005319D1">
      <w:pPr>
        <w:tabs>
          <w:tab w:val="left" w:pos="567"/>
        </w:tabs>
        <w:spacing w:after="0" w:line="240" w:lineRule="auto"/>
        <w:rPr>
          <w:rFonts w:ascii="Times New Roman" w:hAnsi="Times New Roman"/>
          <w:bCs/>
        </w:rPr>
      </w:pPr>
      <w:r w:rsidRPr="005319D1">
        <w:rPr>
          <w:rFonts w:ascii="Times New Roman" w:hAnsi="Times New Roman"/>
          <w:bCs/>
        </w:rPr>
        <w:t>LT/1/13/3368/010 – N100</w:t>
      </w:r>
    </w:p>
    <w:p w14:paraId="1B02170F" w14:textId="77777777" w:rsidR="005319D1" w:rsidRPr="00534C57" w:rsidRDefault="005319D1" w:rsidP="005319D1">
      <w:pPr>
        <w:tabs>
          <w:tab w:val="left" w:pos="567"/>
        </w:tabs>
        <w:spacing w:after="0" w:line="240" w:lineRule="auto"/>
        <w:rPr>
          <w:rFonts w:ascii="Times New Roman" w:hAnsi="Times New Roman"/>
        </w:rPr>
      </w:pPr>
    </w:p>
    <w:p w14:paraId="3A3B4B61"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p>
    <w:p w14:paraId="0FC7932B"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9. </w:t>
      </w:r>
      <w:r w:rsidR="006332D5">
        <w:rPr>
          <w:rFonts w:ascii="Times New Roman" w:hAnsi="Times New Roman"/>
          <w:b/>
          <w:bCs/>
          <w:color w:val="000000"/>
        </w:rPr>
        <w:tab/>
      </w:r>
      <w:r w:rsidRPr="00534C57">
        <w:rPr>
          <w:rFonts w:ascii="Times New Roman" w:hAnsi="Times New Roman"/>
          <w:b/>
          <w:bCs/>
          <w:color w:val="000000"/>
        </w:rPr>
        <w:t>REGISTRAVIMO / PERREGISTRAVIMO DATA</w:t>
      </w:r>
    </w:p>
    <w:p w14:paraId="7665A4AC"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color w:val="000000"/>
        </w:rPr>
      </w:pPr>
    </w:p>
    <w:p w14:paraId="346B4256" w14:textId="77777777" w:rsidR="002F3324" w:rsidRDefault="002F3324" w:rsidP="00951727">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Registravimo data 2013 m. rugpjūčio 13 d.</w:t>
      </w:r>
    </w:p>
    <w:p w14:paraId="11DCADCB" w14:textId="77777777" w:rsidR="00A46711" w:rsidRPr="00534C57" w:rsidRDefault="00A46711" w:rsidP="00951727">
      <w:pPr>
        <w:tabs>
          <w:tab w:val="left" w:pos="567"/>
        </w:tabs>
        <w:autoSpaceDE w:val="0"/>
        <w:autoSpaceDN w:val="0"/>
        <w:adjustRightInd w:val="0"/>
        <w:spacing w:after="0" w:line="240" w:lineRule="auto"/>
        <w:rPr>
          <w:rFonts w:ascii="Times New Roman" w:hAnsi="Times New Roman"/>
          <w:color w:val="000000"/>
        </w:rPr>
      </w:pPr>
      <w:r>
        <w:rPr>
          <w:rFonts w:ascii="Times New Roman" w:hAnsi="Times New Roman"/>
          <w:color w:val="000000"/>
        </w:rPr>
        <w:t>Paskutinio perregistravimo data</w:t>
      </w:r>
      <w:r w:rsidR="005319D1">
        <w:rPr>
          <w:rFonts w:ascii="Times New Roman" w:hAnsi="Times New Roman"/>
          <w:color w:val="000000"/>
        </w:rPr>
        <w:t xml:space="preserve"> 2018 m. spalio 26 d.</w:t>
      </w:r>
    </w:p>
    <w:p w14:paraId="5A040256"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66DA82EB"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p>
    <w:p w14:paraId="67DD5DDD" w14:textId="77777777" w:rsidR="002F3324" w:rsidRPr="00534C57" w:rsidRDefault="002F3324" w:rsidP="00951727">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10. </w:t>
      </w:r>
      <w:r w:rsidR="006332D5">
        <w:rPr>
          <w:rFonts w:ascii="Times New Roman" w:hAnsi="Times New Roman"/>
          <w:b/>
          <w:bCs/>
          <w:color w:val="000000"/>
        </w:rPr>
        <w:tab/>
      </w:r>
      <w:r w:rsidRPr="00534C57">
        <w:rPr>
          <w:rFonts w:ascii="Times New Roman" w:hAnsi="Times New Roman"/>
          <w:b/>
          <w:bCs/>
          <w:color w:val="000000"/>
        </w:rPr>
        <w:t>TEKSTO PERŽIŪROS DATA</w:t>
      </w:r>
    </w:p>
    <w:p w14:paraId="3266E817" w14:textId="77777777" w:rsidR="005319D1" w:rsidRDefault="005319D1" w:rsidP="002F3324">
      <w:pPr>
        <w:autoSpaceDE w:val="0"/>
        <w:autoSpaceDN w:val="0"/>
        <w:adjustRightInd w:val="0"/>
        <w:spacing w:after="0" w:line="240" w:lineRule="auto"/>
        <w:rPr>
          <w:rFonts w:ascii="Times New Roman" w:hAnsi="Times New Roman"/>
          <w:b/>
          <w:bCs/>
          <w:color w:val="000000"/>
        </w:rPr>
      </w:pPr>
    </w:p>
    <w:p w14:paraId="7AFDE624" w14:textId="3DE9854E" w:rsidR="005B66AA" w:rsidRPr="00534C57" w:rsidRDefault="001D4D1B" w:rsidP="002F3324">
      <w:pPr>
        <w:autoSpaceDE w:val="0"/>
        <w:autoSpaceDN w:val="0"/>
        <w:adjustRightInd w:val="0"/>
        <w:spacing w:after="0" w:line="240" w:lineRule="auto"/>
        <w:rPr>
          <w:rFonts w:ascii="Times New Roman" w:hAnsi="Times New Roman"/>
          <w:b/>
          <w:bCs/>
          <w:color w:val="000000"/>
        </w:rPr>
      </w:pPr>
      <w:r>
        <w:rPr>
          <w:rFonts w:ascii="Times New Roman" w:hAnsi="Times New Roman"/>
          <w:bCs/>
          <w:color w:val="000000"/>
        </w:rPr>
        <w:t>2024 m. liepos 17 d.</w:t>
      </w:r>
    </w:p>
    <w:p w14:paraId="7972EAA9" w14:textId="42ABDBD9" w:rsidR="002F3324" w:rsidRPr="00534C57" w:rsidRDefault="002F3324" w:rsidP="002F3324">
      <w:pPr>
        <w:tabs>
          <w:tab w:val="left" w:pos="5954"/>
          <w:tab w:val="left" w:pos="6237"/>
          <w:tab w:val="left" w:pos="6663"/>
          <w:tab w:val="left" w:pos="6946"/>
        </w:tabs>
        <w:spacing w:after="0" w:line="240" w:lineRule="auto"/>
        <w:rPr>
          <w:rFonts w:ascii="Times New Roman" w:eastAsia="SimSun" w:hAnsi="Times New Roman"/>
        </w:rPr>
      </w:pPr>
      <w:r w:rsidRPr="00534C57">
        <w:rPr>
          <w:rFonts w:ascii="Times New Roman" w:eastAsia="SimSun" w:hAnsi="Times New Roman"/>
          <w:noProof/>
        </w:rPr>
        <w:lastRenderedPageBreak/>
        <w:t>Išsami informacija apie šį vaistinį preparatą pateikiama Valstybinės vaistų kontrolės tarnybos prie Lietuvos Respublikos  sveikatos apsaugos ministerijos tinklalapyje</w:t>
      </w:r>
      <w:r w:rsidRPr="00534C57">
        <w:rPr>
          <w:rFonts w:ascii="Times New Roman" w:eastAsia="SimSun" w:hAnsi="Times New Roman"/>
          <w:i/>
          <w:noProof/>
        </w:rPr>
        <w:t xml:space="preserve"> </w:t>
      </w:r>
      <w:hyperlink r:id="rId8" w:history="1">
        <w:r w:rsidR="00DF4273" w:rsidRPr="00FE7B76">
          <w:rPr>
            <w:rStyle w:val="Hipersaitas"/>
            <w:rFonts w:ascii="Times New Roman" w:hAnsi="Times New Roman"/>
            <w:lang w:eastAsia="lt-LT"/>
          </w:rPr>
          <w:t>https://vvkt.lrv.lt/lt/</w:t>
        </w:r>
      </w:hyperlink>
      <w:r w:rsidR="00DF4273" w:rsidRPr="00FE7B76">
        <w:rPr>
          <w:rFonts w:ascii="Times New Roman" w:hAnsi="Times New Roman"/>
          <w:lang w:eastAsia="lt-LT"/>
        </w:rPr>
        <w:t>.</w:t>
      </w:r>
    </w:p>
    <w:p w14:paraId="48A151B3" w14:textId="77777777" w:rsidR="00A46711" w:rsidRDefault="00A46711" w:rsidP="002F3324">
      <w:pPr>
        <w:autoSpaceDE w:val="0"/>
        <w:autoSpaceDN w:val="0"/>
        <w:adjustRightInd w:val="0"/>
        <w:spacing w:after="0" w:line="240" w:lineRule="auto"/>
        <w:rPr>
          <w:rFonts w:ascii="Times New Roman" w:hAnsi="Times New Roman"/>
          <w:color w:val="000000"/>
        </w:rPr>
      </w:pPr>
      <w:r>
        <w:rPr>
          <w:rFonts w:ascii="Times New Roman" w:hAnsi="Times New Roman"/>
          <w:color w:val="000000"/>
        </w:rPr>
        <w:br w:type="page"/>
      </w:r>
    </w:p>
    <w:p w14:paraId="6FC8270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C8F148E" w14:textId="77777777" w:rsidR="002F3324" w:rsidRPr="00534C57" w:rsidRDefault="002F3324" w:rsidP="002F3324">
      <w:pPr>
        <w:spacing w:after="0" w:line="240" w:lineRule="auto"/>
        <w:jc w:val="center"/>
        <w:rPr>
          <w:rFonts w:ascii="Times New Roman" w:hAnsi="Times New Roman"/>
          <w:color w:val="000000"/>
        </w:rPr>
      </w:pPr>
    </w:p>
    <w:p w14:paraId="48148F16" w14:textId="77777777" w:rsidR="002F3324" w:rsidRPr="00534C57" w:rsidRDefault="002F3324" w:rsidP="002F3324">
      <w:pPr>
        <w:spacing w:after="0" w:line="240" w:lineRule="auto"/>
        <w:jc w:val="center"/>
        <w:rPr>
          <w:rFonts w:ascii="Times New Roman" w:hAnsi="Times New Roman"/>
          <w:color w:val="000000"/>
        </w:rPr>
      </w:pPr>
    </w:p>
    <w:p w14:paraId="57C21070" w14:textId="77777777" w:rsidR="002F3324" w:rsidRPr="00534C57" w:rsidRDefault="002F3324" w:rsidP="002F3324">
      <w:pPr>
        <w:spacing w:after="0" w:line="240" w:lineRule="auto"/>
        <w:jc w:val="center"/>
        <w:rPr>
          <w:rFonts w:ascii="Times New Roman" w:hAnsi="Times New Roman"/>
          <w:color w:val="000000"/>
        </w:rPr>
      </w:pPr>
    </w:p>
    <w:p w14:paraId="4AFD8389" w14:textId="77777777" w:rsidR="002F3324" w:rsidRPr="00534C57" w:rsidRDefault="002F3324" w:rsidP="002F3324">
      <w:pPr>
        <w:spacing w:after="0" w:line="240" w:lineRule="auto"/>
        <w:jc w:val="center"/>
        <w:rPr>
          <w:rFonts w:ascii="Times New Roman" w:hAnsi="Times New Roman"/>
          <w:color w:val="000000"/>
        </w:rPr>
      </w:pPr>
    </w:p>
    <w:p w14:paraId="7AABF95B" w14:textId="77777777" w:rsidR="002F3324" w:rsidRPr="00534C57" w:rsidRDefault="002F3324" w:rsidP="002F3324">
      <w:pPr>
        <w:spacing w:after="0" w:line="240" w:lineRule="auto"/>
        <w:jc w:val="center"/>
        <w:rPr>
          <w:rFonts w:ascii="Times New Roman" w:hAnsi="Times New Roman"/>
          <w:color w:val="000000"/>
        </w:rPr>
      </w:pPr>
    </w:p>
    <w:p w14:paraId="328A090D" w14:textId="77777777" w:rsidR="002F3324" w:rsidRPr="00534C57" w:rsidRDefault="002F3324" w:rsidP="002F3324">
      <w:pPr>
        <w:spacing w:after="0" w:line="240" w:lineRule="auto"/>
        <w:jc w:val="center"/>
        <w:rPr>
          <w:rFonts w:ascii="Times New Roman" w:hAnsi="Times New Roman"/>
          <w:color w:val="000000"/>
        </w:rPr>
      </w:pPr>
    </w:p>
    <w:p w14:paraId="748A0E43" w14:textId="77777777" w:rsidR="002F3324" w:rsidRPr="00534C57" w:rsidRDefault="002F3324" w:rsidP="002F3324">
      <w:pPr>
        <w:spacing w:after="0" w:line="240" w:lineRule="auto"/>
        <w:jc w:val="center"/>
        <w:rPr>
          <w:rFonts w:ascii="Times New Roman" w:hAnsi="Times New Roman"/>
          <w:color w:val="000000"/>
        </w:rPr>
      </w:pPr>
    </w:p>
    <w:p w14:paraId="6F5218AC" w14:textId="77777777" w:rsidR="002F3324" w:rsidRPr="00534C57" w:rsidRDefault="002F3324" w:rsidP="002F3324">
      <w:pPr>
        <w:spacing w:after="0" w:line="240" w:lineRule="auto"/>
        <w:jc w:val="center"/>
        <w:rPr>
          <w:rFonts w:ascii="Times New Roman" w:hAnsi="Times New Roman"/>
          <w:color w:val="000000"/>
        </w:rPr>
      </w:pPr>
    </w:p>
    <w:p w14:paraId="3B8973E6" w14:textId="77777777" w:rsidR="002F3324" w:rsidRPr="00534C57" w:rsidRDefault="002F3324" w:rsidP="002F3324">
      <w:pPr>
        <w:spacing w:after="0" w:line="240" w:lineRule="auto"/>
        <w:jc w:val="center"/>
        <w:rPr>
          <w:rFonts w:ascii="Times New Roman" w:hAnsi="Times New Roman"/>
          <w:color w:val="000000"/>
        </w:rPr>
      </w:pPr>
    </w:p>
    <w:p w14:paraId="23300A4F" w14:textId="77777777" w:rsidR="002F3324" w:rsidRPr="00534C57" w:rsidRDefault="002F3324" w:rsidP="002F3324">
      <w:pPr>
        <w:spacing w:after="0" w:line="240" w:lineRule="auto"/>
        <w:jc w:val="center"/>
        <w:rPr>
          <w:rFonts w:ascii="Times New Roman" w:hAnsi="Times New Roman"/>
          <w:color w:val="000000"/>
        </w:rPr>
      </w:pPr>
    </w:p>
    <w:p w14:paraId="050844AE" w14:textId="77777777" w:rsidR="002F3324" w:rsidRPr="00534C57" w:rsidRDefault="002F3324" w:rsidP="002F3324">
      <w:pPr>
        <w:spacing w:after="0" w:line="240" w:lineRule="auto"/>
        <w:jc w:val="center"/>
        <w:rPr>
          <w:rFonts w:ascii="Times New Roman" w:hAnsi="Times New Roman"/>
          <w:color w:val="000000"/>
        </w:rPr>
      </w:pPr>
    </w:p>
    <w:p w14:paraId="293F81BB" w14:textId="77777777" w:rsidR="002F3324" w:rsidRPr="00534C57" w:rsidRDefault="002F3324" w:rsidP="002F3324">
      <w:pPr>
        <w:spacing w:after="0" w:line="240" w:lineRule="auto"/>
        <w:jc w:val="center"/>
        <w:rPr>
          <w:rFonts w:ascii="Times New Roman" w:hAnsi="Times New Roman"/>
          <w:color w:val="000000"/>
        </w:rPr>
      </w:pPr>
    </w:p>
    <w:p w14:paraId="0460B775" w14:textId="77777777" w:rsidR="002F3324" w:rsidRPr="00534C57" w:rsidRDefault="002F3324" w:rsidP="002F3324">
      <w:pPr>
        <w:spacing w:after="0" w:line="240" w:lineRule="auto"/>
        <w:jc w:val="center"/>
        <w:rPr>
          <w:rFonts w:ascii="Times New Roman" w:hAnsi="Times New Roman"/>
          <w:color w:val="000000"/>
        </w:rPr>
      </w:pPr>
    </w:p>
    <w:p w14:paraId="0D6AB2C9" w14:textId="77777777" w:rsidR="002F3324" w:rsidRPr="00534C57" w:rsidRDefault="002F3324" w:rsidP="002F3324">
      <w:pPr>
        <w:spacing w:after="0" w:line="240" w:lineRule="auto"/>
        <w:jc w:val="center"/>
        <w:rPr>
          <w:rFonts w:ascii="Times New Roman" w:hAnsi="Times New Roman"/>
          <w:color w:val="000000"/>
        </w:rPr>
      </w:pPr>
    </w:p>
    <w:p w14:paraId="51599419" w14:textId="77777777" w:rsidR="002F3324" w:rsidRPr="00534C57" w:rsidRDefault="002F3324" w:rsidP="002F3324">
      <w:pPr>
        <w:spacing w:after="0" w:line="240" w:lineRule="auto"/>
        <w:jc w:val="center"/>
        <w:rPr>
          <w:rFonts w:ascii="Times New Roman" w:hAnsi="Times New Roman"/>
          <w:color w:val="000000"/>
        </w:rPr>
      </w:pPr>
    </w:p>
    <w:p w14:paraId="74935D11" w14:textId="77777777" w:rsidR="002F3324" w:rsidRPr="00534C57" w:rsidRDefault="002F3324" w:rsidP="002F3324">
      <w:pPr>
        <w:spacing w:after="0" w:line="240" w:lineRule="auto"/>
        <w:jc w:val="center"/>
        <w:rPr>
          <w:rFonts w:ascii="Times New Roman" w:hAnsi="Times New Roman"/>
          <w:color w:val="000000"/>
        </w:rPr>
      </w:pPr>
    </w:p>
    <w:p w14:paraId="54665B26" w14:textId="77777777" w:rsidR="002F3324" w:rsidRPr="00534C57" w:rsidRDefault="002F3324" w:rsidP="002F3324">
      <w:pPr>
        <w:spacing w:after="0" w:line="240" w:lineRule="auto"/>
        <w:jc w:val="center"/>
        <w:rPr>
          <w:rFonts w:ascii="Times New Roman" w:hAnsi="Times New Roman"/>
          <w:color w:val="000000"/>
        </w:rPr>
      </w:pPr>
    </w:p>
    <w:p w14:paraId="75C391F3" w14:textId="77777777" w:rsidR="002F3324" w:rsidRPr="00534C57" w:rsidRDefault="002F3324" w:rsidP="002F3324">
      <w:pPr>
        <w:spacing w:after="0" w:line="240" w:lineRule="auto"/>
        <w:jc w:val="center"/>
        <w:rPr>
          <w:rFonts w:ascii="Times New Roman" w:hAnsi="Times New Roman"/>
          <w:color w:val="000000"/>
        </w:rPr>
      </w:pPr>
    </w:p>
    <w:p w14:paraId="6AC30C9D" w14:textId="77777777" w:rsidR="002F3324" w:rsidRPr="00534C57" w:rsidRDefault="002F3324" w:rsidP="002F3324">
      <w:pPr>
        <w:spacing w:after="0" w:line="240" w:lineRule="auto"/>
        <w:jc w:val="center"/>
        <w:rPr>
          <w:rFonts w:ascii="Times New Roman" w:hAnsi="Times New Roman"/>
          <w:color w:val="000000"/>
        </w:rPr>
      </w:pPr>
    </w:p>
    <w:p w14:paraId="57C7CE42" w14:textId="77777777" w:rsidR="002F3324" w:rsidRPr="00534C57" w:rsidRDefault="002F3324" w:rsidP="002F3324">
      <w:pPr>
        <w:spacing w:after="0" w:line="240" w:lineRule="auto"/>
        <w:jc w:val="center"/>
        <w:rPr>
          <w:rFonts w:ascii="Times New Roman" w:hAnsi="Times New Roman"/>
          <w:color w:val="000000"/>
        </w:rPr>
      </w:pPr>
    </w:p>
    <w:p w14:paraId="2740910C" w14:textId="77777777" w:rsidR="002F3324" w:rsidRPr="00534C57" w:rsidRDefault="002F3324" w:rsidP="002F3324">
      <w:pPr>
        <w:spacing w:after="0" w:line="240" w:lineRule="auto"/>
        <w:jc w:val="center"/>
        <w:rPr>
          <w:rFonts w:ascii="Times New Roman" w:hAnsi="Times New Roman"/>
          <w:color w:val="000000"/>
        </w:rPr>
      </w:pPr>
    </w:p>
    <w:p w14:paraId="73092F61" w14:textId="77777777" w:rsidR="002F3324" w:rsidRPr="00534C57" w:rsidRDefault="002F3324" w:rsidP="002F3324">
      <w:pPr>
        <w:spacing w:after="0" w:line="240" w:lineRule="auto"/>
        <w:jc w:val="center"/>
        <w:rPr>
          <w:rFonts w:ascii="Times New Roman" w:hAnsi="Times New Roman"/>
          <w:color w:val="000000"/>
        </w:rPr>
      </w:pPr>
    </w:p>
    <w:p w14:paraId="426B9B04" w14:textId="77777777" w:rsidR="002F3324" w:rsidRPr="00534C57" w:rsidRDefault="002F3324" w:rsidP="002F3324">
      <w:pPr>
        <w:spacing w:after="0" w:line="240" w:lineRule="auto"/>
        <w:jc w:val="center"/>
        <w:rPr>
          <w:rFonts w:ascii="Times New Roman" w:hAnsi="Times New Roman"/>
          <w:b/>
          <w:caps/>
        </w:rPr>
      </w:pPr>
      <w:bookmarkStart w:id="8" w:name="_Toc129243128"/>
      <w:bookmarkStart w:id="9" w:name="_Toc129243253"/>
      <w:r w:rsidRPr="00534C57">
        <w:rPr>
          <w:rFonts w:ascii="Times New Roman" w:hAnsi="Times New Roman"/>
          <w:b/>
          <w:caps/>
        </w:rPr>
        <w:t>II PRIEDAS</w:t>
      </w:r>
      <w:bookmarkEnd w:id="8"/>
      <w:bookmarkEnd w:id="9"/>
    </w:p>
    <w:p w14:paraId="3526CF2E" w14:textId="77777777" w:rsidR="002F3324" w:rsidRPr="00534C57" w:rsidRDefault="002F3324" w:rsidP="002F3324">
      <w:pPr>
        <w:spacing w:after="0" w:line="240" w:lineRule="auto"/>
        <w:rPr>
          <w:rFonts w:ascii="Times New Roman" w:hAnsi="Times New Roman"/>
          <w:b/>
          <w:caps/>
        </w:rPr>
      </w:pPr>
    </w:p>
    <w:p w14:paraId="2CE6F2AD" w14:textId="77777777" w:rsidR="002F3324" w:rsidRPr="00534C57" w:rsidRDefault="002F3324" w:rsidP="002F3324">
      <w:pPr>
        <w:spacing w:after="0" w:line="240" w:lineRule="auto"/>
        <w:jc w:val="center"/>
        <w:rPr>
          <w:rFonts w:ascii="Times New Roman" w:hAnsi="Times New Roman"/>
          <w:b/>
          <w:caps/>
        </w:rPr>
      </w:pPr>
      <w:r w:rsidRPr="00534C57">
        <w:rPr>
          <w:rFonts w:ascii="Times New Roman" w:hAnsi="Times New Roman"/>
          <w:b/>
          <w:caps/>
        </w:rPr>
        <w:t>REGISTRACIJOS SĄLYGOS</w:t>
      </w:r>
    </w:p>
    <w:p w14:paraId="32F89DF5" w14:textId="77777777" w:rsidR="002F3324" w:rsidRPr="00534C57" w:rsidRDefault="002F3324" w:rsidP="002F3324">
      <w:pPr>
        <w:spacing w:after="0" w:line="240" w:lineRule="auto"/>
        <w:rPr>
          <w:rFonts w:ascii="Times New Roman" w:hAnsi="Times New Roman"/>
        </w:rPr>
      </w:pPr>
    </w:p>
    <w:p w14:paraId="06D081F2" w14:textId="77777777" w:rsidR="002F3324" w:rsidRPr="00534C57" w:rsidRDefault="002F3324" w:rsidP="002F3324">
      <w:pPr>
        <w:tabs>
          <w:tab w:val="left" w:pos="1701"/>
        </w:tabs>
        <w:spacing w:after="0" w:line="276" w:lineRule="auto"/>
        <w:ind w:left="1701" w:right="567" w:hanging="567"/>
        <w:rPr>
          <w:rFonts w:ascii="Times New Roman" w:hAnsi="Times New Roman"/>
          <w:b/>
          <w:noProof/>
          <w:szCs w:val="24"/>
        </w:rPr>
      </w:pPr>
      <w:r w:rsidRPr="00534C57">
        <w:rPr>
          <w:rFonts w:ascii="Times New Roman" w:hAnsi="Times New Roman"/>
          <w:b/>
          <w:noProof/>
          <w:szCs w:val="24"/>
        </w:rPr>
        <w:t>A.</w:t>
      </w:r>
      <w:r w:rsidRPr="00534C57">
        <w:rPr>
          <w:rFonts w:ascii="Times New Roman" w:hAnsi="Times New Roman"/>
          <w:b/>
          <w:noProof/>
          <w:szCs w:val="24"/>
        </w:rPr>
        <w:tab/>
        <w:t>GAMINTOJAS (-AI), ATSAKINGAS (-I) UŽ SERIJŲ IŠLEIDIMĄ</w:t>
      </w:r>
    </w:p>
    <w:p w14:paraId="0815CE66" w14:textId="77777777" w:rsidR="002F3324" w:rsidRPr="00534C57" w:rsidRDefault="002F3324" w:rsidP="002F3324">
      <w:pPr>
        <w:tabs>
          <w:tab w:val="left" w:pos="1701"/>
        </w:tabs>
        <w:spacing w:after="0" w:line="276" w:lineRule="auto"/>
        <w:ind w:left="567" w:right="567" w:hanging="567"/>
        <w:rPr>
          <w:rFonts w:ascii="Times New Roman" w:hAnsi="Times New Roman"/>
          <w:noProof/>
          <w:szCs w:val="24"/>
        </w:rPr>
      </w:pPr>
    </w:p>
    <w:p w14:paraId="479BDC59" w14:textId="77777777" w:rsidR="002F3324" w:rsidRPr="00534C57" w:rsidRDefault="002F3324" w:rsidP="002F3324">
      <w:pPr>
        <w:tabs>
          <w:tab w:val="left" w:pos="1701"/>
        </w:tabs>
        <w:spacing w:after="0" w:line="276" w:lineRule="auto"/>
        <w:ind w:left="1701" w:right="567" w:hanging="567"/>
        <w:rPr>
          <w:rFonts w:ascii="Times New Roman" w:hAnsi="Times New Roman"/>
          <w:b/>
        </w:rPr>
      </w:pPr>
      <w:r w:rsidRPr="00534C57">
        <w:rPr>
          <w:rFonts w:ascii="Times New Roman" w:hAnsi="Times New Roman"/>
          <w:b/>
        </w:rPr>
        <w:t>B.</w:t>
      </w:r>
      <w:r w:rsidRPr="00534C57">
        <w:rPr>
          <w:rFonts w:ascii="Times New Roman" w:hAnsi="Times New Roman"/>
          <w:b/>
        </w:rPr>
        <w:tab/>
        <w:t>TIEKIMO IR VARTOJIMO SĄLYGOS AR APRIBOJIMAI</w:t>
      </w:r>
    </w:p>
    <w:p w14:paraId="41610C23" w14:textId="77777777" w:rsidR="002F3324" w:rsidRPr="00534C57" w:rsidRDefault="002F3324" w:rsidP="002F3324">
      <w:pPr>
        <w:tabs>
          <w:tab w:val="left" w:pos="567"/>
        </w:tabs>
        <w:spacing w:after="0" w:line="240" w:lineRule="auto"/>
        <w:rPr>
          <w:rFonts w:ascii="Times New Roman" w:hAnsi="Times New Roman"/>
          <w:b/>
          <w:lang w:eastAsia="pl-PL"/>
        </w:rPr>
      </w:pPr>
      <w:r w:rsidRPr="00534C57">
        <w:rPr>
          <w:rFonts w:ascii="Times New Roman" w:hAnsi="Times New Roman"/>
          <w:noProof/>
        </w:rPr>
        <w:br w:type="page"/>
      </w:r>
      <w:r w:rsidRPr="00534C57">
        <w:rPr>
          <w:rFonts w:ascii="Times New Roman" w:hAnsi="Times New Roman"/>
          <w:b/>
          <w:noProof/>
        </w:rPr>
        <w:lastRenderedPageBreak/>
        <w:t>A.</w:t>
      </w:r>
      <w:r w:rsidRPr="00534C57">
        <w:rPr>
          <w:rFonts w:ascii="Times New Roman" w:hAnsi="Times New Roman"/>
          <w:b/>
          <w:noProof/>
        </w:rPr>
        <w:tab/>
      </w:r>
      <w:r w:rsidRPr="00534C57">
        <w:rPr>
          <w:rFonts w:ascii="Times New Roman" w:hAnsi="Times New Roman"/>
          <w:b/>
        </w:rPr>
        <w:t>GAMINTOJAS (-AI), ATSAKINGAS (-I) UŽ SERIJŲ IŠLEIDIMĄ</w:t>
      </w:r>
    </w:p>
    <w:p w14:paraId="431B7155" w14:textId="77777777" w:rsidR="002F3324" w:rsidRPr="00534C57" w:rsidRDefault="002F3324" w:rsidP="002F3324">
      <w:pPr>
        <w:spacing w:after="0" w:line="240" w:lineRule="auto"/>
        <w:rPr>
          <w:rFonts w:ascii="Times New Roman" w:hAnsi="Times New Roman"/>
          <w:b/>
          <w:lang w:eastAsia="pl-PL"/>
        </w:rPr>
      </w:pPr>
    </w:p>
    <w:p w14:paraId="0ED7A2D2" w14:textId="77777777" w:rsidR="002F3324" w:rsidRPr="00534C57" w:rsidRDefault="002F3324" w:rsidP="002F3324">
      <w:pPr>
        <w:spacing w:after="0" w:line="240" w:lineRule="auto"/>
        <w:rPr>
          <w:rFonts w:ascii="Times New Roman" w:hAnsi="Times New Roman"/>
          <w:u w:val="single"/>
          <w:lang w:eastAsia="pl-PL"/>
        </w:rPr>
      </w:pPr>
      <w:r w:rsidRPr="00534C57">
        <w:rPr>
          <w:rFonts w:ascii="Times New Roman" w:hAnsi="Times New Roman"/>
          <w:u w:val="single"/>
          <w:lang w:eastAsia="pl-PL"/>
        </w:rPr>
        <w:t>Gamintojo (-ų), atsakingo (-ų) už serijų išleidimą, pavadinimas (-ai) ir adresas (-ai)</w:t>
      </w:r>
    </w:p>
    <w:p w14:paraId="018E1D12" w14:textId="77777777" w:rsidR="002F3324" w:rsidRPr="00534C57" w:rsidRDefault="002F3324" w:rsidP="002F3324">
      <w:pPr>
        <w:spacing w:after="0" w:line="240" w:lineRule="auto"/>
        <w:rPr>
          <w:rFonts w:ascii="Times New Roman" w:hAnsi="Times New Roman"/>
        </w:rPr>
      </w:pPr>
    </w:p>
    <w:p w14:paraId="43FDF9A8"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Merckle GmbH</w:t>
      </w:r>
    </w:p>
    <w:p w14:paraId="015F6BC4"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Ludwig-Merckle-Str. 3</w:t>
      </w:r>
    </w:p>
    <w:p w14:paraId="44B5F2F4"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89143 Blaubeuren</w:t>
      </w:r>
    </w:p>
    <w:p w14:paraId="13364FB0"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Vokietija</w:t>
      </w:r>
    </w:p>
    <w:p w14:paraId="259BD819"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66BE03A8"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arba</w:t>
      </w:r>
    </w:p>
    <w:p w14:paraId="229F364D"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50F2DB86"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TEVA Pharmaceutical Works Private Limited Company</w:t>
      </w:r>
    </w:p>
    <w:p w14:paraId="0FDC7C53"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Pallagi út 13</w:t>
      </w:r>
    </w:p>
    <w:p w14:paraId="189A2B0F"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4042 Debrecen</w:t>
      </w:r>
    </w:p>
    <w:p w14:paraId="6D72AD0C"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Vengrija</w:t>
      </w:r>
    </w:p>
    <w:p w14:paraId="636593F4"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4AE9D560"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arba</w:t>
      </w:r>
    </w:p>
    <w:p w14:paraId="07ABA6A2"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5F2457C3"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Teva Pharmaceuticals Europe B.V.</w:t>
      </w:r>
    </w:p>
    <w:p w14:paraId="1047B58D"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Swensweg 5</w:t>
      </w:r>
    </w:p>
    <w:p w14:paraId="2A0C904E"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2031 GA Haarlem</w:t>
      </w:r>
    </w:p>
    <w:p w14:paraId="3F08CF03"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Nyderlandai</w:t>
      </w:r>
    </w:p>
    <w:p w14:paraId="4FFA754A"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5672717F"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arba</w:t>
      </w:r>
    </w:p>
    <w:p w14:paraId="7F78F843"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5ED92E74"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TEVA PHARMA S.L.U.</w:t>
      </w:r>
    </w:p>
    <w:p w14:paraId="4CD80BC1"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C/C, n. 4, Poligono Industrial Malpica</w:t>
      </w:r>
    </w:p>
    <w:p w14:paraId="1747CF5F"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50016 Zaragoza</w:t>
      </w:r>
    </w:p>
    <w:p w14:paraId="38EB2456"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Ispanija</w:t>
      </w:r>
    </w:p>
    <w:p w14:paraId="2FDDD341"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6BFE408C"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arba</w:t>
      </w:r>
    </w:p>
    <w:p w14:paraId="13FF3632"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40CECF0A"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Teva Operations Poland Sp. z o. o.</w:t>
      </w:r>
    </w:p>
    <w:p w14:paraId="58E99949"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 xml:space="preserve">Mogilska 80 Str. </w:t>
      </w:r>
    </w:p>
    <w:p w14:paraId="14AA5984"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31-546 Kraków</w:t>
      </w:r>
    </w:p>
    <w:p w14:paraId="6638E82E"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Lenkija</w:t>
      </w:r>
    </w:p>
    <w:p w14:paraId="303014A3"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3F948895"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arba</w:t>
      </w:r>
    </w:p>
    <w:p w14:paraId="40488E07"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3A7D6A7A"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 xml:space="preserve">PLIVA Croatia Ltd. </w:t>
      </w:r>
    </w:p>
    <w:p w14:paraId="786A8C2E"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Prilaz baruna Filipovića 25</w:t>
      </w:r>
    </w:p>
    <w:p w14:paraId="2A90B3F4"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 xml:space="preserve">10000 Zagreb </w:t>
      </w:r>
    </w:p>
    <w:p w14:paraId="0C545935"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Kroatija</w:t>
      </w:r>
    </w:p>
    <w:p w14:paraId="1AEEF742" w14:textId="77777777" w:rsidR="002F3324" w:rsidRPr="00534C57" w:rsidRDefault="002F3324" w:rsidP="002F3324">
      <w:pPr>
        <w:spacing w:after="0" w:line="240" w:lineRule="auto"/>
        <w:rPr>
          <w:rFonts w:ascii="Times New Roman" w:hAnsi="Times New Roman"/>
        </w:rPr>
      </w:pPr>
    </w:p>
    <w:p w14:paraId="5C9070DF" w14:textId="77777777" w:rsidR="002F3324" w:rsidRPr="00534C57" w:rsidRDefault="002F3324" w:rsidP="002F3324">
      <w:pPr>
        <w:spacing w:after="0" w:line="240" w:lineRule="auto"/>
        <w:rPr>
          <w:rFonts w:ascii="Times New Roman" w:hAnsi="Times New Roman"/>
          <w:lang w:eastAsia="pl-PL"/>
        </w:rPr>
      </w:pPr>
      <w:r w:rsidRPr="00534C57">
        <w:rPr>
          <w:rFonts w:ascii="Times New Roman" w:hAnsi="Times New Roman"/>
          <w:lang w:eastAsia="pl-PL"/>
        </w:rPr>
        <w:t>Su pakuote pateikiamame lapelyje nurodomas gamintojo, atsakingo už konkrečios serijos išleidimą, pavadinimas ir adresas.</w:t>
      </w:r>
    </w:p>
    <w:p w14:paraId="2C47094F" w14:textId="77777777" w:rsidR="002F3324" w:rsidRDefault="002F3324" w:rsidP="002F3324">
      <w:pPr>
        <w:spacing w:after="0" w:line="240" w:lineRule="auto"/>
        <w:rPr>
          <w:rFonts w:ascii="Times New Roman" w:hAnsi="Times New Roman"/>
          <w:lang w:eastAsia="pl-PL"/>
        </w:rPr>
      </w:pPr>
    </w:p>
    <w:p w14:paraId="3C3CDD90" w14:textId="77777777" w:rsidR="00A0162A" w:rsidRDefault="00A0162A" w:rsidP="002F3324">
      <w:pPr>
        <w:spacing w:after="0" w:line="240" w:lineRule="auto"/>
        <w:rPr>
          <w:rFonts w:ascii="Times New Roman" w:hAnsi="Times New Roman"/>
          <w:lang w:eastAsia="pl-PL"/>
        </w:rPr>
      </w:pPr>
    </w:p>
    <w:p w14:paraId="060CAA31" w14:textId="77777777" w:rsidR="00A0162A" w:rsidRDefault="00A0162A" w:rsidP="002F3324">
      <w:pPr>
        <w:spacing w:after="0" w:line="240" w:lineRule="auto"/>
        <w:rPr>
          <w:rFonts w:ascii="Times New Roman" w:hAnsi="Times New Roman"/>
          <w:lang w:eastAsia="pl-PL"/>
        </w:rPr>
      </w:pPr>
    </w:p>
    <w:p w14:paraId="2EE9DB37" w14:textId="77777777" w:rsidR="00A0162A" w:rsidRPr="00534C57" w:rsidRDefault="00A0162A" w:rsidP="002F3324">
      <w:pPr>
        <w:spacing w:after="0" w:line="240" w:lineRule="auto"/>
        <w:rPr>
          <w:rFonts w:ascii="Times New Roman" w:hAnsi="Times New Roman"/>
          <w:lang w:eastAsia="pl-PL"/>
        </w:rPr>
      </w:pPr>
    </w:p>
    <w:p w14:paraId="5C8B9669" w14:textId="77777777" w:rsidR="002F3324" w:rsidRPr="00534C57" w:rsidRDefault="002F3324" w:rsidP="002F3324">
      <w:pPr>
        <w:spacing w:after="0" w:line="240" w:lineRule="auto"/>
        <w:ind w:left="567" w:hanging="567"/>
        <w:rPr>
          <w:rFonts w:ascii="Times New Roman" w:hAnsi="Times New Roman"/>
          <w:szCs w:val="24"/>
        </w:rPr>
      </w:pPr>
      <w:r w:rsidRPr="00534C57">
        <w:rPr>
          <w:rFonts w:ascii="Times New Roman" w:hAnsi="Times New Roman"/>
          <w:b/>
          <w:noProof/>
          <w:szCs w:val="24"/>
        </w:rPr>
        <w:t>B.</w:t>
      </w:r>
      <w:r w:rsidRPr="00534C57">
        <w:rPr>
          <w:rFonts w:ascii="Times New Roman" w:hAnsi="Times New Roman"/>
          <w:b/>
          <w:szCs w:val="24"/>
        </w:rPr>
        <w:tab/>
      </w:r>
      <w:r w:rsidRPr="00534C57">
        <w:rPr>
          <w:rFonts w:ascii="Times New Roman" w:hAnsi="Times New Roman"/>
          <w:b/>
          <w:noProof/>
          <w:szCs w:val="24"/>
        </w:rPr>
        <w:t>TIEKIMO IR VARTOJIMO SĄLYGOS AR APRIBOJIMAI</w:t>
      </w:r>
    </w:p>
    <w:p w14:paraId="72161448" w14:textId="77777777" w:rsidR="002F3324" w:rsidRPr="00534C57" w:rsidRDefault="002F3324" w:rsidP="002F3324">
      <w:pPr>
        <w:spacing w:after="0" w:line="276" w:lineRule="auto"/>
        <w:rPr>
          <w:rFonts w:ascii="Times New Roman" w:hAnsi="Times New Roman"/>
          <w:szCs w:val="24"/>
        </w:rPr>
      </w:pPr>
    </w:p>
    <w:p w14:paraId="5414FBB3" w14:textId="77777777" w:rsidR="002F3324" w:rsidRPr="00534C57" w:rsidRDefault="002F3324" w:rsidP="002F3324">
      <w:pPr>
        <w:spacing w:after="0" w:line="276" w:lineRule="auto"/>
        <w:rPr>
          <w:rFonts w:ascii="Times New Roman" w:hAnsi="Times New Roman"/>
          <w:szCs w:val="24"/>
        </w:rPr>
      </w:pPr>
      <w:r w:rsidRPr="00534C57">
        <w:rPr>
          <w:rFonts w:ascii="Times New Roman" w:hAnsi="Times New Roman"/>
        </w:rPr>
        <w:t>Receptinis vaistinis preparatas.</w:t>
      </w:r>
    </w:p>
    <w:p w14:paraId="4408F172" w14:textId="77777777" w:rsidR="000971B8" w:rsidRPr="00534C57" w:rsidRDefault="000971B8">
      <w:pPr>
        <w:rPr>
          <w:rFonts w:ascii="Times New Roman" w:hAnsi="Times New Roman"/>
          <w:b/>
          <w:noProof/>
        </w:rPr>
      </w:pPr>
      <w:r w:rsidRPr="00534C57">
        <w:rPr>
          <w:rFonts w:ascii="Times New Roman" w:hAnsi="Times New Roman"/>
          <w:b/>
          <w:noProof/>
        </w:rPr>
        <w:br w:type="page"/>
      </w:r>
    </w:p>
    <w:p w14:paraId="26238014" w14:textId="77777777" w:rsidR="002F3324" w:rsidRPr="00534C57" w:rsidRDefault="002F3324" w:rsidP="002F3324">
      <w:pPr>
        <w:spacing w:after="0" w:line="240" w:lineRule="auto"/>
        <w:jc w:val="center"/>
        <w:rPr>
          <w:rFonts w:ascii="Times New Roman" w:hAnsi="Times New Roman"/>
          <w:b/>
          <w:noProof/>
        </w:rPr>
      </w:pPr>
    </w:p>
    <w:p w14:paraId="3AF534B1" w14:textId="77777777" w:rsidR="002F3324" w:rsidRPr="00534C57" w:rsidRDefault="002F3324" w:rsidP="002F3324">
      <w:pPr>
        <w:spacing w:after="0" w:line="240" w:lineRule="auto"/>
        <w:jc w:val="center"/>
        <w:rPr>
          <w:rFonts w:ascii="Times New Roman" w:hAnsi="Times New Roman"/>
          <w:b/>
          <w:noProof/>
        </w:rPr>
      </w:pPr>
    </w:p>
    <w:p w14:paraId="6BF33155" w14:textId="77777777" w:rsidR="002F3324" w:rsidRPr="00534C57" w:rsidRDefault="002F3324" w:rsidP="002F3324">
      <w:pPr>
        <w:spacing w:after="0" w:line="240" w:lineRule="auto"/>
        <w:jc w:val="center"/>
        <w:rPr>
          <w:rFonts w:ascii="Times New Roman" w:hAnsi="Times New Roman"/>
          <w:b/>
          <w:noProof/>
        </w:rPr>
      </w:pPr>
    </w:p>
    <w:p w14:paraId="6BB86B35" w14:textId="77777777" w:rsidR="002F3324" w:rsidRPr="00534C57" w:rsidRDefault="002F3324" w:rsidP="002F3324">
      <w:pPr>
        <w:spacing w:after="0" w:line="240" w:lineRule="auto"/>
        <w:jc w:val="center"/>
        <w:rPr>
          <w:rFonts w:ascii="Times New Roman" w:hAnsi="Times New Roman"/>
          <w:b/>
          <w:noProof/>
        </w:rPr>
      </w:pPr>
    </w:p>
    <w:p w14:paraId="1CF5CEA9" w14:textId="77777777" w:rsidR="002F3324" w:rsidRPr="00534C57" w:rsidRDefault="002F3324" w:rsidP="002F3324">
      <w:pPr>
        <w:spacing w:after="0" w:line="240" w:lineRule="auto"/>
        <w:jc w:val="center"/>
        <w:rPr>
          <w:rFonts w:ascii="Times New Roman" w:hAnsi="Times New Roman"/>
          <w:b/>
          <w:noProof/>
        </w:rPr>
      </w:pPr>
    </w:p>
    <w:p w14:paraId="1D05ED5B" w14:textId="77777777" w:rsidR="002F3324" w:rsidRPr="00534C57" w:rsidRDefault="002F3324" w:rsidP="002F3324">
      <w:pPr>
        <w:spacing w:after="0" w:line="240" w:lineRule="auto"/>
        <w:jc w:val="center"/>
        <w:rPr>
          <w:rFonts w:ascii="Times New Roman" w:hAnsi="Times New Roman"/>
          <w:b/>
          <w:noProof/>
        </w:rPr>
      </w:pPr>
    </w:p>
    <w:p w14:paraId="076F8C3C" w14:textId="77777777" w:rsidR="002F3324" w:rsidRPr="00534C57" w:rsidRDefault="002F3324" w:rsidP="002F3324">
      <w:pPr>
        <w:spacing w:after="0" w:line="240" w:lineRule="auto"/>
        <w:jc w:val="center"/>
        <w:rPr>
          <w:rFonts w:ascii="Times New Roman" w:hAnsi="Times New Roman"/>
          <w:b/>
          <w:noProof/>
        </w:rPr>
      </w:pPr>
    </w:p>
    <w:p w14:paraId="5D639AE8" w14:textId="77777777" w:rsidR="002F3324" w:rsidRPr="00534C57" w:rsidRDefault="002F3324" w:rsidP="002F3324">
      <w:pPr>
        <w:spacing w:after="0" w:line="240" w:lineRule="auto"/>
        <w:jc w:val="center"/>
        <w:rPr>
          <w:rFonts w:ascii="Times New Roman" w:hAnsi="Times New Roman"/>
          <w:b/>
          <w:noProof/>
        </w:rPr>
      </w:pPr>
    </w:p>
    <w:p w14:paraId="513AB090" w14:textId="77777777" w:rsidR="002F3324" w:rsidRPr="00534C57" w:rsidRDefault="002F3324" w:rsidP="002F3324">
      <w:pPr>
        <w:spacing w:after="0" w:line="240" w:lineRule="auto"/>
        <w:jc w:val="center"/>
        <w:rPr>
          <w:rFonts w:ascii="Times New Roman" w:hAnsi="Times New Roman"/>
          <w:b/>
          <w:noProof/>
        </w:rPr>
      </w:pPr>
    </w:p>
    <w:p w14:paraId="53946EEF" w14:textId="77777777" w:rsidR="002F3324" w:rsidRPr="00534C57" w:rsidRDefault="002F3324" w:rsidP="002F3324">
      <w:pPr>
        <w:spacing w:after="0" w:line="240" w:lineRule="auto"/>
        <w:jc w:val="center"/>
        <w:rPr>
          <w:rFonts w:ascii="Times New Roman" w:hAnsi="Times New Roman"/>
          <w:b/>
          <w:noProof/>
        </w:rPr>
      </w:pPr>
    </w:p>
    <w:p w14:paraId="0070B2E0" w14:textId="77777777" w:rsidR="002F3324" w:rsidRPr="00534C57" w:rsidRDefault="002F3324" w:rsidP="002F3324">
      <w:pPr>
        <w:spacing w:after="0" w:line="240" w:lineRule="auto"/>
        <w:jc w:val="center"/>
        <w:rPr>
          <w:rFonts w:ascii="Times New Roman" w:hAnsi="Times New Roman"/>
          <w:b/>
          <w:noProof/>
        </w:rPr>
      </w:pPr>
    </w:p>
    <w:p w14:paraId="7E8AEC00" w14:textId="77777777" w:rsidR="002F3324" w:rsidRPr="00534C57" w:rsidRDefault="002F3324" w:rsidP="002F3324">
      <w:pPr>
        <w:spacing w:after="0" w:line="240" w:lineRule="auto"/>
        <w:jc w:val="center"/>
        <w:rPr>
          <w:rFonts w:ascii="Times New Roman" w:hAnsi="Times New Roman"/>
          <w:b/>
          <w:noProof/>
        </w:rPr>
      </w:pPr>
    </w:p>
    <w:p w14:paraId="328CB7C9" w14:textId="77777777" w:rsidR="002F3324" w:rsidRPr="00534C57" w:rsidRDefault="002F3324" w:rsidP="002F3324">
      <w:pPr>
        <w:spacing w:after="0" w:line="240" w:lineRule="auto"/>
        <w:jc w:val="center"/>
        <w:rPr>
          <w:rFonts w:ascii="Times New Roman" w:hAnsi="Times New Roman"/>
          <w:b/>
          <w:noProof/>
        </w:rPr>
      </w:pPr>
    </w:p>
    <w:p w14:paraId="5B735BBB" w14:textId="77777777" w:rsidR="002F3324" w:rsidRPr="00534C57" w:rsidRDefault="002F3324" w:rsidP="002F3324">
      <w:pPr>
        <w:spacing w:after="0" w:line="240" w:lineRule="auto"/>
        <w:jc w:val="center"/>
        <w:rPr>
          <w:rFonts w:ascii="Times New Roman" w:hAnsi="Times New Roman"/>
          <w:b/>
          <w:noProof/>
        </w:rPr>
      </w:pPr>
    </w:p>
    <w:p w14:paraId="7392FA3C" w14:textId="77777777" w:rsidR="002F3324" w:rsidRPr="00534C57" w:rsidRDefault="002F3324" w:rsidP="002F3324">
      <w:pPr>
        <w:spacing w:after="0" w:line="240" w:lineRule="auto"/>
        <w:jc w:val="center"/>
        <w:rPr>
          <w:rFonts w:ascii="Times New Roman" w:hAnsi="Times New Roman"/>
          <w:b/>
          <w:noProof/>
        </w:rPr>
      </w:pPr>
    </w:p>
    <w:p w14:paraId="6896BFD0" w14:textId="77777777" w:rsidR="002F3324" w:rsidRPr="00534C57" w:rsidRDefault="002F3324" w:rsidP="002F3324">
      <w:pPr>
        <w:spacing w:after="0" w:line="240" w:lineRule="auto"/>
        <w:jc w:val="center"/>
        <w:rPr>
          <w:rFonts w:ascii="Times New Roman" w:hAnsi="Times New Roman"/>
          <w:b/>
          <w:noProof/>
        </w:rPr>
      </w:pPr>
    </w:p>
    <w:p w14:paraId="7A497DAE" w14:textId="77777777" w:rsidR="00082037" w:rsidRPr="00534C57" w:rsidRDefault="00082037" w:rsidP="002F3324">
      <w:pPr>
        <w:spacing w:after="0" w:line="240" w:lineRule="auto"/>
        <w:jc w:val="center"/>
        <w:rPr>
          <w:rFonts w:ascii="Times New Roman" w:hAnsi="Times New Roman"/>
          <w:b/>
          <w:lang w:eastAsia="pl-PL"/>
        </w:rPr>
      </w:pPr>
    </w:p>
    <w:p w14:paraId="7067645C" w14:textId="77777777" w:rsidR="00082037" w:rsidRPr="00534C57" w:rsidRDefault="00082037" w:rsidP="002F3324">
      <w:pPr>
        <w:spacing w:after="0" w:line="240" w:lineRule="auto"/>
        <w:jc w:val="center"/>
        <w:rPr>
          <w:rFonts w:ascii="Times New Roman" w:hAnsi="Times New Roman"/>
          <w:b/>
          <w:lang w:eastAsia="pl-PL"/>
        </w:rPr>
      </w:pPr>
    </w:p>
    <w:p w14:paraId="498209D8" w14:textId="77777777" w:rsidR="00082037" w:rsidRPr="00534C57" w:rsidRDefault="00082037" w:rsidP="002F3324">
      <w:pPr>
        <w:spacing w:after="0" w:line="240" w:lineRule="auto"/>
        <w:jc w:val="center"/>
        <w:rPr>
          <w:rFonts w:ascii="Times New Roman" w:hAnsi="Times New Roman"/>
          <w:b/>
          <w:lang w:eastAsia="pl-PL"/>
        </w:rPr>
      </w:pPr>
    </w:p>
    <w:p w14:paraId="1CC07704" w14:textId="77777777" w:rsidR="00082037" w:rsidRPr="00534C57" w:rsidRDefault="00082037" w:rsidP="002F3324">
      <w:pPr>
        <w:spacing w:after="0" w:line="240" w:lineRule="auto"/>
        <w:jc w:val="center"/>
        <w:rPr>
          <w:rFonts w:ascii="Times New Roman" w:hAnsi="Times New Roman"/>
          <w:b/>
          <w:lang w:eastAsia="pl-PL"/>
        </w:rPr>
      </w:pPr>
    </w:p>
    <w:p w14:paraId="1EA29C3D" w14:textId="77777777" w:rsidR="00082037" w:rsidRPr="00534C57" w:rsidRDefault="00082037" w:rsidP="002F3324">
      <w:pPr>
        <w:spacing w:after="0" w:line="240" w:lineRule="auto"/>
        <w:jc w:val="center"/>
        <w:rPr>
          <w:rFonts w:ascii="Times New Roman" w:hAnsi="Times New Roman"/>
          <w:b/>
          <w:lang w:eastAsia="pl-PL"/>
        </w:rPr>
      </w:pPr>
    </w:p>
    <w:p w14:paraId="5F508415" w14:textId="77777777" w:rsidR="00082037" w:rsidRPr="00534C57" w:rsidRDefault="00082037" w:rsidP="002F3324">
      <w:pPr>
        <w:spacing w:after="0" w:line="240" w:lineRule="auto"/>
        <w:jc w:val="center"/>
        <w:rPr>
          <w:rFonts w:ascii="Times New Roman" w:hAnsi="Times New Roman"/>
          <w:b/>
          <w:lang w:eastAsia="pl-PL"/>
        </w:rPr>
      </w:pPr>
    </w:p>
    <w:p w14:paraId="2EE8151D" w14:textId="77777777" w:rsidR="00082037" w:rsidRPr="00534C57" w:rsidRDefault="00082037" w:rsidP="002F3324">
      <w:pPr>
        <w:spacing w:after="0" w:line="240" w:lineRule="auto"/>
        <w:jc w:val="center"/>
        <w:rPr>
          <w:rFonts w:ascii="Times New Roman" w:hAnsi="Times New Roman"/>
          <w:b/>
          <w:lang w:eastAsia="pl-PL"/>
        </w:rPr>
      </w:pPr>
    </w:p>
    <w:p w14:paraId="187EBA33" w14:textId="77777777" w:rsidR="002F3324" w:rsidRPr="00534C57" w:rsidRDefault="002F3324" w:rsidP="002F3324">
      <w:pPr>
        <w:spacing w:after="0" w:line="240" w:lineRule="auto"/>
        <w:jc w:val="center"/>
        <w:rPr>
          <w:rFonts w:ascii="Times New Roman" w:hAnsi="Times New Roman"/>
          <w:b/>
          <w:lang w:eastAsia="pl-PL"/>
        </w:rPr>
      </w:pPr>
      <w:r w:rsidRPr="00534C57">
        <w:rPr>
          <w:rFonts w:ascii="Times New Roman" w:hAnsi="Times New Roman"/>
          <w:b/>
          <w:lang w:eastAsia="pl-PL"/>
        </w:rPr>
        <w:t>III PRIEDAS</w:t>
      </w:r>
    </w:p>
    <w:p w14:paraId="50BA0700" w14:textId="77777777" w:rsidR="002F3324" w:rsidRPr="00534C57" w:rsidRDefault="002F3324" w:rsidP="002F3324">
      <w:pPr>
        <w:spacing w:after="0" w:line="240" w:lineRule="auto"/>
        <w:jc w:val="center"/>
        <w:rPr>
          <w:rFonts w:ascii="Times New Roman" w:hAnsi="Times New Roman"/>
          <w:b/>
          <w:lang w:eastAsia="pl-PL"/>
        </w:rPr>
      </w:pPr>
    </w:p>
    <w:p w14:paraId="0BAB67FD" w14:textId="77777777" w:rsidR="002F3324" w:rsidRPr="00534C57" w:rsidRDefault="002F3324" w:rsidP="002F3324">
      <w:pPr>
        <w:spacing w:after="0" w:line="240" w:lineRule="auto"/>
        <w:jc w:val="center"/>
        <w:rPr>
          <w:rFonts w:ascii="Times New Roman" w:hAnsi="Times New Roman"/>
          <w:lang w:eastAsia="pl-PL"/>
        </w:rPr>
      </w:pPr>
      <w:r w:rsidRPr="00534C57">
        <w:rPr>
          <w:rFonts w:ascii="Times New Roman" w:hAnsi="Times New Roman"/>
          <w:b/>
          <w:lang w:eastAsia="pl-PL"/>
        </w:rPr>
        <w:t>ŽENKLINIMAS IR PAKUOTĖS LAPELIS</w:t>
      </w:r>
    </w:p>
    <w:p w14:paraId="49C11858" w14:textId="77777777" w:rsidR="002F3324" w:rsidRPr="00534C57" w:rsidRDefault="002F3324" w:rsidP="002F3324">
      <w:pPr>
        <w:autoSpaceDE w:val="0"/>
        <w:autoSpaceDN w:val="0"/>
        <w:adjustRightInd w:val="0"/>
        <w:spacing w:after="0" w:line="240" w:lineRule="auto"/>
        <w:rPr>
          <w:rFonts w:ascii="Times New Roman" w:hAnsi="Times New Roman"/>
        </w:rPr>
      </w:pPr>
    </w:p>
    <w:p w14:paraId="0FCFD418" w14:textId="77777777" w:rsidR="00A46711" w:rsidRDefault="00A46711" w:rsidP="002F3324">
      <w:pPr>
        <w:spacing w:after="0" w:line="240" w:lineRule="auto"/>
        <w:jc w:val="center"/>
        <w:rPr>
          <w:rFonts w:ascii="Times New Roman" w:hAnsi="Times New Roman"/>
          <w:color w:val="000000"/>
        </w:rPr>
      </w:pPr>
      <w:r>
        <w:rPr>
          <w:rFonts w:ascii="Times New Roman" w:hAnsi="Times New Roman"/>
          <w:color w:val="000000"/>
        </w:rPr>
        <w:br w:type="page"/>
      </w:r>
    </w:p>
    <w:p w14:paraId="33085451" w14:textId="77777777" w:rsidR="002F3324" w:rsidRPr="00534C57" w:rsidRDefault="002F3324" w:rsidP="002F3324">
      <w:pPr>
        <w:spacing w:after="0" w:line="240" w:lineRule="auto"/>
        <w:jc w:val="center"/>
        <w:rPr>
          <w:rFonts w:ascii="Times New Roman" w:hAnsi="Times New Roman"/>
          <w:color w:val="000000"/>
        </w:rPr>
      </w:pPr>
    </w:p>
    <w:p w14:paraId="619778B9" w14:textId="77777777" w:rsidR="002F3324" w:rsidRPr="00534C57" w:rsidRDefault="002F3324" w:rsidP="002F3324">
      <w:pPr>
        <w:spacing w:after="0" w:line="240" w:lineRule="auto"/>
        <w:jc w:val="center"/>
        <w:rPr>
          <w:rFonts w:ascii="Times New Roman" w:hAnsi="Times New Roman"/>
          <w:color w:val="000000"/>
        </w:rPr>
      </w:pPr>
    </w:p>
    <w:p w14:paraId="0AFF2E1F" w14:textId="77777777" w:rsidR="002F3324" w:rsidRPr="00534C57" w:rsidRDefault="002F3324" w:rsidP="002F3324">
      <w:pPr>
        <w:spacing w:after="0" w:line="240" w:lineRule="auto"/>
        <w:jc w:val="center"/>
        <w:rPr>
          <w:rFonts w:ascii="Times New Roman" w:hAnsi="Times New Roman"/>
          <w:color w:val="000000"/>
        </w:rPr>
      </w:pPr>
    </w:p>
    <w:p w14:paraId="7A9917BA" w14:textId="77777777" w:rsidR="002F3324" w:rsidRPr="00534C57" w:rsidRDefault="002F3324" w:rsidP="002F3324">
      <w:pPr>
        <w:spacing w:after="0" w:line="240" w:lineRule="auto"/>
        <w:jc w:val="center"/>
        <w:rPr>
          <w:rFonts w:ascii="Times New Roman" w:hAnsi="Times New Roman"/>
          <w:color w:val="000000"/>
        </w:rPr>
      </w:pPr>
    </w:p>
    <w:p w14:paraId="5E302AD0" w14:textId="77777777" w:rsidR="002F3324" w:rsidRPr="00534C57" w:rsidRDefault="002F3324" w:rsidP="002F3324">
      <w:pPr>
        <w:spacing w:after="0" w:line="240" w:lineRule="auto"/>
        <w:jc w:val="center"/>
        <w:rPr>
          <w:rFonts w:ascii="Times New Roman" w:hAnsi="Times New Roman"/>
          <w:color w:val="000000"/>
        </w:rPr>
      </w:pPr>
    </w:p>
    <w:p w14:paraId="78E74B4B" w14:textId="77777777" w:rsidR="002F3324" w:rsidRPr="00534C57" w:rsidRDefault="002F3324" w:rsidP="002F3324">
      <w:pPr>
        <w:spacing w:after="0" w:line="240" w:lineRule="auto"/>
        <w:jc w:val="center"/>
        <w:rPr>
          <w:rFonts w:ascii="Times New Roman" w:hAnsi="Times New Roman"/>
          <w:color w:val="000000"/>
        </w:rPr>
      </w:pPr>
    </w:p>
    <w:p w14:paraId="5C40855D" w14:textId="77777777" w:rsidR="002F3324" w:rsidRPr="00534C57" w:rsidRDefault="002F3324" w:rsidP="002F3324">
      <w:pPr>
        <w:spacing w:after="0" w:line="240" w:lineRule="auto"/>
        <w:jc w:val="center"/>
        <w:rPr>
          <w:rFonts w:ascii="Times New Roman" w:hAnsi="Times New Roman"/>
          <w:color w:val="000000"/>
        </w:rPr>
      </w:pPr>
    </w:p>
    <w:p w14:paraId="32492A36" w14:textId="77777777" w:rsidR="002F3324" w:rsidRPr="00534C57" w:rsidRDefault="002F3324" w:rsidP="002F3324">
      <w:pPr>
        <w:spacing w:after="0" w:line="240" w:lineRule="auto"/>
        <w:jc w:val="center"/>
        <w:rPr>
          <w:rFonts w:ascii="Times New Roman" w:hAnsi="Times New Roman"/>
          <w:color w:val="000000"/>
        </w:rPr>
      </w:pPr>
    </w:p>
    <w:p w14:paraId="3BE522E6" w14:textId="77777777" w:rsidR="002F3324" w:rsidRPr="00534C57" w:rsidRDefault="002F3324" w:rsidP="002F3324">
      <w:pPr>
        <w:spacing w:after="0" w:line="240" w:lineRule="auto"/>
        <w:jc w:val="center"/>
        <w:rPr>
          <w:rFonts w:ascii="Times New Roman" w:hAnsi="Times New Roman"/>
          <w:color w:val="000000"/>
        </w:rPr>
      </w:pPr>
    </w:p>
    <w:p w14:paraId="60789DC1" w14:textId="77777777" w:rsidR="002F3324" w:rsidRPr="00534C57" w:rsidRDefault="002F3324" w:rsidP="002F3324">
      <w:pPr>
        <w:spacing w:after="0" w:line="240" w:lineRule="auto"/>
        <w:jc w:val="center"/>
        <w:rPr>
          <w:rFonts w:ascii="Times New Roman" w:hAnsi="Times New Roman"/>
          <w:color w:val="000000"/>
        </w:rPr>
      </w:pPr>
    </w:p>
    <w:p w14:paraId="0E48EAE7" w14:textId="77777777" w:rsidR="002F3324" w:rsidRPr="00534C57" w:rsidRDefault="002F3324" w:rsidP="002F3324">
      <w:pPr>
        <w:spacing w:after="0" w:line="240" w:lineRule="auto"/>
        <w:jc w:val="center"/>
        <w:rPr>
          <w:rFonts w:ascii="Times New Roman" w:hAnsi="Times New Roman"/>
          <w:color w:val="000000"/>
        </w:rPr>
      </w:pPr>
    </w:p>
    <w:p w14:paraId="1E686814" w14:textId="77777777" w:rsidR="002F3324" w:rsidRPr="00534C57" w:rsidRDefault="002F3324" w:rsidP="002F3324">
      <w:pPr>
        <w:spacing w:after="0" w:line="240" w:lineRule="auto"/>
        <w:jc w:val="center"/>
        <w:rPr>
          <w:rFonts w:ascii="Times New Roman" w:hAnsi="Times New Roman"/>
          <w:color w:val="000000"/>
        </w:rPr>
      </w:pPr>
    </w:p>
    <w:p w14:paraId="266D77AC" w14:textId="77777777" w:rsidR="002F3324" w:rsidRPr="00534C57" w:rsidRDefault="002F3324" w:rsidP="002F3324">
      <w:pPr>
        <w:spacing w:after="0" w:line="240" w:lineRule="auto"/>
        <w:jc w:val="center"/>
        <w:rPr>
          <w:rFonts w:ascii="Times New Roman" w:hAnsi="Times New Roman"/>
          <w:color w:val="000000"/>
        </w:rPr>
      </w:pPr>
    </w:p>
    <w:p w14:paraId="5094C1FF" w14:textId="77777777" w:rsidR="002F3324" w:rsidRPr="00534C57" w:rsidRDefault="002F3324" w:rsidP="002F3324">
      <w:pPr>
        <w:spacing w:after="0" w:line="240" w:lineRule="auto"/>
        <w:jc w:val="center"/>
        <w:rPr>
          <w:rFonts w:ascii="Times New Roman" w:hAnsi="Times New Roman"/>
          <w:color w:val="000000"/>
        </w:rPr>
      </w:pPr>
    </w:p>
    <w:p w14:paraId="75E33C89" w14:textId="77777777" w:rsidR="002F3324" w:rsidRPr="00534C57" w:rsidRDefault="002F3324" w:rsidP="002F3324">
      <w:pPr>
        <w:spacing w:after="0" w:line="240" w:lineRule="auto"/>
        <w:jc w:val="center"/>
        <w:rPr>
          <w:rFonts w:ascii="Times New Roman" w:hAnsi="Times New Roman"/>
          <w:color w:val="000000"/>
        </w:rPr>
      </w:pPr>
    </w:p>
    <w:p w14:paraId="29963900" w14:textId="77777777" w:rsidR="002F3324" w:rsidRPr="00534C57" w:rsidRDefault="002F3324" w:rsidP="002F3324">
      <w:pPr>
        <w:spacing w:after="0" w:line="240" w:lineRule="auto"/>
        <w:jc w:val="center"/>
        <w:rPr>
          <w:rFonts w:ascii="Times New Roman" w:hAnsi="Times New Roman"/>
          <w:color w:val="000000"/>
        </w:rPr>
      </w:pPr>
    </w:p>
    <w:p w14:paraId="031577C4" w14:textId="77777777" w:rsidR="002F3324" w:rsidRPr="00534C57" w:rsidRDefault="002F3324" w:rsidP="002F3324">
      <w:pPr>
        <w:spacing w:after="0" w:line="240" w:lineRule="auto"/>
        <w:jc w:val="center"/>
        <w:rPr>
          <w:rFonts w:ascii="Times New Roman" w:hAnsi="Times New Roman"/>
          <w:color w:val="000000"/>
        </w:rPr>
      </w:pPr>
    </w:p>
    <w:p w14:paraId="69A0479C" w14:textId="77777777" w:rsidR="002F3324" w:rsidRPr="00534C57" w:rsidRDefault="002F3324" w:rsidP="002F3324">
      <w:pPr>
        <w:spacing w:after="0" w:line="240" w:lineRule="auto"/>
        <w:jc w:val="center"/>
        <w:rPr>
          <w:rFonts w:ascii="Times New Roman" w:hAnsi="Times New Roman"/>
          <w:color w:val="000000"/>
        </w:rPr>
      </w:pPr>
    </w:p>
    <w:p w14:paraId="44E8085C" w14:textId="77777777" w:rsidR="002F3324" w:rsidRPr="00534C57" w:rsidRDefault="002F3324" w:rsidP="002F3324">
      <w:pPr>
        <w:spacing w:after="0" w:line="240" w:lineRule="auto"/>
        <w:jc w:val="center"/>
        <w:rPr>
          <w:rFonts w:ascii="Times New Roman" w:hAnsi="Times New Roman"/>
          <w:color w:val="000000"/>
        </w:rPr>
      </w:pPr>
    </w:p>
    <w:p w14:paraId="1495965A" w14:textId="77777777" w:rsidR="002F3324" w:rsidRPr="00534C57" w:rsidRDefault="002F3324" w:rsidP="002F3324">
      <w:pPr>
        <w:spacing w:after="0" w:line="240" w:lineRule="auto"/>
        <w:rPr>
          <w:rFonts w:ascii="Times New Roman" w:hAnsi="Times New Roman"/>
          <w:b/>
          <w:noProof/>
        </w:rPr>
      </w:pPr>
    </w:p>
    <w:p w14:paraId="49B5C7DF" w14:textId="77777777" w:rsidR="002F3324" w:rsidRPr="00534C57" w:rsidRDefault="002F3324" w:rsidP="002F3324">
      <w:pPr>
        <w:spacing w:after="0" w:line="240" w:lineRule="auto"/>
        <w:rPr>
          <w:rFonts w:ascii="Times New Roman" w:hAnsi="Times New Roman"/>
          <w:b/>
          <w:noProof/>
        </w:rPr>
      </w:pPr>
    </w:p>
    <w:p w14:paraId="5DC1934C" w14:textId="77777777" w:rsidR="002F3324" w:rsidRPr="00534C57" w:rsidRDefault="002F3324" w:rsidP="002F3324">
      <w:pPr>
        <w:spacing w:after="0" w:line="240" w:lineRule="auto"/>
        <w:rPr>
          <w:rFonts w:ascii="Times New Roman" w:hAnsi="Times New Roman"/>
          <w:b/>
          <w:noProof/>
        </w:rPr>
      </w:pPr>
    </w:p>
    <w:p w14:paraId="663CA9EB" w14:textId="77777777" w:rsidR="002F3324" w:rsidRPr="00534C57" w:rsidRDefault="002F3324" w:rsidP="002F3324">
      <w:pPr>
        <w:spacing w:after="0" w:line="240" w:lineRule="auto"/>
        <w:rPr>
          <w:rFonts w:ascii="Times New Roman" w:hAnsi="Times New Roman"/>
          <w:b/>
          <w:noProof/>
        </w:rPr>
      </w:pPr>
    </w:p>
    <w:p w14:paraId="404F7802" w14:textId="77777777" w:rsidR="002F3324" w:rsidRPr="00534C57" w:rsidRDefault="002F3324" w:rsidP="002F3324">
      <w:pPr>
        <w:spacing w:after="0" w:line="240" w:lineRule="auto"/>
        <w:jc w:val="center"/>
        <w:rPr>
          <w:rFonts w:ascii="Times New Roman" w:hAnsi="Times New Roman"/>
          <w:noProof/>
        </w:rPr>
      </w:pPr>
      <w:r w:rsidRPr="00534C57">
        <w:rPr>
          <w:rFonts w:ascii="Times New Roman" w:hAnsi="Times New Roman"/>
          <w:b/>
          <w:noProof/>
        </w:rPr>
        <w:t>A. ŽENKLINIMAS</w:t>
      </w:r>
    </w:p>
    <w:p w14:paraId="43BBC42F" w14:textId="77777777" w:rsidR="002F3324" w:rsidRPr="00534C57" w:rsidRDefault="002F3324" w:rsidP="002F3324">
      <w:pPr>
        <w:spacing w:after="0" w:line="240" w:lineRule="auto"/>
        <w:rPr>
          <w:rFonts w:ascii="Times New Roman" w:hAnsi="Times New Roman"/>
        </w:rPr>
      </w:pPr>
      <w:r w:rsidRPr="00534C57">
        <w:rPr>
          <w:rFonts w:ascii="Times New Roman" w:hAnsi="Times New Roman"/>
          <w:noProof/>
        </w:rPr>
        <w:br w:type="page"/>
      </w:r>
    </w:p>
    <w:p w14:paraId="156228A7"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color w:val="000000"/>
        </w:rPr>
      </w:pPr>
      <w:r w:rsidRPr="00534C57">
        <w:rPr>
          <w:rFonts w:ascii="Times New Roman" w:hAnsi="Times New Roman"/>
          <w:b/>
          <w:bCs/>
          <w:color w:val="000000"/>
        </w:rPr>
        <w:lastRenderedPageBreak/>
        <w:t>INFORMACIJA ANT IŠORINĖS PAKUOTĖS</w:t>
      </w:r>
    </w:p>
    <w:p w14:paraId="71BE3F85"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color w:val="000000"/>
        </w:rPr>
      </w:pPr>
    </w:p>
    <w:p w14:paraId="2A97BBA4"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color w:val="000000"/>
        </w:rPr>
      </w:pPr>
      <w:r w:rsidRPr="00534C57">
        <w:rPr>
          <w:rFonts w:ascii="Times New Roman" w:hAnsi="Times New Roman"/>
          <w:b/>
          <w:bCs/>
          <w:color w:val="000000"/>
        </w:rPr>
        <w:t>KARTONO DĖŽUTĖ</w:t>
      </w:r>
    </w:p>
    <w:p w14:paraId="1A0652D4" w14:textId="77777777" w:rsidR="002F3324" w:rsidRPr="00534C57" w:rsidRDefault="002F3324" w:rsidP="002F3324">
      <w:pPr>
        <w:tabs>
          <w:tab w:val="left" w:pos="567"/>
        </w:tabs>
        <w:spacing w:after="0" w:line="240" w:lineRule="auto"/>
        <w:rPr>
          <w:rFonts w:ascii="Times New Roman" w:hAnsi="Times New Roman"/>
          <w:color w:val="000000"/>
        </w:rPr>
      </w:pPr>
    </w:p>
    <w:p w14:paraId="7FA45718" w14:textId="77777777" w:rsidR="002F3324" w:rsidRPr="00534C57" w:rsidRDefault="002F3324" w:rsidP="002F3324">
      <w:pPr>
        <w:tabs>
          <w:tab w:val="left" w:pos="567"/>
        </w:tabs>
        <w:spacing w:after="0" w:line="240" w:lineRule="auto"/>
        <w:rPr>
          <w:rFonts w:ascii="Times New Roman" w:hAnsi="Times New Roman"/>
          <w:color w:val="000000"/>
        </w:rPr>
      </w:pPr>
    </w:p>
    <w:p w14:paraId="5EAE29E1"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color w:val="000000"/>
        </w:rPr>
      </w:pPr>
      <w:r w:rsidRPr="00534C57">
        <w:rPr>
          <w:rFonts w:ascii="Times New Roman" w:hAnsi="Times New Roman"/>
          <w:b/>
          <w:bCs/>
          <w:color w:val="000000"/>
        </w:rPr>
        <w:t>1.</w:t>
      </w:r>
      <w:r w:rsidRPr="00534C57">
        <w:rPr>
          <w:rFonts w:ascii="Times New Roman" w:hAnsi="Times New Roman"/>
          <w:b/>
          <w:bCs/>
          <w:color w:val="000000"/>
        </w:rPr>
        <w:tab/>
        <w:t>VAISTINIO PREPARATO PAVADINIMAS</w:t>
      </w:r>
    </w:p>
    <w:p w14:paraId="5A8987CF" w14:textId="77777777" w:rsidR="002F3324" w:rsidRPr="00534C57" w:rsidRDefault="002F3324" w:rsidP="002F3324">
      <w:pPr>
        <w:tabs>
          <w:tab w:val="left" w:pos="567"/>
        </w:tabs>
        <w:spacing w:after="0" w:line="240" w:lineRule="auto"/>
        <w:rPr>
          <w:rFonts w:ascii="Times New Roman" w:hAnsi="Times New Roman"/>
          <w:color w:val="000000"/>
        </w:rPr>
      </w:pPr>
    </w:p>
    <w:p w14:paraId="692BFFB1" w14:textId="77777777" w:rsidR="002F3324" w:rsidRPr="00534C57" w:rsidRDefault="002F3324" w:rsidP="002F3324">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200</w:t>
      </w:r>
      <w:r w:rsidR="00A46711">
        <w:rPr>
          <w:rFonts w:ascii="Times New Roman" w:hAnsi="Times New Roman"/>
          <w:color w:val="000000"/>
        </w:rPr>
        <w:t> </w:t>
      </w:r>
      <w:r w:rsidRPr="00534C57">
        <w:rPr>
          <w:rFonts w:ascii="Times New Roman" w:hAnsi="Times New Roman"/>
          <w:color w:val="000000"/>
        </w:rPr>
        <w:t>mg plėvele dengtos tabletės</w:t>
      </w:r>
    </w:p>
    <w:p w14:paraId="57FD0DEE" w14:textId="77777777" w:rsidR="002F3324" w:rsidRPr="00534C57" w:rsidRDefault="00520BCE" w:rsidP="002F3324">
      <w:pPr>
        <w:tabs>
          <w:tab w:val="left" w:pos="567"/>
        </w:tabs>
        <w:spacing w:after="0" w:line="240" w:lineRule="auto"/>
        <w:rPr>
          <w:rFonts w:ascii="Times New Roman" w:hAnsi="Times New Roman"/>
          <w:noProof/>
        </w:rPr>
      </w:pPr>
      <w:r>
        <w:rPr>
          <w:rFonts w:ascii="Times New Roman" w:hAnsi="Times New Roman"/>
          <w:noProof/>
        </w:rPr>
        <w:t>v</w:t>
      </w:r>
      <w:r w:rsidR="002F3324" w:rsidRPr="00534C57">
        <w:rPr>
          <w:rFonts w:ascii="Times New Roman" w:hAnsi="Times New Roman"/>
          <w:noProof/>
        </w:rPr>
        <w:t>oriconazolum</w:t>
      </w:r>
    </w:p>
    <w:p w14:paraId="220C3B21" w14:textId="77777777" w:rsidR="002F3324" w:rsidRPr="00534C57" w:rsidRDefault="002F3324" w:rsidP="002F3324">
      <w:pPr>
        <w:tabs>
          <w:tab w:val="left" w:pos="567"/>
        </w:tabs>
        <w:spacing w:after="0" w:line="240" w:lineRule="auto"/>
        <w:rPr>
          <w:rFonts w:ascii="Times New Roman" w:hAnsi="Times New Roman"/>
          <w:color w:val="000000"/>
        </w:rPr>
      </w:pPr>
    </w:p>
    <w:p w14:paraId="4A452865" w14:textId="77777777" w:rsidR="002F3324" w:rsidRPr="00534C57" w:rsidRDefault="002F3324" w:rsidP="002F3324">
      <w:pPr>
        <w:tabs>
          <w:tab w:val="left" w:pos="567"/>
        </w:tabs>
        <w:spacing w:after="0" w:line="240" w:lineRule="auto"/>
        <w:rPr>
          <w:rFonts w:ascii="Times New Roman" w:hAnsi="Times New Roman"/>
          <w:color w:val="000000"/>
        </w:rPr>
      </w:pPr>
    </w:p>
    <w:p w14:paraId="5A2B8880"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color w:val="000000"/>
        </w:rPr>
      </w:pPr>
      <w:r w:rsidRPr="00534C57">
        <w:rPr>
          <w:rFonts w:ascii="Times New Roman" w:hAnsi="Times New Roman"/>
          <w:b/>
          <w:bCs/>
          <w:color w:val="000000"/>
        </w:rPr>
        <w:t>2.</w:t>
      </w:r>
      <w:r w:rsidRPr="00534C57">
        <w:rPr>
          <w:rFonts w:ascii="Times New Roman" w:hAnsi="Times New Roman"/>
          <w:b/>
          <w:bCs/>
          <w:color w:val="000000"/>
        </w:rPr>
        <w:tab/>
        <w:t>VEIKLIOJI (-IOS) MEDŽIAGA (-OS) IR JOS (-Ų) KIEKIS (-IAI)</w:t>
      </w:r>
    </w:p>
    <w:p w14:paraId="53208039" w14:textId="77777777" w:rsidR="002F3324" w:rsidRPr="00534C57" w:rsidRDefault="002F3324" w:rsidP="002F3324">
      <w:pPr>
        <w:tabs>
          <w:tab w:val="left" w:pos="567"/>
        </w:tabs>
        <w:spacing w:after="0" w:line="240" w:lineRule="auto"/>
        <w:rPr>
          <w:rFonts w:ascii="Times New Roman" w:hAnsi="Times New Roman"/>
          <w:noProof/>
        </w:rPr>
      </w:pPr>
    </w:p>
    <w:p w14:paraId="20E3EFDD" w14:textId="77777777" w:rsidR="002F3324" w:rsidRPr="00534C57" w:rsidRDefault="002F3324" w:rsidP="002F3324">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Kiekvienoje tabletėje yra 200</w:t>
      </w:r>
      <w:r w:rsidR="00A46711">
        <w:rPr>
          <w:rFonts w:ascii="Times New Roman" w:hAnsi="Times New Roman"/>
          <w:color w:val="000000"/>
        </w:rPr>
        <w:t> </w:t>
      </w:r>
      <w:r w:rsidRPr="00534C57">
        <w:rPr>
          <w:rFonts w:ascii="Times New Roman" w:hAnsi="Times New Roman"/>
          <w:color w:val="000000"/>
        </w:rPr>
        <w:t>mg vorikonazolo.</w:t>
      </w:r>
    </w:p>
    <w:p w14:paraId="6375AD00" w14:textId="77777777" w:rsidR="002F3324" w:rsidRPr="00534C57" w:rsidRDefault="002F3324" w:rsidP="002F3324">
      <w:pPr>
        <w:tabs>
          <w:tab w:val="left" w:pos="567"/>
        </w:tabs>
        <w:spacing w:after="0" w:line="240" w:lineRule="auto"/>
        <w:rPr>
          <w:rFonts w:ascii="Times New Roman" w:hAnsi="Times New Roman"/>
        </w:rPr>
      </w:pPr>
    </w:p>
    <w:p w14:paraId="347AD049" w14:textId="77777777" w:rsidR="002F3324" w:rsidRPr="00534C57" w:rsidRDefault="002F3324" w:rsidP="002F3324">
      <w:pPr>
        <w:tabs>
          <w:tab w:val="left" w:pos="567"/>
        </w:tabs>
        <w:spacing w:after="0" w:line="240" w:lineRule="auto"/>
        <w:rPr>
          <w:rFonts w:ascii="Times New Roman" w:hAnsi="Times New Roman"/>
        </w:rPr>
      </w:pPr>
    </w:p>
    <w:p w14:paraId="669560F3"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3.</w:t>
      </w:r>
      <w:r w:rsidRPr="00534C57">
        <w:rPr>
          <w:rFonts w:ascii="Times New Roman" w:hAnsi="Times New Roman"/>
          <w:b/>
          <w:bCs/>
        </w:rPr>
        <w:tab/>
        <w:t>PAGALBINIŲ MEDŽIAGŲ SĄRAŠAS</w:t>
      </w:r>
    </w:p>
    <w:p w14:paraId="0BB541B7" w14:textId="77777777" w:rsidR="002F3324" w:rsidRPr="00534C57" w:rsidRDefault="002F3324" w:rsidP="002F3324">
      <w:pPr>
        <w:tabs>
          <w:tab w:val="left" w:pos="567"/>
        </w:tabs>
        <w:autoSpaceDE w:val="0"/>
        <w:autoSpaceDN w:val="0"/>
        <w:adjustRightInd w:val="0"/>
        <w:spacing w:after="0" w:line="240" w:lineRule="auto"/>
        <w:rPr>
          <w:rFonts w:ascii="Times New Roman" w:hAnsi="Times New Roman"/>
        </w:rPr>
      </w:pPr>
    </w:p>
    <w:p w14:paraId="43A6D17D" w14:textId="77777777" w:rsidR="002F3324" w:rsidRPr="00534C57" w:rsidRDefault="002F3324" w:rsidP="002F3324">
      <w:pPr>
        <w:tabs>
          <w:tab w:val="left" w:pos="567"/>
        </w:tabs>
        <w:spacing w:after="0" w:line="240" w:lineRule="auto"/>
        <w:rPr>
          <w:rFonts w:ascii="Times New Roman" w:hAnsi="Times New Roman"/>
        </w:rPr>
      </w:pPr>
      <w:r w:rsidRPr="00534C57">
        <w:rPr>
          <w:rFonts w:ascii="Times New Roman" w:hAnsi="Times New Roman"/>
          <w:color w:val="000000"/>
        </w:rPr>
        <w:t xml:space="preserve">Sudėtyje yra laktozės monohidrato. </w:t>
      </w:r>
      <w:r w:rsidR="00520BCE" w:rsidRPr="00520BCE">
        <w:rPr>
          <w:rFonts w:ascii="Times New Roman" w:hAnsi="Times New Roman"/>
        </w:rPr>
        <w:t>Daugiau informacijos žr. pakuotės lapelyje.</w:t>
      </w:r>
    </w:p>
    <w:p w14:paraId="71BF713D" w14:textId="77777777" w:rsidR="002F3324" w:rsidRPr="00534C57" w:rsidRDefault="002F3324" w:rsidP="002F3324">
      <w:pPr>
        <w:tabs>
          <w:tab w:val="left" w:pos="567"/>
        </w:tabs>
        <w:autoSpaceDE w:val="0"/>
        <w:autoSpaceDN w:val="0"/>
        <w:adjustRightInd w:val="0"/>
        <w:spacing w:after="0" w:line="240" w:lineRule="auto"/>
        <w:rPr>
          <w:rFonts w:ascii="Times New Roman" w:hAnsi="Times New Roman"/>
          <w:color w:val="000000"/>
        </w:rPr>
      </w:pPr>
    </w:p>
    <w:p w14:paraId="58682047" w14:textId="77777777" w:rsidR="002F3324" w:rsidRPr="00534C57" w:rsidRDefault="002F3324" w:rsidP="002F3324">
      <w:pPr>
        <w:tabs>
          <w:tab w:val="left" w:pos="567"/>
        </w:tabs>
        <w:spacing w:after="0" w:line="240" w:lineRule="auto"/>
        <w:rPr>
          <w:rFonts w:ascii="Times New Roman" w:hAnsi="Times New Roman"/>
        </w:rPr>
      </w:pPr>
    </w:p>
    <w:p w14:paraId="2DAB2C05"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4.</w:t>
      </w:r>
      <w:r w:rsidRPr="00534C57">
        <w:rPr>
          <w:rFonts w:ascii="Times New Roman" w:hAnsi="Times New Roman"/>
          <w:b/>
          <w:bCs/>
        </w:rPr>
        <w:tab/>
        <w:t>FARMACINĖ FORMA IR KIEKIS PAKUOTĖJE</w:t>
      </w:r>
    </w:p>
    <w:p w14:paraId="1AC488B2" w14:textId="77777777" w:rsidR="00520BCE" w:rsidRPr="00534C57" w:rsidRDefault="00520BCE" w:rsidP="002F3324">
      <w:pPr>
        <w:tabs>
          <w:tab w:val="left" w:pos="567"/>
        </w:tabs>
        <w:spacing w:after="0" w:line="240" w:lineRule="auto"/>
        <w:rPr>
          <w:rFonts w:ascii="Times New Roman" w:hAnsi="Times New Roman"/>
        </w:rPr>
      </w:pPr>
    </w:p>
    <w:p w14:paraId="00BCD615" w14:textId="77777777" w:rsidR="00520BCE" w:rsidRDefault="00520BCE" w:rsidP="002F3324">
      <w:pPr>
        <w:tabs>
          <w:tab w:val="left" w:pos="567"/>
        </w:tabs>
        <w:autoSpaceDE w:val="0"/>
        <w:autoSpaceDN w:val="0"/>
        <w:adjustRightInd w:val="0"/>
        <w:spacing w:after="0" w:line="240" w:lineRule="auto"/>
        <w:rPr>
          <w:rFonts w:ascii="Times New Roman" w:hAnsi="Times New Roman"/>
          <w:bCs/>
          <w:color w:val="000000"/>
        </w:rPr>
      </w:pPr>
      <w:r w:rsidRPr="00E50BA2">
        <w:rPr>
          <w:rFonts w:ascii="Times New Roman" w:hAnsi="Times New Roman"/>
          <w:bCs/>
          <w:color w:val="000000"/>
          <w:highlight w:val="lightGray"/>
        </w:rPr>
        <w:t>Plėvele dengtos tabletės</w:t>
      </w:r>
    </w:p>
    <w:p w14:paraId="676D86B1" w14:textId="77777777" w:rsidR="00520BCE" w:rsidRDefault="00520BCE" w:rsidP="002F3324">
      <w:pPr>
        <w:tabs>
          <w:tab w:val="left" w:pos="567"/>
        </w:tabs>
        <w:autoSpaceDE w:val="0"/>
        <w:autoSpaceDN w:val="0"/>
        <w:adjustRightInd w:val="0"/>
        <w:spacing w:after="0" w:line="240" w:lineRule="auto"/>
        <w:rPr>
          <w:rFonts w:ascii="Times New Roman" w:hAnsi="Times New Roman"/>
          <w:bCs/>
          <w:color w:val="000000"/>
        </w:rPr>
      </w:pPr>
    </w:p>
    <w:p w14:paraId="6FD534CD" w14:textId="77777777" w:rsidR="002F3324" w:rsidRDefault="002F3324" w:rsidP="002F3324">
      <w:pPr>
        <w:tabs>
          <w:tab w:val="left" w:pos="567"/>
        </w:tabs>
        <w:autoSpaceDE w:val="0"/>
        <w:autoSpaceDN w:val="0"/>
        <w:adjustRightInd w:val="0"/>
        <w:spacing w:after="0" w:line="240" w:lineRule="auto"/>
        <w:rPr>
          <w:rFonts w:ascii="Times New Roman" w:hAnsi="Times New Roman"/>
          <w:bCs/>
          <w:color w:val="000000"/>
        </w:rPr>
      </w:pPr>
      <w:r w:rsidRPr="00534C57">
        <w:rPr>
          <w:rFonts w:ascii="Times New Roman" w:hAnsi="Times New Roman"/>
          <w:bCs/>
          <w:color w:val="000000"/>
        </w:rPr>
        <w:t>2 plėvele dengtos tabletės.</w:t>
      </w:r>
    </w:p>
    <w:p w14:paraId="6157957B" w14:textId="77777777" w:rsidR="00084531" w:rsidRPr="00534C57" w:rsidRDefault="00084531" w:rsidP="002F3324">
      <w:pPr>
        <w:tabs>
          <w:tab w:val="left" w:pos="567"/>
        </w:tabs>
        <w:autoSpaceDE w:val="0"/>
        <w:autoSpaceDN w:val="0"/>
        <w:adjustRightInd w:val="0"/>
        <w:spacing w:after="0" w:line="240" w:lineRule="auto"/>
        <w:rPr>
          <w:rFonts w:ascii="Times New Roman" w:hAnsi="Times New Roman"/>
          <w:bCs/>
          <w:color w:val="000000"/>
        </w:rPr>
      </w:pPr>
      <w:r w:rsidRPr="00E50BA2">
        <w:rPr>
          <w:rFonts w:ascii="Times New Roman" w:hAnsi="Times New Roman"/>
          <w:bCs/>
          <w:color w:val="000000"/>
          <w:highlight w:val="lightGray"/>
        </w:rPr>
        <w:t>2x1 plėvele dengtos tabletės.</w:t>
      </w:r>
    </w:p>
    <w:p w14:paraId="780E7702"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10 plėvele dengtų tablečių.</w:t>
      </w:r>
    </w:p>
    <w:p w14:paraId="5DF87412" w14:textId="77777777" w:rsidR="00084531" w:rsidRPr="00E50BA2" w:rsidRDefault="00084531"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10x1 plėvele dengtų tablečių.</w:t>
      </w:r>
    </w:p>
    <w:p w14:paraId="1F89C98E"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14 plėvele dengtų tablečių.</w:t>
      </w:r>
    </w:p>
    <w:p w14:paraId="04061F76" w14:textId="77777777" w:rsidR="00084531" w:rsidRPr="00E50BA2" w:rsidRDefault="00084531"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14x1 plėvele dengtų tablečių.</w:t>
      </w:r>
    </w:p>
    <w:p w14:paraId="79F1A14B"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20 plėvele dengtų tablečių.</w:t>
      </w:r>
    </w:p>
    <w:p w14:paraId="45C5B9A0" w14:textId="77777777" w:rsidR="00084531" w:rsidRPr="00E50BA2" w:rsidRDefault="00084531"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20x1 plėvele dengtų tablečių.</w:t>
      </w:r>
    </w:p>
    <w:p w14:paraId="4D6F00DF"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28 plėvele dengtos tabletės.</w:t>
      </w:r>
    </w:p>
    <w:p w14:paraId="36814B5F" w14:textId="77777777" w:rsidR="00084531" w:rsidRPr="00E50BA2" w:rsidRDefault="00084531"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28x1 plėvele dengtos tabletės.</w:t>
      </w:r>
    </w:p>
    <w:p w14:paraId="1935459E"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30 plėvele dengtų tablečių.</w:t>
      </w:r>
    </w:p>
    <w:p w14:paraId="2BBC8A87" w14:textId="77777777" w:rsidR="00084531" w:rsidRPr="00E50BA2" w:rsidRDefault="00084531"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30x1 plėvele dengtų tablečių.</w:t>
      </w:r>
    </w:p>
    <w:p w14:paraId="7B1B257F"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50 plėvele dengtų tablečių.</w:t>
      </w:r>
    </w:p>
    <w:p w14:paraId="5B7A6BC7" w14:textId="77777777" w:rsidR="00084531" w:rsidRPr="00E50BA2" w:rsidRDefault="00084531" w:rsidP="00084531">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50x1 plėvele dengtų tablečių.</w:t>
      </w:r>
    </w:p>
    <w:p w14:paraId="028587D7"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56 plėvele dengtos tabletės.</w:t>
      </w:r>
    </w:p>
    <w:p w14:paraId="57B8EEB6" w14:textId="77777777" w:rsidR="00084531" w:rsidRPr="00E50BA2" w:rsidRDefault="00084531"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56x1 plėvele dengtos tabletės.</w:t>
      </w:r>
    </w:p>
    <w:p w14:paraId="6CAAB161" w14:textId="77777777" w:rsidR="002F3324" w:rsidRPr="00E50BA2" w:rsidRDefault="002F3324"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98 plėvele dengtos tabletės.</w:t>
      </w:r>
    </w:p>
    <w:p w14:paraId="6B63D158" w14:textId="77777777" w:rsidR="00084531" w:rsidRPr="00E50BA2" w:rsidRDefault="00084531" w:rsidP="002F3324">
      <w:pPr>
        <w:tabs>
          <w:tab w:val="left" w:pos="567"/>
        </w:tabs>
        <w:autoSpaceDE w:val="0"/>
        <w:autoSpaceDN w:val="0"/>
        <w:adjustRightInd w:val="0"/>
        <w:spacing w:after="0" w:line="240" w:lineRule="auto"/>
        <w:rPr>
          <w:rFonts w:ascii="Times New Roman" w:hAnsi="Times New Roman"/>
          <w:color w:val="000000"/>
          <w:highlight w:val="lightGray"/>
        </w:rPr>
      </w:pPr>
      <w:r w:rsidRPr="00E50BA2">
        <w:rPr>
          <w:rFonts w:ascii="Times New Roman" w:hAnsi="Times New Roman"/>
          <w:color w:val="000000"/>
          <w:highlight w:val="lightGray"/>
        </w:rPr>
        <w:t>98x1 plėvele dengtos tabletės.</w:t>
      </w:r>
    </w:p>
    <w:p w14:paraId="6F630797" w14:textId="77777777" w:rsidR="002F3324" w:rsidRDefault="002F3324" w:rsidP="002F3324">
      <w:pPr>
        <w:tabs>
          <w:tab w:val="left" w:pos="567"/>
        </w:tabs>
        <w:autoSpaceDE w:val="0"/>
        <w:autoSpaceDN w:val="0"/>
        <w:adjustRightInd w:val="0"/>
        <w:spacing w:after="0" w:line="240" w:lineRule="auto"/>
        <w:rPr>
          <w:rFonts w:ascii="Times New Roman" w:hAnsi="Times New Roman"/>
          <w:color w:val="000000"/>
        </w:rPr>
      </w:pPr>
      <w:r w:rsidRPr="00E50BA2">
        <w:rPr>
          <w:rFonts w:ascii="Times New Roman" w:hAnsi="Times New Roman"/>
          <w:color w:val="000000"/>
          <w:highlight w:val="lightGray"/>
        </w:rPr>
        <w:t>100 plėvele dengtų tablečių.</w:t>
      </w:r>
    </w:p>
    <w:p w14:paraId="452717FA" w14:textId="77777777" w:rsidR="00084531" w:rsidRPr="00534C57" w:rsidRDefault="00084531" w:rsidP="002F3324">
      <w:pPr>
        <w:tabs>
          <w:tab w:val="left" w:pos="567"/>
        </w:tabs>
        <w:autoSpaceDE w:val="0"/>
        <w:autoSpaceDN w:val="0"/>
        <w:adjustRightInd w:val="0"/>
        <w:spacing w:after="0" w:line="240" w:lineRule="auto"/>
        <w:rPr>
          <w:rFonts w:ascii="Times New Roman" w:hAnsi="Times New Roman"/>
          <w:bCs/>
          <w:color w:val="000000"/>
        </w:rPr>
      </w:pPr>
      <w:r w:rsidRPr="00E50BA2">
        <w:rPr>
          <w:rFonts w:ascii="Times New Roman" w:hAnsi="Times New Roman"/>
          <w:color w:val="000000"/>
          <w:highlight w:val="lightGray"/>
        </w:rPr>
        <w:t>100x1 plėvele dengtų tablečių.</w:t>
      </w:r>
    </w:p>
    <w:p w14:paraId="07CFAFDC" w14:textId="77777777" w:rsidR="002F3324" w:rsidRPr="00534C57" w:rsidRDefault="002F3324" w:rsidP="002F3324">
      <w:pPr>
        <w:tabs>
          <w:tab w:val="left" w:pos="567"/>
        </w:tabs>
        <w:spacing w:after="0" w:line="240" w:lineRule="auto"/>
        <w:rPr>
          <w:rFonts w:ascii="Times New Roman" w:hAnsi="Times New Roman"/>
        </w:rPr>
      </w:pPr>
    </w:p>
    <w:p w14:paraId="459A3CD3" w14:textId="77777777" w:rsidR="002F3324" w:rsidRPr="00534C57" w:rsidRDefault="002F3324" w:rsidP="002F3324">
      <w:pPr>
        <w:tabs>
          <w:tab w:val="left" w:pos="567"/>
        </w:tabs>
        <w:spacing w:after="0" w:line="240" w:lineRule="auto"/>
        <w:rPr>
          <w:rFonts w:ascii="Times New Roman" w:hAnsi="Times New Roman"/>
        </w:rPr>
      </w:pPr>
    </w:p>
    <w:p w14:paraId="491C4371"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5.</w:t>
      </w:r>
      <w:r w:rsidRPr="00534C57">
        <w:rPr>
          <w:rFonts w:ascii="Times New Roman" w:hAnsi="Times New Roman"/>
          <w:b/>
          <w:bCs/>
        </w:rPr>
        <w:tab/>
        <w:t>VARTOJIMO METODAS IR BŪDAS (-AI)</w:t>
      </w:r>
    </w:p>
    <w:p w14:paraId="5C542941" w14:textId="77777777" w:rsidR="002F3324" w:rsidRPr="00534C57" w:rsidRDefault="002F3324" w:rsidP="002F3324">
      <w:pPr>
        <w:tabs>
          <w:tab w:val="left" w:pos="567"/>
        </w:tabs>
        <w:spacing w:after="0" w:line="240" w:lineRule="auto"/>
        <w:rPr>
          <w:rFonts w:ascii="Times New Roman" w:hAnsi="Times New Roman"/>
        </w:rPr>
      </w:pPr>
    </w:p>
    <w:p w14:paraId="23BF8F56" w14:textId="77777777" w:rsidR="002F3324" w:rsidRPr="00534C57" w:rsidRDefault="002F3324" w:rsidP="002F3324">
      <w:pPr>
        <w:tabs>
          <w:tab w:val="left" w:pos="567"/>
        </w:tabs>
        <w:spacing w:after="0" w:line="240" w:lineRule="auto"/>
        <w:rPr>
          <w:rFonts w:ascii="Times New Roman" w:hAnsi="Times New Roman"/>
        </w:rPr>
      </w:pPr>
      <w:r w:rsidRPr="00534C57">
        <w:rPr>
          <w:rFonts w:ascii="Times New Roman" w:hAnsi="Times New Roman"/>
        </w:rPr>
        <w:t>Vartoti per burną.</w:t>
      </w:r>
    </w:p>
    <w:p w14:paraId="06EA9F3A" w14:textId="77777777" w:rsidR="002F3324" w:rsidRPr="00534C57" w:rsidRDefault="002F3324" w:rsidP="002F3324">
      <w:pPr>
        <w:tabs>
          <w:tab w:val="left" w:pos="567"/>
        </w:tabs>
        <w:spacing w:after="0" w:line="240" w:lineRule="auto"/>
        <w:rPr>
          <w:rFonts w:ascii="Times New Roman" w:hAnsi="Times New Roman"/>
        </w:rPr>
      </w:pPr>
      <w:r w:rsidRPr="00534C57">
        <w:rPr>
          <w:rFonts w:ascii="Times New Roman" w:hAnsi="Times New Roman"/>
        </w:rPr>
        <w:t>Prieš vartojimą perskaitykite pakuotės lapelį.</w:t>
      </w:r>
    </w:p>
    <w:p w14:paraId="71EB2465" w14:textId="77777777" w:rsidR="002F3324" w:rsidRPr="00534C57" w:rsidRDefault="002F3324" w:rsidP="002F3324">
      <w:pPr>
        <w:tabs>
          <w:tab w:val="left" w:pos="567"/>
        </w:tabs>
        <w:spacing w:after="0" w:line="240" w:lineRule="auto"/>
        <w:rPr>
          <w:rFonts w:ascii="Times New Roman" w:hAnsi="Times New Roman"/>
        </w:rPr>
      </w:pPr>
    </w:p>
    <w:p w14:paraId="64E03CF6" w14:textId="77777777" w:rsidR="002F3324" w:rsidRPr="00534C57" w:rsidRDefault="002F3324" w:rsidP="002F3324">
      <w:pPr>
        <w:tabs>
          <w:tab w:val="left" w:pos="567"/>
        </w:tabs>
        <w:spacing w:after="0" w:line="240" w:lineRule="auto"/>
        <w:rPr>
          <w:rFonts w:ascii="Times New Roman" w:hAnsi="Times New Roman"/>
        </w:rPr>
      </w:pPr>
    </w:p>
    <w:p w14:paraId="098F9664"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6.</w:t>
      </w:r>
      <w:r w:rsidRPr="00534C57">
        <w:rPr>
          <w:rFonts w:ascii="Times New Roman" w:hAnsi="Times New Roman"/>
          <w:b/>
          <w:bCs/>
        </w:rPr>
        <w:tab/>
        <w:t>SPECIALUS ĮSPĖJIMAS, KAD VAISTINĮ PREPARATĄ BŪTINA LAIKYTI VAIKAMS NEPASTEBIMOJE IR NEPASIEKIAMOJE VIETOJE</w:t>
      </w:r>
    </w:p>
    <w:p w14:paraId="648938D1" w14:textId="77777777" w:rsidR="002F3324" w:rsidRPr="00534C57" w:rsidRDefault="002F3324" w:rsidP="002F3324">
      <w:pPr>
        <w:tabs>
          <w:tab w:val="left" w:pos="567"/>
        </w:tabs>
        <w:spacing w:after="0" w:line="240" w:lineRule="auto"/>
        <w:rPr>
          <w:rFonts w:ascii="Times New Roman" w:hAnsi="Times New Roman"/>
        </w:rPr>
      </w:pPr>
    </w:p>
    <w:p w14:paraId="7F55967E" w14:textId="77777777" w:rsidR="002F3324" w:rsidRPr="00534C57" w:rsidRDefault="002F3324" w:rsidP="002F3324">
      <w:pPr>
        <w:tabs>
          <w:tab w:val="left" w:pos="567"/>
        </w:tabs>
        <w:spacing w:after="0" w:line="240" w:lineRule="auto"/>
        <w:rPr>
          <w:rFonts w:ascii="Times New Roman" w:hAnsi="Times New Roman"/>
        </w:rPr>
      </w:pPr>
      <w:r w:rsidRPr="00534C57">
        <w:rPr>
          <w:rFonts w:ascii="Times New Roman" w:hAnsi="Times New Roman"/>
        </w:rPr>
        <w:t>Laikyti vaikams nepastebimoje ir nepasiekiamoje vietoje.</w:t>
      </w:r>
    </w:p>
    <w:p w14:paraId="117B678C" w14:textId="77777777" w:rsidR="002F3324" w:rsidRPr="00534C57" w:rsidRDefault="002F3324" w:rsidP="002F3324">
      <w:pPr>
        <w:tabs>
          <w:tab w:val="left" w:pos="567"/>
        </w:tabs>
        <w:spacing w:after="0" w:line="240" w:lineRule="auto"/>
        <w:rPr>
          <w:rFonts w:ascii="Times New Roman" w:hAnsi="Times New Roman"/>
        </w:rPr>
      </w:pPr>
    </w:p>
    <w:p w14:paraId="46401E6E" w14:textId="77777777" w:rsidR="002F3324" w:rsidRPr="00534C57" w:rsidRDefault="002F3324" w:rsidP="002F3324">
      <w:pPr>
        <w:tabs>
          <w:tab w:val="left" w:pos="567"/>
        </w:tabs>
        <w:spacing w:after="0" w:line="240" w:lineRule="auto"/>
        <w:rPr>
          <w:rFonts w:ascii="Times New Roman" w:hAnsi="Times New Roman"/>
        </w:rPr>
      </w:pPr>
    </w:p>
    <w:p w14:paraId="24DC411F"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7.</w:t>
      </w:r>
      <w:r w:rsidRPr="00534C57">
        <w:rPr>
          <w:rFonts w:ascii="Times New Roman" w:hAnsi="Times New Roman"/>
          <w:b/>
          <w:bCs/>
        </w:rPr>
        <w:tab/>
        <w:t>KITAS (-I) SPECIALUS (-ŪS) ĮSPĖJIMAS (-AI) (JEI REIKIA)</w:t>
      </w:r>
    </w:p>
    <w:p w14:paraId="30BB0FF7" w14:textId="77777777" w:rsidR="002F3324" w:rsidRPr="00534C57" w:rsidRDefault="002F3324" w:rsidP="002F3324">
      <w:pPr>
        <w:tabs>
          <w:tab w:val="left" w:pos="567"/>
        </w:tabs>
        <w:spacing w:after="0" w:line="240" w:lineRule="auto"/>
        <w:rPr>
          <w:rFonts w:ascii="Times New Roman" w:hAnsi="Times New Roman"/>
        </w:rPr>
      </w:pPr>
    </w:p>
    <w:p w14:paraId="13603812" w14:textId="77777777" w:rsidR="002F3324" w:rsidRPr="00534C57" w:rsidRDefault="002F3324" w:rsidP="002F3324">
      <w:pPr>
        <w:tabs>
          <w:tab w:val="left" w:pos="567"/>
        </w:tabs>
        <w:spacing w:after="0" w:line="240" w:lineRule="auto"/>
        <w:rPr>
          <w:rFonts w:ascii="Times New Roman" w:hAnsi="Times New Roman"/>
        </w:rPr>
      </w:pPr>
    </w:p>
    <w:p w14:paraId="6D53CCFF"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8.</w:t>
      </w:r>
      <w:r w:rsidRPr="00534C57">
        <w:rPr>
          <w:rFonts w:ascii="Times New Roman" w:hAnsi="Times New Roman"/>
          <w:b/>
          <w:bCs/>
        </w:rPr>
        <w:tab/>
        <w:t>TINKAMUMO LAIKAS</w:t>
      </w:r>
    </w:p>
    <w:p w14:paraId="42EC5743" w14:textId="77777777" w:rsidR="002F3324" w:rsidRPr="00534C57" w:rsidRDefault="002F3324" w:rsidP="002F3324">
      <w:pPr>
        <w:tabs>
          <w:tab w:val="left" w:pos="567"/>
        </w:tabs>
        <w:spacing w:after="0" w:line="240" w:lineRule="auto"/>
        <w:rPr>
          <w:rFonts w:ascii="Times New Roman" w:hAnsi="Times New Roman"/>
        </w:rPr>
      </w:pPr>
    </w:p>
    <w:p w14:paraId="7FDC6C4B" w14:textId="77777777" w:rsidR="00A0162A" w:rsidRDefault="00A0162A" w:rsidP="002F3324">
      <w:pPr>
        <w:tabs>
          <w:tab w:val="left" w:pos="567"/>
        </w:tabs>
        <w:spacing w:after="0" w:line="240" w:lineRule="auto"/>
        <w:rPr>
          <w:rFonts w:ascii="Times New Roman" w:hAnsi="Times New Roman"/>
        </w:rPr>
      </w:pPr>
      <w:r>
        <w:rPr>
          <w:rFonts w:ascii="Times New Roman" w:hAnsi="Times New Roman"/>
        </w:rPr>
        <w:t>EXP</w:t>
      </w:r>
      <w:r w:rsidR="00A46711">
        <w:rPr>
          <w:rFonts w:ascii="Times New Roman" w:hAnsi="Times New Roman"/>
        </w:rPr>
        <w:t xml:space="preserve"> {mm/MMMM}</w:t>
      </w:r>
    </w:p>
    <w:p w14:paraId="463379F9" w14:textId="77777777" w:rsidR="002F3324" w:rsidRPr="00534C57" w:rsidRDefault="002F3324" w:rsidP="002F3324">
      <w:pPr>
        <w:tabs>
          <w:tab w:val="left" w:pos="567"/>
        </w:tabs>
        <w:spacing w:after="0" w:line="240" w:lineRule="auto"/>
        <w:rPr>
          <w:rFonts w:ascii="Times New Roman" w:hAnsi="Times New Roman"/>
        </w:rPr>
      </w:pPr>
      <w:r w:rsidRPr="00E50BA2">
        <w:rPr>
          <w:rFonts w:ascii="Times New Roman" w:hAnsi="Times New Roman"/>
          <w:highlight w:val="lightGray"/>
        </w:rPr>
        <w:t>Tinka iki: {mm/MMMM}</w:t>
      </w:r>
    </w:p>
    <w:p w14:paraId="3FDB21B2" w14:textId="77777777" w:rsidR="002F3324" w:rsidRPr="00534C57" w:rsidRDefault="002F3324" w:rsidP="002F3324">
      <w:pPr>
        <w:tabs>
          <w:tab w:val="left" w:pos="567"/>
        </w:tabs>
        <w:spacing w:after="0" w:line="240" w:lineRule="auto"/>
        <w:rPr>
          <w:rFonts w:ascii="Times New Roman" w:hAnsi="Times New Roman"/>
        </w:rPr>
      </w:pPr>
    </w:p>
    <w:p w14:paraId="54A87424" w14:textId="77777777" w:rsidR="002F3324" w:rsidRPr="00534C57" w:rsidRDefault="002F3324" w:rsidP="002F3324">
      <w:pPr>
        <w:tabs>
          <w:tab w:val="left" w:pos="567"/>
        </w:tabs>
        <w:spacing w:after="0" w:line="240" w:lineRule="auto"/>
        <w:rPr>
          <w:rFonts w:ascii="Times New Roman" w:hAnsi="Times New Roman"/>
        </w:rPr>
      </w:pPr>
    </w:p>
    <w:p w14:paraId="5D7C780C"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9.</w:t>
      </w:r>
      <w:r w:rsidRPr="00534C57">
        <w:rPr>
          <w:rFonts w:ascii="Times New Roman" w:hAnsi="Times New Roman"/>
          <w:b/>
          <w:bCs/>
        </w:rPr>
        <w:tab/>
        <w:t>SPECIALIOS LAIKYMO SĄLYGOS</w:t>
      </w:r>
    </w:p>
    <w:p w14:paraId="0B163E94" w14:textId="77777777" w:rsidR="002F3324" w:rsidRPr="00534C57" w:rsidRDefault="002F3324" w:rsidP="002F3324">
      <w:pPr>
        <w:tabs>
          <w:tab w:val="left" w:pos="567"/>
        </w:tabs>
        <w:spacing w:after="0" w:line="240" w:lineRule="auto"/>
        <w:rPr>
          <w:rFonts w:ascii="Times New Roman" w:hAnsi="Times New Roman"/>
        </w:rPr>
      </w:pPr>
    </w:p>
    <w:p w14:paraId="6F6B5B8D" w14:textId="77777777" w:rsidR="002F3324" w:rsidRPr="00534C57" w:rsidRDefault="002F3324" w:rsidP="002F3324">
      <w:pPr>
        <w:tabs>
          <w:tab w:val="left" w:pos="567"/>
        </w:tabs>
        <w:spacing w:after="0" w:line="240" w:lineRule="auto"/>
        <w:rPr>
          <w:rFonts w:ascii="Times New Roman" w:hAnsi="Times New Roman"/>
        </w:rPr>
      </w:pPr>
    </w:p>
    <w:p w14:paraId="04A41B60"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10.</w:t>
      </w:r>
      <w:r w:rsidRPr="00534C57">
        <w:rPr>
          <w:rFonts w:ascii="Times New Roman" w:hAnsi="Times New Roman"/>
          <w:b/>
          <w:bCs/>
        </w:rPr>
        <w:tab/>
        <w:t>SPECIALIOS ATSARGUMO PRIEMONĖS DĖL NESUVARTOTO VAISTINIO PREPARATO AR JO ATLIEKU TVARKYMO (JEI REIKIA)</w:t>
      </w:r>
    </w:p>
    <w:p w14:paraId="26BADBC3" w14:textId="77777777" w:rsidR="002F3324" w:rsidRPr="00534C57" w:rsidRDefault="002F3324" w:rsidP="002F3324">
      <w:pPr>
        <w:tabs>
          <w:tab w:val="left" w:pos="567"/>
        </w:tabs>
        <w:spacing w:after="0" w:line="240" w:lineRule="auto"/>
        <w:rPr>
          <w:rFonts w:ascii="Times New Roman" w:hAnsi="Times New Roman"/>
        </w:rPr>
      </w:pPr>
    </w:p>
    <w:p w14:paraId="698D8FEB" w14:textId="77777777" w:rsidR="002F3324" w:rsidRPr="00534C57" w:rsidRDefault="002F3324" w:rsidP="002F3324">
      <w:pPr>
        <w:tabs>
          <w:tab w:val="left" w:pos="567"/>
        </w:tabs>
        <w:spacing w:after="0" w:line="240" w:lineRule="auto"/>
        <w:rPr>
          <w:rFonts w:ascii="Times New Roman" w:hAnsi="Times New Roman"/>
        </w:rPr>
      </w:pPr>
    </w:p>
    <w:p w14:paraId="76D72088"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11.</w:t>
      </w:r>
      <w:r w:rsidRPr="00534C57">
        <w:rPr>
          <w:rFonts w:ascii="Times New Roman" w:hAnsi="Times New Roman"/>
          <w:b/>
          <w:bCs/>
        </w:rPr>
        <w:tab/>
        <w:t>REGISTRUOTOJO</w:t>
      </w:r>
      <w:r w:rsidRPr="00534C57" w:rsidDel="00442C74">
        <w:rPr>
          <w:rFonts w:ascii="Times New Roman" w:hAnsi="Times New Roman"/>
          <w:b/>
          <w:bCs/>
        </w:rPr>
        <w:t xml:space="preserve"> </w:t>
      </w:r>
      <w:r w:rsidRPr="00534C57">
        <w:rPr>
          <w:rFonts w:ascii="Times New Roman" w:hAnsi="Times New Roman"/>
          <w:b/>
          <w:bCs/>
        </w:rPr>
        <w:t>PAVADINIMAS IR ADRESAS</w:t>
      </w:r>
    </w:p>
    <w:p w14:paraId="3607EC68" w14:textId="77777777" w:rsidR="002F3324" w:rsidRPr="00534C57" w:rsidRDefault="002F3324" w:rsidP="002F3324">
      <w:pPr>
        <w:tabs>
          <w:tab w:val="left" w:pos="567"/>
        </w:tabs>
        <w:spacing w:after="0" w:line="240" w:lineRule="auto"/>
        <w:rPr>
          <w:rFonts w:ascii="Times New Roman" w:hAnsi="Times New Roman"/>
        </w:rPr>
      </w:pPr>
    </w:p>
    <w:p w14:paraId="690513F1" w14:textId="77777777" w:rsidR="002F3324" w:rsidRPr="00534C57" w:rsidRDefault="002F3324" w:rsidP="002F3324">
      <w:pPr>
        <w:tabs>
          <w:tab w:val="left" w:pos="567"/>
        </w:tabs>
        <w:spacing w:after="0" w:line="240" w:lineRule="auto"/>
        <w:rPr>
          <w:rFonts w:ascii="Times New Roman" w:hAnsi="Times New Roman"/>
          <w:lang w:eastAsia="lt-LT"/>
        </w:rPr>
      </w:pPr>
      <w:r w:rsidRPr="00534C57">
        <w:rPr>
          <w:rFonts w:ascii="Times New Roman" w:hAnsi="Times New Roman"/>
          <w:lang w:eastAsia="lt-LT"/>
        </w:rPr>
        <w:t>Teva Pharma B.V.</w:t>
      </w:r>
    </w:p>
    <w:p w14:paraId="02DAED4E" w14:textId="77777777" w:rsidR="002F3324" w:rsidRPr="00534C57" w:rsidRDefault="002F3324" w:rsidP="002F3324">
      <w:pPr>
        <w:spacing w:after="0" w:line="240" w:lineRule="auto"/>
        <w:rPr>
          <w:rFonts w:ascii="Times New Roman" w:eastAsia="Times New Roman" w:hAnsi="Times New Roman"/>
          <w:lang w:eastAsia="de-DE"/>
        </w:rPr>
      </w:pPr>
      <w:r w:rsidRPr="00534C57">
        <w:rPr>
          <w:rFonts w:ascii="Times New Roman" w:eastAsia="Times New Roman" w:hAnsi="Times New Roman"/>
          <w:lang w:eastAsia="de-DE"/>
        </w:rPr>
        <w:t>Swensweg 5</w:t>
      </w:r>
    </w:p>
    <w:p w14:paraId="23CE7A44" w14:textId="77777777" w:rsidR="002F3324" w:rsidRPr="00534C57" w:rsidRDefault="002F3324" w:rsidP="002F3324">
      <w:pPr>
        <w:spacing w:after="0" w:line="240" w:lineRule="auto"/>
        <w:rPr>
          <w:rFonts w:ascii="Times New Roman" w:eastAsia="Times New Roman" w:hAnsi="Times New Roman"/>
          <w:lang w:eastAsia="de-DE"/>
        </w:rPr>
      </w:pPr>
      <w:r w:rsidRPr="00534C57">
        <w:rPr>
          <w:rFonts w:ascii="Times New Roman" w:eastAsia="Times New Roman" w:hAnsi="Times New Roman"/>
          <w:lang w:eastAsia="de-DE"/>
        </w:rPr>
        <w:t>2031 GA Haarlem</w:t>
      </w:r>
    </w:p>
    <w:p w14:paraId="43354DA2" w14:textId="77777777" w:rsidR="002F3324" w:rsidRPr="00534C57" w:rsidRDefault="002F3324" w:rsidP="002F3324">
      <w:pPr>
        <w:tabs>
          <w:tab w:val="left" w:pos="567"/>
        </w:tabs>
        <w:spacing w:after="0" w:line="240" w:lineRule="auto"/>
        <w:rPr>
          <w:rFonts w:ascii="Times New Roman" w:hAnsi="Times New Roman"/>
          <w:lang w:eastAsia="lt-LT"/>
        </w:rPr>
      </w:pPr>
      <w:r w:rsidRPr="00534C57">
        <w:rPr>
          <w:rFonts w:ascii="Times New Roman" w:hAnsi="Times New Roman"/>
          <w:lang w:eastAsia="lt-LT"/>
        </w:rPr>
        <w:t>Nyderlandai</w:t>
      </w:r>
    </w:p>
    <w:p w14:paraId="6EF022E7" w14:textId="77777777" w:rsidR="002F3324" w:rsidRPr="00534C57" w:rsidRDefault="002F3324" w:rsidP="002F3324">
      <w:pPr>
        <w:tabs>
          <w:tab w:val="left" w:pos="567"/>
        </w:tabs>
        <w:spacing w:after="0" w:line="240" w:lineRule="auto"/>
        <w:rPr>
          <w:rFonts w:ascii="Times New Roman" w:hAnsi="Times New Roman"/>
        </w:rPr>
      </w:pPr>
    </w:p>
    <w:p w14:paraId="0D77FD12" w14:textId="77777777" w:rsidR="002F3324" w:rsidRPr="00534C57" w:rsidRDefault="002F3324" w:rsidP="002F3324">
      <w:pPr>
        <w:tabs>
          <w:tab w:val="left" w:pos="567"/>
        </w:tabs>
        <w:spacing w:after="0" w:line="240" w:lineRule="auto"/>
        <w:rPr>
          <w:rFonts w:ascii="Times New Roman" w:hAnsi="Times New Roman"/>
        </w:rPr>
      </w:pPr>
    </w:p>
    <w:p w14:paraId="4F344679"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12.</w:t>
      </w:r>
      <w:r w:rsidRPr="00534C57">
        <w:rPr>
          <w:rFonts w:ascii="Times New Roman" w:hAnsi="Times New Roman"/>
          <w:b/>
          <w:bCs/>
        </w:rPr>
        <w:tab/>
        <w:t>REGISTRACIJOS PAŽYMĖJIMO NUMERIS</w:t>
      </w:r>
      <w:r w:rsidR="00A46711">
        <w:rPr>
          <w:rFonts w:ascii="Times New Roman" w:hAnsi="Times New Roman"/>
          <w:b/>
          <w:bCs/>
        </w:rPr>
        <w:t xml:space="preserve"> (-IAI)</w:t>
      </w:r>
    </w:p>
    <w:p w14:paraId="23806CDF" w14:textId="77777777" w:rsidR="002F3324" w:rsidRPr="00534C57" w:rsidRDefault="002F3324" w:rsidP="002F3324">
      <w:pPr>
        <w:tabs>
          <w:tab w:val="left" w:pos="567"/>
        </w:tabs>
        <w:spacing w:after="0" w:line="240" w:lineRule="auto"/>
        <w:rPr>
          <w:rFonts w:ascii="Times New Roman" w:hAnsi="Times New Roman"/>
        </w:rPr>
      </w:pPr>
    </w:p>
    <w:p w14:paraId="10DD637B" w14:textId="77777777" w:rsidR="005319D1" w:rsidRPr="00E50BA2" w:rsidRDefault="005319D1" w:rsidP="005319D1">
      <w:pPr>
        <w:tabs>
          <w:tab w:val="left" w:pos="567"/>
        </w:tabs>
        <w:spacing w:after="0" w:line="240" w:lineRule="auto"/>
        <w:rPr>
          <w:rFonts w:ascii="Times New Roman" w:hAnsi="Times New Roman"/>
          <w:highlight w:val="lightGray"/>
        </w:rPr>
      </w:pPr>
      <w:r w:rsidRPr="005319D1">
        <w:rPr>
          <w:rFonts w:ascii="Times New Roman" w:hAnsi="Times New Roman"/>
          <w:bCs/>
        </w:rPr>
        <w:t xml:space="preserve">LT/1/13/3368/001 </w:t>
      </w:r>
      <w:r w:rsidRPr="00E50BA2">
        <w:rPr>
          <w:rFonts w:ascii="Times New Roman" w:hAnsi="Times New Roman"/>
          <w:highlight w:val="lightGray"/>
        </w:rPr>
        <w:t>– N2</w:t>
      </w:r>
    </w:p>
    <w:p w14:paraId="183E2F91"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LT/1/13/3368/002 – N10</w:t>
      </w:r>
    </w:p>
    <w:p w14:paraId="24B384E6"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LT/1/13/3368/003 – N14</w:t>
      </w:r>
    </w:p>
    <w:p w14:paraId="15FE4060"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LT/1/13/3368/004 – N20</w:t>
      </w:r>
    </w:p>
    <w:p w14:paraId="55F86E07"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LT/1/13/3368/005 – N28</w:t>
      </w:r>
    </w:p>
    <w:p w14:paraId="36A1E380"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LT/1/13/3368/006 – N30</w:t>
      </w:r>
    </w:p>
    <w:p w14:paraId="7BA180FC"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LT/1/13/3368/007 – N50</w:t>
      </w:r>
    </w:p>
    <w:p w14:paraId="7DDE3B6E"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LT/1/13/3368/008 – N56</w:t>
      </w:r>
    </w:p>
    <w:p w14:paraId="519ADCC7" w14:textId="77777777" w:rsidR="005319D1" w:rsidRPr="00E50BA2" w:rsidRDefault="005319D1" w:rsidP="005319D1">
      <w:pPr>
        <w:tabs>
          <w:tab w:val="left" w:pos="567"/>
        </w:tabs>
        <w:spacing w:after="0" w:line="240" w:lineRule="auto"/>
        <w:rPr>
          <w:rFonts w:ascii="Times New Roman" w:hAnsi="Times New Roman"/>
          <w:highlight w:val="lightGray"/>
        </w:rPr>
      </w:pPr>
      <w:r w:rsidRPr="00E50BA2">
        <w:rPr>
          <w:rFonts w:ascii="Times New Roman" w:hAnsi="Times New Roman"/>
          <w:highlight w:val="lightGray"/>
        </w:rPr>
        <w:t>LT/1/13/3368/009 – N98</w:t>
      </w:r>
    </w:p>
    <w:p w14:paraId="3D1494D6" w14:textId="77777777" w:rsidR="005319D1" w:rsidRPr="005319D1" w:rsidRDefault="005319D1" w:rsidP="005319D1">
      <w:pPr>
        <w:tabs>
          <w:tab w:val="left" w:pos="567"/>
        </w:tabs>
        <w:spacing w:after="0" w:line="240" w:lineRule="auto"/>
        <w:rPr>
          <w:rFonts w:ascii="Times New Roman" w:hAnsi="Times New Roman"/>
          <w:bCs/>
        </w:rPr>
      </w:pPr>
      <w:r w:rsidRPr="00E50BA2">
        <w:rPr>
          <w:rFonts w:ascii="Times New Roman" w:hAnsi="Times New Roman"/>
          <w:highlight w:val="lightGray"/>
        </w:rPr>
        <w:t>LT/1/13/3368/010 – N100</w:t>
      </w:r>
    </w:p>
    <w:p w14:paraId="599EA7B6" w14:textId="77777777" w:rsidR="002F3324" w:rsidRPr="00534C57" w:rsidRDefault="002F3324" w:rsidP="002F3324">
      <w:pPr>
        <w:tabs>
          <w:tab w:val="left" w:pos="567"/>
        </w:tabs>
        <w:spacing w:after="0" w:line="240" w:lineRule="auto"/>
        <w:rPr>
          <w:rFonts w:ascii="Times New Roman" w:hAnsi="Times New Roman"/>
        </w:rPr>
      </w:pPr>
    </w:p>
    <w:p w14:paraId="3694E662" w14:textId="77777777" w:rsidR="002F3324" w:rsidRPr="00534C57" w:rsidRDefault="002F3324" w:rsidP="002F3324">
      <w:pPr>
        <w:tabs>
          <w:tab w:val="left" w:pos="567"/>
        </w:tabs>
        <w:spacing w:after="0" w:line="240" w:lineRule="auto"/>
        <w:rPr>
          <w:rFonts w:ascii="Times New Roman" w:hAnsi="Times New Roman"/>
        </w:rPr>
      </w:pPr>
    </w:p>
    <w:p w14:paraId="0956FB59"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13.</w:t>
      </w:r>
      <w:r w:rsidRPr="00534C57">
        <w:rPr>
          <w:rFonts w:ascii="Times New Roman" w:hAnsi="Times New Roman"/>
          <w:b/>
          <w:bCs/>
        </w:rPr>
        <w:tab/>
        <w:t>SERIJOS NUMERIS</w:t>
      </w:r>
    </w:p>
    <w:p w14:paraId="68F52C38" w14:textId="77777777" w:rsidR="002F3324" w:rsidRPr="00534C57" w:rsidRDefault="002F3324" w:rsidP="002F3324">
      <w:pPr>
        <w:tabs>
          <w:tab w:val="left" w:pos="567"/>
        </w:tabs>
        <w:spacing w:after="0" w:line="240" w:lineRule="auto"/>
        <w:rPr>
          <w:rFonts w:ascii="Times New Roman" w:hAnsi="Times New Roman"/>
        </w:rPr>
      </w:pPr>
    </w:p>
    <w:p w14:paraId="20AE449A" w14:textId="77777777" w:rsidR="00A0162A" w:rsidRDefault="00A0162A" w:rsidP="002F3324">
      <w:pPr>
        <w:tabs>
          <w:tab w:val="left" w:pos="567"/>
        </w:tabs>
        <w:spacing w:after="0" w:line="240" w:lineRule="auto"/>
        <w:rPr>
          <w:rFonts w:ascii="Times New Roman" w:hAnsi="Times New Roman"/>
        </w:rPr>
      </w:pPr>
      <w:r>
        <w:rPr>
          <w:rFonts w:ascii="Times New Roman" w:hAnsi="Times New Roman"/>
        </w:rPr>
        <w:t>Lot</w:t>
      </w:r>
    </w:p>
    <w:p w14:paraId="588A7CC5" w14:textId="77777777" w:rsidR="002F3324" w:rsidRPr="00534C57" w:rsidRDefault="002F3324" w:rsidP="002F3324">
      <w:pPr>
        <w:tabs>
          <w:tab w:val="left" w:pos="567"/>
        </w:tabs>
        <w:spacing w:after="0" w:line="240" w:lineRule="auto"/>
        <w:rPr>
          <w:rFonts w:ascii="Times New Roman" w:hAnsi="Times New Roman"/>
        </w:rPr>
      </w:pPr>
      <w:r w:rsidRPr="00E50BA2">
        <w:rPr>
          <w:rFonts w:ascii="Times New Roman" w:hAnsi="Times New Roman"/>
          <w:highlight w:val="lightGray"/>
        </w:rPr>
        <w:t>Serija:</w:t>
      </w:r>
    </w:p>
    <w:p w14:paraId="53E16D94" w14:textId="77777777" w:rsidR="002F3324" w:rsidRPr="00534C57" w:rsidRDefault="002F3324" w:rsidP="002F3324">
      <w:pPr>
        <w:tabs>
          <w:tab w:val="left" w:pos="567"/>
        </w:tabs>
        <w:spacing w:after="0" w:line="240" w:lineRule="auto"/>
        <w:rPr>
          <w:rFonts w:ascii="Times New Roman" w:hAnsi="Times New Roman"/>
        </w:rPr>
      </w:pPr>
    </w:p>
    <w:p w14:paraId="0A35A2B5" w14:textId="77777777" w:rsidR="002F3324" w:rsidRPr="00534C57" w:rsidRDefault="002F3324" w:rsidP="002F3324">
      <w:pPr>
        <w:tabs>
          <w:tab w:val="left" w:pos="567"/>
        </w:tabs>
        <w:spacing w:after="0" w:line="240" w:lineRule="auto"/>
        <w:rPr>
          <w:rFonts w:ascii="Times New Roman" w:hAnsi="Times New Roman"/>
        </w:rPr>
      </w:pPr>
    </w:p>
    <w:p w14:paraId="46AFA85C"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14.</w:t>
      </w:r>
      <w:r w:rsidRPr="00534C57">
        <w:rPr>
          <w:rFonts w:ascii="Times New Roman" w:hAnsi="Times New Roman"/>
          <w:b/>
          <w:bCs/>
        </w:rPr>
        <w:tab/>
        <w:t>PARDAVIMO (IŠDAVIMO) TVARKA</w:t>
      </w:r>
    </w:p>
    <w:p w14:paraId="5BDAAA83" w14:textId="77777777" w:rsidR="002F3324" w:rsidRPr="00534C57" w:rsidRDefault="002F3324" w:rsidP="002F3324">
      <w:pPr>
        <w:tabs>
          <w:tab w:val="left" w:pos="567"/>
        </w:tabs>
        <w:spacing w:after="0" w:line="240" w:lineRule="auto"/>
        <w:rPr>
          <w:rFonts w:ascii="Times New Roman" w:hAnsi="Times New Roman"/>
        </w:rPr>
      </w:pPr>
    </w:p>
    <w:p w14:paraId="6ECC3C4D" w14:textId="77777777" w:rsidR="002F3324" w:rsidRPr="00534C57" w:rsidRDefault="002F3324" w:rsidP="002F3324">
      <w:pPr>
        <w:tabs>
          <w:tab w:val="left" w:pos="567"/>
        </w:tabs>
        <w:spacing w:after="0" w:line="240" w:lineRule="auto"/>
        <w:rPr>
          <w:rFonts w:ascii="Times New Roman" w:hAnsi="Times New Roman"/>
        </w:rPr>
      </w:pPr>
      <w:r w:rsidRPr="00534C57">
        <w:rPr>
          <w:rFonts w:ascii="Times New Roman" w:hAnsi="Times New Roman"/>
        </w:rPr>
        <w:t xml:space="preserve">Receptinis </w:t>
      </w:r>
      <w:r w:rsidR="00A0162A">
        <w:rPr>
          <w:rFonts w:ascii="Times New Roman" w:hAnsi="Times New Roman"/>
        </w:rPr>
        <w:t>vaistas</w:t>
      </w:r>
      <w:r w:rsidRPr="00534C57">
        <w:rPr>
          <w:rFonts w:ascii="Times New Roman" w:hAnsi="Times New Roman"/>
        </w:rPr>
        <w:t>.</w:t>
      </w:r>
    </w:p>
    <w:p w14:paraId="2C325893" w14:textId="77777777" w:rsidR="002F3324" w:rsidRPr="00534C57" w:rsidRDefault="002F3324" w:rsidP="002F3324">
      <w:pPr>
        <w:tabs>
          <w:tab w:val="left" w:pos="567"/>
        </w:tabs>
        <w:spacing w:after="0" w:line="240" w:lineRule="auto"/>
        <w:rPr>
          <w:rFonts w:ascii="Times New Roman" w:hAnsi="Times New Roman"/>
        </w:rPr>
      </w:pPr>
    </w:p>
    <w:p w14:paraId="227CC9F5" w14:textId="77777777" w:rsidR="002F3324" w:rsidRPr="00534C57" w:rsidRDefault="002F3324" w:rsidP="002F3324">
      <w:pPr>
        <w:tabs>
          <w:tab w:val="left" w:pos="567"/>
        </w:tabs>
        <w:spacing w:after="0" w:line="240" w:lineRule="auto"/>
        <w:rPr>
          <w:rFonts w:ascii="Times New Roman" w:hAnsi="Times New Roman"/>
        </w:rPr>
      </w:pPr>
    </w:p>
    <w:p w14:paraId="285C8B94"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15.</w:t>
      </w:r>
      <w:r w:rsidRPr="00534C57">
        <w:rPr>
          <w:rFonts w:ascii="Times New Roman" w:hAnsi="Times New Roman"/>
          <w:b/>
          <w:bCs/>
        </w:rPr>
        <w:tab/>
        <w:t>VARTOJIMO INSTRUKCIJA</w:t>
      </w:r>
    </w:p>
    <w:p w14:paraId="016382DD" w14:textId="77777777" w:rsidR="002F3324" w:rsidRPr="00534C57" w:rsidRDefault="002F3324" w:rsidP="002F3324">
      <w:pPr>
        <w:tabs>
          <w:tab w:val="left" w:pos="567"/>
        </w:tabs>
        <w:spacing w:after="0" w:line="240" w:lineRule="auto"/>
        <w:rPr>
          <w:rFonts w:ascii="Times New Roman" w:hAnsi="Times New Roman"/>
        </w:rPr>
      </w:pPr>
    </w:p>
    <w:p w14:paraId="019191C7" w14:textId="77777777" w:rsidR="007C3F1A" w:rsidRPr="00FE7B76" w:rsidRDefault="007C3F1A" w:rsidP="007C3F1A">
      <w:pPr>
        <w:tabs>
          <w:tab w:val="left" w:pos="567"/>
        </w:tabs>
        <w:spacing w:after="0" w:line="240" w:lineRule="auto"/>
        <w:rPr>
          <w:rFonts w:ascii="Times New Roman" w:hAnsi="Times New Roman"/>
          <w:highlight w:val="lightGray"/>
        </w:rPr>
      </w:pPr>
      <w:r w:rsidRPr="00FE7B76">
        <w:rPr>
          <w:rFonts w:ascii="Times New Roman" w:hAnsi="Times New Roman"/>
          <w:highlight w:val="lightGray"/>
        </w:rPr>
        <w:t>&lt;{QR code}&gt; &lt;{kitas 2D barkodas}&gt; &lt;{NFC}&gt;</w:t>
      </w:r>
    </w:p>
    <w:p w14:paraId="61A00072" w14:textId="48922488" w:rsidR="002F3324" w:rsidRDefault="007C3F1A" w:rsidP="007C3F1A">
      <w:pPr>
        <w:tabs>
          <w:tab w:val="left" w:pos="567"/>
        </w:tabs>
        <w:spacing w:after="0" w:line="240" w:lineRule="auto"/>
        <w:rPr>
          <w:rFonts w:ascii="Times New Roman" w:hAnsi="Times New Roman"/>
        </w:rPr>
      </w:pPr>
      <w:r w:rsidRPr="00FE7B76">
        <w:rPr>
          <w:rFonts w:ascii="Times New Roman" w:hAnsi="Times New Roman"/>
          <w:highlight w:val="lightGray"/>
        </w:rPr>
        <w:t>&lt;{URL}&gt;</w:t>
      </w:r>
    </w:p>
    <w:p w14:paraId="069CA257" w14:textId="77777777" w:rsidR="007C3F1A" w:rsidRPr="00534C57" w:rsidRDefault="007C3F1A" w:rsidP="007C3F1A">
      <w:pPr>
        <w:tabs>
          <w:tab w:val="left" w:pos="567"/>
        </w:tabs>
        <w:spacing w:after="0" w:line="240" w:lineRule="auto"/>
        <w:rPr>
          <w:rFonts w:ascii="Times New Roman" w:hAnsi="Times New Roman"/>
        </w:rPr>
      </w:pPr>
    </w:p>
    <w:p w14:paraId="523DFD0A"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bCs/>
        </w:rPr>
      </w:pPr>
      <w:r w:rsidRPr="00534C57">
        <w:rPr>
          <w:rFonts w:ascii="Times New Roman" w:hAnsi="Times New Roman"/>
          <w:b/>
          <w:bCs/>
        </w:rPr>
        <w:t>16.</w:t>
      </w:r>
      <w:r w:rsidRPr="00534C57">
        <w:rPr>
          <w:rFonts w:ascii="Times New Roman" w:hAnsi="Times New Roman"/>
          <w:b/>
          <w:bCs/>
        </w:rPr>
        <w:tab/>
        <w:t>INFORMACIJA BRAILIO RAŠTU</w:t>
      </w:r>
    </w:p>
    <w:p w14:paraId="2F2155F4" w14:textId="77777777" w:rsidR="002F3324" w:rsidRPr="00534C57" w:rsidRDefault="002F3324" w:rsidP="002F3324">
      <w:pPr>
        <w:tabs>
          <w:tab w:val="left" w:pos="567"/>
        </w:tabs>
        <w:spacing w:after="0" w:line="240" w:lineRule="auto"/>
        <w:rPr>
          <w:rFonts w:ascii="Times New Roman" w:hAnsi="Times New Roman"/>
        </w:rPr>
      </w:pPr>
    </w:p>
    <w:p w14:paraId="2CEB4C01" w14:textId="77777777" w:rsidR="002F3324" w:rsidRPr="00BE562B" w:rsidRDefault="002F3324" w:rsidP="002F3324">
      <w:pPr>
        <w:tabs>
          <w:tab w:val="left" w:pos="567"/>
        </w:tabs>
        <w:spacing w:after="0" w:line="240" w:lineRule="auto"/>
        <w:rPr>
          <w:rFonts w:ascii="Times New Roman" w:hAnsi="Times New Roman"/>
          <w:color w:val="000000"/>
        </w:rPr>
      </w:pPr>
      <w:r w:rsidRPr="00534C57">
        <w:rPr>
          <w:rFonts w:ascii="Times New Roman" w:hAnsi="Times New Roman"/>
          <w:color w:val="000000"/>
        </w:rPr>
        <w:t>Voriconazole Teva 200</w:t>
      </w:r>
      <w:r w:rsidR="00A46711">
        <w:rPr>
          <w:rFonts w:ascii="Times New Roman" w:hAnsi="Times New Roman"/>
          <w:color w:val="000000"/>
        </w:rPr>
        <w:t> </w:t>
      </w:r>
      <w:r w:rsidRPr="00534C57">
        <w:rPr>
          <w:rFonts w:ascii="Times New Roman" w:hAnsi="Times New Roman"/>
          <w:color w:val="000000"/>
        </w:rPr>
        <w:t>mg</w:t>
      </w:r>
    </w:p>
    <w:p w14:paraId="59CF9E73" w14:textId="77777777" w:rsidR="000971B8" w:rsidRPr="00534C57" w:rsidRDefault="000971B8" w:rsidP="002F3324">
      <w:pPr>
        <w:tabs>
          <w:tab w:val="left" w:pos="567"/>
        </w:tabs>
        <w:spacing w:after="0" w:line="240" w:lineRule="auto"/>
        <w:rPr>
          <w:rFonts w:ascii="Times New Roman" w:hAnsi="Times New Roman"/>
          <w:color w:val="000000"/>
        </w:rPr>
      </w:pPr>
    </w:p>
    <w:p w14:paraId="0CFE84B0" w14:textId="77777777" w:rsidR="000971B8" w:rsidRPr="00534C57" w:rsidRDefault="000971B8" w:rsidP="000971B8">
      <w:pPr>
        <w:tabs>
          <w:tab w:val="left" w:pos="567"/>
        </w:tabs>
        <w:spacing w:after="0" w:line="240" w:lineRule="auto"/>
        <w:rPr>
          <w:rFonts w:ascii="Times New Roman" w:eastAsia="Times New Roman" w:hAnsi="Times New Roman"/>
          <w:noProof/>
          <w:shd w:val="clear" w:color="auto" w:fill="CCCCCC"/>
          <w:lang w:eastAsia="lt-LT" w:bidi="lt-LT"/>
        </w:rPr>
      </w:pPr>
    </w:p>
    <w:p w14:paraId="1B34FE6D" w14:textId="77777777" w:rsidR="000971B8" w:rsidRPr="00534C57" w:rsidRDefault="000971B8" w:rsidP="007E716C">
      <w:pPr>
        <w:pStyle w:val="Sraopastraipa"/>
        <w:keepNext/>
        <w:numPr>
          <w:ilvl w:val="0"/>
          <w:numId w:val="35"/>
        </w:numPr>
        <w:pBdr>
          <w:top w:val="single" w:sz="4" w:space="1" w:color="auto"/>
          <w:left w:val="single" w:sz="4" w:space="4" w:color="auto"/>
          <w:bottom w:val="single" w:sz="4" w:space="1" w:color="auto"/>
          <w:right w:val="single" w:sz="4" w:space="4" w:color="auto"/>
        </w:pBdr>
        <w:tabs>
          <w:tab w:val="left" w:pos="567"/>
        </w:tabs>
        <w:spacing w:after="0" w:line="240" w:lineRule="auto"/>
        <w:ind w:hanging="927"/>
        <w:outlineLvl w:val="0"/>
        <w:rPr>
          <w:rFonts w:ascii="Times New Roman" w:eastAsia="Times New Roman" w:hAnsi="Times New Roman"/>
          <w:i/>
          <w:noProof/>
          <w:szCs w:val="20"/>
          <w:lang w:eastAsia="lt-LT" w:bidi="lt-LT"/>
        </w:rPr>
      </w:pPr>
      <w:r w:rsidRPr="00534C57">
        <w:rPr>
          <w:rFonts w:ascii="Times New Roman" w:eastAsia="Times New Roman" w:hAnsi="Times New Roman"/>
          <w:b/>
          <w:noProof/>
          <w:szCs w:val="20"/>
          <w:lang w:eastAsia="lt-LT" w:bidi="lt-LT"/>
        </w:rPr>
        <w:t>UNIKALUS IDENTIFIKATORIUS – 2D BRŪKŠNINIS KODAS</w:t>
      </w:r>
    </w:p>
    <w:p w14:paraId="5B114EB3" w14:textId="77777777" w:rsidR="000971B8" w:rsidRPr="00534C57" w:rsidRDefault="000971B8" w:rsidP="000971B8">
      <w:pPr>
        <w:spacing w:after="0" w:line="240" w:lineRule="auto"/>
        <w:rPr>
          <w:rFonts w:ascii="Times New Roman" w:eastAsia="Times New Roman" w:hAnsi="Times New Roman"/>
          <w:noProof/>
          <w:szCs w:val="20"/>
          <w:lang w:eastAsia="lt-LT" w:bidi="lt-LT"/>
        </w:rPr>
      </w:pPr>
    </w:p>
    <w:p w14:paraId="4204FE39" w14:textId="77777777" w:rsidR="000971B8" w:rsidRPr="00534C57" w:rsidRDefault="000971B8" w:rsidP="000971B8">
      <w:pPr>
        <w:tabs>
          <w:tab w:val="left" w:pos="567"/>
        </w:tabs>
        <w:spacing w:after="0" w:line="240" w:lineRule="auto"/>
        <w:rPr>
          <w:rFonts w:ascii="Times New Roman" w:eastAsia="Times New Roman" w:hAnsi="Times New Roman"/>
          <w:noProof/>
          <w:shd w:val="clear" w:color="auto" w:fill="CCCCCC"/>
          <w:lang w:eastAsia="lt-LT" w:bidi="lt-LT"/>
        </w:rPr>
      </w:pPr>
      <w:r w:rsidRPr="00E50BA2">
        <w:rPr>
          <w:rFonts w:ascii="Times New Roman" w:hAnsi="Times New Roman"/>
          <w:highlight w:val="lightGray"/>
        </w:rPr>
        <w:t>2D brūkšninis kodas su nurodytu unikaliu identifikatoriumi.</w:t>
      </w:r>
    </w:p>
    <w:p w14:paraId="54999856" w14:textId="77777777" w:rsidR="000971B8" w:rsidRPr="00534C57" w:rsidRDefault="000971B8" w:rsidP="000971B8">
      <w:pPr>
        <w:tabs>
          <w:tab w:val="left" w:pos="567"/>
        </w:tabs>
        <w:spacing w:after="0" w:line="240" w:lineRule="auto"/>
        <w:rPr>
          <w:rFonts w:ascii="Times New Roman" w:eastAsia="Times New Roman" w:hAnsi="Times New Roman"/>
          <w:noProof/>
          <w:shd w:val="clear" w:color="auto" w:fill="CCCCCC"/>
          <w:lang w:eastAsia="lt-LT" w:bidi="lt-LT"/>
        </w:rPr>
      </w:pPr>
    </w:p>
    <w:p w14:paraId="23760DF6" w14:textId="77777777" w:rsidR="000971B8" w:rsidRPr="00534C57" w:rsidRDefault="000971B8" w:rsidP="000971B8">
      <w:pPr>
        <w:spacing w:after="0" w:line="240" w:lineRule="auto"/>
        <w:rPr>
          <w:rFonts w:ascii="Times New Roman" w:eastAsia="Times New Roman" w:hAnsi="Times New Roman"/>
          <w:noProof/>
          <w:szCs w:val="20"/>
          <w:lang w:eastAsia="lt-LT" w:bidi="lt-LT"/>
        </w:rPr>
      </w:pPr>
    </w:p>
    <w:p w14:paraId="03024D5E" w14:textId="77777777" w:rsidR="000971B8" w:rsidRPr="00534C57" w:rsidRDefault="000971B8" w:rsidP="007E716C">
      <w:pPr>
        <w:pStyle w:val="Sraopastraipa"/>
        <w:keepNext/>
        <w:numPr>
          <w:ilvl w:val="0"/>
          <w:numId w:val="35"/>
        </w:numPr>
        <w:pBdr>
          <w:top w:val="single" w:sz="4" w:space="1" w:color="auto"/>
          <w:left w:val="single" w:sz="4" w:space="4" w:color="auto"/>
          <w:bottom w:val="single" w:sz="4" w:space="1" w:color="auto"/>
          <w:right w:val="single" w:sz="4" w:space="4" w:color="auto"/>
        </w:pBdr>
        <w:tabs>
          <w:tab w:val="left" w:pos="567"/>
        </w:tabs>
        <w:spacing w:after="0" w:line="240" w:lineRule="auto"/>
        <w:ind w:hanging="927"/>
        <w:outlineLvl w:val="0"/>
        <w:rPr>
          <w:rFonts w:ascii="Times New Roman" w:eastAsia="Times New Roman" w:hAnsi="Times New Roman"/>
          <w:i/>
          <w:noProof/>
          <w:szCs w:val="20"/>
          <w:lang w:eastAsia="lt-LT" w:bidi="lt-LT"/>
        </w:rPr>
      </w:pPr>
      <w:r w:rsidRPr="00534C57">
        <w:rPr>
          <w:rFonts w:ascii="Times New Roman" w:eastAsia="Times New Roman" w:hAnsi="Times New Roman"/>
          <w:b/>
          <w:noProof/>
          <w:szCs w:val="20"/>
          <w:lang w:eastAsia="lt-LT" w:bidi="lt-LT"/>
        </w:rPr>
        <w:t>UNIKALUS IDENTIFIKATORIUS – ŽMONĖMS SUPRANTAMI DUOMENYS</w:t>
      </w:r>
    </w:p>
    <w:p w14:paraId="0A5ECF11" w14:textId="77777777" w:rsidR="000971B8" w:rsidRPr="00534C57" w:rsidRDefault="000971B8" w:rsidP="000971B8">
      <w:pPr>
        <w:spacing w:after="0" w:line="240" w:lineRule="auto"/>
        <w:rPr>
          <w:rFonts w:ascii="Times New Roman" w:eastAsia="Times New Roman" w:hAnsi="Times New Roman"/>
          <w:noProof/>
          <w:szCs w:val="20"/>
          <w:lang w:eastAsia="lt-LT" w:bidi="lt-LT"/>
        </w:rPr>
      </w:pPr>
    </w:p>
    <w:p w14:paraId="723A7054" w14:textId="77777777" w:rsidR="000971B8" w:rsidRPr="00951727" w:rsidRDefault="000971B8" w:rsidP="000971B8">
      <w:pPr>
        <w:tabs>
          <w:tab w:val="left" w:pos="567"/>
        </w:tabs>
        <w:spacing w:after="0" w:line="260" w:lineRule="exact"/>
        <w:rPr>
          <w:rFonts w:ascii="Times New Roman" w:eastAsia="Times New Roman" w:hAnsi="Times New Roman"/>
          <w:lang w:eastAsia="lt-LT" w:bidi="lt-LT"/>
        </w:rPr>
      </w:pPr>
      <w:r w:rsidRPr="00A46711">
        <w:rPr>
          <w:rFonts w:ascii="Times New Roman" w:eastAsia="Times New Roman" w:hAnsi="Times New Roman"/>
          <w:szCs w:val="20"/>
          <w:lang w:eastAsia="lt-LT" w:bidi="lt-LT"/>
        </w:rPr>
        <w:t xml:space="preserve">PC: </w:t>
      </w:r>
    </w:p>
    <w:p w14:paraId="46F43D58" w14:textId="77777777" w:rsidR="000971B8" w:rsidRPr="00534C57" w:rsidRDefault="000971B8" w:rsidP="000971B8">
      <w:pPr>
        <w:tabs>
          <w:tab w:val="left" w:pos="567"/>
        </w:tabs>
        <w:spacing w:after="0" w:line="260" w:lineRule="exact"/>
        <w:rPr>
          <w:rFonts w:ascii="Times New Roman" w:eastAsia="Times New Roman" w:hAnsi="Times New Roman"/>
          <w:lang w:eastAsia="lt-LT" w:bidi="lt-LT"/>
        </w:rPr>
      </w:pPr>
      <w:r w:rsidRPr="00534C57">
        <w:rPr>
          <w:rFonts w:ascii="Times New Roman" w:eastAsia="Times New Roman" w:hAnsi="Times New Roman"/>
          <w:szCs w:val="20"/>
          <w:lang w:eastAsia="lt-LT" w:bidi="lt-LT"/>
        </w:rPr>
        <w:t xml:space="preserve">SN: </w:t>
      </w:r>
    </w:p>
    <w:p w14:paraId="22E226D2" w14:textId="77777777" w:rsidR="000971B8" w:rsidRPr="00534C57" w:rsidRDefault="000971B8" w:rsidP="000971B8">
      <w:pPr>
        <w:tabs>
          <w:tab w:val="left" w:pos="567"/>
        </w:tabs>
        <w:spacing w:after="0" w:line="260" w:lineRule="exact"/>
        <w:rPr>
          <w:rFonts w:ascii="Times New Roman" w:eastAsia="Times New Roman" w:hAnsi="Times New Roman"/>
          <w:lang w:eastAsia="lt-LT" w:bidi="lt-LT"/>
        </w:rPr>
      </w:pPr>
      <w:r w:rsidRPr="00E50BA2">
        <w:rPr>
          <w:rFonts w:ascii="Times New Roman" w:hAnsi="Times New Roman"/>
          <w:highlight w:val="lightGray"/>
        </w:rPr>
        <w:t>NN:</w:t>
      </w:r>
      <w:r w:rsidRPr="00534C57">
        <w:rPr>
          <w:rFonts w:ascii="Times New Roman" w:eastAsia="Times New Roman" w:hAnsi="Times New Roman"/>
          <w:szCs w:val="20"/>
          <w:lang w:eastAsia="lt-LT" w:bidi="lt-LT"/>
        </w:rPr>
        <w:t xml:space="preserve"> </w:t>
      </w:r>
    </w:p>
    <w:p w14:paraId="58F81590" w14:textId="77777777" w:rsidR="000971B8" w:rsidRPr="00534C57" w:rsidRDefault="000971B8" w:rsidP="000971B8">
      <w:pPr>
        <w:tabs>
          <w:tab w:val="left" w:pos="567"/>
        </w:tabs>
        <w:spacing w:after="0" w:line="260" w:lineRule="exact"/>
        <w:ind w:left="-198"/>
        <w:rPr>
          <w:rFonts w:ascii="Times New Roman" w:eastAsia="Times New Roman" w:hAnsi="Times New Roman"/>
          <w:lang w:eastAsia="lt-LT" w:bidi="lt-LT"/>
        </w:rPr>
      </w:pPr>
    </w:p>
    <w:p w14:paraId="406015E5" w14:textId="77777777" w:rsidR="000971B8" w:rsidRPr="00534C57" w:rsidRDefault="000971B8" w:rsidP="002F3324">
      <w:pPr>
        <w:tabs>
          <w:tab w:val="left" w:pos="567"/>
        </w:tabs>
        <w:spacing w:after="0" w:line="240" w:lineRule="auto"/>
        <w:rPr>
          <w:rFonts w:ascii="Times New Roman" w:hAnsi="Times New Roman"/>
        </w:rPr>
      </w:pPr>
    </w:p>
    <w:p w14:paraId="4134D133" w14:textId="77777777" w:rsidR="002F3324" w:rsidRPr="00534C57" w:rsidRDefault="002F3324" w:rsidP="002F3324">
      <w:pPr>
        <w:tabs>
          <w:tab w:val="left" w:pos="567"/>
        </w:tabs>
        <w:spacing w:after="200" w:line="276" w:lineRule="auto"/>
        <w:rPr>
          <w:rFonts w:ascii="Times New Roman" w:hAnsi="Times New Roman"/>
        </w:rPr>
      </w:pPr>
      <w:r w:rsidRPr="00534C57">
        <w:rPr>
          <w:rFonts w:ascii="Times New Roman" w:hAnsi="Times New Roman"/>
        </w:rPr>
        <w:br w:type="page"/>
      </w:r>
    </w:p>
    <w:p w14:paraId="224A77A8"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noProof/>
        </w:rPr>
      </w:pPr>
      <w:r w:rsidRPr="00534C57">
        <w:rPr>
          <w:rFonts w:ascii="Times New Roman" w:hAnsi="Times New Roman"/>
          <w:b/>
          <w:noProof/>
        </w:rPr>
        <w:lastRenderedPageBreak/>
        <w:t xml:space="preserve">MINIMALI </w:t>
      </w:r>
      <w:r w:rsidRPr="00534C57">
        <w:rPr>
          <w:rFonts w:ascii="Times New Roman" w:hAnsi="Times New Roman"/>
          <w:b/>
          <w:caps/>
          <w:noProof/>
        </w:rPr>
        <w:t xml:space="preserve">informacija ant </w:t>
      </w:r>
      <w:r w:rsidRPr="00534C57">
        <w:rPr>
          <w:rFonts w:ascii="Times New Roman" w:hAnsi="Times New Roman"/>
          <w:b/>
          <w:noProof/>
        </w:rPr>
        <w:t>LIZDINIŲ PLOKŠTELIŲ ARBA DVISLUOKSNIŲ JUOSTELIŲ</w:t>
      </w:r>
    </w:p>
    <w:p w14:paraId="1DDD319D"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noProof/>
        </w:rPr>
      </w:pPr>
    </w:p>
    <w:p w14:paraId="49C515BF"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noProof/>
        </w:rPr>
      </w:pPr>
      <w:r w:rsidRPr="00534C57">
        <w:rPr>
          <w:rFonts w:ascii="Times New Roman" w:hAnsi="Times New Roman"/>
          <w:b/>
          <w:noProof/>
        </w:rPr>
        <w:t>LIZDINĖ PLOKŠTELĖ</w:t>
      </w:r>
    </w:p>
    <w:p w14:paraId="28E025B1" w14:textId="77777777" w:rsidR="002F3324" w:rsidRPr="00534C57" w:rsidRDefault="002F3324" w:rsidP="002F3324">
      <w:pPr>
        <w:tabs>
          <w:tab w:val="left" w:pos="567"/>
        </w:tabs>
        <w:spacing w:after="0" w:line="240" w:lineRule="auto"/>
        <w:rPr>
          <w:rFonts w:ascii="Times New Roman" w:hAnsi="Times New Roman"/>
          <w:noProof/>
        </w:rPr>
      </w:pPr>
    </w:p>
    <w:p w14:paraId="3A12C0F5" w14:textId="77777777" w:rsidR="002F3324" w:rsidRPr="00534C57" w:rsidRDefault="002F3324" w:rsidP="002F3324">
      <w:pPr>
        <w:tabs>
          <w:tab w:val="left" w:pos="567"/>
        </w:tabs>
        <w:spacing w:after="0" w:line="240" w:lineRule="auto"/>
        <w:rPr>
          <w:rFonts w:ascii="Times New Roman" w:hAnsi="Times New Roman"/>
          <w:noProof/>
        </w:rPr>
      </w:pPr>
    </w:p>
    <w:p w14:paraId="7C813FAE"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noProof/>
        </w:rPr>
      </w:pPr>
      <w:r w:rsidRPr="00534C57">
        <w:rPr>
          <w:rFonts w:ascii="Times New Roman" w:hAnsi="Times New Roman"/>
          <w:b/>
          <w:noProof/>
        </w:rPr>
        <w:t>1.</w:t>
      </w:r>
      <w:r w:rsidRPr="00534C57">
        <w:rPr>
          <w:rFonts w:ascii="Times New Roman" w:hAnsi="Times New Roman"/>
          <w:b/>
          <w:noProof/>
        </w:rPr>
        <w:tab/>
        <w:t>VAISTINIO PREPARATO PAVADINIMAS</w:t>
      </w:r>
    </w:p>
    <w:p w14:paraId="0574FDC3" w14:textId="77777777" w:rsidR="002F3324" w:rsidRPr="00534C57" w:rsidRDefault="002F3324" w:rsidP="002F3324">
      <w:pPr>
        <w:tabs>
          <w:tab w:val="left" w:pos="567"/>
        </w:tabs>
        <w:spacing w:after="0" w:line="240" w:lineRule="auto"/>
        <w:rPr>
          <w:rFonts w:ascii="Times New Roman" w:hAnsi="Times New Roman"/>
          <w:noProof/>
        </w:rPr>
      </w:pPr>
    </w:p>
    <w:p w14:paraId="7437C594" w14:textId="77777777" w:rsidR="002F3324" w:rsidRPr="00534C57" w:rsidRDefault="002F3324" w:rsidP="002F3324">
      <w:pPr>
        <w:tabs>
          <w:tab w:val="left" w:pos="567"/>
        </w:tabs>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200</w:t>
      </w:r>
      <w:r w:rsidR="00A46711">
        <w:rPr>
          <w:rFonts w:ascii="Times New Roman" w:hAnsi="Times New Roman"/>
          <w:color w:val="000000"/>
        </w:rPr>
        <w:t> </w:t>
      </w:r>
      <w:r w:rsidRPr="00534C57">
        <w:rPr>
          <w:rFonts w:ascii="Times New Roman" w:hAnsi="Times New Roman"/>
          <w:color w:val="000000"/>
        </w:rPr>
        <w:t>mg plėvele dengtos tabletės</w:t>
      </w:r>
    </w:p>
    <w:p w14:paraId="1AA3B142" w14:textId="77777777" w:rsidR="002F3324" w:rsidRPr="00534C57" w:rsidRDefault="00084531" w:rsidP="002F3324">
      <w:pPr>
        <w:tabs>
          <w:tab w:val="left" w:pos="567"/>
        </w:tabs>
        <w:spacing w:after="0" w:line="240" w:lineRule="auto"/>
        <w:rPr>
          <w:rFonts w:ascii="Times New Roman" w:hAnsi="Times New Roman"/>
          <w:noProof/>
        </w:rPr>
      </w:pPr>
      <w:r>
        <w:rPr>
          <w:rFonts w:ascii="Times New Roman" w:hAnsi="Times New Roman"/>
          <w:noProof/>
        </w:rPr>
        <w:t>v</w:t>
      </w:r>
      <w:r w:rsidR="002F3324" w:rsidRPr="00534C57">
        <w:rPr>
          <w:rFonts w:ascii="Times New Roman" w:hAnsi="Times New Roman"/>
          <w:noProof/>
        </w:rPr>
        <w:t>oriconazolum</w:t>
      </w:r>
    </w:p>
    <w:p w14:paraId="14D3F96F" w14:textId="77777777" w:rsidR="002F3324" w:rsidRPr="00534C57" w:rsidRDefault="002F3324" w:rsidP="002F3324">
      <w:pPr>
        <w:tabs>
          <w:tab w:val="left" w:pos="567"/>
        </w:tabs>
        <w:spacing w:after="0" w:line="240" w:lineRule="auto"/>
        <w:rPr>
          <w:rFonts w:ascii="Times New Roman" w:hAnsi="Times New Roman"/>
          <w:noProof/>
        </w:rPr>
      </w:pPr>
    </w:p>
    <w:p w14:paraId="2314E39A" w14:textId="77777777" w:rsidR="002F3324" w:rsidRPr="00534C57" w:rsidRDefault="002F3324" w:rsidP="002F3324">
      <w:pPr>
        <w:tabs>
          <w:tab w:val="left" w:pos="567"/>
        </w:tabs>
        <w:spacing w:after="0" w:line="240" w:lineRule="auto"/>
        <w:rPr>
          <w:rFonts w:ascii="Times New Roman" w:hAnsi="Times New Roman"/>
          <w:noProof/>
        </w:rPr>
      </w:pPr>
    </w:p>
    <w:p w14:paraId="736C6156"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noProof/>
        </w:rPr>
      </w:pPr>
      <w:r w:rsidRPr="00534C57">
        <w:rPr>
          <w:rFonts w:ascii="Times New Roman" w:hAnsi="Times New Roman"/>
          <w:b/>
          <w:noProof/>
        </w:rPr>
        <w:t>2.</w:t>
      </w:r>
      <w:r w:rsidRPr="00534C57">
        <w:rPr>
          <w:rFonts w:ascii="Times New Roman" w:hAnsi="Times New Roman"/>
          <w:b/>
          <w:noProof/>
        </w:rPr>
        <w:tab/>
        <w:t>REGISTRUOTOJO</w:t>
      </w:r>
      <w:r w:rsidRPr="00534C57" w:rsidDel="00442C74">
        <w:rPr>
          <w:rFonts w:ascii="Times New Roman" w:hAnsi="Times New Roman"/>
          <w:b/>
          <w:noProof/>
        </w:rPr>
        <w:t xml:space="preserve"> </w:t>
      </w:r>
      <w:r w:rsidRPr="00534C57">
        <w:rPr>
          <w:rFonts w:ascii="Times New Roman" w:hAnsi="Times New Roman"/>
          <w:b/>
          <w:noProof/>
        </w:rPr>
        <w:t>PAVADINIMAS</w:t>
      </w:r>
    </w:p>
    <w:p w14:paraId="1FDF0AA5" w14:textId="77777777" w:rsidR="002F3324" w:rsidRPr="00534C57" w:rsidRDefault="002F3324" w:rsidP="002F3324">
      <w:pPr>
        <w:tabs>
          <w:tab w:val="left" w:pos="567"/>
        </w:tabs>
        <w:spacing w:after="0" w:line="240" w:lineRule="auto"/>
        <w:rPr>
          <w:rFonts w:ascii="Times New Roman" w:hAnsi="Times New Roman"/>
          <w:noProof/>
        </w:rPr>
      </w:pPr>
    </w:p>
    <w:p w14:paraId="4AA80CB8" w14:textId="77777777" w:rsidR="002F3324" w:rsidRPr="00534C57" w:rsidRDefault="002F3324" w:rsidP="002F3324">
      <w:pPr>
        <w:tabs>
          <w:tab w:val="left" w:pos="567"/>
        </w:tabs>
        <w:spacing w:after="0" w:line="240" w:lineRule="auto"/>
        <w:rPr>
          <w:rFonts w:ascii="Times New Roman" w:hAnsi="Times New Roman"/>
          <w:lang w:eastAsia="lt-LT"/>
        </w:rPr>
      </w:pPr>
      <w:r w:rsidRPr="00534C57">
        <w:rPr>
          <w:rFonts w:ascii="Times New Roman" w:hAnsi="Times New Roman"/>
          <w:lang w:eastAsia="lt-LT"/>
        </w:rPr>
        <w:t>Teva Pharma B.V.</w:t>
      </w:r>
    </w:p>
    <w:p w14:paraId="2BFCD233" w14:textId="77777777" w:rsidR="002F3324" w:rsidRPr="00534C57" w:rsidRDefault="002F3324" w:rsidP="002F3324">
      <w:pPr>
        <w:tabs>
          <w:tab w:val="left" w:pos="567"/>
        </w:tabs>
        <w:spacing w:after="0" w:line="240" w:lineRule="auto"/>
        <w:rPr>
          <w:rFonts w:ascii="Times New Roman" w:hAnsi="Times New Roman"/>
          <w:noProof/>
        </w:rPr>
      </w:pPr>
    </w:p>
    <w:p w14:paraId="1D18C2D3" w14:textId="77777777" w:rsidR="002F3324" w:rsidRPr="00534C57" w:rsidRDefault="002F3324" w:rsidP="002F3324">
      <w:pPr>
        <w:tabs>
          <w:tab w:val="left" w:pos="567"/>
        </w:tabs>
        <w:spacing w:after="0" w:line="240" w:lineRule="auto"/>
        <w:rPr>
          <w:rFonts w:ascii="Times New Roman" w:hAnsi="Times New Roman"/>
          <w:noProof/>
        </w:rPr>
      </w:pPr>
    </w:p>
    <w:p w14:paraId="59F6D964"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noProof/>
        </w:rPr>
      </w:pPr>
      <w:r w:rsidRPr="00534C57">
        <w:rPr>
          <w:rFonts w:ascii="Times New Roman" w:hAnsi="Times New Roman"/>
          <w:b/>
          <w:noProof/>
        </w:rPr>
        <w:t>3.</w:t>
      </w:r>
      <w:r w:rsidRPr="00534C57">
        <w:rPr>
          <w:rFonts w:ascii="Times New Roman" w:hAnsi="Times New Roman"/>
          <w:b/>
          <w:noProof/>
        </w:rPr>
        <w:tab/>
        <w:t>TINKAMUMO LAIKAS</w:t>
      </w:r>
    </w:p>
    <w:p w14:paraId="6DFEA8C4" w14:textId="77777777" w:rsidR="002F3324" w:rsidRPr="00534C57" w:rsidRDefault="002F3324" w:rsidP="002F3324">
      <w:pPr>
        <w:tabs>
          <w:tab w:val="left" w:pos="567"/>
        </w:tabs>
        <w:spacing w:after="0" w:line="240" w:lineRule="auto"/>
        <w:rPr>
          <w:rFonts w:ascii="Times New Roman" w:hAnsi="Times New Roman"/>
          <w:noProof/>
        </w:rPr>
      </w:pPr>
    </w:p>
    <w:p w14:paraId="5D9D666E" w14:textId="77777777" w:rsidR="002F3324" w:rsidRPr="00534C57" w:rsidRDefault="002F3324" w:rsidP="002F3324">
      <w:pPr>
        <w:tabs>
          <w:tab w:val="left" w:pos="567"/>
        </w:tabs>
        <w:spacing w:after="0" w:line="240" w:lineRule="auto"/>
        <w:rPr>
          <w:rFonts w:ascii="Times New Roman" w:hAnsi="Times New Roman"/>
          <w:noProof/>
        </w:rPr>
      </w:pPr>
      <w:r w:rsidRPr="00534C57">
        <w:rPr>
          <w:rFonts w:ascii="Times New Roman" w:hAnsi="Times New Roman"/>
          <w:noProof/>
        </w:rPr>
        <w:t>EXP{mm/MMMM}</w:t>
      </w:r>
    </w:p>
    <w:p w14:paraId="7A6F7448" w14:textId="77777777" w:rsidR="002F3324" w:rsidRPr="00534C57" w:rsidRDefault="002F3324" w:rsidP="002F3324">
      <w:pPr>
        <w:tabs>
          <w:tab w:val="left" w:pos="567"/>
        </w:tabs>
        <w:spacing w:after="0" w:line="240" w:lineRule="auto"/>
        <w:rPr>
          <w:rFonts w:ascii="Times New Roman" w:hAnsi="Times New Roman"/>
          <w:noProof/>
        </w:rPr>
      </w:pPr>
    </w:p>
    <w:p w14:paraId="20CCE4B2" w14:textId="77777777" w:rsidR="002F3324" w:rsidRPr="00534C57" w:rsidRDefault="002F3324" w:rsidP="002F3324">
      <w:pPr>
        <w:tabs>
          <w:tab w:val="left" w:pos="567"/>
        </w:tabs>
        <w:spacing w:after="0" w:line="240" w:lineRule="auto"/>
        <w:rPr>
          <w:rFonts w:ascii="Times New Roman" w:hAnsi="Times New Roman"/>
          <w:noProof/>
        </w:rPr>
      </w:pPr>
    </w:p>
    <w:p w14:paraId="6F6E41ED"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noProof/>
        </w:rPr>
      </w:pPr>
      <w:r w:rsidRPr="00534C57">
        <w:rPr>
          <w:rFonts w:ascii="Times New Roman" w:hAnsi="Times New Roman"/>
          <w:b/>
          <w:noProof/>
        </w:rPr>
        <w:t>4.</w:t>
      </w:r>
      <w:r w:rsidRPr="00534C57">
        <w:rPr>
          <w:rFonts w:ascii="Times New Roman" w:hAnsi="Times New Roman"/>
          <w:b/>
          <w:noProof/>
        </w:rPr>
        <w:tab/>
        <w:t>SERIJOS NUMERIS</w:t>
      </w:r>
    </w:p>
    <w:p w14:paraId="73E402F4" w14:textId="77777777" w:rsidR="002F3324" w:rsidRPr="00534C57" w:rsidRDefault="002F3324" w:rsidP="002F3324">
      <w:pPr>
        <w:tabs>
          <w:tab w:val="left" w:pos="567"/>
        </w:tabs>
        <w:spacing w:after="0" w:line="240" w:lineRule="auto"/>
        <w:rPr>
          <w:rFonts w:ascii="Times New Roman" w:hAnsi="Times New Roman"/>
          <w:noProof/>
        </w:rPr>
      </w:pPr>
    </w:p>
    <w:p w14:paraId="0D522D2D" w14:textId="77777777" w:rsidR="002F3324" w:rsidRPr="00534C57" w:rsidRDefault="002F3324" w:rsidP="002F3324">
      <w:pPr>
        <w:tabs>
          <w:tab w:val="left" w:pos="567"/>
        </w:tabs>
        <w:spacing w:after="0" w:line="240" w:lineRule="auto"/>
        <w:rPr>
          <w:rFonts w:ascii="Times New Roman" w:hAnsi="Times New Roman"/>
          <w:noProof/>
        </w:rPr>
      </w:pPr>
      <w:r w:rsidRPr="00534C57">
        <w:rPr>
          <w:rFonts w:ascii="Times New Roman" w:hAnsi="Times New Roman"/>
          <w:noProof/>
        </w:rPr>
        <w:t>Lot</w:t>
      </w:r>
    </w:p>
    <w:p w14:paraId="249BC56E" w14:textId="77777777" w:rsidR="002F3324" w:rsidRPr="00534C57" w:rsidRDefault="002F3324" w:rsidP="002F3324">
      <w:pPr>
        <w:tabs>
          <w:tab w:val="left" w:pos="567"/>
        </w:tabs>
        <w:spacing w:after="0" w:line="240" w:lineRule="auto"/>
        <w:rPr>
          <w:rFonts w:ascii="Times New Roman" w:hAnsi="Times New Roman"/>
          <w:noProof/>
        </w:rPr>
      </w:pPr>
    </w:p>
    <w:p w14:paraId="06F1DBA4" w14:textId="77777777" w:rsidR="002F3324" w:rsidRPr="00534C57" w:rsidRDefault="002F3324" w:rsidP="002F3324">
      <w:pPr>
        <w:tabs>
          <w:tab w:val="left" w:pos="567"/>
        </w:tabs>
        <w:spacing w:after="0" w:line="240" w:lineRule="auto"/>
        <w:rPr>
          <w:rFonts w:ascii="Times New Roman" w:hAnsi="Times New Roman"/>
          <w:noProof/>
        </w:rPr>
      </w:pPr>
    </w:p>
    <w:p w14:paraId="0783CB6B" w14:textId="77777777" w:rsidR="002F3324" w:rsidRPr="00534C57" w:rsidRDefault="002F3324" w:rsidP="002F332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noProof/>
        </w:rPr>
      </w:pPr>
      <w:r w:rsidRPr="00534C57">
        <w:rPr>
          <w:rFonts w:ascii="Times New Roman" w:hAnsi="Times New Roman"/>
          <w:b/>
          <w:noProof/>
        </w:rPr>
        <w:t>5.</w:t>
      </w:r>
      <w:r w:rsidRPr="00534C57">
        <w:rPr>
          <w:rFonts w:ascii="Times New Roman" w:hAnsi="Times New Roman"/>
          <w:b/>
          <w:noProof/>
        </w:rPr>
        <w:tab/>
        <w:t>KITA</w:t>
      </w:r>
    </w:p>
    <w:p w14:paraId="661F7B1F" w14:textId="77777777" w:rsidR="002F3324" w:rsidRPr="00534C57" w:rsidRDefault="002F3324" w:rsidP="002F3324">
      <w:pPr>
        <w:tabs>
          <w:tab w:val="left" w:pos="567"/>
        </w:tabs>
        <w:spacing w:after="0" w:line="240" w:lineRule="auto"/>
        <w:rPr>
          <w:rFonts w:ascii="Times New Roman" w:hAnsi="Times New Roman"/>
          <w:noProof/>
        </w:rPr>
      </w:pPr>
    </w:p>
    <w:p w14:paraId="60C33764" w14:textId="77777777" w:rsidR="002F3324" w:rsidRPr="00534C57" w:rsidRDefault="002F3324" w:rsidP="00AF2E1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rPr>
      </w:pPr>
      <w:r w:rsidRPr="00534C57">
        <w:rPr>
          <w:rFonts w:ascii="Times New Roman" w:hAnsi="Times New Roman"/>
        </w:rPr>
        <w:br w:type="page"/>
      </w:r>
    </w:p>
    <w:p w14:paraId="3C30DD15" w14:textId="77777777" w:rsidR="002F3324" w:rsidRPr="00534C57" w:rsidRDefault="002F3324" w:rsidP="002F3324">
      <w:pPr>
        <w:spacing w:after="0" w:line="240" w:lineRule="auto"/>
        <w:rPr>
          <w:rFonts w:ascii="Times New Roman" w:hAnsi="Times New Roman"/>
        </w:rPr>
      </w:pPr>
    </w:p>
    <w:p w14:paraId="399E3BBB" w14:textId="77777777" w:rsidR="002F3324" w:rsidRPr="00534C57" w:rsidRDefault="002F3324" w:rsidP="002F3324">
      <w:pPr>
        <w:spacing w:after="0" w:line="240" w:lineRule="auto"/>
        <w:rPr>
          <w:rFonts w:ascii="Times New Roman" w:hAnsi="Times New Roman"/>
        </w:rPr>
      </w:pPr>
    </w:p>
    <w:p w14:paraId="06664B41" w14:textId="77777777" w:rsidR="002F3324" w:rsidRPr="00534C57" w:rsidRDefault="002F3324" w:rsidP="002F3324">
      <w:pPr>
        <w:spacing w:after="0" w:line="240" w:lineRule="auto"/>
        <w:rPr>
          <w:rFonts w:ascii="Times New Roman" w:hAnsi="Times New Roman"/>
        </w:rPr>
      </w:pPr>
    </w:p>
    <w:p w14:paraId="1D61B9AF" w14:textId="77777777" w:rsidR="002F3324" w:rsidRPr="00534C57" w:rsidRDefault="002F3324" w:rsidP="002F3324">
      <w:pPr>
        <w:spacing w:after="0" w:line="240" w:lineRule="auto"/>
        <w:rPr>
          <w:rFonts w:ascii="Times New Roman" w:hAnsi="Times New Roman"/>
        </w:rPr>
      </w:pPr>
    </w:p>
    <w:p w14:paraId="491D2379" w14:textId="77777777" w:rsidR="002F3324" w:rsidRPr="00534C57" w:rsidRDefault="002F3324" w:rsidP="002F3324">
      <w:pPr>
        <w:spacing w:after="0" w:line="240" w:lineRule="auto"/>
        <w:rPr>
          <w:rFonts w:ascii="Times New Roman" w:hAnsi="Times New Roman"/>
        </w:rPr>
      </w:pPr>
    </w:p>
    <w:p w14:paraId="7DE6BBEF" w14:textId="77777777" w:rsidR="002F3324" w:rsidRPr="00534C57" w:rsidRDefault="002F3324" w:rsidP="002F3324">
      <w:pPr>
        <w:spacing w:after="0" w:line="240" w:lineRule="auto"/>
        <w:rPr>
          <w:rFonts w:ascii="Times New Roman" w:hAnsi="Times New Roman"/>
        </w:rPr>
      </w:pPr>
    </w:p>
    <w:p w14:paraId="17C4BE02" w14:textId="77777777" w:rsidR="002F3324" w:rsidRPr="00534C57" w:rsidRDefault="002F3324" w:rsidP="002F3324">
      <w:pPr>
        <w:spacing w:after="0" w:line="240" w:lineRule="auto"/>
        <w:rPr>
          <w:rFonts w:ascii="Times New Roman" w:hAnsi="Times New Roman"/>
        </w:rPr>
      </w:pPr>
    </w:p>
    <w:p w14:paraId="71BA01B4" w14:textId="77777777" w:rsidR="002F3324" w:rsidRPr="00534C57" w:rsidRDefault="002F3324" w:rsidP="002F3324">
      <w:pPr>
        <w:spacing w:after="0" w:line="240" w:lineRule="auto"/>
        <w:rPr>
          <w:rFonts w:ascii="Times New Roman" w:hAnsi="Times New Roman"/>
        </w:rPr>
      </w:pPr>
    </w:p>
    <w:p w14:paraId="07E05253" w14:textId="77777777" w:rsidR="002F3324" w:rsidRPr="00534C57" w:rsidRDefault="002F3324" w:rsidP="002F3324">
      <w:pPr>
        <w:spacing w:after="0" w:line="240" w:lineRule="auto"/>
        <w:rPr>
          <w:rFonts w:ascii="Times New Roman" w:hAnsi="Times New Roman"/>
        </w:rPr>
      </w:pPr>
    </w:p>
    <w:p w14:paraId="43C2FE6A" w14:textId="77777777" w:rsidR="002F3324" w:rsidRPr="00534C57" w:rsidRDefault="002F3324" w:rsidP="002F3324">
      <w:pPr>
        <w:spacing w:after="0" w:line="240" w:lineRule="auto"/>
        <w:rPr>
          <w:rFonts w:ascii="Times New Roman" w:hAnsi="Times New Roman"/>
        </w:rPr>
      </w:pPr>
    </w:p>
    <w:p w14:paraId="2AA6EE31" w14:textId="77777777" w:rsidR="002F3324" w:rsidRPr="00534C57" w:rsidRDefault="002F3324" w:rsidP="002F3324">
      <w:pPr>
        <w:spacing w:after="0" w:line="240" w:lineRule="auto"/>
        <w:rPr>
          <w:rFonts w:ascii="Times New Roman" w:hAnsi="Times New Roman"/>
        </w:rPr>
      </w:pPr>
    </w:p>
    <w:p w14:paraId="610CA4CA" w14:textId="77777777" w:rsidR="002F3324" w:rsidRPr="00534C57" w:rsidRDefault="002F3324" w:rsidP="002F3324">
      <w:pPr>
        <w:spacing w:after="0" w:line="240" w:lineRule="auto"/>
        <w:rPr>
          <w:rFonts w:ascii="Times New Roman" w:hAnsi="Times New Roman"/>
        </w:rPr>
      </w:pPr>
    </w:p>
    <w:p w14:paraId="3D1AD52A" w14:textId="77777777" w:rsidR="002F3324" w:rsidRPr="00534C57" w:rsidRDefault="002F3324" w:rsidP="002F3324">
      <w:pPr>
        <w:spacing w:after="0" w:line="240" w:lineRule="auto"/>
        <w:rPr>
          <w:rFonts w:ascii="Times New Roman" w:hAnsi="Times New Roman"/>
        </w:rPr>
      </w:pPr>
    </w:p>
    <w:p w14:paraId="497088CB" w14:textId="77777777" w:rsidR="002F3324" w:rsidRPr="00534C57" w:rsidRDefault="002F3324" w:rsidP="002F3324">
      <w:pPr>
        <w:spacing w:after="0" w:line="240" w:lineRule="auto"/>
        <w:rPr>
          <w:rFonts w:ascii="Times New Roman" w:hAnsi="Times New Roman"/>
        </w:rPr>
      </w:pPr>
    </w:p>
    <w:p w14:paraId="7D3CBA18" w14:textId="77777777" w:rsidR="002F3324" w:rsidRPr="00534C57" w:rsidRDefault="002F3324" w:rsidP="002F3324">
      <w:pPr>
        <w:spacing w:after="0" w:line="240" w:lineRule="auto"/>
        <w:rPr>
          <w:rFonts w:ascii="Times New Roman" w:hAnsi="Times New Roman"/>
        </w:rPr>
      </w:pPr>
    </w:p>
    <w:p w14:paraId="1DBC2F92" w14:textId="77777777" w:rsidR="002F3324" w:rsidRPr="00534C57" w:rsidRDefault="002F3324" w:rsidP="002F3324">
      <w:pPr>
        <w:spacing w:after="0" w:line="240" w:lineRule="auto"/>
        <w:rPr>
          <w:rFonts w:ascii="Times New Roman" w:hAnsi="Times New Roman"/>
        </w:rPr>
      </w:pPr>
    </w:p>
    <w:p w14:paraId="5779A976"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71670143"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p>
    <w:p w14:paraId="17A848AD"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p>
    <w:p w14:paraId="2DF8C687"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p>
    <w:p w14:paraId="3BE4ECEE"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p>
    <w:p w14:paraId="58622FAA"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p>
    <w:p w14:paraId="49CB785B" w14:textId="77777777" w:rsidR="00317239" w:rsidRDefault="00317239" w:rsidP="002F3324">
      <w:pPr>
        <w:autoSpaceDE w:val="0"/>
        <w:autoSpaceDN w:val="0"/>
        <w:adjustRightInd w:val="0"/>
        <w:spacing w:after="0" w:line="240" w:lineRule="auto"/>
        <w:jc w:val="center"/>
        <w:rPr>
          <w:rFonts w:ascii="Times New Roman" w:hAnsi="Times New Roman"/>
          <w:b/>
          <w:bCs/>
          <w:color w:val="000000"/>
        </w:rPr>
      </w:pPr>
    </w:p>
    <w:p w14:paraId="1DD50E9B"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r w:rsidRPr="00534C57">
        <w:rPr>
          <w:rFonts w:ascii="Times New Roman" w:hAnsi="Times New Roman"/>
          <w:b/>
          <w:bCs/>
          <w:color w:val="000000"/>
        </w:rPr>
        <w:t>B. PAKUOTĖS LAPELIS</w:t>
      </w:r>
    </w:p>
    <w:p w14:paraId="119E181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90F04A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br w:type="page"/>
      </w:r>
    </w:p>
    <w:p w14:paraId="5032030F"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r w:rsidRPr="00534C57">
        <w:rPr>
          <w:rFonts w:ascii="Times New Roman" w:hAnsi="Times New Roman"/>
          <w:b/>
          <w:bCs/>
          <w:color w:val="000000"/>
        </w:rPr>
        <w:lastRenderedPageBreak/>
        <w:t>Pakuotės lapelis: informacija vartotojui</w:t>
      </w:r>
    </w:p>
    <w:p w14:paraId="29AC3D7A" w14:textId="77777777" w:rsidR="002F3324" w:rsidRPr="00534C57" w:rsidRDefault="002F3324" w:rsidP="002F3324">
      <w:pPr>
        <w:autoSpaceDE w:val="0"/>
        <w:autoSpaceDN w:val="0"/>
        <w:adjustRightInd w:val="0"/>
        <w:spacing w:after="0" w:line="240" w:lineRule="auto"/>
        <w:jc w:val="center"/>
        <w:rPr>
          <w:rFonts w:ascii="Times New Roman" w:hAnsi="Times New Roman"/>
          <w:b/>
          <w:color w:val="000000"/>
        </w:rPr>
      </w:pPr>
    </w:p>
    <w:p w14:paraId="4FBF41CB" w14:textId="77777777" w:rsidR="002F3324" w:rsidRPr="00534C57" w:rsidRDefault="002F3324" w:rsidP="002F3324">
      <w:pPr>
        <w:autoSpaceDE w:val="0"/>
        <w:autoSpaceDN w:val="0"/>
        <w:adjustRightInd w:val="0"/>
        <w:spacing w:after="0" w:line="240" w:lineRule="auto"/>
        <w:jc w:val="center"/>
        <w:rPr>
          <w:rFonts w:ascii="Times New Roman" w:hAnsi="Times New Roman"/>
          <w:b/>
          <w:color w:val="000000"/>
        </w:rPr>
      </w:pPr>
      <w:r w:rsidRPr="00534C57">
        <w:rPr>
          <w:rFonts w:ascii="Times New Roman" w:hAnsi="Times New Roman"/>
          <w:b/>
          <w:color w:val="000000"/>
        </w:rPr>
        <w:t>Voriconazole Teva 200</w:t>
      </w:r>
      <w:r w:rsidR="00A46711">
        <w:rPr>
          <w:rFonts w:ascii="Times New Roman" w:hAnsi="Times New Roman"/>
          <w:b/>
          <w:color w:val="000000"/>
        </w:rPr>
        <w:t> </w:t>
      </w:r>
      <w:r w:rsidRPr="00534C57">
        <w:rPr>
          <w:rFonts w:ascii="Times New Roman" w:hAnsi="Times New Roman"/>
          <w:b/>
          <w:color w:val="000000"/>
        </w:rPr>
        <w:t>mg plėvele dengtos tabletės</w:t>
      </w:r>
    </w:p>
    <w:p w14:paraId="774BE5BB" w14:textId="77777777" w:rsidR="002F3324" w:rsidRPr="00534C57" w:rsidRDefault="00084531" w:rsidP="002F3324">
      <w:pPr>
        <w:autoSpaceDE w:val="0"/>
        <w:autoSpaceDN w:val="0"/>
        <w:adjustRightInd w:val="0"/>
        <w:spacing w:after="0" w:line="240" w:lineRule="auto"/>
        <w:jc w:val="center"/>
        <w:rPr>
          <w:rFonts w:ascii="Times New Roman" w:hAnsi="Times New Roman"/>
          <w:color w:val="000000"/>
        </w:rPr>
      </w:pPr>
      <w:r>
        <w:rPr>
          <w:rFonts w:ascii="Times New Roman" w:hAnsi="Times New Roman"/>
          <w:color w:val="000000"/>
        </w:rPr>
        <w:t>v</w:t>
      </w:r>
      <w:r w:rsidR="002F3324" w:rsidRPr="00534C57">
        <w:rPr>
          <w:rFonts w:ascii="Times New Roman" w:hAnsi="Times New Roman"/>
          <w:color w:val="000000"/>
        </w:rPr>
        <w:t>orikonazolas</w:t>
      </w:r>
    </w:p>
    <w:p w14:paraId="35B920BC"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A29920F"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Atidžiai perskaitykite visą šį lapelį, prieš pradėdami vartoti vaistą, nes jame pateikiama Jums</w:t>
      </w:r>
      <w:r w:rsidR="00A46711">
        <w:rPr>
          <w:rFonts w:ascii="Times New Roman" w:hAnsi="Times New Roman"/>
          <w:b/>
          <w:bCs/>
          <w:color w:val="000000"/>
        </w:rPr>
        <w:t xml:space="preserve"> </w:t>
      </w:r>
      <w:r w:rsidRPr="00534C57">
        <w:rPr>
          <w:rFonts w:ascii="Times New Roman" w:hAnsi="Times New Roman"/>
          <w:b/>
          <w:bCs/>
          <w:color w:val="000000"/>
        </w:rPr>
        <w:t>svarbi informacija.</w:t>
      </w:r>
    </w:p>
    <w:p w14:paraId="47D5010C" w14:textId="77777777" w:rsidR="002F3324" w:rsidRPr="007A4F93" w:rsidRDefault="002F3324" w:rsidP="007A4F93">
      <w:pPr>
        <w:pStyle w:val="Sraopastraipa"/>
        <w:numPr>
          <w:ilvl w:val="0"/>
          <w:numId w:val="36"/>
        </w:numPr>
        <w:spacing w:after="0" w:line="240" w:lineRule="auto"/>
        <w:ind w:left="567" w:hanging="567"/>
        <w:rPr>
          <w:rFonts w:ascii="Times New Roman" w:hAnsi="Times New Roman"/>
        </w:rPr>
      </w:pPr>
      <w:r w:rsidRPr="007A4F93">
        <w:rPr>
          <w:rFonts w:ascii="Times New Roman" w:hAnsi="Times New Roman"/>
        </w:rPr>
        <w:t>Neišmeskite šio lapelio, nes vėl gali prireikti jį perskaityti.</w:t>
      </w:r>
    </w:p>
    <w:p w14:paraId="5195FAA8" w14:textId="77777777" w:rsidR="002F3324" w:rsidRPr="007A4F93" w:rsidRDefault="002F3324" w:rsidP="007A4F93">
      <w:pPr>
        <w:pStyle w:val="Sraopastraipa"/>
        <w:numPr>
          <w:ilvl w:val="0"/>
          <w:numId w:val="36"/>
        </w:numPr>
        <w:spacing w:after="0" w:line="240" w:lineRule="auto"/>
        <w:ind w:left="567" w:hanging="567"/>
        <w:rPr>
          <w:rFonts w:ascii="Times New Roman" w:hAnsi="Times New Roman"/>
        </w:rPr>
      </w:pPr>
      <w:r w:rsidRPr="007A4F93">
        <w:rPr>
          <w:rFonts w:ascii="Times New Roman" w:hAnsi="Times New Roman"/>
        </w:rPr>
        <w:t>Jeigu kiltų daugiau klausimų, kreipkitės į gydytoją, vaistininką arba slaugytoją.</w:t>
      </w:r>
    </w:p>
    <w:p w14:paraId="01BDDBF2" w14:textId="77777777" w:rsidR="002F3324" w:rsidRPr="007A4F93" w:rsidRDefault="002F3324" w:rsidP="007A4F93">
      <w:pPr>
        <w:pStyle w:val="Sraopastraipa"/>
        <w:numPr>
          <w:ilvl w:val="0"/>
          <w:numId w:val="36"/>
        </w:numPr>
        <w:spacing w:after="0" w:line="240" w:lineRule="auto"/>
        <w:ind w:left="567" w:hanging="567"/>
        <w:rPr>
          <w:rFonts w:ascii="Times New Roman" w:hAnsi="Times New Roman"/>
        </w:rPr>
      </w:pPr>
      <w:r w:rsidRPr="007A4F93">
        <w:rPr>
          <w:rFonts w:ascii="Times New Roman" w:hAnsi="Times New Roman"/>
        </w:rPr>
        <w:t>Šis vaistas skirtas tik Jums, todėl kitiems žmonėms jo duoti negalima. Vaistas gali jiems pakenkti (net tiems, kurių ligos požymiai yra tokie patys kaip Jūsų).</w:t>
      </w:r>
    </w:p>
    <w:p w14:paraId="6BAB8F61" w14:textId="77777777" w:rsidR="002F3324" w:rsidRPr="007A4F93" w:rsidRDefault="002F3324" w:rsidP="007A4F93">
      <w:pPr>
        <w:pStyle w:val="Sraopastraipa"/>
        <w:numPr>
          <w:ilvl w:val="0"/>
          <w:numId w:val="36"/>
        </w:numPr>
        <w:spacing w:after="0" w:line="240" w:lineRule="auto"/>
        <w:ind w:left="567" w:hanging="567"/>
        <w:rPr>
          <w:rFonts w:ascii="Times New Roman" w:hAnsi="Times New Roman"/>
        </w:rPr>
      </w:pPr>
      <w:r w:rsidRPr="007A4F93">
        <w:rPr>
          <w:rFonts w:ascii="Times New Roman" w:hAnsi="Times New Roman"/>
        </w:rPr>
        <w:t xml:space="preserve">Jeigu pasireiškė šalutinis poveikis (net jeigu jis šiame lapelyje nenurodytas), kreipkitės į gydytoją, vaistininką arba slaugytoją. </w:t>
      </w:r>
      <w:r w:rsidRPr="007A4F93">
        <w:rPr>
          <w:rFonts w:ascii="Times New Roman" w:hAnsi="Times New Roman"/>
          <w:noProof/>
        </w:rPr>
        <w:t>Žr. 4 skyrių.</w:t>
      </w:r>
    </w:p>
    <w:p w14:paraId="2FA86C7C"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B569F5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Apie ką rašoma šiame lapelyje?</w:t>
      </w:r>
    </w:p>
    <w:p w14:paraId="752BEC0D" w14:textId="77777777" w:rsidR="002F3324" w:rsidRPr="00534C57" w:rsidRDefault="002F3324" w:rsidP="002F3324">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1.</w:t>
      </w:r>
      <w:r w:rsidRPr="00534C57">
        <w:rPr>
          <w:rFonts w:ascii="Times New Roman" w:hAnsi="Times New Roman"/>
          <w:color w:val="000000"/>
        </w:rPr>
        <w:tab/>
        <w:t>Kas yra Voriconazole Teva ir kam jis vartojamas</w:t>
      </w:r>
    </w:p>
    <w:p w14:paraId="310B9CF2" w14:textId="77777777" w:rsidR="002F3324" w:rsidRPr="00534C57" w:rsidRDefault="002F3324" w:rsidP="002F3324">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2.</w:t>
      </w:r>
      <w:r w:rsidRPr="00534C57">
        <w:rPr>
          <w:rFonts w:ascii="Times New Roman" w:hAnsi="Times New Roman"/>
          <w:color w:val="000000"/>
        </w:rPr>
        <w:tab/>
        <w:t>Kas žinotina prieš vartojant Voriconazole Teva</w:t>
      </w:r>
    </w:p>
    <w:p w14:paraId="2590AAE2" w14:textId="77777777" w:rsidR="002F3324" w:rsidRPr="00534C57" w:rsidRDefault="002F3324" w:rsidP="002F3324">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3.</w:t>
      </w:r>
      <w:r w:rsidRPr="00534C57">
        <w:rPr>
          <w:rFonts w:ascii="Times New Roman" w:hAnsi="Times New Roman"/>
          <w:color w:val="000000"/>
        </w:rPr>
        <w:tab/>
        <w:t xml:space="preserve">Kaip vartoti Voriconazole Teva </w:t>
      </w:r>
    </w:p>
    <w:p w14:paraId="39F87811" w14:textId="77777777" w:rsidR="002F3324" w:rsidRPr="00534C57" w:rsidRDefault="002F3324" w:rsidP="002F3324">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4.</w:t>
      </w:r>
      <w:r w:rsidRPr="00534C57">
        <w:rPr>
          <w:rFonts w:ascii="Times New Roman" w:hAnsi="Times New Roman"/>
          <w:color w:val="000000"/>
        </w:rPr>
        <w:tab/>
        <w:t>Galimas šalutinis poveikis</w:t>
      </w:r>
    </w:p>
    <w:p w14:paraId="0C230776" w14:textId="77777777" w:rsidR="002F3324" w:rsidRPr="00534C57" w:rsidRDefault="002F3324" w:rsidP="002F3324">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5.</w:t>
      </w:r>
      <w:r w:rsidRPr="00534C57">
        <w:rPr>
          <w:rFonts w:ascii="Times New Roman" w:hAnsi="Times New Roman"/>
          <w:color w:val="000000"/>
        </w:rPr>
        <w:tab/>
        <w:t>Kaip laikyti Voriconazole Teva</w:t>
      </w:r>
    </w:p>
    <w:p w14:paraId="36E1E0D5" w14:textId="77777777" w:rsidR="002F3324" w:rsidRPr="00534C57" w:rsidRDefault="002F3324" w:rsidP="002F3324">
      <w:pPr>
        <w:autoSpaceDE w:val="0"/>
        <w:autoSpaceDN w:val="0"/>
        <w:adjustRightInd w:val="0"/>
        <w:spacing w:after="0" w:line="240" w:lineRule="auto"/>
        <w:ind w:left="567" w:hanging="567"/>
        <w:rPr>
          <w:rFonts w:ascii="Times New Roman" w:hAnsi="Times New Roman"/>
          <w:color w:val="000000"/>
        </w:rPr>
      </w:pPr>
      <w:r w:rsidRPr="00534C57">
        <w:rPr>
          <w:rFonts w:ascii="Times New Roman" w:hAnsi="Times New Roman"/>
          <w:color w:val="000000"/>
        </w:rPr>
        <w:t>6.</w:t>
      </w:r>
      <w:r w:rsidRPr="00534C57">
        <w:rPr>
          <w:rFonts w:ascii="Times New Roman" w:hAnsi="Times New Roman"/>
          <w:color w:val="000000"/>
        </w:rPr>
        <w:tab/>
        <w:t>Pakuotės turinys ir kita informacija</w:t>
      </w:r>
    </w:p>
    <w:p w14:paraId="127B103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62ACB3B"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02C34C76"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1. Kas yra </w:t>
      </w:r>
      <w:r w:rsidRPr="00534C57">
        <w:rPr>
          <w:rFonts w:ascii="Times New Roman" w:hAnsi="Times New Roman"/>
          <w:b/>
          <w:color w:val="000000"/>
        </w:rPr>
        <w:t>Voriconazole Teva</w:t>
      </w:r>
      <w:r w:rsidRPr="00534C57">
        <w:rPr>
          <w:rFonts w:ascii="Times New Roman" w:hAnsi="Times New Roman"/>
          <w:b/>
          <w:bCs/>
          <w:color w:val="000000"/>
        </w:rPr>
        <w:t xml:space="preserve"> ir kam jis vartojamas</w:t>
      </w:r>
    </w:p>
    <w:p w14:paraId="1958FCE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5EBAA1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sudėtyje yra veikliosios medžiagos vorikonazolo. Vorikonazolas yra priešgrybelinis vaistas. Jis sunaikina užkrečiamąsias ligas sukeliančius grybelius arba stabdo jų augimą.</w:t>
      </w:r>
    </w:p>
    <w:p w14:paraId="3CE9730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2EF77C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Šis vaistas vartojamas gydyti pacientus (suaugusiuosius ir vyresnius kaip 2 metų vaikus), kuriems yra diagnozuota:</w:t>
      </w:r>
    </w:p>
    <w:p w14:paraId="17D25CF8" w14:textId="77777777" w:rsidR="002F3324" w:rsidRPr="00050907" w:rsidRDefault="002F3324" w:rsidP="00050907">
      <w:pPr>
        <w:pStyle w:val="Sraopastraipa"/>
        <w:numPr>
          <w:ilvl w:val="0"/>
          <w:numId w:val="37"/>
        </w:numPr>
        <w:spacing w:after="0" w:line="240" w:lineRule="auto"/>
        <w:ind w:left="567" w:hanging="567"/>
        <w:rPr>
          <w:rFonts w:ascii="Times New Roman" w:hAnsi="Times New Roman"/>
        </w:rPr>
      </w:pPr>
      <w:r w:rsidRPr="00050907">
        <w:rPr>
          <w:rFonts w:ascii="Times New Roman" w:hAnsi="Times New Roman"/>
        </w:rPr>
        <w:t>invazinė aspergiliozė (</w:t>
      </w:r>
      <w:r w:rsidRPr="00050907">
        <w:rPr>
          <w:rFonts w:ascii="Times New Roman" w:hAnsi="Times New Roman"/>
          <w:i/>
          <w:iCs/>
        </w:rPr>
        <w:t xml:space="preserve">Aspergillus </w:t>
      </w:r>
      <w:r w:rsidRPr="00050907">
        <w:rPr>
          <w:rFonts w:ascii="Times New Roman" w:hAnsi="Times New Roman"/>
        </w:rPr>
        <w:t>rūšių grybelių sukelta infekcinė liga);</w:t>
      </w:r>
    </w:p>
    <w:p w14:paraId="7C45437F" w14:textId="77777777" w:rsidR="002F3324" w:rsidRPr="00050907" w:rsidRDefault="002F3324" w:rsidP="00050907">
      <w:pPr>
        <w:pStyle w:val="Sraopastraipa"/>
        <w:numPr>
          <w:ilvl w:val="0"/>
          <w:numId w:val="37"/>
        </w:numPr>
        <w:spacing w:after="0" w:line="240" w:lineRule="auto"/>
        <w:ind w:left="567" w:hanging="567"/>
        <w:rPr>
          <w:rFonts w:ascii="Times New Roman" w:hAnsi="Times New Roman"/>
        </w:rPr>
      </w:pPr>
      <w:r w:rsidRPr="00050907">
        <w:rPr>
          <w:rFonts w:ascii="Times New Roman" w:hAnsi="Times New Roman"/>
        </w:rPr>
        <w:t>kandidemija (kitos rūšies (</w:t>
      </w:r>
      <w:r w:rsidRPr="00050907">
        <w:rPr>
          <w:rFonts w:ascii="Times New Roman" w:hAnsi="Times New Roman"/>
          <w:i/>
          <w:iCs/>
        </w:rPr>
        <w:t>Candida</w:t>
      </w:r>
      <w:r w:rsidRPr="00050907">
        <w:rPr>
          <w:rFonts w:ascii="Times New Roman" w:hAnsi="Times New Roman"/>
        </w:rPr>
        <w:t>) grybelių sukelta infekcinė liga) pacientams, kuriems nėra neutropenijos (pacientai, kurių kraujyje nėra nenormaliai mažo baltųjų kraujo ląstelių (leukocitų) kiekio);</w:t>
      </w:r>
    </w:p>
    <w:p w14:paraId="083B6231" w14:textId="77777777" w:rsidR="002F3324" w:rsidRPr="00050907" w:rsidRDefault="002F3324" w:rsidP="00050907">
      <w:pPr>
        <w:pStyle w:val="Sraopastraipa"/>
        <w:numPr>
          <w:ilvl w:val="0"/>
          <w:numId w:val="37"/>
        </w:numPr>
        <w:spacing w:after="0" w:line="240" w:lineRule="auto"/>
        <w:ind w:left="567" w:hanging="567"/>
        <w:rPr>
          <w:rFonts w:ascii="Times New Roman" w:hAnsi="Times New Roman"/>
        </w:rPr>
      </w:pPr>
      <w:r w:rsidRPr="00050907">
        <w:rPr>
          <w:rFonts w:ascii="Times New Roman" w:hAnsi="Times New Roman"/>
        </w:rPr>
        <w:t xml:space="preserve">sunki invazinė flukonazolui (kitam priešgrybeliniam vaistui) atsparių </w:t>
      </w:r>
      <w:r w:rsidRPr="00050907">
        <w:rPr>
          <w:rFonts w:ascii="Times New Roman" w:hAnsi="Times New Roman"/>
          <w:i/>
          <w:iCs/>
        </w:rPr>
        <w:t xml:space="preserve">Candida </w:t>
      </w:r>
      <w:r w:rsidRPr="00050907">
        <w:rPr>
          <w:rFonts w:ascii="Times New Roman" w:hAnsi="Times New Roman"/>
        </w:rPr>
        <w:t>rūšies grybelių sukelta infekcinė liga;</w:t>
      </w:r>
    </w:p>
    <w:p w14:paraId="69329970" w14:textId="77777777" w:rsidR="002F3324" w:rsidRPr="00050907" w:rsidRDefault="002F3324" w:rsidP="00050907">
      <w:pPr>
        <w:pStyle w:val="Sraopastraipa"/>
        <w:numPr>
          <w:ilvl w:val="0"/>
          <w:numId w:val="37"/>
        </w:numPr>
        <w:spacing w:after="0" w:line="240" w:lineRule="auto"/>
        <w:ind w:left="567" w:hanging="567"/>
        <w:rPr>
          <w:rFonts w:ascii="Times New Roman" w:hAnsi="Times New Roman"/>
        </w:rPr>
      </w:pPr>
      <w:r w:rsidRPr="00050907">
        <w:rPr>
          <w:rFonts w:ascii="Times New Roman" w:hAnsi="Times New Roman"/>
        </w:rPr>
        <w:t xml:space="preserve">sunkios grybelių sukeltos infekcinės ligos, kurias sukėlė </w:t>
      </w:r>
      <w:r w:rsidRPr="00050907">
        <w:rPr>
          <w:rFonts w:ascii="Times New Roman" w:hAnsi="Times New Roman"/>
          <w:i/>
          <w:iCs/>
        </w:rPr>
        <w:t xml:space="preserve">Scedosporium </w:t>
      </w:r>
      <w:r w:rsidRPr="00050907">
        <w:rPr>
          <w:rFonts w:ascii="Times New Roman" w:hAnsi="Times New Roman"/>
        </w:rPr>
        <w:t xml:space="preserve">arba </w:t>
      </w:r>
      <w:r w:rsidRPr="00050907">
        <w:rPr>
          <w:rFonts w:ascii="Times New Roman" w:hAnsi="Times New Roman"/>
          <w:i/>
          <w:iCs/>
        </w:rPr>
        <w:t xml:space="preserve">Fusarium </w:t>
      </w:r>
      <w:r w:rsidRPr="00050907">
        <w:rPr>
          <w:rFonts w:ascii="Times New Roman" w:hAnsi="Times New Roman"/>
        </w:rPr>
        <w:t>rūšių grybeliai (kitos dvi skirtingos grybelių rūšys).</w:t>
      </w:r>
    </w:p>
    <w:p w14:paraId="55353AE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62161E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skirtas gydyti pacientus, kuriems diagnozuotas grybelių sukeltos infekcinės ligos pablogėjimas, kuris gali būti pavojingas gyvybei.</w:t>
      </w:r>
    </w:p>
    <w:p w14:paraId="79B56DF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047E28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Grybelių sukeltų infekcinių ligų profilaktikai didelės rizikos pacientams, kuriems buvo atlikta kaulų čiulpų transplantacija.</w:t>
      </w:r>
    </w:p>
    <w:p w14:paraId="20C9905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FB2F76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Šį vaistą galima vartoti tik prižiūrint gydytojui.</w:t>
      </w:r>
    </w:p>
    <w:p w14:paraId="3FCAF5AD" w14:textId="77777777" w:rsidR="002F3324" w:rsidRPr="00534C57" w:rsidRDefault="002F3324" w:rsidP="002F3324">
      <w:pPr>
        <w:autoSpaceDE w:val="0"/>
        <w:autoSpaceDN w:val="0"/>
        <w:adjustRightInd w:val="0"/>
        <w:spacing w:after="0" w:line="240" w:lineRule="auto"/>
        <w:rPr>
          <w:rFonts w:ascii="Times New Roman" w:hAnsi="Times New Roman"/>
          <w:bCs/>
          <w:color w:val="000000"/>
        </w:rPr>
      </w:pPr>
    </w:p>
    <w:p w14:paraId="683FC909" w14:textId="77777777" w:rsidR="002F3324" w:rsidRPr="00534C57" w:rsidRDefault="002F3324" w:rsidP="002F3324">
      <w:pPr>
        <w:autoSpaceDE w:val="0"/>
        <w:autoSpaceDN w:val="0"/>
        <w:adjustRightInd w:val="0"/>
        <w:spacing w:after="0" w:line="240" w:lineRule="auto"/>
        <w:rPr>
          <w:rFonts w:ascii="Times New Roman" w:hAnsi="Times New Roman"/>
          <w:bCs/>
          <w:color w:val="000000"/>
        </w:rPr>
      </w:pPr>
    </w:p>
    <w:p w14:paraId="72103A47"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2. Kas žinotina prieš vartojant </w:t>
      </w:r>
      <w:r w:rsidRPr="00534C57">
        <w:rPr>
          <w:rFonts w:ascii="Times New Roman" w:hAnsi="Times New Roman"/>
          <w:b/>
          <w:color w:val="000000"/>
        </w:rPr>
        <w:t>Voriconazole Teva</w:t>
      </w:r>
    </w:p>
    <w:p w14:paraId="7398B817" w14:textId="77777777" w:rsidR="002F3324" w:rsidRPr="00534C57" w:rsidRDefault="002F3324" w:rsidP="002F3324">
      <w:pPr>
        <w:autoSpaceDE w:val="0"/>
        <w:autoSpaceDN w:val="0"/>
        <w:adjustRightInd w:val="0"/>
        <w:spacing w:after="0" w:line="240" w:lineRule="auto"/>
        <w:rPr>
          <w:rFonts w:ascii="Times New Roman" w:hAnsi="Times New Roman"/>
          <w:b/>
          <w:color w:val="000000"/>
        </w:rPr>
      </w:pPr>
    </w:p>
    <w:p w14:paraId="44DB45C3" w14:textId="561DFDDB"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color w:val="000000"/>
        </w:rPr>
        <w:t>Voriconazole Teva</w:t>
      </w:r>
      <w:r w:rsidRPr="00534C57">
        <w:rPr>
          <w:rFonts w:ascii="Times New Roman" w:hAnsi="Times New Roman"/>
          <w:b/>
          <w:bCs/>
          <w:color w:val="000000"/>
        </w:rPr>
        <w:t xml:space="preserve"> vartoti </w:t>
      </w:r>
      <w:r w:rsidR="00801CB8">
        <w:rPr>
          <w:rFonts w:ascii="Times New Roman" w:hAnsi="Times New Roman"/>
          <w:b/>
          <w:bCs/>
          <w:color w:val="000000"/>
        </w:rPr>
        <w:t>draudžiama</w:t>
      </w:r>
    </w:p>
    <w:p w14:paraId="2B1029F9" w14:textId="77777777" w:rsidR="002F3324" w:rsidRPr="00951727" w:rsidRDefault="002F3324" w:rsidP="009E758A">
      <w:pPr>
        <w:pStyle w:val="Sraopastraipa"/>
        <w:numPr>
          <w:ilvl w:val="0"/>
          <w:numId w:val="37"/>
        </w:numPr>
        <w:spacing w:after="0" w:line="240" w:lineRule="auto"/>
        <w:ind w:left="567" w:hanging="567"/>
        <w:rPr>
          <w:rFonts w:ascii="Times New Roman" w:hAnsi="Times New Roman"/>
        </w:rPr>
      </w:pPr>
      <w:r w:rsidRPr="00951727">
        <w:rPr>
          <w:rFonts w:ascii="Times New Roman" w:hAnsi="Times New Roman"/>
        </w:rPr>
        <w:t xml:space="preserve">Jeigu yra alergija vorikonazolui arba bet kuriai pagalbinei </w:t>
      </w:r>
      <w:r w:rsidRPr="00951727">
        <w:rPr>
          <w:rFonts w:ascii="Times New Roman" w:hAnsi="Times New Roman"/>
          <w:color w:val="000000"/>
        </w:rPr>
        <w:t>šio vaisto</w:t>
      </w:r>
      <w:r w:rsidRPr="00951727">
        <w:rPr>
          <w:rFonts w:ascii="Times New Roman" w:hAnsi="Times New Roman"/>
        </w:rPr>
        <w:t xml:space="preserve"> medžiagai (jos išvardytos 6 skyriuje).</w:t>
      </w:r>
    </w:p>
    <w:p w14:paraId="26271105" w14:textId="77777777" w:rsidR="002F3324" w:rsidRPr="00534C57" w:rsidRDefault="002F3324" w:rsidP="002F3324">
      <w:pPr>
        <w:spacing w:after="0" w:line="240" w:lineRule="auto"/>
        <w:rPr>
          <w:rFonts w:ascii="Times New Roman" w:hAnsi="Times New Roman"/>
        </w:rPr>
      </w:pPr>
    </w:p>
    <w:p w14:paraId="43C4C54F" w14:textId="77777777" w:rsidR="002F3324" w:rsidRPr="00534C57" w:rsidRDefault="002F3324" w:rsidP="002F3324">
      <w:pPr>
        <w:spacing w:after="0" w:line="240" w:lineRule="auto"/>
        <w:rPr>
          <w:rFonts w:ascii="Times New Roman" w:hAnsi="Times New Roman"/>
        </w:rPr>
      </w:pPr>
      <w:r w:rsidRPr="00534C57">
        <w:rPr>
          <w:rFonts w:ascii="Times New Roman" w:hAnsi="Times New Roman"/>
        </w:rPr>
        <w:t>Labai svarbu pasakyti gydytojui, vaistininkui arba slaugytojui, jei vartojate arba vartojote kokių nors kitų vaistų, net ir įsigytų be recepto arba vaistažolių preparatų.</w:t>
      </w:r>
    </w:p>
    <w:p w14:paraId="6ED22F07" w14:textId="77777777" w:rsidR="002F3324" w:rsidRPr="00534C57" w:rsidRDefault="002F3324" w:rsidP="002F3324">
      <w:pPr>
        <w:spacing w:after="0" w:line="240" w:lineRule="auto"/>
        <w:ind w:left="720" w:hanging="360"/>
        <w:rPr>
          <w:rFonts w:ascii="Times New Roman" w:hAnsi="Times New Roman"/>
        </w:rPr>
      </w:pPr>
    </w:p>
    <w:p w14:paraId="10631CC0" w14:textId="77777777" w:rsidR="002F3324" w:rsidRPr="00534C57" w:rsidRDefault="002F3324" w:rsidP="002F3324">
      <w:pPr>
        <w:spacing w:after="0" w:line="240" w:lineRule="auto"/>
        <w:ind w:left="720" w:hanging="720"/>
        <w:rPr>
          <w:rFonts w:ascii="Times New Roman" w:hAnsi="Times New Roman"/>
        </w:rPr>
      </w:pPr>
      <w:r w:rsidRPr="00534C57">
        <w:rPr>
          <w:rFonts w:ascii="Times New Roman" w:hAnsi="Times New Roman"/>
        </w:rPr>
        <w:t xml:space="preserve">Toliau išvardyti vaistai, kurių </w:t>
      </w:r>
      <w:r w:rsidRPr="00534C57">
        <w:rPr>
          <w:rFonts w:ascii="Times New Roman" w:hAnsi="Times New Roman"/>
          <w:b/>
        </w:rPr>
        <w:t>negalima vartoti</w:t>
      </w:r>
      <w:r w:rsidRPr="00534C57">
        <w:rPr>
          <w:rFonts w:ascii="Times New Roman" w:hAnsi="Times New Roman"/>
        </w:rPr>
        <w:t xml:space="preserve"> gydymosi</w:t>
      </w:r>
      <w:r w:rsidRPr="00534C57">
        <w:rPr>
          <w:rFonts w:ascii="Times New Roman" w:hAnsi="Times New Roman"/>
          <w:color w:val="000000"/>
        </w:rPr>
        <w:t xml:space="preserve"> Voriconazole Teva</w:t>
      </w:r>
      <w:r w:rsidRPr="00534C57">
        <w:rPr>
          <w:rFonts w:ascii="Times New Roman" w:hAnsi="Times New Roman"/>
        </w:rPr>
        <w:t xml:space="preserve"> metu:</w:t>
      </w:r>
    </w:p>
    <w:p w14:paraId="4552B94E"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terfenadinas (alergijai gydyti);</w:t>
      </w:r>
    </w:p>
    <w:p w14:paraId="119BD116"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astemizolas (alergijai gydyti);</w:t>
      </w:r>
    </w:p>
    <w:p w14:paraId="21B0F41D"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cisapridas (skrandžio sutrikimams gydyti);</w:t>
      </w:r>
    </w:p>
    <w:p w14:paraId="1C91BC14"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pimozidas (psichikos ligoms gydyti);</w:t>
      </w:r>
    </w:p>
    <w:p w14:paraId="1DE8FFF1" w14:textId="77777777" w:rsidR="002F3324"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chinidinas (širdies ritmo sutrikimams gydyti);</w:t>
      </w:r>
    </w:p>
    <w:p w14:paraId="0EAF8EA1" w14:textId="77777777" w:rsidR="00DB55E6" w:rsidRPr="00534C57" w:rsidRDefault="00DB55E6" w:rsidP="005B66AA">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ivabradinas (</w:t>
      </w:r>
      <w:r w:rsidRPr="00BB4696">
        <w:rPr>
          <w:rFonts w:ascii="Times New Roman" w:hAnsi="Times New Roman"/>
          <w:color w:val="000000"/>
        </w:rPr>
        <w:t>vartojamas lėtinio širdies nepakankamumo simptomams gydyti</w:t>
      </w:r>
      <w:r>
        <w:rPr>
          <w:rFonts w:ascii="Times New Roman" w:hAnsi="Times New Roman"/>
          <w:color w:val="000000"/>
        </w:rPr>
        <w:t>);</w:t>
      </w:r>
    </w:p>
    <w:p w14:paraId="7FFF744D"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rifampicinas (tuberkuliozei gydyti);</w:t>
      </w:r>
    </w:p>
    <w:p w14:paraId="061DA88F"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400</w:t>
      </w:r>
      <w:r w:rsidR="00204E46">
        <w:rPr>
          <w:rFonts w:ascii="Times New Roman" w:hAnsi="Times New Roman"/>
          <w:color w:val="000000"/>
        </w:rPr>
        <w:t> </w:t>
      </w:r>
      <w:r w:rsidRPr="00534C57">
        <w:rPr>
          <w:rFonts w:ascii="Times New Roman" w:hAnsi="Times New Roman"/>
          <w:color w:val="000000"/>
        </w:rPr>
        <w:t>mg efavirenzo ir didesnės (vartojamas ŽIV gydyti) dozės vieną kartą per parą;</w:t>
      </w:r>
    </w:p>
    <w:p w14:paraId="3AD82FB8"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karbamazepinas (traukuliams gydyti);</w:t>
      </w:r>
    </w:p>
    <w:p w14:paraId="12AB8169"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fenobarbitalis (sunkiai nemigai bei priepuoliams gydyti);</w:t>
      </w:r>
    </w:p>
    <w:p w14:paraId="58904B45"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skalsių alkaloidai (pvz., ergotaminas, dihidroergotaminas, kuriais gydoma migrena);</w:t>
      </w:r>
    </w:p>
    <w:p w14:paraId="32A483C3"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sirolimuzas (vartojamas po organų persodinimo);</w:t>
      </w:r>
    </w:p>
    <w:p w14:paraId="6C5FA6AE" w14:textId="77777777" w:rsidR="002F3324" w:rsidRPr="00534C57"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ritonaviras (ŽIV ligai gydyti), vartojamas 400 mg ir didesnėmis dozėmis du kartus per parą;</w:t>
      </w:r>
    </w:p>
    <w:p w14:paraId="2C8A4F0F" w14:textId="77777777" w:rsidR="00DB55E6" w:rsidRDefault="002F3324"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jonažolės (vaistažolių) preparatai</w:t>
      </w:r>
      <w:r w:rsidR="00DB55E6">
        <w:rPr>
          <w:rFonts w:ascii="Times New Roman" w:hAnsi="Times New Roman"/>
          <w:color w:val="000000"/>
        </w:rPr>
        <w:t>;</w:t>
      </w:r>
    </w:p>
    <w:p w14:paraId="5107B103" w14:textId="77777777" w:rsidR="00AC7A35" w:rsidRDefault="00204E46"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naloksegol</w:t>
      </w:r>
      <w:r w:rsidR="00716B9E">
        <w:rPr>
          <w:rFonts w:ascii="Times New Roman" w:hAnsi="Times New Roman"/>
          <w:color w:val="000000"/>
        </w:rPr>
        <w:t>a</w:t>
      </w:r>
      <w:r>
        <w:rPr>
          <w:rFonts w:ascii="Times New Roman" w:hAnsi="Times New Roman"/>
          <w:color w:val="000000"/>
        </w:rPr>
        <w:t xml:space="preserve">s </w:t>
      </w:r>
      <w:r w:rsidR="00AC7A35">
        <w:rPr>
          <w:rFonts w:ascii="Times New Roman" w:hAnsi="Times New Roman"/>
          <w:color w:val="000000"/>
        </w:rPr>
        <w:t>(vartojamas vidurių užkietėjimui</w:t>
      </w:r>
      <w:r w:rsidR="0059379B">
        <w:rPr>
          <w:rFonts w:ascii="Times New Roman" w:hAnsi="Times New Roman"/>
          <w:color w:val="000000"/>
        </w:rPr>
        <w:t xml:space="preserve"> gydyti</w:t>
      </w:r>
      <w:r w:rsidR="00AC7A35">
        <w:rPr>
          <w:rFonts w:ascii="Times New Roman" w:hAnsi="Times New Roman"/>
          <w:color w:val="000000"/>
        </w:rPr>
        <w:t xml:space="preserve">, </w:t>
      </w:r>
      <w:r w:rsidR="0059379B">
        <w:rPr>
          <w:rFonts w:ascii="Times New Roman" w:hAnsi="Times New Roman"/>
          <w:color w:val="000000"/>
        </w:rPr>
        <w:t>ypač kai jį</w:t>
      </w:r>
      <w:r w:rsidR="00AC7A35">
        <w:rPr>
          <w:rFonts w:ascii="Times New Roman" w:hAnsi="Times New Roman"/>
          <w:color w:val="000000"/>
        </w:rPr>
        <w:t xml:space="preserve"> sukelia skausmą malšinantys vaistai</w:t>
      </w:r>
      <w:r w:rsidR="0059379B">
        <w:rPr>
          <w:rFonts w:ascii="Times New Roman" w:hAnsi="Times New Roman"/>
          <w:color w:val="000000"/>
        </w:rPr>
        <w:t>, vadinami</w:t>
      </w:r>
      <w:r w:rsidR="00AC7A35">
        <w:rPr>
          <w:rFonts w:ascii="Times New Roman" w:hAnsi="Times New Roman"/>
          <w:color w:val="000000"/>
        </w:rPr>
        <w:t xml:space="preserve"> opioidai</w:t>
      </w:r>
      <w:r w:rsidR="0059379B">
        <w:rPr>
          <w:rFonts w:ascii="Times New Roman" w:hAnsi="Times New Roman"/>
          <w:color w:val="000000"/>
        </w:rPr>
        <w:t>s</w:t>
      </w:r>
      <w:r w:rsidR="00AC7A35">
        <w:rPr>
          <w:rFonts w:ascii="Times New Roman" w:hAnsi="Times New Roman"/>
          <w:color w:val="000000"/>
        </w:rPr>
        <w:t xml:space="preserve"> [pvz., morfinas, oksikodonas, fentanilis, tramadolis, kodeinas</w:t>
      </w:r>
      <w:r w:rsidR="0059379B">
        <w:rPr>
          <w:rFonts w:ascii="Times New Roman" w:hAnsi="Times New Roman"/>
          <w:color w:val="000000"/>
        </w:rPr>
        <w:t>]</w:t>
      </w:r>
      <w:r w:rsidR="00AC7A35">
        <w:rPr>
          <w:rFonts w:ascii="Times New Roman" w:hAnsi="Times New Roman"/>
          <w:color w:val="000000"/>
        </w:rPr>
        <w:t>);</w:t>
      </w:r>
    </w:p>
    <w:p w14:paraId="2F1EB3A1" w14:textId="77777777" w:rsidR="00204E46" w:rsidRDefault="00AC7A35"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 xml:space="preserve">tolvaptanas </w:t>
      </w:r>
      <w:r w:rsidR="00204E46">
        <w:rPr>
          <w:rFonts w:ascii="Times New Roman" w:hAnsi="Times New Roman"/>
          <w:color w:val="000000"/>
        </w:rPr>
        <w:t>(vartojamas hiponatremijai [</w:t>
      </w:r>
      <w:r w:rsidR="00451C7F">
        <w:rPr>
          <w:rFonts w:ascii="Times New Roman" w:hAnsi="Times New Roman"/>
          <w:color w:val="000000"/>
        </w:rPr>
        <w:t>pernelyg mažam</w:t>
      </w:r>
      <w:r w:rsidR="00204E46">
        <w:rPr>
          <w:rFonts w:ascii="Times New Roman" w:hAnsi="Times New Roman"/>
          <w:color w:val="000000"/>
        </w:rPr>
        <w:t xml:space="preserve"> natrio kieki</w:t>
      </w:r>
      <w:r w:rsidR="003E113F">
        <w:rPr>
          <w:rFonts w:ascii="Times New Roman" w:hAnsi="Times New Roman"/>
          <w:color w:val="000000"/>
        </w:rPr>
        <w:t>ui</w:t>
      </w:r>
      <w:r w:rsidR="00204E46">
        <w:rPr>
          <w:rFonts w:ascii="Times New Roman" w:hAnsi="Times New Roman"/>
          <w:color w:val="000000"/>
        </w:rPr>
        <w:t xml:space="preserve"> kraujyje] </w:t>
      </w:r>
      <w:r w:rsidR="00451C7F">
        <w:rPr>
          <w:rFonts w:ascii="Times New Roman" w:hAnsi="Times New Roman"/>
          <w:color w:val="000000"/>
        </w:rPr>
        <w:t xml:space="preserve">gydyti </w:t>
      </w:r>
      <w:r w:rsidR="00204E46">
        <w:rPr>
          <w:rFonts w:ascii="Times New Roman" w:hAnsi="Times New Roman"/>
          <w:color w:val="000000"/>
        </w:rPr>
        <w:t>arba inkstų funkcij</w:t>
      </w:r>
      <w:r w:rsidR="00451C7F">
        <w:rPr>
          <w:rFonts w:ascii="Times New Roman" w:hAnsi="Times New Roman"/>
          <w:color w:val="000000"/>
        </w:rPr>
        <w:t>os silpnėjimui</w:t>
      </w:r>
      <w:r w:rsidR="00204E46">
        <w:rPr>
          <w:rFonts w:ascii="Times New Roman" w:hAnsi="Times New Roman"/>
          <w:color w:val="000000"/>
        </w:rPr>
        <w:t xml:space="preserve"> policistine inkstų liga sergantiems pacientams</w:t>
      </w:r>
      <w:r w:rsidR="00451C7F">
        <w:rPr>
          <w:rFonts w:ascii="Times New Roman" w:hAnsi="Times New Roman"/>
          <w:color w:val="000000"/>
        </w:rPr>
        <w:t xml:space="preserve"> sulėtinti</w:t>
      </w:r>
      <w:r w:rsidR="00204E46">
        <w:rPr>
          <w:rFonts w:ascii="Times New Roman" w:hAnsi="Times New Roman"/>
          <w:color w:val="000000"/>
        </w:rPr>
        <w:t>);</w:t>
      </w:r>
    </w:p>
    <w:p w14:paraId="47DE04C6" w14:textId="77777777" w:rsidR="00204E46" w:rsidRDefault="00204E46" w:rsidP="002F3324">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lura</w:t>
      </w:r>
      <w:r w:rsidR="000118D1">
        <w:rPr>
          <w:rFonts w:ascii="Times New Roman" w:hAnsi="Times New Roman"/>
          <w:color w:val="000000"/>
        </w:rPr>
        <w:t>z</w:t>
      </w:r>
      <w:r>
        <w:rPr>
          <w:rFonts w:ascii="Times New Roman" w:hAnsi="Times New Roman"/>
          <w:color w:val="000000"/>
        </w:rPr>
        <w:t>idon</w:t>
      </w:r>
      <w:r w:rsidR="00AC7A35">
        <w:rPr>
          <w:rFonts w:ascii="Times New Roman" w:hAnsi="Times New Roman"/>
          <w:color w:val="000000"/>
        </w:rPr>
        <w:t>as</w:t>
      </w:r>
      <w:r>
        <w:rPr>
          <w:rFonts w:ascii="Times New Roman" w:hAnsi="Times New Roman"/>
          <w:color w:val="000000"/>
        </w:rPr>
        <w:t xml:space="preserve"> (vartojamą depresijai gydyti);</w:t>
      </w:r>
    </w:p>
    <w:p w14:paraId="2B69FF3D" w14:textId="77777777" w:rsidR="002F3324" w:rsidRPr="00534C57" w:rsidRDefault="00DB55E6" w:rsidP="005B66AA">
      <w:pPr>
        <w:numPr>
          <w:ilvl w:val="1"/>
          <w:numId w:val="9"/>
        </w:numPr>
        <w:autoSpaceDE w:val="0"/>
        <w:autoSpaceDN w:val="0"/>
        <w:adjustRightInd w:val="0"/>
        <w:spacing w:after="0" w:line="240" w:lineRule="auto"/>
        <w:ind w:left="567" w:hanging="567"/>
        <w:contextualSpacing/>
        <w:rPr>
          <w:rFonts w:ascii="Times New Roman" w:hAnsi="Times New Roman"/>
          <w:color w:val="000000"/>
        </w:rPr>
      </w:pPr>
      <w:r w:rsidRPr="00823B71">
        <w:rPr>
          <w:rFonts w:ascii="Times New Roman" w:hAnsi="Times New Roman"/>
          <w:color w:val="000000"/>
        </w:rPr>
        <w:t>veneto</w:t>
      </w:r>
      <w:r w:rsidR="0031029C">
        <w:rPr>
          <w:rFonts w:ascii="Times New Roman" w:hAnsi="Times New Roman"/>
          <w:color w:val="000000"/>
        </w:rPr>
        <w:t>k</w:t>
      </w:r>
      <w:r w:rsidRPr="00823B71">
        <w:rPr>
          <w:rFonts w:ascii="Times New Roman" w:hAnsi="Times New Roman"/>
          <w:color w:val="000000"/>
        </w:rPr>
        <w:t>laksas (vartojamas pacientams, sergantiems lėtine limfocitine leukemija-LLL</w:t>
      </w:r>
      <w:r>
        <w:rPr>
          <w:rFonts w:ascii="Times New Roman" w:hAnsi="Times New Roman"/>
          <w:color w:val="000000"/>
        </w:rPr>
        <w:t xml:space="preserve"> gydyti</w:t>
      </w:r>
      <w:r w:rsidRPr="008A4216">
        <w:rPr>
          <w:rFonts w:ascii="Times New Roman" w:hAnsi="Times New Roman"/>
          <w:color w:val="000000"/>
        </w:rPr>
        <w:t>)</w:t>
      </w:r>
    </w:p>
    <w:p w14:paraId="1C71A2CD" w14:textId="77777777" w:rsidR="002F3324" w:rsidRPr="00534C57" w:rsidRDefault="002F3324" w:rsidP="002F3324">
      <w:pPr>
        <w:autoSpaceDE w:val="0"/>
        <w:autoSpaceDN w:val="0"/>
        <w:adjustRightInd w:val="0"/>
        <w:spacing w:after="0" w:line="240" w:lineRule="auto"/>
        <w:rPr>
          <w:rFonts w:ascii="Times New Roman" w:hAnsi="Times New Roman"/>
          <w:bCs/>
          <w:color w:val="000000"/>
        </w:rPr>
      </w:pPr>
    </w:p>
    <w:p w14:paraId="4E7F4B91"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Įspėjimai ir atsargumo priemonės</w:t>
      </w:r>
    </w:p>
    <w:p w14:paraId="0482E34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Pasitarkite su gydytoju, vaistininku arba slaugytoju, prieš pradėdami vartoti Voriconazole Teva, jeigu:</w:t>
      </w:r>
    </w:p>
    <w:p w14:paraId="2C54E578" w14:textId="77777777" w:rsidR="002F3324" w:rsidRPr="00050907" w:rsidRDefault="002F3324" w:rsidP="00050907">
      <w:pPr>
        <w:pStyle w:val="Sraopastraipa"/>
        <w:numPr>
          <w:ilvl w:val="0"/>
          <w:numId w:val="38"/>
        </w:numPr>
        <w:spacing w:after="0" w:line="240" w:lineRule="auto"/>
        <w:ind w:left="567" w:hanging="567"/>
        <w:rPr>
          <w:rFonts w:ascii="Times New Roman" w:hAnsi="Times New Roman"/>
        </w:rPr>
      </w:pPr>
      <w:r w:rsidRPr="00050907">
        <w:rPr>
          <w:rFonts w:ascii="Times New Roman" w:hAnsi="Times New Roman"/>
        </w:rPr>
        <w:t>buvo pasireiškusi alerginė reakcija kitiems azolams;</w:t>
      </w:r>
    </w:p>
    <w:p w14:paraId="4FF3F08E" w14:textId="77777777" w:rsidR="002F3324" w:rsidRPr="00050907" w:rsidRDefault="002F3324" w:rsidP="00050907">
      <w:pPr>
        <w:pStyle w:val="Sraopastraipa"/>
        <w:numPr>
          <w:ilvl w:val="0"/>
          <w:numId w:val="38"/>
        </w:numPr>
        <w:spacing w:after="0" w:line="240" w:lineRule="auto"/>
        <w:ind w:left="567" w:hanging="567"/>
        <w:rPr>
          <w:rFonts w:ascii="Times New Roman" w:hAnsi="Times New Roman"/>
        </w:rPr>
      </w:pPr>
      <w:r w:rsidRPr="00050907">
        <w:rPr>
          <w:rFonts w:ascii="Times New Roman" w:hAnsi="Times New Roman"/>
        </w:rPr>
        <w:t xml:space="preserve">sergate arba anksčiau sirgote kepenų liga. Jeigu sergate kepenų liga, gydytojas gali skirti vartoti mažesnę </w:t>
      </w:r>
      <w:r w:rsidRPr="00050907">
        <w:rPr>
          <w:rFonts w:ascii="Times New Roman" w:hAnsi="Times New Roman"/>
          <w:color w:val="000000"/>
        </w:rPr>
        <w:t>Voriconazole Teva</w:t>
      </w:r>
      <w:r w:rsidRPr="00050907">
        <w:rPr>
          <w:rFonts w:ascii="Times New Roman" w:hAnsi="Times New Roman"/>
        </w:rPr>
        <w:t xml:space="preserve"> dozę. Be to, </w:t>
      </w:r>
      <w:r w:rsidRPr="00050907">
        <w:rPr>
          <w:rFonts w:ascii="Times New Roman" w:hAnsi="Times New Roman"/>
          <w:color w:val="000000"/>
        </w:rPr>
        <w:t xml:space="preserve">Voriconazole Teva vartojimo </w:t>
      </w:r>
      <w:r w:rsidRPr="00050907">
        <w:rPr>
          <w:rFonts w:ascii="Times New Roman" w:hAnsi="Times New Roman"/>
        </w:rPr>
        <w:t>metu gydytojas turės kontroliuoti Jūsų kepenų veiklą, atlikdamas kraujo tyrimus;</w:t>
      </w:r>
    </w:p>
    <w:p w14:paraId="5C6047C2" w14:textId="77777777" w:rsidR="002F3324" w:rsidRPr="00050907" w:rsidRDefault="002F3324" w:rsidP="00050907">
      <w:pPr>
        <w:pStyle w:val="Sraopastraipa"/>
        <w:numPr>
          <w:ilvl w:val="0"/>
          <w:numId w:val="38"/>
        </w:numPr>
        <w:spacing w:after="0" w:line="240" w:lineRule="auto"/>
        <w:ind w:left="567" w:hanging="567"/>
        <w:rPr>
          <w:rFonts w:ascii="Times New Roman" w:hAnsi="Times New Roman"/>
        </w:rPr>
      </w:pPr>
      <w:r w:rsidRPr="00050907">
        <w:rPr>
          <w:rFonts w:ascii="Times New Roman" w:hAnsi="Times New Roman"/>
        </w:rPr>
        <w:t>Jums yra diagnozuota kardiomiopatija, neritmiškas širdies plakimas, retas širdies plakimas arba pagal užrašytą elektrokardiogramą (EKG) diagnozuotas vadinamasis „ilgo QT sindromas“.</w:t>
      </w:r>
    </w:p>
    <w:p w14:paraId="74ADC4F3" w14:textId="3A62881D"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Vaisto vartojimo metu </w:t>
      </w:r>
      <w:r w:rsidR="00C61539">
        <w:rPr>
          <w:rFonts w:ascii="Times New Roman" w:hAnsi="Times New Roman"/>
          <w:color w:val="000000"/>
        </w:rPr>
        <w:t>J</w:t>
      </w:r>
      <w:r w:rsidR="00C61539" w:rsidRPr="00534C57">
        <w:rPr>
          <w:rFonts w:ascii="Times New Roman" w:hAnsi="Times New Roman"/>
          <w:color w:val="000000"/>
        </w:rPr>
        <w:t xml:space="preserve">ūs </w:t>
      </w:r>
      <w:r w:rsidRPr="00534C57">
        <w:rPr>
          <w:rFonts w:ascii="Times New Roman" w:hAnsi="Times New Roman"/>
          <w:color w:val="000000"/>
        </w:rPr>
        <w:t>turite vengti bet kokių saulės spindulių ir buvimo saulėje. Labai svarbu uždengti saulės veikiamas odos sritis ir naudoti kosmetines priemones nuo saulės,</w:t>
      </w:r>
      <w:r w:rsidRPr="00534C57">
        <w:rPr>
          <w:rFonts w:ascii="Times New Roman" w:hAnsi="Times New Roman"/>
        </w:rPr>
        <w:t xml:space="preserve"> </w:t>
      </w:r>
      <w:r w:rsidRPr="00534C57">
        <w:rPr>
          <w:rFonts w:ascii="Times New Roman" w:hAnsi="Times New Roman"/>
          <w:color w:val="000000"/>
        </w:rPr>
        <w:t>kurių apsaugos nuo saulės koeficientas (SPF) didelis, nes gali pasireikšti padidėjęs jautrumas saulės UV spinduliavimui.</w:t>
      </w:r>
      <w:r w:rsidR="00DC2527">
        <w:rPr>
          <w:rFonts w:ascii="Times New Roman" w:hAnsi="Times New Roman"/>
          <w:color w:val="000000"/>
        </w:rPr>
        <w:t xml:space="preserve"> Šį poveikį</w:t>
      </w:r>
      <w:r w:rsidR="00DC2527" w:rsidRPr="00DC2527">
        <w:rPr>
          <w:rFonts w:ascii="Times New Roman" w:hAnsi="Times New Roman"/>
          <w:color w:val="000000"/>
        </w:rPr>
        <w:t xml:space="preserve"> gali dar labiau sustiprinti kiti vaistai, kurie jautrina odą saulės šviesai, pvz., metotreksatas.</w:t>
      </w:r>
    </w:p>
    <w:p w14:paraId="4969988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Šios atsargumo priemonės taip pat taikytinos vaikams.</w:t>
      </w:r>
    </w:p>
    <w:p w14:paraId="730E909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0CD1D17" w14:textId="77777777" w:rsidR="002F3324" w:rsidRPr="00534C57" w:rsidRDefault="002F3324" w:rsidP="002F3324">
      <w:pPr>
        <w:autoSpaceDE w:val="0"/>
        <w:autoSpaceDN w:val="0"/>
        <w:adjustRightInd w:val="0"/>
        <w:spacing w:after="0" w:line="240" w:lineRule="auto"/>
        <w:rPr>
          <w:rFonts w:ascii="Times New Roman" w:hAnsi="Times New Roman"/>
        </w:rPr>
      </w:pPr>
      <w:r w:rsidRPr="00534C57">
        <w:rPr>
          <w:rFonts w:ascii="Times New Roman" w:hAnsi="Times New Roman"/>
          <w:color w:val="000000"/>
        </w:rPr>
        <w:t xml:space="preserve">Voriconazole Teva vartojimo metu, </w:t>
      </w:r>
      <w:r w:rsidRPr="00534C57">
        <w:rPr>
          <w:rFonts w:ascii="Times New Roman" w:hAnsi="Times New Roman"/>
        </w:rPr>
        <w:t>nedelsdami pasakykite gydytojui, jeigu pasireiškia:</w:t>
      </w:r>
    </w:p>
    <w:p w14:paraId="27E1AC23" w14:textId="77777777" w:rsidR="002F3324" w:rsidRPr="00534C57" w:rsidRDefault="002F3324" w:rsidP="0031029C">
      <w:pPr>
        <w:numPr>
          <w:ilvl w:val="0"/>
          <w:numId w:val="31"/>
        </w:numPr>
        <w:autoSpaceDE w:val="0"/>
        <w:autoSpaceDN w:val="0"/>
        <w:adjustRightInd w:val="0"/>
        <w:spacing w:after="0" w:line="240" w:lineRule="auto"/>
        <w:ind w:left="567" w:hanging="567"/>
        <w:rPr>
          <w:rFonts w:ascii="Times New Roman" w:hAnsi="Times New Roman"/>
        </w:rPr>
      </w:pPr>
      <w:r w:rsidRPr="00534C57">
        <w:rPr>
          <w:rFonts w:ascii="Times New Roman" w:hAnsi="Times New Roman"/>
        </w:rPr>
        <w:t>nudegimas nuo saulės;</w:t>
      </w:r>
    </w:p>
    <w:p w14:paraId="179577B6" w14:textId="77777777" w:rsidR="002F3324" w:rsidRPr="00534C57" w:rsidRDefault="002F3324" w:rsidP="0031029C">
      <w:pPr>
        <w:numPr>
          <w:ilvl w:val="0"/>
          <w:numId w:val="31"/>
        </w:numPr>
        <w:autoSpaceDE w:val="0"/>
        <w:autoSpaceDN w:val="0"/>
        <w:adjustRightInd w:val="0"/>
        <w:spacing w:after="0" w:line="240" w:lineRule="auto"/>
        <w:ind w:left="567" w:hanging="567"/>
        <w:rPr>
          <w:rFonts w:ascii="Times New Roman" w:hAnsi="Times New Roman"/>
        </w:rPr>
      </w:pPr>
      <w:r w:rsidRPr="00534C57">
        <w:rPr>
          <w:rFonts w:ascii="Times New Roman" w:hAnsi="Times New Roman"/>
        </w:rPr>
        <w:t>sunkus odos bėrimas arba pūslės;</w:t>
      </w:r>
    </w:p>
    <w:p w14:paraId="5C1E2F0C" w14:textId="77777777" w:rsidR="002F3324" w:rsidRPr="00534C57" w:rsidRDefault="002F3324" w:rsidP="0031029C">
      <w:pPr>
        <w:numPr>
          <w:ilvl w:val="0"/>
          <w:numId w:val="31"/>
        </w:numPr>
        <w:autoSpaceDE w:val="0"/>
        <w:autoSpaceDN w:val="0"/>
        <w:adjustRightInd w:val="0"/>
        <w:spacing w:after="0" w:line="240" w:lineRule="auto"/>
        <w:ind w:left="567" w:hanging="567"/>
        <w:rPr>
          <w:rFonts w:ascii="Times New Roman" w:hAnsi="Times New Roman"/>
        </w:rPr>
      </w:pPr>
      <w:r w:rsidRPr="00534C57">
        <w:rPr>
          <w:rFonts w:ascii="Times New Roman" w:hAnsi="Times New Roman"/>
        </w:rPr>
        <w:t>kaulų skausmas.</w:t>
      </w:r>
    </w:p>
    <w:p w14:paraId="0CFFC677" w14:textId="77777777" w:rsidR="002F3324" w:rsidRPr="00534C57" w:rsidRDefault="002F3324" w:rsidP="0031029C">
      <w:pPr>
        <w:autoSpaceDE w:val="0"/>
        <w:autoSpaceDN w:val="0"/>
        <w:adjustRightInd w:val="0"/>
        <w:spacing w:after="0" w:line="240" w:lineRule="auto"/>
        <w:ind w:left="567" w:hanging="567"/>
        <w:rPr>
          <w:rFonts w:ascii="Times New Roman" w:hAnsi="Times New Roman"/>
        </w:rPr>
      </w:pPr>
    </w:p>
    <w:p w14:paraId="4B6D744F" w14:textId="25D3969F"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 atsiras minėtų odos pažeidimų, gydytojas gali nusiųsti Jus pas dermatologą, kuris po konsultacijos gali nuspręsti, kad būtinos reguliarios konsultacijos. Yra nedidelė tikimybė, kad ilgai vartojant vorikonazolą gali išsivystyti odos vėžys.</w:t>
      </w:r>
      <w:r w:rsidR="00DC2527" w:rsidRPr="00DC2527">
        <w:t xml:space="preserve"> </w:t>
      </w:r>
    </w:p>
    <w:p w14:paraId="4113D390" w14:textId="77777777" w:rsidR="002F3324" w:rsidRDefault="002F3324" w:rsidP="002F3324">
      <w:pPr>
        <w:autoSpaceDE w:val="0"/>
        <w:autoSpaceDN w:val="0"/>
        <w:adjustRightInd w:val="0"/>
        <w:spacing w:after="0" w:line="240" w:lineRule="auto"/>
        <w:rPr>
          <w:rFonts w:ascii="Times New Roman" w:hAnsi="Times New Roman"/>
          <w:color w:val="000000"/>
        </w:rPr>
      </w:pPr>
    </w:p>
    <w:p w14:paraId="30A8257D" w14:textId="77777777" w:rsidR="0043577C" w:rsidRPr="0043577C" w:rsidRDefault="0043577C" w:rsidP="001931BB">
      <w:pPr>
        <w:autoSpaceDE w:val="0"/>
        <w:autoSpaceDN w:val="0"/>
        <w:adjustRightInd w:val="0"/>
        <w:spacing w:after="0" w:line="240" w:lineRule="auto"/>
        <w:rPr>
          <w:rFonts w:ascii="Times New Roman" w:hAnsi="Times New Roman"/>
          <w:color w:val="000000"/>
        </w:rPr>
      </w:pPr>
      <w:r w:rsidRPr="0043577C">
        <w:rPr>
          <w:rFonts w:ascii="Times New Roman" w:hAnsi="Times New Roman"/>
          <w:color w:val="000000"/>
        </w:rPr>
        <w:t>Jei</w:t>
      </w:r>
      <w:r w:rsidR="00CB0ECB">
        <w:rPr>
          <w:rFonts w:ascii="Times New Roman" w:hAnsi="Times New Roman"/>
          <w:color w:val="000000"/>
        </w:rPr>
        <w:t>gu pasireiškia</w:t>
      </w:r>
      <w:r w:rsidRPr="0043577C">
        <w:rPr>
          <w:rFonts w:ascii="Times New Roman" w:hAnsi="Times New Roman"/>
          <w:color w:val="000000"/>
        </w:rPr>
        <w:t xml:space="preserve"> antinksčių nepakankamumo požymių, </w:t>
      </w:r>
      <w:r w:rsidR="001931BB" w:rsidRPr="001931BB">
        <w:rPr>
          <w:rFonts w:ascii="Times New Roman" w:hAnsi="Times New Roman"/>
          <w:color w:val="000000"/>
        </w:rPr>
        <w:t>kai antinksčiai nepajėgia gaminti pakankamo</w:t>
      </w:r>
      <w:r w:rsidR="001931BB">
        <w:rPr>
          <w:rFonts w:ascii="Times New Roman" w:hAnsi="Times New Roman"/>
          <w:color w:val="000000"/>
        </w:rPr>
        <w:t xml:space="preserve"> </w:t>
      </w:r>
      <w:r w:rsidR="001931BB" w:rsidRPr="001931BB">
        <w:rPr>
          <w:rFonts w:ascii="Times New Roman" w:hAnsi="Times New Roman"/>
          <w:color w:val="000000"/>
        </w:rPr>
        <w:t>kiekio tam tikrų steroidinių hormonų, pvz., kortizolio</w:t>
      </w:r>
      <w:r w:rsidR="001931BB">
        <w:rPr>
          <w:rFonts w:ascii="Times New Roman" w:hAnsi="Times New Roman"/>
          <w:color w:val="000000"/>
        </w:rPr>
        <w:t xml:space="preserve"> (tai</w:t>
      </w:r>
      <w:r w:rsidR="008B3D51">
        <w:rPr>
          <w:rFonts w:ascii="Times New Roman" w:hAnsi="Times New Roman"/>
          <w:color w:val="000000"/>
        </w:rPr>
        <w:t xml:space="preserve"> gali pasireikšti šiais simptomais</w:t>
      </w:r>
      <w:r w:rsidR="009A454A">
        <w:rPr>
          <w:rFonts w:ascii="Times New Roman" w:hAnsi="Times New Roman"/>
          <w:color w:val="000000"/>
        </w:rPr>
        <w:t>:</w:t>
      </w:r>
      <w:r w:rsidR="008B3D51">
        <w:rPr>
          <w:rFonts w:ascii="Times New Roman" w:hAnsi="Times New Roman"/>
          <w:color w:val="000000"/>
        </w:rPr>
        <w:t xml:space="preserve"> </w:t>
      </w:r>
      <w:r w:rsidRPr="0043577C">
        <w:rPr>
          <w:rFonts w:ascii="Times New Roman" w:hAnsi="Times New Roman"/>
          <w:color w:val="000000"/>
        </w:rPr>
        <w:t>lėtini</w:t>
      </w:r>
      <w:r w:rsidR="009A454A">
        <w:rPr>
          <w:rFonts w:ascii="Times New Roman" w:hAnsi="Times New Roman"/>
          <w:color w:val="000000"/>
        </w:rPr>
        <w:t>u</w:t>
      </w:r>
      <w:r w:rsidRPr="0043577C">
        <w:rPr>
          <w:rFonts w:ascii="Times New Roman" w:hAnsi="Times New Roman"/>
          <w:color w:val="000000"/>
        </w:rPr>
        <w:t xml:space="preserve"> ar</w:t>
      </w:r>
      <w:r w:rsidR="009A454A">
        <w:rPr>
          <w:rFonts w:ascii="Times New Roman" w:hAnsi="Times New Roman"/>
          <w:color w:val="000000"/>
        </w:rPr>
        <w:t>ba</w:t>
      </w:r>
      <w:r w:rsidRPr="0043577C">
        <w:rPr>
          <w:rFonts w:ascii="Times New Roman" w:hAnsi="Times New Roman"/>
          <w:color w:val="000000"/>
        </w:rPr>
        <w:t xml:space="preserve"> ilgalaiki</w:t>
      </w:r>
      <w:r w:rsidR="009A454A">
        <w:rPr>
          <w:rFonts w:ascii="Times New Roman" w:hAnsi="Times New Roman"/>
          <w:color w:val="000000"/>
        </w:rPr>
        <w:t>u</w:t>
      </w:r>
      <w:r w:rsidRPr="0043577C">
        <w:rPr>
          <w:rFonts w:ascii="Times New Roman" w:hAnsi="Times New Roman"/>
          <w:color w:val="000000"/>
        </w:rPr>
        <w:t xml:space="preserve"> nuovargi</w:t>
      </w:r>
      <w:r w:rsidR="009A454A">
        <w:rPr>
          <w:rFonts w:ascii="Times New Roman" w:hAnsi="Times New Roman"/>
          <w:color w:val="000000"/>
        </w:rPr>
        <w:t>u</w:t>
      </w:r>
      <w:r w:rsidRPr="0043577C">
        <w:rPr>
          <w:rFonts w:ascii="Times New Roman" w:hAnsi="Times New Roman"/>
          <w:color w:val="000000"/>
        </w:rPr>
        <w:t>, raumenų silpnum</w:t>
      </w:r>
      <w:r w:rsidR="008F2AEF">
        <w:rPr>
          <w:rFonts w:ascii="Times New Roman" w:hAnsi="Times New Roman"/>
          <w:color w:val="000000"/>
        </w:rPr>
        <w:t>u</w:t>
      </w:r>
      <w:r w:rsidRPr="0043577C">
        <w:rPr>
          <w:rFonts w:ascii="Times New Roman" w:hAnsi="Times New Roman"/>
          <w:color w:val="000000"/>
        </w:rPr>
        <w:t>, apetito praradim</w:t>
      </w:r>
      <w:r w:rsidR="008F2AEF">
        <w:rPr>
          <w:rFonts w:ascii="Times New Roman" w:hAnsi="Times New Roman"/>
          <w:color w:val="000000"/>
        </w:rPr>
        <w:t>u</w:t>
      </w:r>
      <w:r w:rsidRPr="0043577C">
        <w:rPr>
          <w:rFonts w:ascii="Times New Roman" w:hAnsi="Times New Roman"/>
          <w:color w:val="000000"/>
        </w:rPr>
        <w:t xml:space="preserve">, </w:t>
      </w:r>
      <w:r w:rsidR="008F2AEF">
        <w:rPr>
          <w:rFonts w:ascii="Times New Roman" w:hAnsi="Times New Roman"/>
          <w:color w:val="000000"/>
        </w:rPr>
        <w:t>kūno masės mažėjimu</w:t>
      </w:r>
      <w:r w:rsidRPr="0043577C">
        <w:rPr>
          <w:rFonts w:ascii="Times New Roman" w:hAnsi="Times New Roman"/>
          <w:color w:val="000000"/>
        </w:rPr>
        <w:t>, pilvo skausm</w:t>
      </w:r>
      <w:r w:rsidR="006F3AB6">
        <w:rPr>
          <w:rFonts w:ascii="Times New Roman" w:hAnsi="Times New Roman"/>
          <w:color w:val="000000"/>
        </w:rPr>
        <w:t>u)</w:t>
      </w:r>
      <w:r w:rsidRPr="0043577C">
        <w:rPr>
          <w:rFonts w:ascii="Times New Roman" w:hAnsi="Times New Roman"/>
          <w:color w:val="000000"/>
        </w:rPr>
        <w:t>, pasakykite gydytojui.</w:t>
      </w:r>
    </w:p>
    <w:p w14:paraId="3DB2EEA6" w14:textId="77777777" w:rsidR="0043577C" w:rsidRDefault="0043577C" w:rsidP="002F3324">
      <w:pPr>
        <w:autoSpaceDE w:val="0"/>
        <w:autoSpaceDN w:val="0"/>
        <w:adjustRightInd w:val="0"/>
        <w:spacing w:after="0" w:line="240" w:lineRule="auto"/>
        <w:rPr>
          <w:rFonts w:ascii="Times New Roman" w:hAnsi="Times New Roman"/>
          <w:color w:val="000000"/>
        </w:rPr>
      </w:pPr>
    </w:p>
    <w:p w14:paraId="147A1FAA" w14:textId="77777777" w:rsidR="006E549D" w:rsidRDefault="006E549D" w:rsidP="00563FDC">
      <w:pPr>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Jeigu </w:t>
      </w:r>
      <w:r w:rsidR="00C75E81">
        <w:rPr>
          <w:rFonts w:ascii="Times New Roman" w:hAnsi="Times New Roman"/>
          <w:color w:val="000000"/>
        </w:rPr>
        <w:t>J</w:t>
      </w:r>
      <w:r w:rsidR="00AC7A35">
        <w:rPr>
          <w:rFonts w:ascii="Times New Roman" w:hAnsi="Times New Roman"/>
          <w:color w:val="000000"/>
        </w:rPr>
        <w:t>ums iš</w:t>
      </w:r>
      <w:r w:rsidR="00C75E81">
        <w:rPr>
          <w:rFonts w:ascii="Times New Roman" w:hAnsi="Times New Roman"/>
          <w:color w:val="000000"/>
        </w:rPr>
        <w:t>sivysto</w:t>
      </w:r>
      <w:r>
        <w:rPr>
          <w:rFonts w:ascii="Times New Roman" w:hAnsi="Times New Roman"/>
          <w:color w:val="000000"/>
        </w:rPr>
        <w:t xml:space="preserve"> </w:t>
      </w:r>
      <w:r w:rsidR="00AC7A35">
        <w:rPr>
          <w:rFonts w:ascii="Times New Roman" w:hAnsi="Times New Roman"/>
          <w:color w:val="000000"/>
        </w:rPr>
        <w:t>„</w:t>
      </w:r>
      <w:r>
        <w:rPr>
          <w:rFonts w:ascii="Times New Roman" w:hAnsi="Times New Roman"/>
          <w:color w:val="000000"/>
        </w:rPr>
        <w:t>Kušingo sindrom</w:t>
      </w:r>
      <w:r w:rsidR="00AB586A">
        <w:rPr>
          <w:rFonts w:ascii="Times New Roman" w:hAnsi="Times New Roman"/>
          <w:color w:val="000000"/>
        </w:rPr>
        <w:t>o</w:t>
      </w:r>
      <w:r w:rsidR="00AC7A35">
        <w:rPr>
          <w:rFonts w:ascii="Times New Roman" w:hAnsi="Times New Roman"/>
          <w:color w:val="000000"/>
        </w:rPr>
        <w:t>“</w:t>
      </w:r>
      <w:r w:rsidR="00AB586A">
        <w:rPr>
          <w:rFonts w:ascii="Times New Roman" w:hAnsi="Times New Roman"/>
          <w:color w:val="000000"/>
        </w:rPr>
        <w:t xml:space="preserve"> požymių</w:t>
      </w:r>
      <w:r>
        <w:rPr>
          <w:rFonts w:ascii="Times New Roman" w:hAnsi="Times New Roman"/>
          <w:color w:val="000000"/>
        </w:rPr>
        <w:t xml:space="preserve">, </w:t>
      </w:r>
      <w:r w:rsidR="00563FDC" w:rsidRPr="00563FDC">
        <w:rPr>
          <w:rFonts w:ascii="Times New Roman" w:hAnsi="Times New Roman"/>
          <w:color w:val="000000"/>
        </w:rPr>
        <w:t>kuriam esant organizmas gamina per daug</w:t>
      </w:r>
      <w:r w:rsidR="00563FDC">
        <w:rPr>
          <w:rFonts w:ascii="Times New Roman" w:hAnsi="Times New Roman"/>
          <w:color w:val="000000"/>
        </w:rPr>
        <w:t xml:space="preserve"> </w:t>
      </w:r>
      <w:r w:rsidR="00563FDC" w:rsidRPr="00563FDC">
        <w:rPr>
          <w:rFonts w:ascii="Times New Roman" w:hAnsi="Times New Roman"/>
          <w:color w:val="000000"/>
        </w:rPr>
        <w:t>hormono kortizolio ir dėl to gali atsirasti tokių simptomų</w:t>
      </w:r>
      <w:r w:rsidR="002336AB">
        <w:rPr>
          <w:rFonts w:ascii="Times New Roman" w:hAnsi="Times New Roman"/>
          <w:color w:val="000000"/>
        </w:rPr>
        <w:t>,</w:t>
      </w:r>
      <w:r>
        <w:rPr>
          <w:rFonts w:ascii="Times New Roman" w:hAnsi="Times New Roman"/>
          <w:color w:val="000000"/>
        </w:rPr>
        <w:t>kaip svorio padidėjimas, riebalinė kupra tarp menčių, suapvalintas veidas, odos patamsėjimas ant pilvo, šlaunų, krūtų ir rankų, plonėjanti oda, lengvai atsirandančios mėlynės, didelis cukraus kiekis kraujyje, pernelyg gausus plaukų augimas, gausus prakaitavimas, pasakykite gydytojui.</w:t>
      </w:r>
    </w:p>
    <w:p w14:paraId="2C1D6991" w14:textId="77777777" w:rsidR="006E549D" w:rsidRPr="00534C57" w:rsidRDefault="006E549D" w:rsidP="002F3324">
      <w:pPr>
        <w:autoSpaceDE w:val="0"/>
        <w:autoSpaceDN w:val="0"/>
        <w:adjustRightInd w:val="0"/>
        <w:spacing w:after="0" w:line="240" w:lineRule="auto"/>
        <w:rPr>
          <w:rFonts w:ascii="Times New Roman" w:hAnsi="Times New Roman"/>
          <w:color w:val="000000"/>
        </w:rPr>
      </w:pPr>
    </w:p>
    <w:p w14:paraId="7F67AAF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Gydytojas turės stebėti Jūsų kepenų ir inkstų veiklą, atlikdamas kraujo tyrimus.</w:t>
      </w:r>
    </w:p>
    <w:p w14:paraId="471727B7"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5E5B6AB9"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Vaikams ir paaugliams</w:t>
      </w:r>
    </w:p>
    <w:p w14:paraId="741A33D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negalima vartoti jaunesniems kaip 2 metų vaikams.</w:t>
      </w:r>
    </w:p>
    <w:p w14:paraId="2C43A9E1"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3AD8F06F" w14:textId="77777777" w:rsidR="002F3324" w:rsidRPr="00534C57" w:rsidRDefault="002F3324" w:rsidP="002F3324">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Kiti vaistai ir </w:t>
      </w:r>
      <w:r w:rsidRPr="00534C57">
        <w:rPr>
          <w:rFonts w:ascii="Times New Roman" w:hAnsi="Times New Roman"/>
          <w:b/>
          <w:color w:val="000000"/>
        </w:rPr>
        <w:t xml:space="preserve">Voriconazole Teva </w:t>
      </w:r>
    </w:p>
    <w:p w14:paraId="2F8CA80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vartojate arba neseniai vartojote kitų vaistų, įskaitant įsigytus be recepto,</w:t>
      </w:r>
      <w:r w:rsidR="00E77090" w:rsidRPr="00E77090">
        <w:rPr>
          <w:rFonts w:ascii="Times New Roman" w:eastAsia="Times New Roman" w:hAnsi="Times New Roman"/>
          <w:noProof/>
          <w:snapToGrid w:val="0"/>
          <w:szCs w:val="24"/>
        </w:rPr>
        <w:t xml:space="preserve"> arba dėl to nesate tikri, apie tai</w:t>
      </w:r>
      <w:r w:rsidRPr="00534C57">
        <w:rPr>
          <w:rFonts w:ascii="Times New Roman" w:hAnsi="Times New Roman"/>
          <w:color w:val="000000"/>
        </w:rPr>
        <w:t xml:space="preserve"> pasakykite gydytojui arba vaistininkui.</w:t>
      </w:r>
    </w:p>
    <w:p w14:paraId="4217800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A97FBD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Kai kurie kartu vartojami vaistai gali daryti įtaką Voriconazole Teva poveikiui arba Voriconazole Teva gali turėti įtakos šių vaistų veikimui.</w:t>
      </w:r>
    </w:p>
    <w:p w14:paraId="53A62D4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9237DB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Pasakykite gydytojui, jeigu vartojate šių vaistų, nes jų, jeigu įmanoma, gydymo Voriconazole Teva metu patariama kartu nevartoti:</w:t>
      </w:r>
    </w:p>
    <w:p w14:paraId="5199D008" w14:textId="77777777" w:rsidR="006E549D" w:rsidRDefault="002F3324" w:rsidP="00050907">
      <w:pPr>
        <w:pStyle w:val="Sraopastraipa"/>
        <w:numPr>
          <w:ilvl w:val="0"/>
          <w:numId w:val="39"/>
        </w:numPr>
        <w:spacing w:after="0" w:line="240" w:lineRule="auto"/>
        <w:ind w:left="567" w:hanging="567"/>
        <w:rPr>
          <w:rFonts w:ascii="Times New Roman" w:hAnsi="Times New Roman"/>
        </w:rPr>
      </w:pPr>
      <w:r w:rsidRPr="00050907">
        <w:rPr>
          <w:rFonts w:ascii="Times New Roman" w:hAnsi="Times New Roman"/>
        </w:rPr>
        <w:t>100</w:t>
      </w:r>
      <w:r w:rsidR="006E549D">
        <w:rPr>
          <w:rFonts w:ascii="Times New Roman" w:hAnsi="Times New Roman"/>
        </w:rPr>
        <w:t> </w:t>
      </w:r>
      <w:r w:rsidRPr="00050907">
        <w:rPr>
          <w:rFonts w:ascii="Times New Roman" w:hAnsi="Times New Roman"/>
        </w:rPr>
        <w:t>mg ritonaviro (gydoma ŽIV liga) dozės du kartus per parą</w:t>
      </w:r>
      <w:r w:rsidR="006E549D">
        <w:rPr>
          <w:rFonts w:ascii="Times New Roman" w:hAnsi="Times New Roman"/>
        </w:rPr>
        <w:t>;</w:t>
      </w:r>
    </w:p>
    <w:p w14:paraId="14CEAFDB" w14:textId="77777777" w:rsidR="002F3324" w:rsidRPr="00050907" w:rsidRDefault="006E549D" w:rsidP="00050907">
      <w:pPr>
        <w:pStyle w:val="Sraopastraipa"/>
        <w:numPr>
          <w:ilvl w:val="0"/>
          <w:numId w:val="39"/>
        </w:numPr>
        <w:spacing w:after="0" w:line="240" w:lineRule="auto"/>
        <w:ind w:left="567" w:hanging="567"/>
        <w:rPr>
          <w:rFonts w:ascii="Times New Roman" w:hAnsi="Times New Roman"/>
        </w:rPr>
      </w:pPr>
      <w:r>
        <w:rPr>
          <w:rFonts w:ascii="Times New Roman" w:hAnsi="Times New Roman"/>
        </w:rPr>
        <w:t>glasdegibo (vartojamo vėžiui gydyti)</w:t>
      </w:r>
      <w:r w:rsidR="00451C7F">
        <w:rPr>
          <w:rFonts w:ascii="Times New Roman" w:hAnsi="Times New Roman"/>
        </w:rPr>
        <w:t xml:space="preserve"> –</w:t>
      </w:r>
      <w:r w:rsidR="0059379B">
        <w:rPr>
          <w:rFonts w:ascii="Times New Roman" w:hAnsi="Times New Roman"/>
        </w:rPr>
        <w:t xml:space="preserve"> </w:t>
      </w:r>
      <w:r w:rsidR="00451C7F">
        <w:rPr>
          <w:rFonts w:ascii="Times New Roman" w:hAnsi="Times New Roman"/>
        </w:rPr>
        <w:t>jei jums reikia abu vaistus vartoti kartu, gydytojas dažnai kontroliuos jūsų širdies ritmą</w:t>
      </w:r>
      <w:r w:rsidR="002F3324" w:rsidRPr="00050907">
        <w:rPr>
          <w:rFonts w:ascii="Times New Roman" w:hAnsi="Times New Roman"/>
        </w:rPr>
        <w:t>.</w:t>
      </w:r>
    </w:p>
    <w:p w14:paraId="583D1C1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B6B1BF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Pasakykite gydytojui, jeigu vartojate nors vieną iš </w:t>
      </w:r>
      <w:r w:rsidR="007F0AD2">
        <w:rPr>
          <w:rFonts w:ascii="Times New Roman" w:hAnsi="Times New Roman"/>
          <w:color w:val="000000"/>
        </w:rPr>
        <w:t>toliau</w:t>
      </w:r>
      <w:r w:rsidR="007F0AD2" w:rsidRPr="00534C57">
        <w:rPr>
          <w:rFonts w:ascii="Times New Roman" w:hAnsi="Times New Roman"/>
          <w:color w:val="000000"/>
        </w:rPr>
        <w:t xml:space="preserve"> </w:t>
      </w:r>
      <w:r w:rsidRPr="00534C57">
        <w:rPr>
          <w:rFonts w:ascii="Times New Roman" w:hAnsi="Times New Roman"/>
          <w:color w:val="000000"/>
        </w:rPr>
        <w:t>išvardytų vaistų, nes vartojant juos, jeigu įmanoma, Voriconazole Teva patariama kartu nevartoti arba gali prireikti keisti vorikonazolo dozę:</w:t>
      </w:r>
    </w:p>
    <w:p w14:paraId="171C670A" w14:textId="77777777" w:rsidR="002F3324" w:rsidRPr="00534C57" w:rsidRDefault="002F3324" w:rsidP="002F3324">
      <w:pPr>
        <w:numPr>
          <w:ilvl w:val="0"/>
          <w:numId w:val="1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rifabutinas (tuberkuliozei gydyti). Jeigu jau esate gydomas rifabutinu, reikės tirti kraujo ląstelių skaičių ir stebėti, ar nepasireiškia rifabutino šalutinis poveikis;</w:t>
      </w:r>
    </w:p>
    <w:p w14:paraId="37A9A6BA" w14:textId="77777777" w:rsidR="002F3324" w:rsidRPr="00534C57" w:rsidRDefault="002F3324" w:rsidP="002F3324">
      <w:pPr>
        <w:numPr>
          <w:ilvl w:val="0"/>
          <w:numId w:val="15"/>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fenitoinas (epilepsijai gydyti). Jeigu jau esate gydomas fenitoinu, gydymo Voriconazole Teva metu teks stebėti fenitoino koncentraciją kraujyje ir gali tekti keisti dozę.</w:t>
      </w:r>
    </w:p>
    <w:p w14:paraId="026DFAF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041EE4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Pasakykite gydytojui, jeigu vartojate kurį nors iš šių vaistų, nes gali prireikti keisti dozę arba stebėti,</w:t>
      </w:r>
    </w:p>
    <w:p w14:paraId="0C5F397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ar pasireiškia gydomasis šių vaistų ir (arba) Voriconazole Teva poveikis:</w:t>
      </w:r>
    </w:p>
    <w:p w14:paraId="3C2C7DFF"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varfarinas ir kiti antikoaguliantai (pvz.: fenprokumonas, acenokumarolas, kurie mažina kraujo krešėjimą);</w:t>
      </w:r>
    </w:p>
    <w:p w14:paraId="11EA6B78"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ciklosporinas (vartojamas po organų persodinimo);</w:t>
      </w:r>
    </w:p>
    <w:p w14:paraId="6929872D"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takrolimuzas (vartojamas po organų persodinimo);</w:t>
      </w:r>
    </w:p>
    <w:p w14:paraId="7933A61B"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sulfonilkarbamido dariniai (pvz.: tolbutamidas, glipizidas ir gliburidas) (vartojami diabetui gydyti);</w:t>
      </w:r>
    </w:p>
    <w:p w14:paraId="4D785511"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statinai (pvz.: atorvastatinas, simvastatinas, kurie mažina cholesterolio koncentraciją);</w:t>
      </w:r>
    </w:p>
    <w:p w14:paraId="1C643F60"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benzodiazepinai (pvz.: midazolamas, triazolamas, kuriais gydoma sunki nemiga ir stresas);</w:t>
      </w:r>
    </w:p>
    <w:p w14:paraId="4CE00351"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omeprazolas (opoms gydyti);</w:t>
      </w:r>
    </w:p>
    <w:p w14:paraId="48EC122B"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geriamieji kontraceptikai (jeigu vartojant geriamuosius kontraceptikus vartojamas Voriconazole Teva, gali pasireikšti šalutinis poveikis, pavyzdžiui, pykinimas ir mėnesinių sutrikimas);</w:t>
      </w:r>
    </w:p>
    <w:p w14:paraId="2381CA00" w14:textId="77777777" w:rsidR="002F3324"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žiemės alkaloidai (pvz.: vinkristinas ir vinblastinas, kuriais gydomas vėžys);</w:t>
      </w:r>
    </w:p>
    <w:p w14:paraId="452F1553" w14:textId="77777777" w:rsidR="00451C7F" w:rsidRDefault="005B4647"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tirozi</w:t>
      </w:r>
      <w:r w:rsidR="00451C7F">
        <w:rPr>
          <w:rFonts w:ascii="Times New Roman" w:hAnsi="Times New Roman"/>
          <w:color w:val="000000"/>
        </w:rPr>
        <w:t>nkinazės slopintojai (pvz., aksitinibas, bo</w:t>
      </w:r>
      <w:r w:rsidR="00D8441E">
        <w:rPr>
          <w:rFonts w:ascii="Times New Roman" w:hAnsi="Times New Roman"/>
          <w:color w:val="000000"/>
        </w:rPr>
        <w:t>z</w:t>
      </w:r>
      <w:r w:rsidR="00451C7F">
        <w:rPr>
          <w:rFonts w:ascii="Times New Roman" w:hAnsi="Times New Roman"/>
          <w:color w:val="000000"/>
        </w:rPr>
        <w:t>utinibas, kabozantinibas, ceritinibas, kobimetinibas, dabrafenibas, da</w:t>
      </w:r>
      <w:r w:rsidR="00D8441E">
        <w:rPr>
          <w:rFonts w:ascii="Times New Roman" w:hAnsi="Times New Roman"/>
          <w:color w:val="000000"/>
        </w:rPr>
        <w:t>z</w:t>
      </w:r>
      <w:r w:rsidR="00451C7F">
        <w:rPr>
          <w:rFonts w:ascii="Times New Roman" w:hAnsi="Times New Roman"/>
          <w:color w:val="000000"/>
        </w:rPr>
        <w:t>atinibas, nilotinibas, sunitinibas, ibrutinibas, ribosiklibas) (vartojami vėžiui gydyti);</w:t>
      </w:r>
    </w:p>
    <w:p w14:paraId="3A51FB40" w14:textId="77777777" w:rsidR="00451C7F" w:rsidRPr="00534C57" w:rsidRDefault="00451C7F"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tr</w:t>
      </w:r>
      <w:r w:rsidR="0059379B">
        <w:rPr>
          <w:rFonts w:ascii="Times New Roman" w:hAnsi="Times New Roman"/>
          <w:color w:val="000000"/>
        </w:rPr>
        <w:t>e</w:t>
      </w:r>
      <w:r>
        <w:rPr>
          <w:rFonts w:ascii="Times New Roman" w:hAnsi="Times New Roman"/>
          <w:color w:val="000000"/>
        </w:rPr>
        <w:t>tinoinas (vartojamas leukemijai gydyti);</w:t>
      </w:r>
    </w:p>
    <w:p w14:paraId="7620A7E1" w14:textId="77777777" w:rsidR="002F3324" w:rsidRPr="00534C57" w:rsidRDefault="00084531"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sakvinaviras</w:t>
      </w:r>
      <w:r w:rsidRPr="00534C57">
        <w:rPr>
          <w:rFonts w:ascii="Times New Roman" w:hAnsi="Times New Roman"/>
          <w:color w:val="000000"/>
        </w:rPr>
        <w:t xml:space="preserve"> </w:t>
      </w:r>
      <w:r w:rsidR="002F3324" w:rsidRPr="00534C57">
        <w:rPr>
          <w:rFonts w:ascii="Times New Roman" w:hAnsi="Times New Roman"/>
          <w:color w:val="000000"/>
        </w:rPr>
        <w:t>ir kiti ŽIV proteazės inhibitoriai (gydoma ŽIV liga);</w:t>
      </w:r>
    </w:p>
    <w:p w14:paraId="5DD55693"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nenukleozidinės atvirkštinės transkriptazės inhibitoriai (pvz.: efavirenzas, delaviridas, nevirapinas, kuriais gydoma ŽIV liga) (kai kurių efavirenzo dozių NEGALIMA vartoti kartu su</w:t>
      </w:r>
    </w:p>
    <w:p w14:paraId="5C673EB6"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Voriconazole Teva);</w:t>
      </w:r>
    </w:p>
    <w:p w14:paraId="7FDDA8E0"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metadonas (gydoma priklausomybė nuo heroino);</w:t>
      </w:r>
    </w:p>
    <w:p w14:paraId="75A494A1"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alfentanilis ir fentanilis, kiti trumpai veikiantys opioidai, pavyzdžiui, sufentanilis (vaistai nuo skausmo, kurie vartojami chirurginių procedūrų metu);</w:t>
      </w:r>
    </w:p>
    <w:p w14:paraId="45E6DD0C"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oksikodonas ir kiti ilgai veikiantys opioidai, pavyzdžiui, hidrokodonas (jais malšinamas vidutinio stiprumo ir stiprus skausmas);</w:t>
      </w:r>
    </w:p>
    <w:p w14:paraId="44BAF93D" w14:textId="77777777" w:rsidR="002F3324" w:rsidRPr="00534C57"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nesteroidiniai vaistai nuo uždegimo (pvz.: ibuprofenas, diklofenakas, kuriais malšinamas skausmas ir slopinamas uždegimas);</w:t>
      </w:r>
    </w:p>
    <w:p w14:paraId="53F877DE" w14:textId="77777777" w:rsidR="002F3324"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flukonazolas (gydoma grybelių sukelta infekcija);</w:t>
      </w:r>
    </w:p>
    <w:p w14:paraId="7E1B7043" w14:textId="77777777" w:rsidR="002730B2" w:rsidRPr="002730B2" w:rsidRDefault="002730B2" w:rsidP="002730B2">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413813">
        <w:rPr>
          <w:rFonts w:ascii="Times New Roman" w:hAnsi="Times New Roman"/>
          <w:color w:val="000000"/>
        </w:rPr>
        <w:t>flukloksacilinas (antibiotikas nuo bakterinių infekcijų)</w:t>
      </w:r>
      <w:r>
        <w:rPr>
          <w:rFonts w:ascii="Times New Roman" w:hAnsi="Times New Roman"/>
          <w:color w:val="000000"/>
        </w:rPr>
        <w:t>;</w:t>
      </w:r>
    </w:p>
    <w:p w14:paraId="7DAEBAC3" w14:textId="77777777" w:rsidR="002F3324" w:rsidRDefault="002F3324" w:rsidP="002F3324">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lastRenderedPageBreak/>
        <w:t>everolimuzas (vartojamas išplitusiam inkstų vėžiui gydyti ir pacientams po organų persodinimo</w:t>
      </w:r>
      <w:r w:rsidR="002A2B6B" w:rsidRPr="00534C57">
        <w:rPr>
          <w:rFonts w:ascii="Times New Roman" w:hAnsi="Times New Roman"/>
          <w:color w:val="000000"/>
        </w:rPr>
        <w:t>)</w:t>
      </w:r>
      <w:r w:rsidR="002A2B6B">
        <w:rPr>
          <w:rFonts w:ascii="Times New Roman" w:hAnsi="Times New Roman"/>
          <w:color w:val="000000"/>
        </w:rPr>
        <w:t>;</w:t>
      </w:r>
    </w:p>
    <w:p w14:paraId="333FD7EE" w14:textId="77777777" w:rsidR="0043577C" w:rsidRPr="00B330A3" w:rsidRDefault="0043577C" w:rsidP="00DC01BC">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sidRPr="00B330A3">
        <w:rPr>
          <w:rFonts w:ascii="Times New Roman" w:hAnsi="Times New Roman"/>
          <w:color w:val="000000"/>
        </w:rPr>
        <w:t>letermoviras (</w:t>
      </w:r>
      <w:r w:rsidR="00B330A3" w:rsidRPr="00B330A3">
        <w:rPr>
          <w:rFonts w:ascii="Times New Roman" w:hAnsi="Times New Roman"/>
          <w:color w:val="000000"/>
        </w:rPr>
        <w:t>vartojamas po kaulų čiulpų persodinimo, siekiant išvengti citomegalo viruso</w:t>
      </w:r>
      <w:r w:rsidR="00B330A3">
        <w:rPr>
          <w:rFonts w:ascii="Times New Roman" w:hAnsi="Times New Roman"/>
          <w:color w:val="000000"/>
        </w:rPr>
        <w:t xml:space="preserve"> [</w:t>
      </w:r>
      <w:r w:rsidR="00B330A3" w:rsidRPr="00B330A3">
        <w:rPr>
          <w:rFonts w:ascii="Times New Roman" w:hAnsi="Times New Roman"/>
          <w:color w:val="000000"/>
        </w:rPr>
        <w:t>CMV</w:t>
      </w:r>
      <w:r w:rsidR="00B330A3">
        <w:rPr>
          <w:rFonts w:ascii="Times New Roman" w:hAnsi="Times New Roman"/>
          <w:color w:val="000000"/>
        </w:rPr>
        <w:t>]</w:t>
      </w:r>
      <w:r w:rsidR="00B330A3" w:rsidRPr="00B330A3">
        <w:rPr>
          <w:rFonts w:ascii="Times New Roman" w:hAnsi="Times New Roman"/>
          <w:color w:val="000000"/>
        </w:rPr>
        <w:t xml:space="preserve"> sukeliamos ligos</w:t>
      </w:r>
      <w:r w:rsidRPr="00B330A3">
        <w:rPr>
          <w:rFonts w:ascii="Times New Roman" w:hAnsi="Times New Roman"/>
          <w:color w:val="000000"/>
        </w:rPr>
        <w:t>)</w:t>
      </w:r>
      <w:r w:rsidR="00BA4686">
        <w:rPr>
          <w:rFonts w:ascii="Times New Roman" w:hAnsi="Times New Roman"/>
          <w:color w:val="000000"/>
        </w:rPr>
        <w:t>;</w:t>
      </w:r>
    </w:p>
    <w:p w14:paraId="334BA080" w14:textId="77777777" w:rsidR="0043577C" w:rsidRPr="00800B5E" w:rsidRDefault="002A2B6B" w:rsidP="00800B5E">
      <w:pPr>
        <w:numPr>
          <w:ilvl w:val="0"/>
          <w:numId w:val="20"/>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i</w:t>
      </w:r>
      <w:r w:rsidR="0043577C" w:rsidRPr="0043577C">
        <w:rPr>
          <w:rFonts w:ascii="Times New Roman" w:hAnsi="Times New Roman"/>
          <w:color w:val="000000"/>
        </w:rPr>
        <w:t>vakaftoras</w:t>
      </w:r>
      <w:r>
        <w:rPr>
          <w:rFonts w:ascii="Times New Roman" w:hAnsi="Times New Roman"/>
          <w:color w:val="000000"/>
        </w:rPr>
        <w:t xml:space="preserve"> (</w:t>
      </w:r>
      <w:r w:rsidR="0043577C" w:rsidRPr="0043577C">
        <w:rPr>
          <w:rFonts w:ascii="Times New Roman" w:hAnsi="Times New Roman"/>
          <w:color w:val="000000"/>
        </w:rPr>
        <w:t>vartojamas cistinei fibrozei gydyti</w:t>
      </w:r>
      <w:r>
        <w:rPr>
          <w:rFonts w:ascii="Times New Roman" w:hAnsi="Times New Roman"/>
          <w:color w:val="000000"/>
        </w:rPr>
        <w:t>)</w:t>
      </w:r>
      <w:r w:rsidR="00800B5E">
        <w:rPr>
          <w:rFonts w:ascii="Times New Roman" w:hAnsi="Times New Roman"/>
          <w:color w:val="000000"/>
        </w:rPr>
        <w:t>.</w:t>
      </w:r>
    </w:p>
    <w:p w14:paraId="77591C92" w14:textId="77777777" w:rsidR="002F3324" w:rsidRPr="00534C57" w:rsidRDefault="002F3324" w:rsidP="002F3324">
      <w:pPr>
        <w:autoSpaceDE w:val="0"/>
        <w:autoSpaceDN w:val="0"/>
        <w:adjustRightInd w:val="0"/>
        <w:spacing w:after="0" w:line="240" w:lineRule="auto"/>
        <w:ind w:left="567" w:hanging="567"/>
        <w:rPr>
          <w:rFonts w:ascii="Times New Roman" w:hAnsi="Times New Roman"/>
          <w:b/>
          <w:bCs/>
          <w:color w:val="000000"/>
        </w:rPr>
      </w:pPr>
    </w:p>
    <w:p w14:paraId="30AA1795"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Nėštumas ir žindymo laikotarpis</w:t>
      </w:r>
    </w:p>
    <w:p w14:paraId="0857836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nėštumo metu vartoti draudžiama, išskyrus atvejus, kai vaistą skiria vartoti gydytojas.</w:t>
      </w:r>
    </w:p>
    <w:p w14:paraId="2059AD5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Vaisingoms moterims gydantis Voriconazole Teva reikia naudoti veiksmingas kontraceptines priemones. Jeigu pastojote vartodama Voriconazole Teva, nedelsdama kreipkitės į gydytoją.</w:t>
      </w:r>
    </w:p>
    <w:p w14:paraId="2B5B93AF" w14:textId="77777777" w:rsidR="002F3324" w:rsidRDefault="002F3324" w:rsidP="002F3324">
      <w:pPr>
        <w:autoSpaceDE w:val="0"/>
        <w:autoSpaceDN w:val="0"/>
        <w:adjustRightInd w:val="0"/>
        <w:spacing w:after="0" w:line="240" w:lineRule="auto"/>
        <w:rPr>
          <w:rFonts w:ascii="Times New Roman" w:hAnsi="Times New Roman"/>
          <w:color w:val="000000"/>
        </w:rPr>
      </w:pPr>
    </w:p>
    <w:p w14:paraId="733D7970" w14:textId="77777777" w:rsidR="00084531" w:rsidRDefault="00084531" w:rsidP="002F3324">
      <w:pPr>
        <w:autoSpaceDE w:val="0"/>
        <w:autoSpaceDN w:val="0"/>
        <w:adjustRightInd w:val="0"/>
        <w:spacing w:after="0" w:line="240" w:lineRule="auto"/>
        <w:rPr>
          <w:rFonts w:ascii="Times New Roman" w:hAnsi="Times New Roman"/>
          <w:color w:val="000000"/>
        </w:rPr>
      </w:pPr>
      <w:r>
        <w:rPr>
          <w:rFonts w:ascii="Times New Roman" w:hAnsi="Times New Roman"/>
          <w:color w:val="000000"/>
        </w:rPr>
        <w:t>Jūs turite nutraukti žindymą prieš pradėdama vartoti Voriconazole Teva.</w:t>
      </w:r>
    </w:p>
    <w:p w14:paraId="1868A7DD" w14:textId="77777777" w:rsidR="00084531" w:rsidRPr="00534C57" w:rsidRDefault="00084531" w:rsidP="002F3324">
      <w:pPr>
        <w:autoSpaceDE w:val="0"/>
        <w:autoSpaceDN w:val="0"/>
        <w:adjustRightInd w:val="0"/>
        <w:spacing w:after="0" w:line="240" w:lineRule="auto"/>
        <w:rPr>
          <w:rFonts w:ascii="Times New Roman" w:hAnsi="Times New Roman"/>
          <w:color w:val="000000"/>
        </w:rPr>
      </w:pPr>
    </w:p>
    <w:p w14:paraId="01FC8B9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esate nėščia, žindote kūdikį, manote, kad galbūt esate nėščia arba planuojate pastoti, tai prieš vartodama šį vaistą pasitarkite su gydytoju arba vaistininku.</w:t>
      </w:r>
      <w:r w:rsidRPr="00534C57" w:rsidDel="00841BCA">
        <w:rPr>
          <w:rFonts w:ascii="Times New Roman" w:hAnsi="Times New Roman"/>
          <w:color w:val="000000"/>
        </w:rPr>
        <w:t xml:space="preserve"> </w:t>
      </w:r>
    </w:p>
    <w:p w14:paraId="50843CE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7C215F54"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Vairavimas ir mechanizmų valdymas</w:t>
      </w:r>
    </w:p>
    <w:p w14:paraId="2753229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Vartojant Voriconazole Teva, regėjimas gali tapti neryškus, atsirasti nemalonus jautrumas šviesai. Jeigu jaučiate tokį poveikį, vairuoti ir valdyti mechanizmų negalima. Jei taip atsitinka, reikia kreiptis į gydytoją.</w:t>
      </w:r>
    </w:p>
    <w:p w14:paraId="3B61AA55"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2CD04550"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color w:val="000000"/>
        </w:rPr>
        <w:t>Voriconazole Teva</w:t>
      </w:r>
      <w:r w:rsidRPr="00534C57">
        <w:rPr>
          <w:rFonts w:ascii="Times New Roman" w:hAnsi="Times New Roman"/>
          <w:b/>
          <w:bCs/>
          <w:color w:val="000000"/>
        </w:rPr>
        <w:t xml:space="preserve"> sudėtyje yra laktozės</w:t>
      </w:r>
    </w:p>
    <w:p w14:paraId="4CFFDE0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gydytojas Jums yra sakęs, kad netoleruojate kokių nors angliavandenių, kreipkitės į jį prieš pradėdami vartoti šį vaistą.</w:t>
      </w:r>
    </w:p>
    <w:p w14:paraId="0EF4EBAA" w14:textId="77777777" w:rsidR="002F3324" w:rsidRDefault="002F3324" w:rsidP="002F3324">
      <w:pPr>
        <w:autoSpaceDE w:val="0"/>
        <w:autoSpaceDN w:val="0"/>
        <w:adjustRightInd w:val="0"/>
        <w:spacing w:after="0" w:line="240" w:lineRule="auto"/>
        <w:rPr>
          <w:rFonts w:ascii="Times New Roman" w:hAnsi="Times New Roman"/>
          <w:b/>
          <w:bCs/>
          <w:color w:val="000000"/>
        </w:rPr>
      </w:pPr>
    </w:p>
    <w:p w14:paraId="650192AD" w14:textId="77777777" w:rsidR="00211895" w:rsidRPr="00534C57" w:rsidRDefault="00211895" w:rsidP="00211895">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color w:val="000000"/>
        </w:rPr>
        <w:t>Voriconazole Teva</w:t>
      </w:r>
      <w:r w:rsidRPr="00534C57">
        <w:rPr>
          <w:rFonts w:ascii="Times New Roman" w:hAnsi="Times New Roman"/>
          <w:b/>
          <w:bCs/>
          <w:color w:val="000000"/>
        </w:rPr>
        <w:t xml:space="preserve"> sudėtyje yra</w:t>
      </w:r>
      <w:r>
        <w:rPr>
          <w:rFonts w:ascii="Times New Roman" w:hAnsi="Times New Roman"/>
          <w:b/>
          <w:bCs/>
          <w:color w:val="000000"/>
        </w:rPr>
        <w:t xml:space="preserve"> natrio</w:t>
      </w:r>
    </w:p>
    <w:p w14:paraId="0864E05A" w14:textId="77777777" w:rsidR="00211895" w:rsidRPr="00611333" w:rsidRDefault="00211895" w:rsidP="00211895">
      <w:pPr>
        <w:autoSpaceDE w:val="0"/>
        <w:autoSpaceDN w:val="0"/>
        <w:adjustRightInd w:val="0"/>
        <w:spacing w:after="0" w:line="240" w:lineRule="auto"/>
        <w:rPr>
          <w:rFonts w:ascii="Times New Roman" w:hAnsi="Times New Roman"/>
          <w:bCs/>
          <w:color w:val="000000"/>
        </w:rPr>
      </w:pPr>
      <w:r w:rsidRPr="00611333">
        <w:rPr>
          <w:rFonts w:ascii="Times New Roman" w:hAnsi="Times New Roman"/>
          <w:bCs/>
          <w:color w:val="000000"/>
        </w:rPr>
        <w:t>Šio vaisto plėvele dengtoje tabletėje yra mažiau kaip 1</w:t>
      </w:r>
      <w:r w:rsidR="000864CD">
        <w:rPr>
          <w:rFonts w:ascii="Times New Roman" w:hAnsi="Times New Roman"/>
          <w:bCs/>
          <w:color w:val="000000"/>
        </w:rPr>
        <w:t> </w:t>
      </w:r>
      <w:r w:rsidRPr="00611333">
        <w:rPr>
          <w:rFonts w:ascii="Times New Roman" w:hAnsi="Times New Roman"/>
          <w:bCs/>
          <w:color w:val="000000"/>
        </w:rPr>
        <w:t>mmol (23</w:t>
      </w:r>
      <w:r w:rsidR="000864CD">
        <w:rPr>
          <w:rFonts w:ascii="Times New Roman" w:hAnsi="Times New Roman"/>
          <w:bCs/>
          <w:color w:val="000000"/>
        </w:rPr>
        <w:t> </w:t>
      </w:r>
      <w:r w:rsidRPr="00611333">
        <w:rPr>
          <w:rFonts w:ascii="Times New Roman" w:hAnsi="Times New Roman"/>
          <w:bCs/>
          <w:color w:val="000000"/>
        </w:rPr>
        <w:t>mg) natrio, t.</w:t>
      </w:r>
      <w:r w:rsidR="000864CD">
        <w:rPr>
          <w:rFonts w:ascii="Times New Roman" w:hAnsi="Times New Roman"/>
          <w:bCs/>
          <w:color w:val="000000"/>
        </w:rPr>
        <w:t xml:space="preserve"> </w:t>
      </w:r>
      <w:r w:rsidRPr="00611333">
        <w:rPr>
          <w:rFonts w:ascii="Times New Roman" w:hAnsi="Times New Roman"/>
          <w:bCs/>
          <w:color w:val="000000"/>
        </w:rPr>
        <w:t>y. jis beveik neturi reikšmės.</w:t>
      </w:r>
    </w:p>
    <w:p w14:paraId="20FF8695"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05DACA37" w14:textId="77777777" w:rsidR="002F3324" w:rsidRPr="00534C57" w:rsidRDefault="002F3324" w:rsidP="002F3324">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3. Kaip vartoti </w:t>
      </w:r>
      <w:r w:rsidRPr="00534C57">
        <w:rPr>
          <w:rFonts w:ascii="Times New Roman" w:hAnsi="Times New Roman"/>
          <w:b/>
          <w:color w:val="000000"/>
        </w:rPr>
        <w:t>Voriconazole Teva</w:t>
      </w:r>
    </w:p>
    <w:p w14:paraId="358C496B"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1E9528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Visada vartokite šį vaistą tiksliai, kaip nurodė gydytojas. Jeigu abejojate, kreipkitės į gydytoją arba vaistininką.</w:t>
      </w:r>
    </w:p>
    <w:p w14:paraId="4F0F076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Gydytojas nustatys dozę, atsižvelgdamas į Jūsų kūno masę ir infekcijos rūšį.</w:t>
      </w:r>
    </w:p>
    <w:p w14:paraId="0E9B49B8"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667C8C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dozė suaugusiam žmogui (įskaitant senyvus pacientus)</w:t>
      </w:r>
      <w:r w:rsidR="000D6E5B">
        <w:rPr>
          <w:rFonts w:ascii="Times New Roman" w:hAnsi="Times New Roman"/>
          <w:color w:val="000000"/>
        </w:rPr>
        <w:t>:</w:t>
      </w:r>
    </w:p>
    <w:p w14:paraId="068E1EDD"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26"/>
        <w:gridCol w:w="3017"/>
        <w:gridCol w:w="3017"/>
      </w:tblGrid>
      <w:tr w:rsidR="00914B2F" w:rsidRPr="00F909DC" w14:paraId="6FC2B018" w14:textId="77777777" w:rsidTr="001845DE">
        <w:tc>
          <w:tcPr>
            <w:tcW w:w="3096" w:type="dxa"/>
            <w:vMerge w:val="restart"/>
          </w:tcPr>
          <w:p w14:paraId="1542A9F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tc>
        <w:tc>
          <w:tcPr>
            <w:tcW w:w="6192" w:type="dxa"/>
            <w:gridSpan w:val="2"/>
          </w:tcPr>
          <w:p w14:paraId="397F9D4F"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r w:rsidRPr="00534C57">
              <w:rPr>
                <w:rFonts w:ascii="Times New Roman" w:hAnsi="Times New Roman"/>
                <w:b/>
                <w:bCs/>
                <w:color w:val="000000"/>
              </w:rPr>
              <w:t>Tabletės</w:t>
            </w:r>
          </w:p>
        </w:tc>
      </w:tr>
      <w:tr w:rsidR="00914B2F" w:rsidRPr="00F909DC" w14:paraId="5A0A4DDE" w14:textId="77777777" w:rsidTr="001845DE">
        <w:tc>
          <w:tcPr>
            <w:tcW w:w="3096" w:type="dxa"/>
            <w:vMerge/>
          </w:tcPr>
          <w:p w14:paraId="1AEA851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tc>
        <w:tc>
          <w:tcPr>
            <w:tcW w:w="3096" w:type="dxa"/>
          </w:tcPr>
          <w:p w14:paraId="3200FE01"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Pacientai, sveriantys 40</w:t>
            </w:r>
            <w:r w:rsidR="009E758A">
              <w:rPr>
                <w:rFonts w:ascii="Times New Roman" w:hAnsi="Times New Roman"/>
                <w:color w:val="000000"/>
              </w:rPr>
              <w:t> </w:t>
            </w:r>
            <w:r w:rsidRPr="00534C57">
              <w:rPr>
                <w:rFonts w:ascii="Times New Roman" w:hAnsi="Times New Roman"/>
                <w:color w:val="000000"/>
              </w:rPr>
              <w:t>kg ir daugiau</w:t>
            </w:r>
            <w:r w:rsidR="00211895">
              <w:rPr>
                <w:rFonts w:ascii="Times New Roman" w:hAnsi="Times New Roman"/>
                <w:color w:val="000000"/>
              </w:rPr>
              <w:t>*</w:t>
            </w:r>
          </w:p>
        </w:tc>
        <w:tc>
          <w:tcPr>
            <w:tcW w:w="3096" w:type="dxa"/>
          </w:tcPr>
          <w:p w14:paraId="6B1D31BF"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Pacientai, sveriantys mažiau kaip 40</w:t>
            </w:r>
            <w:r w:rsidR="009E758A">
              <w:rPr>
                <w:rFonts w:ascii="Times New Roman" w:hAnsi="Times New Roman"/>
                <w:color w:val="000000"/>
              </w:rPr>
              <w:t> </w:t>
            </w:r>
            <w:r w:rsidRPr="00534C57">
              <w:rPr>
                <w:rFonts w:ascii="Times New Roman" w:hAnsi="Times New Roman"/>
                <w:color w:val="000000"/>
              </w:rPr>
              <w:t>kg</w:t>
            </w:r>
          </w:p>
        </w:tc>
      </w:tr>
      <w:tr w:rsidR="002F3324" w:rsidRPr="00F909DC" w14:paraId="409B19E4" w14:textId="77777777" w:rsidTr="00D21150">
        <w:tc>
          <w:tcPr>
            <w:tcW w:w="3096" w:type="dxa"/>
          </w:tcPr>
          <w:p w14:paraId="585A23A0"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Dozė pirmąsias 24 valandas </w:t>
            </w:r>
            <w:r w:rsidRPr="00534C57">
              <w:rPr>
                <w:rFonts w:ascii="Times New Roman" w:hAnsi="Times New Roman"/>
                <w:color w:val="000000"/>
              </w:rPr>
              <w:t>(Įsotinamoji dozė)</w:t>
            </w:r>
          </w:p>
        </w:tc>
        <w:tc>
          <w:tcPr>
            <w:tcW w:w="3096" w:type="dxa"/>
          </w:tcPr>
          <w:p w14:paraId="15159322" w14:textId="77777777" w:rsidR="002F3324" w:rsidRPr="00534C57" w:rsidRDefault="002F3324" w:rsidP="00EA39D0">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Pirmąsias 24 valandas po 400</w:t>
            </w:r>
            <w:r w:rsidR="00EA39D0">
              <w:rPr>
                <w:rFonts w:ascii="Times New Roman" w:hAnsi="Times New Roman"/>
                <w:color w:val="000000"/>
              </w:rPr>
              <w:t> </w:t>
            </w:r>
            <w:r w:rsidRPr="00534C57">
              <w:rPr>
                <w:rFonts w:ascii="Times New Roman" w:hAnsi="Times New Roman"/>
                <w:color w:val="000000"/>
              </w:rPr>
              <w:t>mg kas 12</w:t>
            </w:r>
            <w:r w:rsidR="009E758A">
              <w:rPr>
                <w:rFonts w:ascii="Times New Roman" w:hAnsi="Times New Roman"/>
                <w:color w:val="000000"/>
              </w:rPr>
              <w:t> </w:t>
            </w:r>
            <w:r w:rsidRPr="00534C57">
              <w:rPr>
                <w:rFonts w:ascii="Times New Roman" w:hAnsi="Times New Roman"/>
                <w:color w:val="000000"/>
              </w:rPr>
              <w:t>val.</w:t>
            </w:r>
          </w:p>
        </w:tc>
        <w:tc>
          <w:tcPr>
            <w:tcW w:w="3096" w:type="dxa"/>
          </w:tcPr>
          <w:p w14:paraId="77BA494D"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Pirmąsias 24 valandas po 200</w:t>
            </w:r>
            <w:r w:rsidR="009E758A">
              <w:rPr>
                <w:rFonts w:ascii="Times New Roman" w:hAnsi="Times New Roman"/>
                <w:color w:val="000000"/>
              </w:rPr>
              <w:t> </w:t>
            </w:r>
            <w:r w:rsidRPr="00534C57">
              <w:rPr>
                <w:rFonts w:ascii="Times New Roman" w:hAnsi="Times New Roman"/>
                <w:color w:val="000000"/>
              </w:rPr>
              <w:t>mg kas 12</w:t>
            </w:r>
            <w:r w:rsidR="009E758A">
              <w:rPr>
                <w:rFonts w:ascii="Times New Roman" w:hAnsi="Times New Roman"/>
                <w:color w:val="000000"/>
              </w:rPr>
              <w:t> </w:t>
            </w:r>
            <w:r w:rsidRPr="00534C57">
              <w:rPr>
                <w:rFonts w:ascii="Times New Roman" w:hAnsi="Times New Roman"/>
                <w:color w:val="000000"/>
              </w:rPr>
              <w:t>val.</w:t>
            </w:r>
          </w:p>
        </w:tc>
      </w:tr>
      <w:tr w:rsidR="002F3324" w:rsidRPr="00F909DC" w14:paraId="0710EF8B" w14:textId="77777777" w:rsidTr="00D21150">
        <w:tc>
          <w:tcPr>
            <w:tcW w:w="3096" w:type="dxa"/>
          </w:tcPr>
          <w:p w14:paraId="193D10A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Dozė praėjus pirmosioms 24 valandoms</w:t>
            </w:r>
          </w:p>
          <w:p w14:paraId="56B59650"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(Palaikomoji dozė)</w:t>
            </w:r>
          </w:p>
        </w:tc>
        <w:tc>
          <w:tcPr>
            <w:tcW w:w="3096" w:type="dxa"/>
          </w:tcPr>
          <w:p w14:paraId="0F545042"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Po 200</w:t>
            </w:r>
            <w:r w:rsidR="009E758A">
              <w:rPr>
                <w:rFonts w:ascii="Times New Roman" w:hAnsi="Times New Roman"/>
                <w:color w:val="000000"/>
              </w:rPr>
              <w:t> </w:t>
            </w:r>
            <w:r w:rsidRPr="00534C57">
              <w:rPr>
                <w:rFonts w:ascii="Times New Roman" w:hAnsi="Times New Roman"/>
                <w:color w:val="000000"/>
              </w:rPr>
              <w:t>mg du kartus per parą</w:t>
            </w:r>
          </w:p>
        </w:tc>
        <w:tc>
          <w:tcPr>
            <w:tcW w:w="3096" w:type="dxa"/>
          </w:tcPr>
          <w:p w14:paraId="3097BB9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Po 100</w:t>
            </w:r>
            <w:r w:rsidR="009E758A">
              <w:rPr>
                <w:rFonts w:ascii="Times New Roman" w:hAnsi="Times New Roman"/>
                <w:color w:val="000000"/>
              </w:rPr>
              <w:t> </w:t>
            </w:r>
            <w:r w:rsidRPr="00534C57">
              <w:rPr>
                <w:rFonts w:ascii="Times New Roman" w:hAnsi="Times New Roman"/>
                <w:color w:val="000000"/>
              </w:rPr>
              <w:t>mg du kartus per parą**</w:t>
            </w:r>
          </w:p>
          <w:p w14:paraId="48051C06"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tc>
      </w:tr>
    </w:tbl>
    <w:p w14:paraId="2FC26769" w14:textId="77777777" w:rsidR="00211895" w:rsidRPr="00611333" w:rsidRDefault="00211895" w:rsidP="00211895">
      <w:pPr>
        <w:autoSpaceDE w:val="0"/>
        <w:autoSpaceDN w:val="0"/>
        <w:adjustRightInd w:val="0"/>
        <w:spacing w:after="0" w:line="240" w:lineRule="auto"/>
        <w:rPr>
          <w:rFonts w:ascii="Times New Roman" w:hAnsi="Times New Roman"/>
          <w:color w:val="000000"/>
        </w:rPr>
      </w:pPr>
      <w:r>
        <w:rPr>
          <w:rFonts w:ascii="Times New Roman" w:hAnsi="Times New Roman"/>
          <w:color w:val="000000"/>
        </w:rPr>
        <w:t>*Taip pat taikoma 15 metų ir vyresniems pacientams.</w:t>
      </w:r>
    </w:p>
    <w:p w14:paraId="5005FEA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w:t>
      </w:r>
      <w:r w:rsidRPr="00534C57">
        <w:rPr>
          <w:rFonts w:ascii="Times New Roman" w:hAnsi="Times New Roman"/>
        </w:rPr>
        <w:t xml:space="preserve"> Vaisto </w:t>
      </w:r>
      <w:r w:rsidRPr="00534C57">
        <w:rPr>
          <w:rFonts w:ascii="Times New Roman" w:hAnsi="Times New Roman"/>
          <w:color w:val="000000"/>
        </w:rPr>
        <w:t>Voriconazole Teva 200</w:t>
      </w:r>
      <w:r w:rsidR="009E758A">
        <w:rPr>
          <w:rFonts w:ascii="Times New Roman" w:hAnsi="Times New Roman"/>
          <w:color w:val="000000"/>
        </w:rPr>
        <w:t> </w:t>
      </w:r>
      <w:r w:rsidRPr="00534C57">
        <w:rPr>
          <w:rFonts w:ascii="Times New Roman" w:hAnsi="Times New Roman"/>
          <w:color w:val="000000"/>
        </w:rPr>
        <w:t>mg plėvele dengtos tabletės 100</w:t>
      </w:r>
      <w:r w:rsidRPr="00534C57">
        <w:rPr>
          <w:rFonts w:ascii="Times New Roman" w:hAnsi="Times New Roman"/>
          <w:color w:val="000000"/>
          <w:lang w:eastAsia="lt-LT"/>
        </w:rPr>
        <w:t xml:space="preserve"> mg </w:t>
      </w:r>
      <w:r w:rsidRPr="00534C57">
        <w:rPr>
          <w:rFonts w:ascii="Times New Roman" w:hAnsi="Times New Roman"/>
        </w:rPr>
        <w:t xml:space="preserve">dozės gauti neįmanoma, reikia vartoti kito registruotojo vaistą. </w:t>
      </w:r>
    </w:p>
    <w:p w14:paraId="1107793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6C28C1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Atsižvelgdamas į tai, kaip Jūsų organizmas reaguoja į gydymą, gydytojas dozę gali padidinti ir skirti vartoti po 300</w:t>
      </w:r>
      <w:r w:rsidR="009E758A">
        <w:rPr>
          <w:rFonts w:ascii="Times New Roman" w:hAnsi="Times New Roman"/>
          <w:color w:val="000000"/>
        </w:rPr>
        <w:t> </w:t>
      </w:r>
      <w:r w:rsidRPr="00534C57">
        <w:rPr>
          <w:rFonts w:ascii="Times New Roman" w:hAnsi="Times New Roman"/>
          <w:color w:val="000000"/>
        </w:rPr>
        <w:t>mg</w:t>
      </w:r>
      <w:r w:rsidR="00211895">
        <w:rPr>
          <w:rFonts w:ascii="Times New Roman" w:hAnsi="Times New Roman"/>
          <w:color w:val="000000"/>
        </w:rPr>
        <w:t xml:space="preserve"> (</w:t>
      </w:r>
      <w:r w:rsidR="00211895" w:rsidRPr="00611333">
        <w:rPr>
          <w:rFonts w:ascii="Times New Roman" w:eastAsia="Times New Roman" w:hAnsi="Times New Roman"/>
          <w:lang w:eastAsia="de-DE"/>
        </w:rPr>
        <w:t>≥ 40</w:t>
      </w:r>
      <w:r w:rsidR="009E758A">
        <w:rPr>
          <w:rFonts w:ascii="Times New Roman" w:eastAsia="Times New Roman" w:hAnsi="Times New Roman"/>
          <w:lang w:eastAsia="de-DE"/>
        </w:rPr>
        <w:t> </w:t>
      </w:r>
      <w:r w:rsidR="00211895" w:rsidRPr="00611333">
        <w:rPr>
          <w:rFonts w:ascii="Times New Roman" w:eastAsia="Times New Roman" w:hAnsi="Times New Roman"/>
          <w:lang w:eastAsia="de-DE"/>
        </w:rPr>
        <w:t>kg) arba 150</w:t>
      </w:r>
      <w:r w:rsidR="009E758A">
        <w:rPr>
          <w:rFonts w:ascii="Times New Roman" w:eastAsia="Times New Roman" w:hAnsi="Times New Roman"/>
          <w:lang w:eastAsia="de-DE"/>
        </w:rPr>
        <w:t> </w:t>
      </w:r>
      <w:r w:rsidR="00211895" w:rsidRPr="00611333">
        <w:rPr>
          <w:rFonts w:ascii="Times New Roman" w:eastAsia="Times New Roman" w:hAnsi="Times New Roman"/>
          <w:lang w:eastAsia="de-DE"/>
        </w:rPr>
        <w:t>mg (</w:t>
      </w:r>
      <w:r w:rsidR="002709E5" w:rsidRPr="00611333">
        <w:rPr>
          <w:rFonts w:ascii="Times New Roman" w:eastAsia="Times New Roman" w:hAnsi="Times New Roman"/>
          <w:lang w:eastAsia="de-DE"/>
        </w:rPr>
        <w:t>&lt; 40</w:t>
      </w:r>
      <w:r w:rsidR="009E758A">
        <w:rPr>
          <w:rFonts w:ascii="Times New Roman" w:eastAsia="Times New Roman" w:hAnsi="Times New Roman"/>
          <w:lang w:eastAsia="de-DE"/>
        </w:rPr>
        <w:t> </w:t>
      </w:r>
      <w:r w:rsidR="002709E5" w:rsidRPr="00611333">
        <w:rPr>
          <w:rFonts w:ascii="Times New Roman" w:eastAsia="Times New Roman" w:hAnsi="Times New Roman"/>
          <w:lang w:eastAsia="de-DE"/>
        </w:rPr>
        <w:t>kg)</w:t>
      </w:r>
      <w:r w:rsidR="002709E5" w:rsidRPr="00611333">
        <w:rPr>
          <w:rFonts w:ascii="Times New Roman" w:eastAsia="Times New Roman" w:hAnsi="Times New Roman"/>
          <w:spacing w:val="-2"/>
          <w:lang w:eastAsia="de-DE"/>
        </w:rPr>
        <w:t xml:space="preserve"> </w:t>
      </w:r>
      <w:r w:rsidRPr="00534C57">
        <w:rPr>
          <w:rFonts w:ascii="Times New Roman" w:hAnsi="Times New Roman"/>
          <w:color w:val="000000"/>
        </w:rPr>
        <w:t>du kartus per parą.</w:t>
      </w:r>
    </w:p>
    <w:p w14:paraId="50866A3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FA66BF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sergate lengva arba vidutinio sunkumo kepenų ciroze, gydytojas gali nuspręsti dozę sumažinti.</w:t>
      </w:r>
    </w:p>
    <w:p w14:paraId="3E89D434"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489E9C11" w14:textId="77777777" w:rsidR="002F3324"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Vartojimas vaikams ir paaugliams</w:t>
      </w:r>
    </w:p>
    <w:p w14:paraId="07D61577" w14:textId="77777777" w:rsidR="00AC5C4C" w:rsidRPr="00534C57" w:rsidRDefault="00AC5C4C" w:rsidP="002F3324">
      <w:pPr>
        <w:autoSpaceDE w:val="0"/>
        <w:autoSpaceDN w:val="0"/>
        <w:adjustRightInd w:val="0"/>
        <w:spacing w:after="0" w:line="240" w:lineRule="auto"/>
        <w:rPr>
          <w:rFonts w:ascii="Times New Roman" w:hAnsi="Times New Roman"/>
          <w:b/>
          <w:bCs/>
          <w:color w:val="000000"/>
        </w:rPr>
      </w:pPr>
    </w:p>
    <w:p w14:paraId="3B022F2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Rekomenduojama dozė vaikams ir paaugliams</w:t>
      </w:r>
      <w:r w:rsidR="00AC5C4C">
        <w:rPr>
          <w:rFonts w:ascii="Times New Roman" w:hAnsi="Times New Roman"/>
          <w:color w:val="00000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7"/>
        <w:gridCol w:w="3009"/>
        <w:gridCol w:w="3034"/>
      </w:tblGrid>
      <w:tr w:rsidR="00914B2F" w:rsidRPr="00F909DC" w14:paraId="7ABF52EF" w14:textId="77777777" w:rsidTr="001845DE">
        <w:tc>
          <w:tcPr>
            <w:tcW w:w="3096" w:type="dxa"/>
            <w:vMerge w:val="restart"/>
          </w:tcPr>
          <w:p w14:paraId="5DD8ACFC"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tc>
        <w:tc>
          <w:tcPr>
            <w:tcW w:w="6190" w:type="dxa"/>
            <w:gridSpan w:val="2"/>
          </w:tcPr>
          <w:p w14:paraId="5C711F01" w14:textId="77777777" w:rsidR="002F3324" w:rsidRPr="00534C57" w:rsidRDefault="002F3324" w:rsidP="002F3324">
            <w:pPr>
              <w:autoSpaceDE w:val="0"/>
              <w:autoSpaceDN w:val="0"/>
              <w:adjustRightInd w:val="0"/>
              <w:spacing w:after="0" w:line="240" w:lineRule="auto"/>
              <w:jc w:val="center"/>
              <w:rPr>
                <w:rFonts w:ascii="Times New Roman" w:hAnsi="Times New Roman"/>
                <w:b/>
                <w:bCs/>
                <w:color w:val="000000"/>
              </w:rPr>
            </w:pPr>
            <w:r w:rsidRPr="00534C57">
              <w:rPr>
                <w:rFonts w:ascii="Times New Roman" w:hAnsi="Times New Roman"/>
                <w:b/>
                <w:bCs/>
                <w:color w:val="000000"/>
              </w:rPr>
              <w:t>Tabletės</w:t>
            </w:r>
          </w:p>
        </w:tc>
      </w:tr>
      <w:tr w:rsidR="00914B2F" w:rsidRPr="00F909DC" w14:paraId="1AF4C3A5" w14:textId="77777777" w:rsidTr="001845DE">
        <w:tc>
          <w:tcPr>
            <w:tcW w:w="3096" w:type="dxa"/>
            <w:vMerge/>
          </w:tcPr>
          <w:p w14:paraId="18DD986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tc>
        <w:tc>
          <w:tcPr>
            <w:tcW w:w="3095" w:type="dxa"/>
          </w:tcPr>
          <w:p w14:paraId="082C91BF" w14:textId="77777777" w:rsidR="002F3324" w:rsidRPr="00534C57" w:rsidRDefault="002F3324" w:rsidP="00EA39D0">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Vaikai nuo 2 iki mažiau kaip 12 metų ir paaugliai nuo 12 iki 14 metų, sveriantys mažiau kaip 50</w:t>
            </w:r>
            <w:r w:rsidR="00EA39D0">
              <w:rPr>
                <w:rFonts w:ascii="Times New Roman" w:hAnsi="Times New Roman"/>
                <w:color w:val="000000"/>
              </w:rPr>
              <w:t> </w:t>
            </w:r>
            <w:r w:rsidRPr="00534C57">
              <w:rPr>
                <w:rFonts w:ascii="Times New Roman" w:hAnsi="Times New Roman"/>
                <w:color w:val="000000"/>
              </w:rPr>
              <w:t>kg</w:t>
            </w:r>
          </w:p>
        </w:tc>
        <w:tc>
          <w:tcPr>
            <w:tcW w:w="3095" w:type="dxa"/>
          </w:tcPr>
          <w:p w14:paraId="30DFF633"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Paaugliai nuo 12 iki 14 metų, sveriantys 50</w:t>
            </w:r>
            <w:r w:rsidR="009E758A">
              <w:rPr>
                <w:rFonts w:ascii="Times New Roman" w:hAnsi="Times New Roman"/>
                <w:color w:val="000000"/>
              </w:rPr>
              <w:t> </w:t>
            </w:r>
            <w:r w:rsidRPr="00534C57">
              <w:rPr>
                <w:rFonts w:ascii="Times New Roman" w:hAnsi="Times New Roman"/>
                <w:color w:val="000000"/>
              </w:rPr>
              <w:t>kg arba daugiau; visi kiti vyresni kaip 14 metų paaugliai</w:t>
            </w:r>
          </w:p>
        </w:tc>
      </w:tr>
      <w:tr w:rsidR="00914B2F" w:rsidRPr="00F909DC" w14:paraId="265069AC" w14:textId="77777777" w:rsidTr="001845DE">
        <w:tc>
          <w:tcPr>
            <w:tcW w:w="3096" w:type="dxa"/>
          </w:tcPr>
          <w:p w14:paraId="3B023E80"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Dozė pirmąsias 24 valandas </w:t>
            </w:r>
            <w:r w:rsidRPr="00534C57">
              <w:rPr>
                <w:rFonts w:ascii="Times New Roman" w:hAnsi="Times New Roman"/>
                <w:color w:val="000000"/>
              </w:rPr>
              <w:t>(Įsotinamoji dozė)</w:t>
            </w:r>
          </w:p>
        </w:tc>
        <w:tc>
          <w:tcPr>
            <w:tcW w:w="3095" w:type="dxa"/>
          </w:tcPr>
          <w:p w14:paraId="602478C2"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Gydymo pradžioje bus skirta infuzija</w:t>
            </w:r>
          </w:p>
        </w:tc>
        <w:tc>
          <w:tcPr>
            <w:tcW w:w="3095" w:type="dxa"/>
          </w:tcPr>
          <w:p w14:paraId="72399685" w14:textId="77777777" w:rsidR="002F3324" w:rsidRPr="00534C57" w:rsidRDefault="00614E16" w:rsidP="002F3324">
            <w:pPr>
              <w:autoSpaceDE w:val="0"/>
              <w:autoSpaceDN w:val="0"/>
              <w:adjustRightInd w:val="0"/>
              <w:spacing w:after="0" w:line="240" w:lineRule="auto"/>
              <w:rPr>
                <w:rFonts w:ascii="Times New Roman" w:hAnsi="Times New Roman"/>
                <w:b/>
                <w:bCs/>
                <w:color w:val="000000"/>
              </w:rPr>
            </w:pPr>
            <w:r>
              <w:rPr>
                <w:rFonts w:ascii="Times New Roman" w:hAnsi="Times New Roman"/>
                <w:color w:val="000000"/>
              </w:rPr>
              <w:t>Ž</w:t>
            </w:r>
            <w:r w:rsidR="0051310D">
              <w:rPr>
                <w:rFonts w:ascii="Times New Roman" w:hAnsi="Times New Roman"/>
                <w:color w:val="000000"/>
              </w:rPr>
              <w:t>r. rekomenduojam</w:t>
            </w:r>
            <w:r>
              <w:rPr>
                <w:rFonts w:ascii="Times New Roman" w:hAnsi="Times New Roman"/>
                <w:color w:val="000000"/>
              </w:rPr>
              <w:t>ą</w:t>
            </w:r>
            <w:r w:rsidR="0051310D">
              <w:rPr>
                <w:rFonts w:ascii="Times New Roman" w:hAnsi="Times New Roman"/>
                <w:color w:val="000000"/>
              </w:rPr>
              <w:t xml:space="preserve"> doz</w:t>
            </w:r>
            <w:r>
              <w:rPr>
                <w:rFonts w:ascii="Times New Roman" w:hAnsi="Times New Roman"/>
                <w:color w:val="000000"/>
              </w:rPr>
              <w:t>ę</w:t>
            </w:r>
            <w:r w:rsidR="0051310D">
              <w:rPr>
                <w:rFonts w:ascii="Times New Roman" w:hAnsi="Times New Roman"/>
                <w:color w:val="000000"/>
              </w:rPr>
              <w:t xml:space="preserve"> suaugusie</w:t>
            </w:r>
            <w:r w:rsidR="000864CD">
              <w:rPr>
                <w:rFonts w:ascii="Times New Roman" w:hAnsi="Times New Roman"/>
                <w:color w:val="000000"/>
              </w:rPr>
              <w:t>sie</w:t>
            </w:r>
            <w:r w:rsidR="0051310D">
              <w:rPr>
                <w:rFonts w:ascii="Times New Roman" w:hAnsi="Times New Roman"/>
                <w:color w:val="000000"/>
              </w:rPr>
              <w:t>ms</w:t>
            </w:r>
          </w:p>
        </w:tc>
      </w:tr>
      <w:tr w:rsidR="00914B2F" w:rsidRPr="00F909DC" w14:paraId="1632C28A" w14:textId="77777777" w:rsidTr="001845DE">
        <w:tc>
          <w:tcPr>
            <w:tcW w:w="3096" w:type="dxa"/>
          </w:tcPr>
          <w:p w14:paraId="75F2C0F9"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Dozė po pirmųjų 24 valandų </w:t>
            </w:r>
            <w:r w:rsidRPr="00534C57">
              <w:rPr>
                <w:rFonts w:ascii="Times New Roman" w:hAnsi="Times New Roman"/>
                <w:color w:val="000000"/>
              </w:rPr>
              <w:t>(Palaikomoji dozė)</w:t>
            </w:r>
          </w:p>
        </w:tc>
        <w:tc>
          <w:tcPr>
            <w:tcW w:w="3095" w:type="dxa"/>
          </w:tcPr>
          <w:p w14:paraId="7CE21A52"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color w:val="000000"/>
              </w:rPr>
              <w:t>9</w:t>
            </w:r>
            <w:r w:rsidR="009E758A">
              <w:rPr>
                <w:rFonts w:ascii="Times New Roman" w:hAnsi="Times New Roman"/>
                <w:color w:val="000000"/>
              </w:rPr>
              <w:t> </w:t>
            </w:r>
            <w:r w:rsidRPr="00534C57">
              <w:rPr>
                <w:rFonts w:ascii="Times New Roman" w:hAnsi="Times New Roman"/>
                <w:color w:val="000000"/>
              </w:rPr>
              <w:t>mg/kg kūno svorio du kartus per parą (didžiausia dozė 350</w:t>
            </w:r>
            <w:r w:rsidR="009E758A">
              <w:rPr>
                <w:rFonts w:ascii="Times New Roman" w:hAnsi="Times New Roman"/>
                <w:color w:val="000000"/>
              </w:rPr>
              <w:t> </w:t>
            </w:r>
            <w:r w:rsidRPr="00534C57">
              <w:rPr>
                <w:rFonts w:ascii="Times New Roman" w:hAnsi="Times New Roman"/>
                <w:color w:val="000000"/>
              </w:rPr>
              <w:t>mg du kartus per parą)**</w:t>
            </w:r>
          </w:p>
        </w:tc>
        <w:tc>
          <w:tcPr>
            <w:tcW w:w="3095" w:type="dxa"/>
          </w:tcPr>
          <w:p w14:paraId="0918C463" w14:textId="77777777" w:rsidR="002F3324" w:rsidRPr="00534C57" w:rsidRDefault="00614E16" w:rsidP="002F3324">
            <w:pPr>
              <w:autoSpaceDE w:val="0"/>
              <w:autoSpaceDN w:val="0"/>
              <w:adjustRightInd w:val="0"/>
              <w:spacing w:after="0" w:line="240" w:lineRule="auto"/>
              <w:rPr>
                <w:rFonts w:ascii="Times New Roman" w:hAnsi="Times New Roman"/>
                <w:b/>
                <w:bCs/>
                <w:color w:val="000000"/>
              </w:rPr>
            </w:pPr>
            <w:r>
              <w:rPr>
                <w:rFonts w:ascii="Times New Roman" w:hAnsi="Times New Roman"/>
                <w:color w:val="000000"/>
              </w:rPr>
              <w:t>Ž</w:t>
            </w:r>
            <w:r w:rsidR="0051310D">
              <w:rPr>
                <w:rFonts w:ascii="Times New Roman" w:hAnsi="Times New Roman"/>
                <w:color w:val="000000"/>
              </w:rPr>
              <w:t>r. rekomenduojam</w:t>
            </w:r>
            <w:r>
              <w:rPr>
                <w:rFonts w:ascii="Times New Roman" w:hAnsi="Times New Roman"/>
                <w:color w:val="000000"/>
              </w:rPr>
              <w:t>ą</w:t>
            </w:r>
            <w:r w:rsidR="0051310D">
              <w:rPr>
                <w:rFonts w:ascii="Times New Roman" w:hAnsi="Times New Roman"/>
                <w:color w:val="000000"/>
              </w:rPr>
              <w:t xml:space="preserve"> doz</w:t>
            </w:r>
            <w:r>
              <w:rPr>
                <w:rFonts w:ascii="Times New Roman" w:hAnsi="Times New Roman"/>
                <w:color w:val="000000"/>
              </w:rPr>
              <w:t>ę</w:t>
            </w:r>
            <w:r w:rsidR="0051310D">
              <w:rPr>
                <w:rFonts w:ascii="Times New Roman" w:hAnsi="Times New Roman"/>
                <w:color w:val="000000"/>
              </w:rPr>
              <w:t xml:space="preserve"> suaugusie</w:t>
            </w:r>
            <w:r w:rsidR="000864CD">
              <w:rPr>
                <w:rFonts w:ascii="Times New Roman" w:hAnsi="Times New Roman"/>
                <w:color w:val="000000"/>
              </w:rPr>
              <w:t>sie</w:t>
            </w:r>
            <w:r w:rsidR="0051310D">
              <w:rPr>
                <w:rFonts w:ascii="Times New Roman" w:hAnsi="Times New Roman"/>
                <w:color w:val="000000"/>
              </w:rPr>
              <w:t>ms</w:t>
            </w:r>
          </w:p>
        </w:tc>
      </w:tr>
    </w:tbl>
    <w:p w14:paraId="345DE0E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w:t>
      </w:r>
      <w:r w:rsidRPr="00534C57">
        <w:rPr>
          <w:rFonts w:ascii="Times New Roman" w:hAnsi="Times New Roman"/>
        </w:rPr>
        <w:t xml:space="preserve"> Vaisto </w:t>
      </w:r>
      <w:r w:rsidRPr="00534C57">
        <w:rPr>
          <w:rFonts w:ascii="Times New Roman" w:hAnsi="Times New Roman"/>
          <w:color w:val="000000"/>
        </w:rPr>
        <w:t>Voriconazole Teva 200</w:t>
      </w:r>
      <w:r w:rsidR="009E758A">
        <w:rPr>
          <w:rFonts w:ascii="Times New Roman" w:hAnsi="Times New Roman"/>
          <w:color w:val="000000"/>
        </w:rPr>
        <w:t> </w:t>
      </w:r>
      <w:r w:rsidRPr="00534C57">
        <w:rPr>
          <w:rFonts w:ascii="Times New Roman" w:hAnsi="Times New Roman"/>
          <w:color w:val="000000"/>
        </w:rPr>
        <w:t>mg plėvele dengtos tabletės 350</w:t>
      </w:r>
      <w:r w:rsidRPr="00534C57">
        <w:rPr>
          <w:rFonts w:ascii="Times New Roman" w:hAnsi="Times New Roman"/>
          <w:color w:val="000000"/>
          <w:lang w:eastAsia="lt-LT"/>
        </w:rPr>
        <w:t xml:space="preserve"> mg </w:t>
      </w:r>
      <w:r w:rsidRPr="00534C57">
        <w:rPr>
          <w:rFonts w:ascii="Times New Roman" w:hAnsi="Times New Roman"/>
        </w:rPr>
        <w:t xml:space="preserve">dozės gauti neįmanoma. Reikia vartoti kito registruotojo vaistą. </w:t>
      </w:r>
    </w:p>
    <w:p w14:paraId="108AD82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3993849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Atsižvelgdamas į Jūsų organizmo reakciją į gydymą, gydytojas paros dozę gali padidinti arba sumažinti.</w:t>
      </w:r>
    </w:p>
    <w:p w14:paraId="6B52A40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C6C1841" w14:textId="77777777" w:rsidR="002F3324" w:rsidRPr="00534C57" w:rsidRDefault="002F3324" w:rsidP="002F3324">
      <w:pPr>
        <w:numPr>
          <w:ilvl w:val="0"/>
          <w:numId w:val="30"/>
        </w:numPr>
        <w:autoSpaceDE w:val="0"/>
        <w:autoSpaceDN w:val="0"/>
        <w:adjustRightInd w:val="0"/>
        <w:spacing w:after="0" w:line="240" w:lineRule="auto"/>
        <w:contextualSpacing/>
        <w:rPr>
          <w:rFonts w:ascii="Times New Roman" w:hAnsi="Times New Roman"/>
          <w:color w:val="000000"/>
        </w:rPr>
      </w:pPr>
      <w:r w:rsidRPr="00534C57">
        <w:rPr>
          <w:rFonts w:ascii="Times New Roman" w:hAnsi="Times New Roman"/>
          <w:color w:val="000000"/>
        </w:rPr>
        <w:t>Tablečių galima skirti tik tuo atveju, jei vaikas gali nuryti tabletę.</w:t>
      </w:r>
    </w:p>
    <w:p w14:paraId="39EB62EF" w14:textId="77777777" w:rsidR="002F3324" w:rsidRPr="00534C57" w:rsidRDefault="002F3324" w:rsidP="002F3324">
      <w:pPr>
        <w:autoSpaceDE w:val="0"/>
        <w:autoSpaceDN w:val="0"/>
        <w:adjustRightInd w:val="0"/>
        <w:spacing w:after="0" w:line="240" w:lineRule="auto"/>
        <w:ind w:left="567"/>
        <w:contextualSpacing/>
        <w:rPr>
          <w:rFonts w:ascii="Times New Roman" w:hAnsi="Times New Roman"/>
          <w:color w:val="000000"/>
        </w:rPr>
      </w:pPr>
    </w:p>
    <w:p w14:paraId="163F453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Tabletę reikia išgerti likus mažiausiai 1</w:t>
      </w:r>
      <w:r w:rsidR="009E758A">
        <w:rPr>
          <w:rFonts w:ascii="Times New Roman" w:hAnsi="Times New Roman"/>
          <w:color w:val="000000"/>
        </w:rPr>
        <w:t> </w:t>
      </w:r>
      <w:r w:rsidRPr="00534C57">
        <w:rPr>
          <w:rFonts w:ascii="Times New Roman" w:hAnsi="Times New Roman"/>
          <w:color w:val="000000"/>
        </w:rPr>
        <w:t>val. prieš valgį arba praėjus 1</w:t>
      </w:r>
      <w:r w:rsidR="009E758A">
        <w:rPr>
          <w:rFonts w:ascii="Times New Roman" w:hAnsi="Times New Roman"/>
          <w:color w:val="000000"/>
        </w:rPr>
        <w:t> </w:t>
      </w:r>
      <w:r w:rsidRPr="00534C57">
        <w:rPr>
          <w:rFonts w:ascii="Times New Roman" w:hAnsi="Times New Roman"/>
          <w:color w:val="000000"/>
        </w:rPr>
        <w:t>val. po valgio. Reikia nuryti nesukramtytą tabletę užsigeriant vandeniu.</w:t>
      </w:r>
    </w:p>
    <w:p w14:paraId="144E1E87"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3F5DD9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Jūs ar Jūsų vaikas vartojate Voriconazole Teva grybelių sukeliamų infekcinių ligų profilaktikai, Jūsų gydytojas gali nutraukti Voriconazole Teva vartojimą, jeigu Jums ar Jūsų vaikui atsiranda su gydymu susijęs šalutinis poveikis.</w:t>
      </w:r>
    </w:p>
    <w:p w14:paraId="5A429457"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4741A712"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Ką daryti pavartojus per didelę </w:t>
      </w:r>
      <w:r w:rsidRPr="00534C57">
        <w:rPr>
          <w:rFonts w:ascii="Times New Roman" w:hAnsi="Times New Roman"/>
          <w:b/>
          <w:color w:val="000000"/>
        </w:rPr>
        <w:t>Voriconazole Teva</w:t>
      </w:r>
      <w:r w:rsidRPr="00534C57">
        <w:rPr>
          <w:rFonts w:ascii="Times New Roman" w:hAnsi="Times New Roman"/>
          <w:b/>
          <w:bCs/>
          <w:color w:val="000000"/>
        </w:rPr>
        <w:t xml:space="preserve"> dozę</w:t>
      </w:r>
    </w:p>
    <w:p w14:paraId="3CB332B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išgėrėte per daug tablečių (arba tablečių išgėrė kas nors kitas), nedelsdami kreipkitės į gydytoją arba į artimiausios ligoninės skubios pagalbos skyrių. Kartu su savimi reikia pasiimti Voriconazole Teva tablečių pakuotę. Pavartojus daugiau nei skirta Voriconazole Teva, gali pasireikšti nenormalus šviesos netoleravimas.</w:t>
      </w:r>
    </w:p>
    <w:p w14:paraId="41AE1DEE"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4FBEFFD0" w14:textId="77777777" w:rsidR="002F3324" w:rsidRPr="00534C57" w:rsidRDefault="002F3324" w:rsidP="002F3324">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Pamiršus pavartoti </w:t>
      </w:r>
      <w:r w:rsidRPr="00534C57">
        <w:rPr>
          <w:rFonts w:ascii="Times New Roman" w:hAnsi="Times New Roman"/>
          <w:b/>
          <w:color w:val="000000"/>
        </w:rPr>
        <w:t xml:space="preserve">Voriconazole Teva </w:t>
      </w:r>
    </w:p>
    <w:p w14:paraId="6D68ABE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Svarbu Voriconazole Teva tabletes gerti reguliariai kasdien tuo pačiu laiku. Jeigu užmiršote išgerti vieną dozę, kitą išgerkite įprastu laiku. Negalima vartoti dvigubos dozės norint kompensuoti praleistą dozę.</w:t>
      </w:r>
    </w:p>
    <w:p w14:paraId="63986302"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81B41AE" w14:textId="77777777" w:rsidR="002F3324" w:rsidRPr="00534C57" w:rsidRDefault="002F3324" w:rsidP="002F3324">
      <w:pPr>
        <w:autoSpaceDE w:val="0"/>
        <w:autoSpaceDN w:val="0"/>
        <w:adjustRightInd w:val="0"/>
        <w:spacing w:after="0" w:line="240" w:lineRule="auto"/>
        <w:rPr>
          <w:rFonts w:ascii="Times New Roman" w:hAnsi="Times New Roman"/>
          <w:b/>
          <w:color w:val="000000"/>
        </w:rPr>
      </w:pPr>
      <w:r w:rsidRPr="00534C57">
        <w:rPr>
          <w:rFonts w:ascii="Times New Roman" w:hAnsi="Times New Roman"/>
          <w:b/>
          <w:bCs/>
          <w:color w:val="000000"/>
        </w:rPr>
        <w:t xml:space="preserve">Nustojus vartoti </w:t>
      </w:r>
      <w:r w:rsidRPr="00534C57">
        <w:rPr>
          <w:rFonts w:ascii="Times New Roman" w:hAnsi="Times New Roman"/>
          <w:b/>
          <w:color w:val="000000"/>
        </w:rPr>
        <w:t xml:space="preserve">Voriconazole Teva </w:t>
      </w:r>
    </w:p>
    <w:p w14:paraId="78B3970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Įrodyta, kad visas dozes išgėrus tinkamu laiku, gali labai padidėti vaisto veiksmingumas. Todėl svarbu Voriconazole Teva vartoti tiksliai, kaip nurodyta, nebent gydytojas lieptų gydymą nutraukti. </w:t>
      </w:r>
    </w:p>
    <w:p w14:paraId="1CB5300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E00193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Vartokite Voriconazole Teva tol, kol gydytojas lieps nutraukti gydymą. Nenutraukite gydymo anksčiau, nes infekcinė liga gali būti neišgydyta. Pacientams, kurių imuninė sistema yra nusilpusi arba kurie serga sunkiomis infekcinėmis ligomis, gali prireikti ilgalaikio gydymo, kad infekcinė liga nepasikartotų.</w:t>
      </w:r>
    </w:p>
    <w:p w14:paraId="14D528C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08B333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Voriconazole Teva vartojimas nutraukiamas gydytojo nurodymu, jokio poveikio nepajausite.</w:t>
      </w:r>
    </w:p>
    <w:p w14:paraId="073795C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A7A996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kiltų daugiau klausimų dėl šio vaisto vartojimo, kreipkitės į gydytoją, vaistininką ar slaugytoją.</w:t>
      </w:r>
    </w:p>
    <w:p w14:paraId="4C5B427B"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4124884"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2C74D602"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4. Galimas šalutinis poveikis</w:t>
      </w:r>
    </w:p>
    <w:p w14:paraId="1942CD5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32CC487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Šis vaistas, kaip ir visi kiti, gali sukelti šalutinį poveikį, nors jis pasireiškia ne visiems žmonėms.</w:t>
      </w:r>
    </w:p>
    <w:p w14:paraId="6203D59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826DB9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Jeigu pasireiškia koks nors šalutinis poveikis, dažniausiai jis būna lengvas ir laikinas. Vis dėlto kai kuris šalutinis poveikis gali būti sunkus ir gali prireikti medicininės pagalbos.</w:t>
      </w:r>
    </w:p>
    <w:p w14:paraId="15C273B1"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5FDD063F"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Sunkus šalutinis poveikis - nutraukite </w:t>
      </w:r>
      <w:r w:rsidRPr="00534C57">
        <w:rPr>
          <w:rFonts w:ascii="Times New Roman" w:hAnsi="Times New Roman"/>
          <w:b/>
          <w:color w:val="000000"/>
        </w:rPr>
        <w:t>Voriconazole Teva</w:t>
      </w:r>
      <w:r w:rsidRPr="00534C57">
        <w:rPr>
          <w:rFonts w:ascii="Times New Roman" w:hAnsi="Times New Roman"/>
          <w:b/>
          <w:bCs/>
          <w:color w:val="000000"/>
        </w:rPr>
        <w:t xml:space="preserve"> vartojimą ir nedelsdami kreipkitės į gydytoją</w:t>
      </w:r>
    </w:p>
    <w:p w14:paraId="3D457A86" w14:textId="77777777" w:rsidR="002F3324" w:rsidRPr="00534C57" w:rsidRDefault="002F3324" w:rsidP="002F3324">
      <w:pPr>
        <w:numPr>
          <w:ilvl w:val="0"/>
          <w:numId w:val="2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Išbėrimas.</w:t>
      </w:r>
    </w:p>
    <w:p w14:paraId="2D7A4624" w14:textId="77777777" w:rsidR="002F3324" w:rsidRPr="00534C57" w:rsidRDefault="002F3324" w:rsidP="002F3324">
      <w:pPr>
        <w:numPr>
          <w:ilvl w:val="0"/>
          <w:numId w:val="2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Gelta, kraujo tyrimuose kepenų funkciją atspindinčių rodmenų pokyčiai.</w:t>
      </w:r>
    </w:p>
    <w:p w14:paraId="46E1964A" w14:textId="77777777" w:rsidR="002F3324" w:rsidRPr="00534C57" w:rsidRDefault="002F3324" w:rsidP="002F3324">
      <w:pPr>
        <w:numPr>
          <w:ilvl w:val="0"/>
          <w:numId w:val="23"/>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Pankreatitas.</w:t>
      </w:r>
    </w:p>
    <w:p w14:paraId="574F6C19" w14:textId="77777777" w:rsidR="002F3324" w:rsidRPr="00534C57" w:rsidRDefault="002F3324" w:rsidP="002F3324">
      <w:pPr>
        <w:autoSpaceDE w:val="0"/>
        <w:autoSpaceDN w:val="0"/>
        <w:adjustRightInd w:val="0"/>
        <w:spacing w:after="0" w:line="240" w:lineRule="auto"/>
        <w:ind w:left="567"/>
        <w:contextualSpacing/>
        <w:rPr>
          <w:rFonts w:ascii="Times New Roman" w:hAnsi="Times New Roman"/>
          <w:color w:val="000000"/>
        </w:rPr>
      </w:pPr>
      <w:r w:rsidRPr="00534C57">
        <w:rPr>
          <w:rFonts w:ascii="Times New Roman" w:hAnsi="Times New Roman"/>
          <w:color w:val="000000"/>
        </w:rPr>
        <w:t xml:space="preserve"> </w:t>
      </w:r>
    </w:p>
    <w:p w14:paraId="1CF2E56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Kitas šalutinis poveikis</w:t>
      </w:r>
    </w:p>
    <w:p w14:paraId="2D5796F5" w14:textId="77777777" w:rsidR="002F3324" w:rsidRPr="0059379B" w:rsidRDefault="002F3324" w:rsidP="002F3324">
      <w:pPr>
        <w:autoSpaceDE w:val="0"/>
        <w:autoSpaceDN w:val="0"/>
        <w:adjustRightInd w:val="0"/>
        <w:spacing w:after="0" w:line="240" w:lineRule="auto"/>
        <w:rPr>
          <w:rFonts w:ascii="Times New Roman" w:hAnsi="Times New Roman"/>
          <w:b/>
          <w:color w:val="000000"/>
        </w:rPr>
      </w:pPr>
      <w:r w:rsidRPr="0059379B">
        <w:rPr>
          <w:rFonts w:ascii="Times New Roman" w:hAnsi="Times New Roman"/>
          <w:b/>
          <w:color w:val="000000"/>
        </w:rPr>
        <w:t>Labai dažn</w:t>
      </w:r>
      <w:r w:rsidR="0059379B">
        <w:rPr>
          <w:rFonts w:ascii="Times New Roman" w:hAnsi="Times New Roman"/>
          <w:b/>
          <w:color w:val="000000"/>
        </w:rPr>
        <w:t>i šalutinio poveikio reiškiniai</w:t>
      </w:r>
      <w:r w:rsidR="0059379B" w:rsidRPr="0059379B">
        <w:rPr>
          <w:rFonts w:ascii="Times New Roman" w:hAnsi="Times New Roman"/>
          <w:b/>
          <w:color w:val="000000"/>
        </w:rPr>
        <w:t xml:space="preserve"> (</w:t>
      </w:r>
      <w:r w:rsidRPr="0059379B">
        <w:rPr>
          <w:rFonts w:ascii="Times New Roman" w:hAnsi="Times New Roman"/>
          <w:b/>
          <w:color w:val="000000"/>
        </w:rPr>
        <w:t xml:space="preserve">gali pasireikšti </w:t>
      </w:r>
      <w:r w:rsidR="00D8441E">
        <w:rPr>
          <w:rFonts w:ascii="Times New Roman" w:hAnsi="Times New Roman"/>
          <w:b/>
          <w:color w:val="000000"/>
        </w:rPr>
        <w:t>ne rečiau</w:t>
      </w:r>
      <w:r w:rsidR="00D8441E" w:rsidRPr="0059379B">
        <w:rPr>
          <w:rFonts w:ascii="Times New Roman" w:hAnsi="Times New Roman"/>
          <w:b/>
          <w:color w:val="000000"/>
        </w:rPr>
        <w:t xml:space="preserve"> </w:t>
      </w:r>
      <w:r w:rsidRPr="0059379B">
        <w:rPr>
          <w:rFonts w:ascii="Times New Roman" w:hAnsi="Times New Roman"/>
          <w:b/>
          <w:color w:val="000000"/>
        </w:rPr>
        <w:t xml:space="preserve">kaip 1 iš 10 </w:t>
      </w:r>
      <w:r w:rsidR="0059379B" w:rsidRPr="0059379B">
        <w:rPr>
          <w:rFonts w:ascii="Times New Roman" w:hAnsi="Times New Roman"/>
          <w:b/>
          <w:color w:val="000000"/>
        </w:rPr>
        <w:t>asmenų)</w:t>
      </w:r>
      <w:r w:rsidRPr="0059379B">
        <w:rPr>
          <w:rFonts w:ascii="Times New Roman" w:hAnsi="Times New Roman"/>
          <w:b/>
          <w:color w:val="000000"/>
        </w:rPr>
        <w:t>:</w:t>
      </w:r>
    </w:p>
    <w:p w14:paraId="1446F61F" w14:textId="77777777" w:rsidR="002F3324" w:rsidRPr="00534C57" w:rsidRDefault="002F3324"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 xml:space="preserve">regos sutrikimai </w:t>
      </w:r>
      <w:r w:rsidR="00CC210F" w:rsidRPr="00534C57">
        <w:rPr>
          <w:rFonts w:ascii="Times New Roman" w:hAnsi="Times New Roman"/>
          <w:color w:val="000000"/>
        </w:rPr>
        <w:t>(</w:t>
      </w:r>
      <w:r w:rsidR="00CC210F" w:rsidRPr="00534C57">
        <w:rPr>
          <w:rFonts w:ascii="Times New Roman" w:eastAsia="Times New Roman" w:hAnsi="Times New Roman"/>
        </w:rPr>
        <w:t>regos pokyčiai, įskaitant neryškų matymą, pakitusias spa</w:t>
      </w:r>
      <w:r w:rsidR="00CC210F" w:rsidRPr="00534C57">
        <w:rPr>
          <w:rFonts w:ascii="Times New Roman" w:eastAsia="Times New Roman" w:hAnsi="Times New Roman"/>
          <w:spacing w:val="1"/>
        </w:rPr>
        <w:t>l</w:t>
      </w:r>
      <w:r w:rsidR="00CC210F" w:rsidRPr="00534C57">
        <w:rPr>
          <w:rFonts w:ascii="Times New Roman" w:eastAsia="Times New Roman" w:hAnsi="Times New Roman"/>
        </w:rPr>
        <w:t>vas, neįprastą vizualinio šviesos suvokimo netoleravimą, daltonizmą, akių sutrikimą, aureolių matymą, vištakumą, svyruojantį vaizdą, žybčiojimą, vizualinę aurą, sumažėjusį matymo aštrumą, matymo ryškumą, įprasto regos lauko sumažėjimą, dėmes prieš akis</w:t>
      </w:r>
      <w:r w:rsidR="00CC210F" w:rsidRPr="00534C57">
        <w:rPr>
          <w:rFonts w:ascii="Times New Roman" w:hAnsi="Times New Roman"/>
          <w:color w:val="000000"/>
        </w:rPr>
        <w:t>);</w:t>
      </w:r>
    </w:p>
    <w:p w14:paraId="015CB0D3" w14:textId="77777777" w:rsidR="002F3324" w:rsidRPr="00534C57" w:rsidRDefault="002F3324"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karščiavimas;</w:t>
      </w:r>
    </w:p>
    <w:p w14:paraId="5BF82C8C" w14:textId="77777777" w:rsidR="002F3324" w:rsidRPr="00534C57" w:rsidRDefault="002F3324"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išbėrimas;</w:t>
      </w:r>
    </w:p>
    <w:p w14:paraId="5AD1E2E8" w14:textId="77777777" w:rsidR="002F3324" w:rsidRPr="00534C57" w:rsidRDefault="002F3324"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pykinimas, vėmimas, viduriavimas;</w:t>
      </w:r>
    </w:p>
    <w:p w14:paraId="40FAC0BD" w14:textId="77777777" w:rsidR="002F3324" w:rsidRPr="00534C57" w:rsidRDefault="002F3324"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galvos skausmas;</w:t>
      </w:r>
    </w:p>
    <w:p w14:paraId="6EC0E00F" w14:textId="77777777" w:rsidR="002F3324" w:rsidRPr="00534C57" w:rsidRDefault="002F3324"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galūnių patinimas;</w:t>
      </w:r>
    </w:p>
    <w:p w14:paraId="786091A3" w14:textId="77777777" w:rsidR="002F3324" w:rsidRPr="00534C57" w:rsidRDefault="00022F6A"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pilvo skausmas;</w:t>
      </w:r>
    </w:p>
    <w:p w14:paraId="2BC01386" w14:textId="77777777" w:rsidR="00022F6A" w:rsidRPr="00534C57" w:rsidRDefault="00022F6A" w:rsidP="002F3324">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pasunkėjęs kvėpavimas;</w:t>
      </w:r>
    </w:p>
    <w:p w14:paraId="02B9D885" w14:textId="57A09539" w:rsidR="002F3324" w:rsidRDefault="00CC210F" w:rsidP="00CC210F">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hAnsi="Times New Roman"/>
          <w:color w:val="000000"/>
        </w:rPr>
        <w:t>kepenų fermentų aktyvumo padidėjimas</w:t>
      </w:r>
      <w:r w:rsidR="007C3F1A">
        <w:rPr>
          <w:rFonts w:ascii="Times New Roman" w:hAnsi="Times New Roman"/>
          <w:color w:val="000000"/>
        </w:rPr>
        <w:t>.</w:t>
      </w:r>
    </w:p>
    <w:p w14:paraId="2EB41BD1" w14:textId="77777777" w:rsidR="002F3324" w:rsidRPr="00534C57" w:rsidRDefault="002F3324" w:rsidP="002F3324">
      <w:pPr>
        <w:autoSpaceDE w:val="0"/>
        <w:autoSpaceDN w:val="0"/>
        <w:adjustRightInd w:val="0"/>
        <w:spacing w:after="0" w:line="240" w:lineRule="auto"/>
        <w:ind w:left="567"/>
        <w:contextualSpacing/>
        <w:rPr>
          <w:rFonts w:ascii="Times New Roman" w:hAnsi="Times New Roman"/>
          <w:color w:val="000000"/>
        </w:rPr>
      </w:pPr>
    </w:p>
    <w:p w14:paraId="4E9BEEEE" w14:textId="77777777" w:rsidR="002F3324" w:rsidRPr="0059379B" w:rsidRDefault="002F3324" w:rsidP="002F3324">
      <w:pPr>
        <w:spacing w:after="0" w:line="240" w:lineRule="auto"/>
        <w:ind w:left="118" w:right="-20"/>
        <w:rPr>
          <w:rFonts w:ascii="Times New Roman" w:hAnsi="Times New Roman"/>
          <w:b/>
        </w:rPr>
      </w:pPr>
      <w:r w:rsidRPr="0059379B">
        <w:rPr>
          <w:rFonts w:ascii="Times New Roman" w:hAnsi="Times New Roman"/>
          <w:b/>
        </w:rPr>
        <w:t>Dažn</w:t>
      </w:r>
      <w:r w:rsidR="0059379B" w:rsidRPr="0059379B">
        <w:rPr>
          <w:rFonts w:ascii="Times New Roman" w:hAnsi="Times New Roman"/>
          <w:b/>
        </w:rPr>
        <w:t>i šalutinio poveikio reiškiniai (</w:t>
      </w:r>
      <w:r w:rsidRPr="0059379B">
        <w:rPr>
          <w:rFonts w:ascii="Times New Roman" w:hAnsi="Times New Roman"/>
          <w:b/>
        </w:rPr>
        <w:t xml:space="preserve">gali pasireikšti </w:t>
      </w:r>
      <w:r w:rsidR="009C7236" w:rsidRPr="0059379B">
        <w:rPr>
          <w:rFonts w:ascii="Times New Roman" w:hAnsi="Times New Roman"/>
          <w:b/>
        </w:rPr>
        <w:t>rečiau</w:t>
      </w:r>
      <w:r w:rsidRPr="0059379B">
        <w:rPr>
          <w:rFonts w:ascii="Times New Roman" w:hAnsi="Times New Roman"/>
          <w:b/>
        </w:rPr>
        <w:t xml:space="preserve"> kaip 1 iš 10 </w:t>
      </w:r>
      <w:r w:rsidR="0059379B" w:rsidRPr="0059379B">
        <w:rPr>
          <w:rFonts w:ascii="Times New Roman" w:hAnsi="Times New Roman"/>
          <w:b/>
        </w:rPr>
        <w:t>asmenų)</w:t>
      </w:r>
      <w:r w:rsidRPr="0059379B">
        <w:rPr>
          <w:rFonts w:ascii="Times New Roman" w:hAnsi="Times New Roman"/>
          <w:b/>
        </w:rPr>
        <w:t>:</w:t>
      </w:r>
    </w:p>
    <w:p w14:paraId="4F29EE50" w14:textId="77777777" w:rsidR="002F3324" w:rsidRPr="00534C57" w:rsidRDefault="002F3324" w:rsidP="002F3324">
      <w:pPr>
        <w:tabs>
          <w:tab w:val="left" w:pos="680"/>
        </w:tabs>
        <w:spacing w:after="0" w:line="240" w:lineRule="auto"/>
        <w:ind w:left="685" w:right="298"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00CC210F" w:rsidRPr="00BE562B">
        <w:rPr>
          <w:rFonts w:ascii="Times New Roman" w:hAnsi="Times New Roman"/>
          <w:color w:val="000000"/>
        </w:rPr>
        <w:t xml:space="preserve">sinusų uždegimas, </w:t>
      </w:r>
      <w:r w:rsidR="00CC210F" w:rsidRPr="00534C57">
        <w:rPr>
          <w:rFonts w:ascii="Times New Roman" w:hAnsi="Times New Roman"/>
        </w:rPr>
        <w:t>dantenų uždegi</w:t>
      </w:r>
      <w:r w:rsidR="00CC210F" w:rsidRPr="00BE562B">
        <w:rPr>
          <w:rFonts w:ascii="Times New Roman" w:hAnsi="Times New Roman"/>
        </w:rPr>
        <w:t>m</w:t>
      </w:r>
      <w:r w:rsidR="00CC210F" w:rsidRPr="00534C57">
        <w:rPr>
          <w:rFonts w:ascii="Times New Roman" w:hAnsi="Times New Roman"/>
        </w:rPr>
        <w:t>as</w:t>
      </w:r>
      <w:r w:rsidR="00CC210F" w:rsidRPr="00534C57">
        <w:rPr>
          <w:rFonts w:ascii="Times New Roman" w:eastAsia="Times New Roman" w:hAnsi="Times New Roman"/>
        </w:rPr>
        <w:t xml:space="preserve">, </w:t>
      </w:r>
      <w:r w:rsidRPr="00534C57">
        <w:rPr>
          <w:rFonts w:ascii="Times New Roman" w:hAnsi="Times New Roman"/>
        </w:rPr>
        <w:t>šaltkrėtis, silpnumas;</w:t>
      </w:r>
    </w:p>
    <w:p w14:paraId="16A84257" w14:textId="77777777" w:rsidR="002F3324" w:rsidRPr="00534C57" w:rsidRDefault="002F3324" w:rsidP="00BE562B">
      <w:pPr>
        <w:tabs>
          <w:tab w:val="left" w:pos="680"/>
        </w:tabs>
        <w:spacing w:after="0" w:line="240" w:lineRule="auto"/>
        <w:ind w:left="709" w:right="-20" w:hanging="567"/>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00CC210F" w:rsidRPr="00534C57">
        <w:rPr>
          <w:rFonts w:ascii="Times New Roman" w:eastAsia="Times New Roman" w:hAnsi="Times New Roman"/>
        </w:rPr>
        <w:t xml:space="preserve">kai kurių rūšių raudonųjų (kartais dėl imuninės sistemos) ir </w:t>
      </w:r>
      <w:r w:rsidR="00CC210F" w:rsidRPr="00534C57">
        <w:rPr>
          <w:rFonts w:ascii="Times New Roman" w:eastAsia="Times New Roman" w:hAnsi="Times New Roman"/>
          <w:spacing w:val="1"/>
        </w:rPr>
        <w:t>(</w:t>
      </w:r>
      <w:r w:rsidR="00CC210F" w:rsidRPr="00534C57">
        <w:rPr>
          <w:rFonts w:ascii="Times New Roman" w:eastAsia="Times New Roman" w:hAnsi="Times New Roman"/>
        </w:rPr>
        <w:t>arba)</w:t>
      </w:r>
      <w:r w:rsidR="00CC210F" w:rsidRPr="00BE562B">
        <w:rPr>
          <w:rFonts w:ascii="Times New Roman" w:hAnsi="Times New Roman"/>
          <w:spacing w:val="-1"/>
        </w:rPr>
        <w:t xml:space="preserve"> </w:t>
      </w:r>
      <w:r w:rsidR="00CC210F" w:rsidRPr="00534C57">
        <w:rPr>
          <w:rFonts w:ascii="Times New Roman" w:eastAsia="Times New Roman" w:hAnsi="Times New Roman"/>
        </w:rPr>
        <w:t>baltųjų (kartais su karščiavimu)</w:t>
      </w:r>
      <w:r w:rsidR="00CC210F" w:rsidRPr="00534C57">
        <w:rPr>
          <w:rFonts w:ascii="Times New Roman" w:eastAsia="Times New Roman" w:hAnsi="Times New Roman"/>
          <w:spacing w:val="1"/>
        </w:rPr>
        <w:t xml:space="preserve"> </w:t>
      </w:r>
      <w:r w:rsidR="00CC210F" w:rsidRPr="00BE562B">
        <w:rPr>
          <w:rFonts w:ascii="Times New Roman" w:hAnsi="Times New Roman"/>
          <w:spacing w:val="-1"/>
        </w:rPr>
        <w:t>kr</w:t>
      </w:r>
      <w:r w:rsidR="00CC210F" w:rsidRPr="00534C57">
        <w:rPr>
          <w:rFonts w:ascii="Times New Roman" w:eastAsia="Times New Roman" w:hAnsi="Times New Roman"/>
        </w:rPr>
        <w:t>a</w:t>
      </w:r>
      <w:r w:rsidR="00CC210F" w:rsidRPr="00BE562B">
        <w:rPr>
          <w:rFonts w:ascii="Times New Roman" w:hAnsi="Times New Roman"/>
          <w:spacing w:val="-2"/>
        </w:rPr>
        <w:t>u</w:t>
      </w:r>
      <w:r w:rsidR="00CC210F" w:rsidRPr="00BE562B">
        <w:rPr>
          <w:rFonts w:ascii="Times New Roman" w:hAnsi="Times New Roman"/>
          <w:spacing w:val="3"/>
        </w:rPr>
        <w:t>j</w:t>
      </w:r>
      <w:r w:rsidR="00CC210F" w:rsidRPr="00534C57">
        <w:rPr>
          <w:rFonts w:ascii="Times New Roman" w:eastAsia="Times New Roman" w:hAnsi="Times New Roman"/>
        </w:rPr>
        <w:t>o</w:t>
      </w:r>
      <w:r w:rsidR="00CC210F" w:rsidRPr="00BE562B">
        <w:rPr>
          <w:rFonts w:ascii="Times New Roman" w:hAnsi="Times New Roman"/>
          <w:spacing w:val="-1"/>
        </w:rPr>
        <w:t xml:space="preserve"> </w:t>
      </w:r>
      <w:r w:rsidR="00CC210F" w:rsidRPr="00534C57">
        <w:rPr>
          <w:rFonts w:ascii="Times New Roman" w:eastAsia="Times New Roman" w:hAnsi="Times New Roman"/>
        </w:rPr>
        <w:t>ląstelių</w:t>
      </w:r>
      <w:r w:rsidR="00CC210F" w:rsidRPr="00BE562B">
        <w:rPr>
          <w:rFonts w:ascii="Times New Roman" w:hAnsi="Times New Roman"/>
          <w:spacing w:val="-1"/>
        </w:rPr>
        <w:t xml:space="preserve"> </w:t>
      </w:r>
      <w:r w:rsidR="00CC210F" w:rsidRPr="00534C57">
        <w:rPr>
          <w:rFonts w:ascii="Times New Roman" w:eastAsia="Times New Roman" w:hAnsi="Times New Roman"/>
        </w:rPr>
        <w:t>kiekio</w:t>
      </w:r>
      <w:r w:rsidR="00CC210F" w:rsidRPr="00BE562B">
        <w:rPr>
          <w:rFonts w:ascii="Times New Roman" w:hAnsi="Times New Roman"/>
          <w:spacing w:val="-1"/>
        </w:rPr>
        <w:t xml:space="preserve"> </w:t>
      </w:r>
      <w:r w:rsidR="00CC210F" w:rsidRPr="00534C57">
        <w:rPr>
          <w:rFonts w:ascii="Times New Roman" w:eastAsia="Times New Roman" w:hAnsi="Times New Roman"/>
        </w:rPr>
        <w:t>kraujyje</w:t>
      </w:r>
      <w:r w:rsidR="00CC210F" w:rsidRPr="00BE562B">
        <w:rPr>
          <w:rFonts w:ascii="Times New Roman" w:hAnsi="Times New Roman"/>
          <w:spacing w:val="-1"/>
        </w:rPr>
        <w:t xml:space="preserve"> </w:t>
      </w:r>
      <w:r w:rsidR="00CC210F" w:rsidRPr="00534C57">
        <w:rPr>
          <w:rFonts w:ascii="Times New Roman" w:eastAsia="Times New Roman" w:hAnsi="Times New Roman"/>
        </w:rPr>
        <w:t>sumažėjimas,</w:t>
      </w:r>
      <w:r w:rsidR="00CC210F" w:rsidRPr="00BE562B">
        <w:rPr>
          <w:rFonts w:ascii="Times New Roman" w:hAnsi="Times New Roman"/>
        </w:rPr>
        <w:t xml:space="preserve"> </w:t>
      </w:r>
      <w:r w:rsidR="00CC210F" w:rsidRPr="00534C57">
        <w:rPr>
          <w:rFonts w:ascii="Times New Roman" w:eastAsia="Times New Roman" w:hAnsi="Times New Roman"/>
        </w:rPr>
        <w:t xml:space="preserve">įskaitant sunkų, kraujo </w:t>
      </w:r>
      <w:r w:rsidR="009C7236">
        <w:rPr>
          <w:rFonts w:ascii="Times New Roman" w:eastAsia="Times New Roman" w:hAnsi="Times New Roman"/>
        </w:rPr>
        <w:t>plokštelių</w:t>
      </w:r>
      <w:r w:rsidR="00CC210F" w:rsidRPr="00534C57">
        <w:rPr>
          <w:rFonts w:ascii="Times New Roman" w:eastAsia="Times New Roman" w:hAnsi="Times New Roman"/>
        </w:rPr>
        <w:t>, kurios vadinamos trombocitais</w:t>
      </w:r>
      <w:r w:rsidR="00CC210F" w:rsidRPr="00BE562B">
        <w:rPr>
          <w:rFonts w:ascii="Times New Roman" w:hAnsi="Times New Roman"/>
        </w:rPr>
        <w:t xml:space="preserve"> i</w:t>
      </w:r>
      <w:r w:rsidR="00CC210F" w:rsidRPr="00534C57">
        <w:rPr>
          <w:rFonts w:ascii="Times New Roman" w:eastAsia="Times New Roman" w:hAnsi="Times New Roman"/>
        </w:rPr>
        <w:t>r</w:t>
      </w:r>
      <w:r w:rsidR="00CC210F" w:rsidRPr="00BE562B">
        <w:rPr>
          <w:rFonts w:ascii="Times New Roman" w:hAnsi="Times New Roman"/>
        </w:rPr>
        <w:t xml:space="preserve"> </w:t>
      </w:r>
      <w:r w:rsidR="00CC210F" w:rsidRPr="00534C57">
        <w:rPr>
          <w:rFonts w:ascii="Times New Roman" w:eastAsia="Times New Roman" w:hAnsi="Times New Roman"/>
        </w:rPr>
        <w:t>padeda krešėti kraujui, kiekio kraujyje sumažėjimas;</w:t>
      </w:r>
    </w:p>
    <w:p w14:paraId="5005BDD3" w14:textId="77777777" w:rsidR="002F3324" w:rsidRPr="00534C57" w:rsidRDefault="002F3324" w:rsidP="002F3324">
      <w:pPr>
        <w:tabs>
          <w:tab w:val="left" w:pos="680"/>
        </w:tabs>
        <w:spacing w:after="0" w:line="240" w:lineRule="auto"/>
        <w:ind w:left="685" w:right="48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eastAsia="Times New Roman" w:hAnsi="Times New Roman"/>
          <w:spacing w:val="-1"/>
        </w:rPr>
        <w:t>gliukozė</w:t>
      </w:r>
      <w:r w:rsidRPr="00534C57">
        <w:rPr>
          <w:rFonts w:ascii="Times New Roman" w:eastAsia="Times New Roman" w:hAnsi="Times New Roman"/>
        </w:rPr>
        <w:t>s</w:t>
      </w:r>
      <w:r w:rsidRPr="00534C57">
        <w:rPr>
          <w:rFonts w:ascii="Times New Roman" w:eastAsia="Times New Roman" w:hAnsi="Times New Roman"/>
          <w:spacing w:val="-1"/>
        </w:rPr>
        <w:t xml:space="preserve"> ko</w:t>
      </w:r>
      <w:r w:rsidRPr="00534C57">
        <w:rPr>
          <w:rFonts w:ascii="Times New Roman" w:eastAsia="Times New Roman" w:hAnsi="Times New Roman"/>
        </w:rPr>
        <w:t>ncentracijos kraujyje</w:t>
      </w:r>
      <w:r w:rsidRPr="00534C57">
        <w:rPr>
          <w:rFonts w:ascii="Times New Roman" w:hAnsi="Times New Roman"/>
        </w:rPr>
        <w:t xml:space="preserve"> sumažėjimas, </w:t>
      </w:r>
      <w:r w:rsidRPr="00534C57">
        <w:rPr>
          <w:rFonts w:ascii="Times New Roman" w:eastAsia="Times New Roman" w:hAnsi="Times New Roman"/>
        </w:rPr>
        <w:t>kalio koncentracijos kraujyje sumažėjima</w:t>
      </w:r>
      <w:r w:rsidRPr="00534C57">
        <w:rPr>
          <w:rFonts w:ascii="Times New Roman" w:eastAsia="Times New Roman" w:hAnsi="Times New Roman"/>
          <w:spacing w:val="-1"/>
        </w:rPr>
        <w:t>s</w:t>
      </w:r>
      <w:r w:rsidRPr="00534C57">
        <w:rPr>
          <w:rFonts w:ascii="Times New Roman" w:eastAsia="Times New Roman" w:hAnsi="Times New Roman"/>
        </w:rPr>
        <w:t>, natrio koncentracijos kraujyje sumažėjimas</w:t>
      </w:r>
      <w:r w:rsidRPr="00534C57">
        <w:rPr>
          <w:rFonts w:ascii="Times New Roman" w:hAnsi="Times New Roman"/>
        </w:rPr>
        <w:t>;</w:t>
      </w:r>
    </w:p>
    <w:p w14:paraId="075026AA"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nerimas, depresija,</w:t>
      </w:r>
      <w:r w:rsidRPr="00534C57">
        <w:rPr>
          <w:rFonts w:ascii="Times New Roman" w:hAnsi="Times New Roman"/>
          <w:spacing w:val="-3"/>
        </w:rPr>
        <w:t xml:space="preserve"> </w:t>
      </w:r>
      <w:r w:rsidRPr="00534C57">
        <w:rPr>
          <w:rFonts w:ascii="Times New Roman" w:eastAsia="Times New Roman" w:hAnsi="Times New Roman"/>
        </w:rPr>
        <w:t>sumišimas,</w:t>
      </w:r>
      <w:r w:rsidRPr="00534C57">
        <w:rPr>
          <w:rFonts w:ascii="Times New Roman" w:eastAsia="Times New Roman" w:hAnsi="Times New Roman"/>
          <w:spacing w:val="-1"/>
        </w:rPr>
        <w:t xml:space="preserve"> </w:t>
      </w:r>
      <w:r w:rsidRPr="00534C57">
        <w:rPr>
          <w:rFonts w:ascii="Times New Roman" w:eastAsia="Times New Roman" w:hAnsi="Times New Roman"/>
        </w:rPr>
        <w:t>susijaudinimas, ne</w:t>
      </w:r>
      <w:r w:rsidRPr="00534C57">
        <w:rPr>
          <w:rFonts w:ascii="Times New Roman" w:eastAsia="Times New Roman" w:hAnsi="Times New Roman"/>
          <w:spacing w:val="-4"/>
        </w:rPr>
        <w:t>m</w:t>
      </w:r>
      <w:r w:rsidRPr="00534C57">
        <w:rPr>
          <w:rFonts w:ascii="Times New Roman" w:eastAsia="Times New Roman" w:hAnsi="Times New Roman"/>
          <w:spacing w:val="1"/>
        </w:rPr>
        <w:t>i</w:t>
      </w:r>
      <w:r w:rsidRPr="00534C57">
        <w:rPr>
          <w:rFonts w:ascii="Times New Roman" w:eastAsia="Times New Roman" w:hAnsi="Times New Roman"/>
          <w:spacing w:val="-2"/>
        </w:rPr>
        <w:t>g</w:t>
      </w:r>
      <w:r w:rsidRPr="00534C57">
        <w:rPr>
          <w:rFonts w:ascii="Times New Roman" w:eastAsia="Times New Roman" w:hAnsi="Times New Roman"/>
        </w:rPr>
        <w:t>a, haliucinacijos;</w:t>
      </w:r>
    </w:p>
    <w:p w14:paraId="28E80786" w14:textId="77777777" w:rsidR="002F3324" w:rsidRPr="00534C57" w:rsidRDefault="002F3324" w:rsidP="002F3324">
      <w:pPr>
        <w:tabs>
          <w:tab w:val="left" w:pos="680"/>
        </w:tabs>
        <w:spacing w:after="0" w:line="240" w:lineRule="auto"/>
        <w:ind w:left="685" w:right="17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traukuliai, drebulys ar nekontroliuojami raumenų</w:t>
      </w:r>
      <w:r w:rsidRPr="00534C57">
        <w:rPr>
          <w:rFonts w:ascii="Times New Roman" w:eastAsia="Times New Roman" w:hAnsi="Times New Roman"/>
          <w:spacing w:val="-3"/>
        </w:rPr>
        <w:t xml:space="preserve"> </w:t>
      </w:r>
      <w:r w:rsidRPr="00534C57">
        <w:rPr>
          <w:rFonts w:ascii="Times New Roman" w:eastAsia="Times New Roman" w:hAnsi="Times New Roman"/>
        </w:rPr>
        <w:t xml:space="preserve">judesiai, </w:t>
      </w:r>
      <w:r w:rsidRPr="00534C57">
        <w:rPr>
          <w:rFonts w:ascii="Times New Roman" w:hAnsi="Times New Roman"/>
        </w:rPr>
        <w:t>dilgčiojimas</w:t>
      </w:r>
      <w:r w:rsidRPr="00534C57">
        <w:rPr>
          <w:rFonts w:ascii="Times New Roman" w:eastAsia="Times New Roman" w:hAnsi="Times New Roman"/>
        </w:rPr>
        <w:t xml:space="preserve"> ar</w:t>
      </w:r>
      <w:r w:rsidRPr="00534C57">
        <w:rPr>
          <w:rFonts w:ascii="Times New Roman" w:eastAsia="Times New Roman" w:hAnsi="Times New Roman"/>
          <w:spacing w:val="-1"/>
        </w:rPr>
        <w:t xml:space="preserve"> </w:t>
      </w:r>
      <w:r w:rsidRPr="00534C57">
        <w:rPr>
          <w:rFonts w:ascii="Times New Roman" w:eastAsia="Times New Roman" w:hAnsi="Times New Roman"/>
        </w:rPr>
        <w:t>nuo</w:t>
      </w:r>
      <w:r w:rsidRPr="00534C57">
        <w:rPr>
          <w:rFonts w:ascii="Times New Roman" w:eastAsia="Times New Roman" w:hAnsi="Times New Roman"/>
          <w:spacing w:val="-1"/>
        </w:rPr>
        <w:t xml:space="preserve"> </w:t>
      </w:r>
      <w:r w:rsidRPr="00534C57">
        <w:rPr>
          <w:rFonts w:ascii="Times New Roman" w:eastAsia="Times New Roman" w:hAnsi="Times New Roman"/>
        </w:rPr>
        <w:t>normos</w:t>
      </w:r>
      <w:r w:rsidRPr="00534C57">
        <w:rPr>
          <w:rFonts w:ascii="Times New Roman" w:eastAsia="Times New Roman" w:hAnsi="Times New Roman"/>
          <w:spacing w:val="-1"/>
        </w:rPr>
        <w:t xml:space="preserve"> </w:t>
      </w:r>
      <w:r w:rsidRPr="00534C57">
        <w:rPr>
          <w:rFonts w:ascii="Times New Roman" w:eastAsia="Times New Roman" w:hAnsi="Times New Roman"/>
        </w:rPr>
        <w:t>nukrypę odos pojūčiai, raumenų tonuso padidėjimas, mieguistumas,</w:t>
      </w:r>
      <w:r w:rsidRPr="00534C57">
        <w:rPr>
          <w:rFonts w:ascii="Times New Roman" w:eastAsia="Times New Roman" w:hAnsi="Times New Roman"/>
          <w:spacing w:val="-1"/>
        </w:rPr>
        <w:t xml:space="preserve"> </w:t>
      </w:r>
      <w:r w:rsidRPr="00534C57">
        <w:rPr>
          <w:rFonts w:ascii="Times New Roman" w:eastAsia="Times New Roman" w:hAnsi="Times New Roman"/>
        </w:rPr>
        <w:t xml:space="preserve">galvos </w:t>
      </w:r>
      <w:r w:rsidRPr="00534C57">
        <w:rPr>
          <w:rFonts w:ascii="Times New Roman" w:hAnsi="Times New Roman"/>
        </w:rPr>
        <w:t>svaigulys;</w:t>
      </w:r>
    </w:p>
    <w:p w14:paraId="68756942"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akių kraujavimas;</w:t>
      </w:r>
    </w:p>
    <w:p w14:paraId="7B53F10C"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širdies ritmo sutrikima</w:t>
      </w:r>
      <w:r w:rsidRPr="00534C57">
        <w:rPr>
          <w:rFonts w:ascii="Times New Roman" w:eastAsia="Times New Roman" w:hAnsi="Times New Roman"/>
          <w:spacing w:val="1"/>
        </w:rPr>
        <w:t>i</w:t>
      </w:r>
      <w:r w:rsidRPr="00534C57">
        <w:rPr>
          <w:rFonts w:ascii="Times New Roman" w:eastAsia="Times New Roman" w:hAnsi="Times New Roman"/>
        </w:rPr>
        <w:t>,</w:t>
      </w:r>
      <w:r w:rsidRPr="00534C57">
        <w:rPr>
          <w:rFonts w:ascii="Times New Roman" w:eastAsia="Times New Roman" w:hAnsi="Times New Roman"/>
          <w:spacing w:val="1"/>
        </w:rPr>
        <w:t xml:space="preserve"> </w:t>
      </w:r>
      <w:r w:rsidRPr="00534C57">
        <w:rPr>
          <w:rFonts w:ascii="Times New Roman" w:eastAsia="Times New Roman" w:hAnsi="Times New Roman"/>
        </w:rPr>
        <w:t>įs</w:t>
      </w:r>
      <w:r w:rsidRPr="00534C57">
        <w:rPr>
          <w:rFonts w:ascii="Times New Roman" w:eastAsia="Times New Roman" w:hAnsi="Times New Roman"/>
          <w:spacing w:val="-5"/>
        </w:rPr>
        <w:t>k</w:t>
      </w:r>
      <w:r w:rsidRPr="00534C57">
        <w:rPr>
          <w:rFonts w:ascii="Times New Roman" w:eastAsia="Times New Roman" w:hAnsi="Times New Roman"/>
        </w:rPr>
        <w:t>aitant labai greitą širdies plakimą, labai lėtą širdies plakimą, alpim</w:t>
      </w:r>
      <w:r w:rsidRPr="00534C57">
        <w:rPr>
          <w:rFonts w:ascii="Times New Roman" w:eastAsia="Times New Roman" w:hAnsi="Times New Roman"/>
          <w:spacing w:val="-1"/>
        </w:rPr>
        <w:t>ą</w:t>
      </w:r>
      <w:r w:rsidRPr="00534C57">
        <w:rPr>
          <w:rFonts w:ascii="Times New Roman" w:eastAsia="Times New Roman" w:hAnsi="Times New Roman"/>
        </w:rPr>
        <w:t>;</w:t>
      </w:r>
    </w:p>
    <w:p w14:paraId="5E536506" w14:textId="77777777" w:rsidR="002F3324" w:rsidRPr="00534C57" w:rsidRDefault="002F3324" w:rsidP="00951727">
      <w:pPr>
        <w:tabs>
          <w:tab w:val="left" w:pos="680"/>
        </w:tabs>
        <w:spacing w:after="0" w:line="240" w:lineRule="auto"/>
        <w:ind w:left="673" w:right="-20" w:hanging="555"/>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kraujospūdžio sumažėjimas, venų uždegimas (kuris gali būti susijęs su krešulių susiformavimu);</w:t>
      </w:r>
    </w:p>
    <w:p w14:paraId="40578733" w14:textId="77777777" w:rsidR="002F3324" w:rsidRPr="00534C57" w:rsidRDefault="002F3324" w:rsidP="002F3324">
      <w:pPr>
        <w:tabs>
          <w:tab w:val="left" w:pos="680"/>
        </w:tabs>
        <w:spacing w:after="0" w:line="240" w:lineRule="auto"/>
        <w:ind w:left="685" w:right="107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000022AC" w:rsidRPr="00534C57">
        <w:rPr>
          <w:rFonts w:ascii="Times New Roman" w:eastAsia="Times New Roman" w:hAnsi="Times New Roman"/>
        </w:rPr>
        <w:t xml:space="preserve">ūmus </w:t>
      </w:r>
      <w:r w:rsidRPr="00534C57">
        <w:rPr>
          <w:rFonts w:ascii="Times New Roman" w:hAnsi="Times New Roman"/>
        </w:rPr>
        <w:t xml:space="preserve">kvėpavimo pasunkėjimas, krūtinės skausmas, </w:t>
      </w:r>
      <w:r w:rsidRPr="00534C57">
        <w:rPr>
          <w:rFonts w:ascii="Times New Roman" w:eastAsia="Times New Roman" w:hAnsi="Times New Roman"/>
        </w:rPr>
        <w:t xml:space="preserve">veido </w:t>
      </w:r>
      <w:r w:rsidR="000022AC" w:rsidRPr="00534C57">
        <w:rPr>
          <w:rFonts w:ascii="Times New Roman" w:eastAsia="Times New Roman" w:hAnsi="Times New Roman"/>
        </w:rPr>
        <w:t>(burnos, lūpų ir apie akis)</w:t>
      </w:r>
      <w:r w:rsidR="000022AC" w:rsidRPr="00BE562B">
        <w:rPr>
          <w:rFonts w:ascii="Times New Roman" w:hAnsi="Times New Roman"/>
          <w:spacing w:val="1"/>
        </w:rPr>
        <w:t xml:space="preserve"> </w:t>
      </w:r>
      <w:r w:rsidRPr="00534C57">
        <w:rPr>
          <w:rFonts w:ascii="Times New Roman" w:eastAsia="Times New Roman" w:hAnsi="Times New Roman"/>
        </w:rPr>
        <w:t>patinimas,</w:t>
      </w:r>
      <w:r w:rsidRPr="00534C57">
        <w:rPr>
          <w:rFonts w:ascii="Times New Roman" w:eastAsia="Times New Roman" w:hAnsi="Times New Roman"/>
          <w:spacing w:val="-1"/>
        </w:rPr>
        <w:t xml:space="preserve"> </w:t>
      </w:r>
      <w:r w:rsidRPr="00534C57">
        <w:rPr>
          <w:rFonts w:ascii="Times New Roman" w:hAnsi="Times New Roman"/>
        </w:rPr>
        <w:t>skysčių s</w:t>
      </w:r>
      <w:r w:rsidRPr="00534C57">
        <w:rPr>
          <w:rFonts w:ascii="Times New Roman" w:hAnsi="Times New Roman"/>
          <w:spacing w:val="-2"/>
        </w:rPr>
        <w:t>u</w:t>
      </w:r>
      <w:r w:rsidRPr="00534C57">
        <w:rPr>
          <w:rFonts w:ascii="Times New Roman" w:hAnsi="Times New Roman"/>
        </w:rPr>
        <w:t>sikaupimas plaučiuose;</w:t>
      </w:r>
    </w:p>
    <w:p w14:paraId="78EA7834"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vidurių užkietėjimas, virškinimo problemos, lūpų uždegimas;</w:t>
      </w:r>
    </w:p>
    <w:p w14:paraId="56126A6F" w14:textId="77777777" w:rsidR="002F3324" w:rsidRPr="00534C57" w:rsidRDefault="002F3324" w:rsidP="002F3324">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gelta, </w:t>
      </w:r>
      <w:r w:rsidRPr="00534C57">
        <w:rPr>
          <w:rFonts w:ascii="Times New Roman" w:eastAsia="Times New Roman" w:hAnsi="Times New Roman"/>
          <w:spacing w:val="-1"/>
        </w:rPr>
        <w:t>kepen</w:t>
      </w:r>
      <w:r w:rsidRPr="00534C57">
        <w:rPr>
          <w:rFonts w:ascii="Times New Roman" w:eastAsia="Times New Roman" w:hAnsi="Times New Roman"/>
        </w:rPr>
        <w:t>ų</w:t>
      </w:r>
      <w:r w:rsidRPr="00534C57">
        <w:rPr>
          <w:rFonts w:ascii="Times New Roman" w:eastAsia="Times New Roman" w:hAnsi="Times New Roman"/>
          <w:spacing w:val="-1"/>
        </w:rPr>
        <w:t xml:space="preserve"> uždegimas</w:t>
      </w:r>
      <w:r w:rsidR="000022AC" w:rsidRPr="00534C57">
        <w:rPr>
          <w:rFonts w:ascii="Times New Roman" w:eastAsia="Times New Roman" w:hAnsi="Times New Roman"/>
        </w:rPr>
        <w:t xml:space="preserve"> ir kepenų pažeidimas</w:t>
      </w:r>
      <w:r w:rsidRPr="00534C57">
        <w:rPr>
          <w:rFonts w:ascii="Times New Roman" w:hAnsi="Times New Roman"/>
        </w:rPr>
        <w:t>;</w:t>
      </w:r>
    </w:p>
    <w:p w14:paraId="1B8A14CB" w14:textId="77777777" w:rsidR="002F3324" w:rsidRPr="00534C57" w:rsidRDefault="002F3324" w:rsidP="002F3324">
      <w:pPr>
        <w:tabs>
          <w:tab w:val="left" w:pos="680"/>
        </w:tabs>
        <w:spacing w:after="0" w:line="240" w:lineRule="auto"/>
        <w:ind w:left="685" w:right="92"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odos </w:t>
      </w:r>
      <w:r w:rsidRPr="00534C57">
        <w:rPr>
          <w:rFonts w:ascii="Times New Roman" w:eastAsia="Times New Roman" w:hAnsi="Times New Roman"/>
          <w:spacing w:val="-1"/>
        </w:rPr>
        <w:t>i</w:t>
      </w:r>
      <w:r w:rsidRPr="00534C57">
        <w:rPr>
          <w:rFonts w:ascii="Times New Roman" w:eastAsia="Times New Roman" w:hAnsi="Times New Roman"/>
        </w:rPr>
        <w:t xml:space="preserve">šbėrimai, kurie </w:t>
      </w:r>
      <w:r w:rsidRPr="00534C57">
        <w:rPr>
          <w:rFonts w:ascii="Times New Roman" w:hAnsi="Times New Roman"/>
        </w:rPr>
        <w:t xml:space="preserve">kartais </w:t>
      </w:r>
      <w:r w:rsidRPr="00534C57">
        <w:rPr>
          <w:rFonts w:ascii="Times New Roman" w:eastAsia="Times New Roman" w:hAnsi="Times New Roman"/>
        </w:rPr>
        <w:t>gali</w:t>
      </w:r>
      <w:r w:rsidRPr="00534C57">
        <w:rPr>
          <w:rFonts w:ascii="Times New Roman" w:eastAsia="Times New Roman" w:hAnsi="Times New Roman"/>
          <w:spacing w:val="-1"/>
        </w:rPr>
        <w:t xml:space="preserve"> </w:t>
      </w:r>
      <w:r w:rsidRPr="00534C57">
        <w:rPr>
          <w:rFonts w:ascii="Times New Roman" w:eastAsia="Times New Roman" w:hAnsi="Times New Roman"/>
        </w:rPr>
        <w:t>lemti</w:t>
      </w:r>
      <w:r w:rsidRPr="00534C57">
        <w:rPr>
          <w:rFonts w:ascii="Times New Roman" w:eastAsia="Times New Roman" w:hAnsi="Times New Roman"/>
          <w:spacing w:val="1"/>
        </w:rPr>
        <w:t xml:space="preserve"> </w:t>
      </w:r>
      <w:r w:rsidRPr="00534C57">
        <w:rPr>
          <w:rFonts w:ascii="Times New Roman" w:hAnsi="Times New Roman"/>
        </w:rPr>
        <w:t>plačiai išplitusį pūslinį</w:t>
      </w:r>
      <w:r w:rsidRPr="00534C57">
        <w:rPr>
          <w:rFonts w:ascii="Times New Roman" w:hAnsi="Times New Roman"/>
          <w:spacing w:val="-2"/>
        </w:rPr>
        <w:t xml:space="preserve"> </w:t>
      </w:r>
      <w:r w:rsidRPr="00534C57">
        <w:rPr>
          <w:rFonts w:ascii="Times New Roman" w:hAnsi="Times New Roman"/>
        </w:rPr>
        <w:t>išbėrimą</w:t>
      </w:r>
      <w:r w:rsidRPr="00534C57">
        <w:rPr>
          <w:rFonts w:ascii="Times New Roman" w:hAnsi="Times New Roman"/>
          <w:spacing w:val="-1"/>
        </w:rPr>
        <w:t xml:space="preserve"> </w:t>
      </w:r>
      <w:r w:rsidRPr="00534C57">
        <w:rPr>
          <w:rFonts w:ascii="Times New Roman" w:hAnsi="Times New Roman"/>
        </w:rPr>
        <w:t>ir</w:t>
      </w:r>
      <w:r w:rsidRPr="00534C57">
        <w:rPr>
          <w:rFonts w:ascii="Times New Roman" w:hAnsi="Times New Roman"/>
          <w:spacing w:val="-1"/>
        </w:rPr>
        <w:t xml:space="preserve"> </w:t>
      </w:r>
      <w:r w:rsidRPr="00534C57">
        <w:rPr>
          <w:rFonts w:ascii="Times New Roman" w:hAnsi="Times New Roman"/>
        </w:rPr>
        <w:t>odos</w:t>
      </w:r>
      <w:r w:rsidRPr="00534C57">
        <w:rPr>
          <w:rFonts w:ascii="Times New Roman" w:hAnsi="Times New Roman"/>
          <w:spacing w:val="-1"/>
        </w:rPr>
        <w:t xml:space="preserve"> </w:t>
      </w:r>
      <w:r w:rsidRPr="00534C57">
        <w:rPr>
          <w:rFonts w:ascii="Times New Roman" w:hAnsi="Times New Roman"/>
        </w:rPr>
        <w:t>lupimąs</w:t>
      </w:r>
      <w:r w:rsidRPr="00534C57">
        <w:rPr>
          <w:rFonts w:ascii="Times New Roman" w:hAnsi="Times New Roman"/>
          <w:spacing w:val="1"/>
        </w:rPr>
        <w:t>i</w:t>
      </w:r>
      <w:r w:rsidRPr="00534C57">
        <w:rPr>
          <w:rFonts w:ascii="Times New Roman" w:hAnsi="Times New Roman"/>
        </w:rPr>
        <w:t>,</w:t>
      </w:r>
      <w:r w:rsidRPr="00534C57">
        <w:rPr>
          <w:rFonts w:ascii="Times New Roman" w:hAnsi="Times New Roman"/>
          <w:spacing w:val="-1"/>
        </w:rPr>
        <w:t xml:space="preserve"> </w:t>
      </w:r>
      <w:r w:rsidRPr="00534C57">
        <w:rPr>
          <w:rFonts w:ascii="Times New Roman" w:eastAsia="Times New Roman" w:hAnsi="Times New Roman"/>
        </w:rPr>
        <w:t>kuriam būdingas plokščias, paraudęs odos plotas, padengtas mažais susijungiančiais guzeliai</w:t>
      </w:r>
      <w:r w:rsidRPr="00534C57">
        <w:rPr>
          <w:rFonts w:ascii="Times New Roman" w:eastAsia="Times New Roman" w:hAnsi="Times New Roman"/>
          <w:spacing w:val="-1"/>
        </w:rPr>
        <w:t>s</w:t>
      </w:r>
      <w:r w:rsidR="000022AC" w:rsidRPr="00534C57">
        <w:rPr>
          <w:rFonts w:ascii="Times New Roman" w:eastAsia="Times New Roman" w:hAnsi="Times New Roman"/>
          <w:spacing w:val="-1"/>
        </w:rPr>
        <w:t>, odos paraudimas</w:t>
      </w:r>
      <w:r w:rsidRPr="00534C57">
        <w:rPr>
          <w:rFonts w:ascii="Times New Roman" w:hAnsi="Times New Roman"/>
        </w:rPr>
        <w:t>;</w:t>
      </w:r>
    </w:p>
    <w:p w14:paraId="1B4C7BE0"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niežulys;</w:t>
      </w:r>
    </w:p>
    <w:p w14:paraId="603908D4" w14:textId="77777777" w:rsidR="002F3324" w:rsidRPr="00534C57" w:rsidRDefault="002F3324" w:rsidP="002F3324">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plaukų slinkimas;</w:t>
      </w:r>
    </w:p>
    <w:p w14:paraId="07149FA9" w14:textId="77777777" w:rsidR="002F3324" w:rsidRPr="00534C57" w:rsidRDefault="002F3324" w:rsidP="002F3324">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nugaros skausmas;</w:t>
      </w:r>
    </w:p>
    <w:p w14:paraId="3D3DC66D" w14:textId="46897D4E" w:rsidR="002F3324" w:rsidRDefault="002F3324" w:rsidP="002F3324">
      <w:pPr>
        <w:tabs>
          <w:tab w:val="left" w:pos="680"/>
        </w:tabs>
        <w:spacing w:after="0" w:line="240" w:lineRule="auto"/>
        <w:ind w:left="685" w:right="394"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inkstų </w:t>
      </w:r>
      <w:r w:rsidRPr="00534C57">
        <w:rPr>
          <w:rFonts w:ascii="Times New Roman" w:eastAsia="Times New Roman" w:hAnsi="Times New Roman"/>
        </w:rPr>
        <w:t xml:space="preserve">funkcijos </w:t>
      </w:r>
      <w:r w:rsidRPr="00534C57">
        <w:rPr>
          <w:rFonts w:ascii="Times New Roman" w:hAnsi="Times New Roman"/>
        </w:rPr>
        <w:t>nepakankamumas, kraujas šlapime, inkstų funkcijos rodmenų pokyčia</w:t>
      </w:r>
      <w:r w:rsidRPr="00534C57">
        <w:rPr>
          <w:rFonts w:ascii="Times New Roman" w:hAnsi="Times New Roman"/>
          <w:spacing w:val="1"/>
        </w:rPr>
        <w:t>i</w:t>
      </w:r>
      <w:r w:rsidR="007C3F1A">
        <w:rPr>
          <w:rFonts w:ascii="Times New Roman" w:hAnsi="Times New Roman"/>
        </w:rPr>
        <w:t>;</w:t>
      </w:r>
    </w:p>
    <w:p w14:paraId="683D5A82" w14:textId="77777777" w:rsidR="007C3F1A" w:rsidRDefault="007C3F1A" w:rsidP="007C3F1A">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Pr>
          <w:rFonts w:ascii="Times New Roman" w:hAnsi="Times New Roman"/>
          <w:color w:val="000000"/>
        </w:rPr>
        <w:t>n</w:t>
      </w:r>
      <w:r w:rsidRPr="007C3F1A">
        <w:rPr>
          <w:rFonts w:ascii="Times New Roman" w:hAnsi="Times New Roman"/>
          <w:color w:val="000000"/>
        </w:rPr>
        <w:t>udegimas saulėje arba sunki odos reakcija po šviesos ar saulės poveikio</w:t>
      </w:r>
      <w:r>
        <w:rPr>
          <w:rFonts w:ascii="Times New Roman" w:hAnsi="Times New Roman"/>
          <w:color w:val="000000"/>
        </w:rPr>
        <w:t>;</w:t>
      </w:r>
    </w:p>
    <w:p w14:paraId="14C62364" w14:textId="77777777" w:rsidR="007C3F1A" w:rsidRPr="00534C57" w:rsidRDefault="007C3F1A" w:rsidP="007C3F1A">
      <w:pPr>
        <w:numPr>
          <w:ilvl w:val="0"/>
          <w:numId w:val="24"/>
        </w:numPr>
        <w:autoSpaceDE w:val="0"/>
        <w:autoSpaceDN w:val="0"/>
        <w:adjustRightInd w:val="0"/>
        <w:spacing w:after="0" w:line="240" w:lineRule="auto"/>
        <w:ind w:left="567" w:hanging="567"/>
        <w:contextualSpacing/>
        <w:rPr>
          <w:rFonts w:ascii="Times New Roman" w:hAnsi="Times New Roman"/>
          <w:color w:val="000000"/>
        </w:rPr>
      </w:pPr>
      <w:r w:rsidRPr="00534C57">
        <w:rPr>
          <w:rFonts w:ascii="Times New Roman" w:eastAsia="Times New Roman" w:hAnsi="Times New Roman"/>
          <w:spacing w:val="-1"/>
        </w:rPr>
        <w:t>odo</w:t>
      </w:r>
      <w:r w:rsidRPr="00534C57">
        <w:rPr>
          <w:rFonts w:ascii="Times New Roman" w:eastAsia="Times New Roman" w:hAnsi="Times New Roman"/>
        </w:rPr>
        <w:t>s</w:t>
      </w:r>
      <w:r w:rsidRPr="00534C57">
        <w:rPr>
          <w:rFonts w:ascii="Times New Roman" w:eastAsia="Times New Roman" w:hAnsi="Times New Roman"/>
          <w:spacing w:val="-1"/>
        </w:rPr>
        <w:t xml:space="preserve"> vėžys</w:t>
      </w:r>
      <w:r>
        <w:rPr>
          <w:rFonts w:ascii="Times New Roman" w:eastAsia="Times New Roman" w:hAnsi="Times New Roman"/>
          <w:spacing w:val="-1"/>
        </w:rPr>
        <w:t>.</w:t>
      </w:r>
    </w:p>
    <w:p w14:paraId="05F207A3" w14:textId="77777777" w:rsidR="002F3324" w:rsidRPr="00534C57" w:rsidRDefault="002F3324" w:rsidP="002F3324">
      <w:pPr>
        <w:spacing w:after="0" w:line="240" w:lineRule="auto"/>
        <w:rPr>
          <w:rFonts w:ascii="Times New Roman" w:hAnsi="Times New Roman"/>
        </w:rPr>
      </w:pPr>
    </w:p>
    <w:p w14:paraId="311BA8FF" w14:textId="77777777" w:rsidR="002F3324" w:rsidRPr="0059379B" w:rsidRDefault="002F3324" w:rsidP="002F3324">
      <w:pPr>
        <w:spacing w:after="0" w:line="240" w:lineRule="auto"/>
        <w:ind w:left="118" w:right="-20"/>
        <w:rPr>
          <w:rFonts w:ascii="Times New Roman" w:hAnsi="Times New Roman"/>
          <w:b/>
        </w:rPr>
      </w:pPr>
      <w:r w:rsidRPr="0059379B">
        <w:rPr>
          <w:rFonts w:ascii="Times New Roman" w:hAnsi="Times New Roman"/>
          <w:b/>
        </w:rPr>
        <w:t>Nedažn</w:t>
      </w:r>
      <w:r w:rsidR="0059379B" w:rsidRPr="0059379B">
        <w:rPr>
          <w:rFonts w:ascii="Times New Roman" w:hAnsi="Times New Roman"/>
          <w:b/>
        </w:rPr>
        <w:t>i šalutinio poveikio reiškiniai (</w:t>
      </w:r>
      <w:r w:rsidRPr="0059379B">
        <w:rPr>
          <w:rFonts w:ascii="Times New Roman" w:hAnsi="Times New Roman"/>
          <w:b/>
        </w:rPr>
        <w:t xml:space="preserve">gali pasireikšti </w:t>
      </w:r>
      <w:r w:rsidR="009C7236" w:rsidRPr="0059379B">
        <w:rPr>
          <w:rFonts w:ascii="Times New Roman" w:hAnsi="Times New Roman"/>
          <w:b/>
        </w:rPr>
        <w:t>rečiau</w:t>
      </w:r>
      <w:r w:rsidRPr="0059379B">
        <w:rPr>
          <w:rFonts w:ascii="Times New Roman" w:hAnsi="Times New Roman"/>
          <w:b/>
        </w:rPr>
        <w:t xml:space="preserve"> kaip 1 iš 100</w:t>
      </w:r>
      <w:r w:rsidRPr="0059379B">
        <w:rPr>
          <w:rFonts w:ascii="Times New Roman" w:hAnsi="Times New Roman"/>
          <w:b/>
          <w:spacing w:val="-1"/>
        </w:rPr>
        <w:t xml:space="preserve"> </w:t>
      </w:r>
      <w:r w:rsidR="0059379B" w:rsidRPr="0059379B">
        <w:rPr>
          <w:rFonts w:ascii="Times New Roman" w:hAnsi="Times New Roman"/>
          <w:b/>
          <w:spacing w:val="-1"/>
        </w:rPr>
        <w:t>asmen</w:t>
      </w:r>
      <w:r w:rsidRPr="0059379B">
        <w:rPr>
          <w:rFonts w:ascii="Times New Roman" w:hAnsi="Times New Roman"/>
          <w:b/>
          <w:spacing w:val="-1"/>
        </w:rPr>
        <w:t>ų</w:t>
      </w:r>
      <w:r w:rsidR="0059379B" w:rsidRPr="0059379B">
        <w:rPr>
          <w:rFonts w:ascii="Times New Roman" w:hAnsi="Times New Roman"/>
          <w:b/>
          <w:spacing w:val="-1"/>
        </w:rPr>
        <w:t>)</w:t>
      </w:r>
      <w:r w:rsidRPr="0059379B">
        <w:rPr>
          <w:rFonts w:ascii="Times New Roman" w:hAnsi="Times New Roman"/>
          <w:b/>
          <w:spacing w:val="-1"/>
        </w:rPr>
        <w:t>:</w:t>
      </w:r>
    </w:p>
    <w:p w14:paraId="0D2EFBA2" w14:textId="77777777" w:rsidR="002F3324" w:rsidRPr="00534C57" w:rsidRDefault="002F3324" w:rsidP="00C30BC0">
      <w:pPr>
        <w:tabs>
          <w:tab w:val="left" w:pos="680"/>
        </w:tabs>
        <w:spacing w:after="0" w:line="240" w:lineRule="auto"/>
        <w:ind w:left="685" w:right="708"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000022AC" w:rsidRPr="00534C57">
        <w:rPr>
          <w:rFonts w:ascii="Times New Roman" w:eastAsia="Times New Roman" w:hAnsi="Times New Roman"/>
        </w:rPr>
        <w:t xml:space="preserve">į gripą panašūs simptomai, </w:t>
      </w:r>
      <w:r w:rsidR="000022AC" w:rsidRPr="00534C57">
        <w:rPr>
          <w:rFonts w:ascii="Times New Roman" w:hAnsi="Times New Roman"/>
        </w:rPr>
        <w:t>virškin</w:t>
      </w:r>
      <w:r w:rsidR="009C7236">
        <w:rPr>
          <w:rFonts w:ascii="Times New Roman" w:hAnsi="Times New Roman"/>
        </w:rPr>
        <w:t>imo</w:t>
      </w:r>
      <w:r w:rsidR="000022AC" w:rsidRPr="00534C57">
        <w:rPr>
          <w:rFonts w:ascii="Times New Roman" w:hAnsi="Times New Roman"/>
        </w:rPr>
        <w:t xml:space="preserve"> trakto</w:t>
      </w:r>
      <w:r w:rsidR="000022AC" w:rsidRPr="00534C57">
        <w:rPr>
          <w:rFonts w:ascii="Times New Roman" w:eastAsia="Times New Roman" w:hAnsi="Times New Roman"/>
        </w:rPr>
        <w:t xml:space="preserve"> sudirg</w:t>
      </w:r>
      <w:r w:rsidR="000022AC" w:rsidRPr="00534C57">
        <w:rPr>
          <w:rFonts w:ascii="Times New Roman" w:eastAsia="Times New Roman" w:hAnsi="Times New Roman"/>
          <w:spacing w:val="-2"/>
        </w:rPr>
        <w:t>i</w:t>
      </w:r>
      <w:r w:rsidR="000022AC" w:rsidRPr="00534C57">
        <w:rPr>
          <w:rFonts w:ascii="Times New Roman" w:eastAsia="Times New Roman" w:hAnsi="Times New Roman"/>
        </w:rPr>
        <w:t>nimas ir</w:t>
      </w:r>
      <w:r w:rsidR="000022AC" w:rsidRPr="00534C57">
        <w:rPr>
          <w:rFonts w:ascii="Times New Roman" w:hAnsi="Times New Roman"/>
        </w:rPr>
        <w:t xml:space="preserve"> uždegimas</w:t>
      </w:r>
      <w:r w:rsidRPr="00534C57">
        <w:rPr>
          <w:rFonts w:ascii="Times New Roman" w:eastAsia="Times New Roman" w:hAnsi="Times New Roman"/>
        </w:rPr>
        <w:t>, sukeliantis su antibiotikų vartojimu susijusį viduriavimą, limfagyslių uždegimą;</w:t>
      </w:r>
    </w:p>
    <w:p w14:paraId="5E7823C8" w14:textId="77777777" w:rsidR="002F3324" w:rsidRPr="00534C57" w:rsidRDefault="002F3324" w:rsidP="00C30BC0">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plono audinio, dengiančio pilvo vidinę sienelę ir pilvo organus, uždegimas;</w:t>
      </w:r>
    </w:p>
    <w:p w14:paraId="420196C2" w14:textId="77777777" w:rsidR="002F3324" w:rsidRPr="00534C57" w:rsidRDefault="002F3324" w:rsidP="00C30BC0">
      <w:pPr>
        <w:tabs>
          <w:tab w:val="left" w:pos="680"/>
        </w:tabs>
        <w:spacing w:after="0" w:line="240" w:lineRule="auto"/>
        <w:ind w:left="685" w:right="100" w:hanging="566"/>
        <w:rPr>
          <w:rFonts w:ascii="Times New Roman" w:eastAsia="Times New Roman" w:hAnsi="Times New Roman"/>
        </w:rPr>
      </w:pPr>
      <w:r w:rsidRPr="00534C57">
        <w:rPr>
          <w:rFonts w:ascii="Times New Roman" w:eastAsia="Times New Roman" w:hAnsi="Times New Roman"/>
        </w:rPr>
        <w:lastRenderedPageBreak/>
        <w:t>-</w:t>
      </w:r>
      <w:r w:rsidRPr="00534C57">
        <w:rPr>
          <w:rFonts w:ascii="Times New Roman" w:eastAsia="Times New Roman" w:hAnsi="Times New Roman"/>
        </w:rPr>
        <w:tab/>
      </w:r>
      <w:r w:rsidRPr="00534C57">
        <w:rPr>
          <w:rFonts w:ascii="Times New Roman" w:hAnsi="Times New Roman"/>
        </w:rPr>
        <w:t>limfmazgių padidėjimas (kartais skausmingas</w:t>
      </w:r>
      <w:r w:rsidRPr="00534C57">
        <w:rPr>
          <w:rFonts w:ascii="Times New Roman" w:eastAsia="Times New Roman" w:hAnsi="Times New Roman"/>
          <w:spacing w:val="1"/>
        </w:rPr>
        <w:t>)</w:t>
      </w:r>
      <w:r w:rsidRPr="00534C57">
        <w:rPr>
          <w:rFonts w:ascii="Times New Roman" w:eastAsia="Times New Roman" w:hAnsi="Times New Roman"/>
        </w:rPr>
        <w:t xml:space="preserve">, kaulų čiulpų nepakankamumas, padidėjęs eozinofilų </w:t>
      </w:r>
      <w:r w:rsidR="000022AC" w:rsidRPr="00534C57">
        <w:rPr>
          <w:rFonts w:ascii="Times New Roman" w:eastAsia="Times New Roman" w:hAnsi="Times New Roman"/>
        </w:rPr>
        <w:t>kiekis</w:t>
      </w:r>
      <w:r w:rsidRPr="00534C57">
        <w:rPr>
          <w:rFonts w:ascii="Times New Roman" w:eastAsia="Times New Roman" w:hAnsi="Times New Roman"/>
        </w:rPr>
        <w:t>;</w:t>
      </w:r>
    </w:p>
    <w:p w14:paraId="520167EB" w14:textId="77777777" w:rsidR="002F3324" w:rsidRPr="00534C57" w:rsidRDefault="002F3324" w:rsidP="00C30BC0">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antinksčių funkcijos susilpnėjimas</w:t>
      </w:r>
      <w:r w:rsidRPr="00534C57">
        <w:rPr>
          <w:rFonts w:ascii="Times New Roman" w:eastAsia="Times New Roman" w:hAnsi="Times New Roman"/>
        </w:rPr>
        <w:t>, per mažai aktyvi skydliaukė</w:t>
      </w:r>
      <w:r w:rsidRPr="00534C57">
        <w:rPr>
          <w:rFonts w:ascii="Times New Roman" w:hAnsi="Times New Roman"/>
        </w:rPr>
        <w:t>;</w:t>
      </w:r>
    </w:p>
    <w:p w14:paraId="1AFC7B3D" w14:textId="77777777" w:rsidR="002F3324" w:rsidRPr="00534C57" w:rsidRDefault="002F3324" w:rsidP="00C30BC0">
      <w:pPr>
        <w:tabs>
          <w:tab w:val="left" w:pos="680"/>
        </w:tabs>
        <w:spacing w:after="0" w:line="240" w:lineRule="auto"/>
        <w:ind w:left="685" w:right="917"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nenormali smegenų funkcija, panašūs į Parkinsono ligos simptomai, nervų pažeidimai, lemiantys rankų ar kojų ti</w:t>
      </w:r>
      <w:r w:rsidRPr="00534C57">
        <w:rPr>
          <w:rFonts w:ascii="Times New Roman" w:eastAsia="Times New Roman" w:hAnsi="Times New Roman"/>
          <w:spacing w:val="-2"/>
        </w:rPr>
        <w:t>r</w:t>
      </w:r>
      <w:r w:rsidRPr="00534C57">
        <w:rPr>
          <w:rFonts w:ascii="Times New Roman" w:eastAsia="Times New Roman" w:hAnsi="Times New Roman"/>
        </w:rPr>
        <w:t>pimą,</w:t>
      </w:r>
      <w:r w:rsidRPr="00534C57">
        <w:rPr>
          <w:rFonts w:ascii="Times New Roman" w:eastAsia="Times New Roman" w:hAnsi="Times New Roman"/>
          <w:spacing w:val="-1"/>
        </w:rPr>
        <w:t xml:space="preserve"> </w:t>
      </w:r>
      <w:r w:rsidRPr="00534C57">
        <w:rPr>
          <w:rFonts w:ascii="Times New Roman" w:eastAsia="Times New Roman" w:hAnsi="Times New Roman"/>
        </w:rPr>
        <w:t>skausmą,</w:t>
      </w:r>
      <w:r w:rsidRPr="00534C57">
        <w:rPr>
          <w:rFonts w:ascii="Times New Roman" w:eastAsia="Times New Roman" w:hAnsi="Times New Roman"/>
          <w:spacing w:val="-1"/>
        </w:rPr>
        <w:t xml:space="preserve"> </w:t>
      </w:r>
      <w:r w:rsidRPr="00534C57">
        <w:rPr>
          <w:rFonts w:ascii="Times New Roman" w:eastAsia="Times New Roman" w:hAnsi="Times New Roman"/>
        </w:rPr>
        <w:t>dilgčiojimą</w:t>
      </w:r>
      <w:r w:rsidRPr="00534C57">
        <w:rPr>
          <w:rFonts w:ascii="Times New Roman" w:eastAsia="Times New Roman" w:hAnsi="Times New Roman"/>
          <w:spacing w:val="-1"/>
        </w:rPr>
        <w:t xml:space="preserve"> </w:t>
      </w:r>
      <w:r w:rsidRPr="00534C57">
        <w:rPr>
          <w:rFonts w:ascii="Times New Roman" w:eastAsia="Times New Roman" w:hAnsi="Times New Roman"/>
        </w:rPr>
        <w:t>ar</w:t>
      </w:r>
      <w:r w:rsidRPr="00534C57">
        <w:rPr>
          <w:rFonts w:ascii="Times New Roman" w:eastAsia="Times New Roman" w:hAnsi="Times New Roman"/>
          <w:spacing w:val="-1"/>
        </w:rPr>
        <w:t xml:space="preserve"> </w:t>
      </w:r>
      <w:r w:rsidRPr="00534C57">
        <w:rPr>
          <w:rFonts w:ascii="Times New Roman" w:eastAsia="Times New Roman" w:hAnsi="Times New Roman"/>
        </w:rPr>
        <w:t>deginimą;</w:t>
      </w:r>
    </w:p>
    <w:p w14:paraId="631096F8" w14:textId="77777777" w:rsidR="002F3324" w:rsidRPr="00534C57" w:rsidRDefault="002F3324" w:rsidP="00C30BC0">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pusiausvyros ar </w:t>
      </w:r>
      <w:r w:rsidRPr="00534C57">
        <w:rPr>
          <w:rFonts w:ascii="Times New Roman" w:hAnsi="Times New Roman"/>
          <w:spacing w:val="-1"/>
        </w:rPr>
        <w:t>koordinacijo</w:t>
      </w:r>
      <w:r w:rsidRPr="00534C57">
        <w:rPr>
          <w:rFonts w:ascii="Times New Roman" w:hAnsi="Times New Roman"/>
        </w:rPr>
        <w:t>s</w:t>
      </w:r>
      <w:r w:rsidRPr="00534C57">
        <w:rPr>
          <w:rFonts w:ascii="Times New Roman" w:hAnsi="Times New Roman"/>
          <w:spacing w:val="-1"/>
        </w:rPr>
        <w:t xml:space="preserve"> </w:t>
      </w:r>
      <w:r w:rsidRPr="00534C57">
        <w:rPr>
          <w:rFonts w:ascii="Times New Roman" w:eastAsia="Times New Roman" w:hAnsi="Times New Roman"/>
          <w:spacing w:val="-1"/>
        </w:rPr>
        <w:t>sutrikima</w:t>
      </w:r>
      <w:r w:rsidRPr="00534C57">
        <w:rPr>
          <w:rFonts w:ascii="Times New Roman" w:eastAsia="Times New Roman" w:hAnsi="Times New Roman"/>
          <w:spacing w:val="1"/>
        </w:rPr>
        <w:t>i</w:t>
      </w:r>
      <w:r w:rsidRPr="00534C57">
        <w:rPr>
          <w:rFonts w:ascii="Times New Roman" w:hAnsi="Times New Roman"/>
        </w:rPr>
        <w:t>;</w:t>
      </w:r>
    </w:p>
    <w:p w14:paraId="0E7C90B2" w14:textId="77777777" w:rsidR="002F3324" w:rsidRPr="00534C57" w:rsidRDefault="002F3324" w:rsidP="00C30BC0">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smegenų pabrinkimas;</w:t>
      </w:r>
    </w:p>
    <w:p w14:paraId="5BC7C604" w14:textId="77777777" w:rsidR="002F3324" w:rsidRPr="00534C57" w:rsidRDefault="002F3324" w:rsidP="00C30BC0">
      <w:pPr>
        <w:tabs>
          <w:tab w:val="left" w:pos="680"/>
        </w:tabs>
        <w:spacing w:after="0" w:line="240" w:lineRule="auto"/>
        <w:ind w:left="685" w:right="52"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dvejinimasis akyse, </w:t>
      </w:r>
      <w:r w:rsidRPr="00534C57">
        <w:rPr>
          <w:rFonts w:ascii="Times New Roman" w:eastAsia="Times New Roman" w:hAnsi="Times New Roman"/>
        </w:rPr>
        <w:t>sunkios akių būklės, įskaitant:</w:t>
      </w:r>
      <w:r w:rsidRPr="00534C57">
        <w:rPr>
          <w:rFonts w:ascii="Times New Roman" w:eastAsia="Times New Roman" w:hAnsi="Times New Roman"/>
          <w:spacing w:val="-1"/>
        </w:rPr>
        <w:t xml:space="preserve"> </w:t>
      </w:r>
      <w:r w:rsidRPr="00534C57">
        <w:rPr>
          <w:rFonts w:ascii="Times New Roman" w:hAnsi="Times New Roman"/>
        </w:rPr>
        <w:t>akių</w:t>
      </w:r>
      <w:r w:rsidRPr="00534C57">
        <w:rPr>
          <w:rFonts w:ascii="Times New Roman" w:hAnsi="Times New Roman"/>
          <w:spacing w:val="-1"/>
        </w:rPr>
        <w:t xml:space="preserve"> </w:t>
      </w:r>
      <w:r w:rsidRPr="00534C57">
        <w:rPr>
          <w:rFonts w:ascii="Times New Roman" w:hAnsi="Times New Roman"/>
        </w:rPr>
        <w:t>ir</w:t>
      </w:r>
      <w:r w:rsidRPr="00534C57">
        <w:rPr>
          <w:rFonts w:ascii="Times New Roman" w:hAnsi="Times New Roman"/>
          <w:spacing w:val="-1"/>
        </w:rPr>
        <w:t xml:space="preserve"> </w:t>
      </w:r>
      <w:r w:rsidRPr="00534C57">
        <w:rPr>
          <w:rFonts w:ascii="Times New Roman" w:hAnsi="Times New Roman"/>
        </w:rPr>
        <w:t>akies</w:t>
      </w:r>
      <w:r w:rsidRPr="00534C57">
        <w:rPr>
          <w:rFonts w:ascii="Times New Roman" w:hAnsi="Times New Roman"/>
          <w:spacing w:val="-1"/>
        </w:rPr>
        <w:t xml:space="preserve"> </w:t>
      </w:r>
      <w:r w:rsidRPr="00534C57">
        <w:rPr>
          <w:rFonts w:ascii="Times New Roman" w:hAnsi="Times New Roman"/>
        </w:rPr>
        <w:t xml:space="preserve">vokų </w:t>
      </w:r>
      <w:r w:rsidRPr="00534C57">
        <w:rPr>
          <w:rFonts w:ascii="Times New Roman" w:eastAsia="Times New Roman" w:hAnsi="Times New Roman"/>
          <w:spacing w:val="-1"/>
        </w:rPr>
        <w:t>skausm</w:t>
      </w:r>
      <w:r w:rsidRPr="00534C57">
        <w:rPr>
          <w:rFonts w:ascii="Times New Roman" w:eastAsia="Times New Roman" w:hAnsi="Times New Roman"/>
        </w:rPr>
        <w:t>ą</w:t>
      </w:r>
      <w:r w:rsidRPr="00534C57">
        <w:rPr>
          <w:rFonts w:ascii="Times New Roman" w:hAnsi="Times New Roman"/>
          <w:spacing w:val="1"/>
        </w:rPr>
        <w:t xml:space="preserve"> i</w:t>
      </w:r>
      <w:r w:rsidRPr="00534C57">
        <w:rPr>
          <w:rFonts w:ascii="Times New Roman" w:hAnsi="Times New Roman"/>
        </w:rPr>
        <w:t>r</w:t>
      </w:r>
      <w:r w:rsidRPr="00534C57">
        <w:rPr>
          <w:rFonts w:ascii="Times New Roman" w:hAnsi="Times New Roman"/>
          <w:spacing w:val="1"/>
        </w:rPr>
        <w:t xml:space="preserve"> </w:t>
      </w:r>
      <w:r w:rsidRPr="00534C57">
        <w:rPr>
          <w:rFonts w:ascii="Times New Roman" w:eastAsia="Times New Roman" w:hAnsi="Times New Roman"/>
          <w:spacing w:val="-1"/>
        </w:rPr>
        <w:t xml:space="preserve">uždegimą, </w:t>
      </w:r>
      <w:r w:rsidRPr="00534C57">
        <w:rPr>
          <w:rFonts w:ascii="Times New Roman" w:eastAsia="Times New Roman" w:hAnsi="Times New Roman"/>
        </w:rPr>
        <w:t>nenormalius akies judesius, regos nervo pažeidimą, lemiantį regėjimo sutrikimą, optinio disko patinimą;</w:t>
      </w:r>
    </w:p>
    <w:p w14:paraId="1A0480FD" w14:textId="77777777" w:rsidR="002F3324" w:rsidRPr="00534C57" w:rsidRDefault="002F3324" w:rsidP="00C30BC0">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jautrumo prisilietimui sumažėjimas;</w:t>
      </w:r>
    </w:p>
    <w:p w14:paraId="39D53537" w14:textId="77777777" w:rsidR="002F3324" w:rsidRPr="00534C57" w:rsidRDefault="002F3324" w:rsidP="00C30BC0">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nenormalus skonio pojūtis;</w:t>
      </w:r>
    </w:p>
    <w:p w14:paraId="43674783" w14:textId="77777777" w:rsidR="002F3324" w:rsidRPr="00534C57" w:rsidRDefault="002F3324" w:rsidP="00C30BC0">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klausos </w:t>
      </w:r>
      <w:r w:rsidRPr="00534C57">
        <w:rPr>
          <w:rFonts w:ascii="Times New Roman" w:eastAsia="Times New Roman" w:hAnsi="Times New Roman"/>
          <w:spacing w:val="-2"/>
        </w:rPr>
        <w:t>p</w:t>
      </w:r>
      <w:r w:rsidRPr="00534C57">
        <w:rPr>
          <w:rFonts w:ascii="Times New Roman" w:eastAsia="Times New Roman" w:hAnsi="Times New Roman"/>
        </w:rPr>
        <w:t>ablogėjimas, spengimas ausyse, galvos svaigulys;</w:t>
      </w:r>
    </w:p>
    <w:p w14:paraId="6C2F3FD5" w14:textId="77777777" w:rsidR="002F3324" w:rsidRPr="00534C57" w:rsidRDefault="002F3324" w:rsidP="00C30BC0">
      <w:pPr>
        <w:tabs>
          <w:tab w:val="left" w:pos="680"/>
        </w:tabs>
        <w:spacing w:after="0" w:line="240" w:lineRule="auto"/>
        <w:ind w:left="685" w:right="711" w:hanging="566"/>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tam tikrų vidaus</w:t>
      </w:r>
      <w:r w:rsidRPr="00534C57">
        <w:rPr>
          <w:rFonts w:ascii="Times New Roman" w:eastAsia="Times New Roman" w:hAnsi="Times New Roman"/>
          <w:spacing w:val="1"/>
        </w:rPr>
        <w:t xml:space="preserve"> </w:t>
      </w:r>
      <w:r w:rsidRPr="00534C57">
        <w:rPr>
          <w:rFonts w:ascii="Times New Roman" w:eastAsia="Times New Roman" w:hAnsi="Times New Roman"/>
          <w:spacing w:val="-1"/>
        </w:rPr>
        <w:t>organ</w:t>
      </w:r>
      <w:r w:rsidRPr="00534C57">
        <w:rPr>
          <w:rFonts w:ascii="Times New Roman" w:eastAsia="Times New Roman" w:hAnsi="Times New Roman"/>
        </w:rPr>
        <w:t xml:space="preserve">ų </w:t>
      </w:r>
      <w:r w:rsidRPr="00534C57">
        <w:rPr>
          <w:rFonts w:ascii="Times New Roman" w:hAnsi="Times New Roman"/>
          <w:spacing w:val="-1"/>
        </w:rPr>
        <w:t>uždegima</w:t>
      </w:r>
      <w:r w:rsidRPr="00534C57">
        <w:rPr>
          <w:rFonts w:ascii="Times New Roman" w:hAnsi="Times New Roman"/>
        </w:rPr>
        <w:t>s</w:t>
      </w:r>
      <w:r w:rsidRPr="00534C57">
        <w:rPr>
          <w:rFonts w:ascii="Times New Roman" w:eastAsia="Times New Roman" w:hAnsi="Times New Roman"/>
        </w:rPr>
        <w:t xml:space="preserve"> – kasos ir dvylikapirštės žarnos,</w:t>
      </w:r>
      <w:r w:rsidRPr="00534C57">
        <w:rPr>
          <w:rFonts w:ascii="Times New Roman" w:eastAsia="Times New Roman" w:hAnsi="Times New Roman"/>
          <w:spacing w:val="-1"/>
        </w:rPr>
        <w:t xml:space="preserve"> </w:t>
      </w:r>
      <w:r w:rsidRPr="00534C57">
        <w:rPr>
          <w:rFonts w:ascii="Times New Roman" w:hAnsi="Times New Roman"/>
        </w:rPr>
        <w:t>liežuvio patinimas ir uždegimas;</w:t>
      </w:r>
    </w:p>
    <w:p w14:paraId="6BB0C703" w14:textId="77777777" w:rsidR="002F3324" w:rsidRPr="00534C57" w:rsidRDefault="002F3324" w:rsidP="00BE562B">
      <w:pPr>
        <w:tabs>
          <w:tab w:val="left" w:pos="680"/>
        </w:tabs>
        <w:spacing w:after="0" w:line="240" w:lineRule="auto"/>
        <w:ind w:left="709" w:right="-20" w:hanging="567"/>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kepenų padidėjimas, kepenų </w:t>
      </w:r>
      <w:r w:rsidRPr="00534C57">
        <w:rPr>
          <w:rFonts w:ascii="Times New Roman" w:eastAsia="Times New Roman" w:hAnsi="Times New Roman"/>
        </w:rPr>
        <w:t>funkcijos</w:t>
      </w:r>
      <w:r w:rsidRPr="00534C57">
        <w:rPr>
          <w:rFonts w:ascii="Times New Roman" w:hAnsi="Times New Roman"/>
        </w:rPr>
        <w:t xml:space="preserve"> nepakankamumas, tulžies pūslės liga, tulžies pūslės akmenligė;</w:t>
      </w:r>
    </w:p>
    <w:p w14:paraId="77CFA902" w14:textId="77777777" w:rsidR="002F3324" w:rsidRPr="00534C57" w:rsidRDefault="002F3324" w:rsidP="00C30BC0">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sąnarių</w:t>
      </w:r>
      <w:r w:rsidRPr="00534C57">
        <w:rPr>
          <w:rFonts w:ascii="Times New Roman" w:eastAsia="Times New Roman" w:hAnsi="Times New Roman"/>
          <w:spacing w:val="-2"/>
        </w:rPr>
        <w:t xml:space="preserve"> </w:t>
      </w:r>
      <w:r w:rsidRPr="00534C57">
        <w:rPr>
          <w:rFonts w:ascii="Times New Roman" w:eastAsia="Times New Roman" w:hAnsi="Times New Roman"/>
        </w:rPr>
        <w:t>uždegimas, poodinių venų uždegimas (kuris gali būti susijęs su krešulių susidarymu);</w:t>
      </w:r>
    </w:p>
    <w:p w14:paraId="7493B9B8" w14:textId="77777777" w:rsidR="002F3324" w:rsidRPr="00534C57" w:rsidRDefault="002F3324" w:rsidP="00C30BC0">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 xml:space="preserve">inkstų uždegimas, </w:t>
      </w:r>
      <w:r w:rsidRPr="00534C57">
        <w:rPr>
          <w:rFonts w:ascii="Times New Roman" w:eastAsia="Times New Roman" w:hAnsi="Times New Roman"/>
        </w:rPr>
        <w:t>baltymai</w:t>
      </w:r>
      <w:r w:rsidRPr="00534C57">
        <w:rPr>
          <w:rFonts w:ascii="Times New Roman" w:hAnsi="Times New Roman"/>
        </w:rPr>
        <w:t xml:space="preserve"> šlapime</w:t>
      </w:r>
      <w:r w:rsidR="000022AC" w:rsidRPr="00534C57">
        <w:rPr>
          <w:rFonts w:ascii="Times New Roman" w:hAnsi="Times New Roman"/>
        </w:rPr>
        <w:t>, inkstų pažeidimas</w:t>
      </w:r>
      <w:r w:rsidRPr="00534C57">
        <w:rPr>
          <w:rFonts w:ascii="Times New Roman" w:hAnsi="Times New Roman"/>
        </w:rPr>
        <w:t>;</w:t>
      </w:r>
    </w:p>
    <w:p w14:paraId="6248BBC2" w14:textId="77777777" w:rsidR="002F3324" w:rsidRPr="00534C57" w:rsidRDefault="002F3324" w:rsidP="00BE562B">
      <w:pPr>
        <w:tabs>
          <w:tab w:val="left" w:pos="709"/>
        </w:tabs>
        <w:spacing w:after="0" w:line="240" w:lineRule="auto"/>
        <w:ind w:left="709" w:right="-20" w:hanging="567"/>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labai greitas širdies plakimas arba plakimas su pertrūkiais</w:t>
      </w:r>
      <w:r w:rsidR="00C30BC0" w:rsidRPr="00534C57">
        <w:rPr>
          <w:rFonts w:ascii="Times New Roman" w:eastAsia="Times New Roman" w:hAnsi="Times New Roman"/>
        </w:rPr>
        <w:t>, kartais su neritmingais elektros impulsais</w:t>
      </w:r>
      <w:r w:rsidRPr="00534C57">
        <w:rPr>
          <w:rFonts w:ascii="Times New Roman" w:eastAsia="Times New Roman" w:hAnsi="Times New Roman"/>
        </w:rPr>
        <w:t>;</w:t>
      </w:r>
    </w:p>
    <w:p w14:paraId="1B57DB51" w14:textId="77777777" w:rsidR="002F3324" w:rsidRPr="00534C57" w:rsidRDefault="002F3324" w:rsidP="00C30BC0">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nenormali elektrokardiograma</w:t>
      </w:r>
      <w:r w:rsidRPr="00534C57">
        <w:rPr>
          <w:rFonts w:ascii="Times New Roman" w:hAnsi="Times New Roman"/>
        </w:rPr>
        <w:t xml:space="preserve"> (EKG</w:t>
      </w:r>
      <w:r w:rsidRPr="00534C57">
        <w:rPr>
          <w:rFonts w:ascii="Times New Roman" w:eastAsia="Times New Roman" w:hAnsi="Times New Roman"/>
        </w:rPr>
        <w:t>);</w:t>
      </w:r>
    </w:p>
    <w:p w14:paraId="1485841A" w14:textId="77777777" w:rsidR="002F3324" w:rsidRPr="00534C57" w:rsidRDefault="002F3324" w:rsidP="00C30BC0">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padidėjęs cholesterolio kiekis kraujyje, padidėjęs šlapalo kiekis kraujyje;</w:t>
      </w:r>
    </w:p>
    <w:p w14:paraId="61298C78" w14:textId="49B91F68" w:rsidR="00C30BC0" w:rsidRDefault="002F3324" w:rsidP="00BE562B">
      <w:pPr>
        <w:tabs>
          <w:tab w:val="left" w:pos="709"/>
        </w:tabs>
        <w:spacing w:after="0" w:line="240" w:lineRule="auto"/>
        <w:ind w:left="709" w:right="-20" w:hanging="567"/>
        <w:rPr>
          <w:rFonts w:ascii="Times New Roman" w:eastAsia="Times New Roman" w:hAnsi="Times New Roman"/>
        </w:rPr>
      </w:pPr>
      <w:r w:rsidRPr="00534C57">
        <w:rPr>
          <w:rFonts w:ascii="Times New Roman" w:eastAsia="Times New Roman" w:hAnsi="Times New Roman"/>
        </w:rPr>
        <w:t>-</w:t>
      </w:r>
      <w:r w:rsidR="00C30BC0" w:rsidRPr="00534C57">
        <w:rPr>
          <w:rFonts w:ascii="Times New Roman" w:eastAsia="Times New Roman" w:hAnsi="Times New Roman"/>
        </w:rPr>
        <w:tab/>
      </w:r>
      <w:r w:rsidRPr="00534C57">
        <w:rPr>
          <w:rFonts w:ascii="Times New Roman" w:eastAsia="Times New Roman" w:hAnsi="Times New Roman"/>
        </w:rPr>
        <w:t xml:space="preserve">alerginės odos reakcijos (kartais sunkios), įskaitant </w:t>
      </w:r>
      <w:r w:rsidR="00C30BC0" w:rsidRPr="00534C57">
        <w:rPr>
          <w:rFonts w:ascii="Times New Roman" w:eastAsia="Times New Roman" w:hAnsi="Times New Roman"/>
        </w:rPr>
        <w:t>gyvybei pavojingą odos būklę, kuri sukelia skausmingų pūslių ir opų, odos ir gleivinių, ypač burnoje, odos uždegimas, dilgėlinė, odos paraudimas ir dirginimas, raudonos ar rožinės odos spalvos pakitimas, kuris gali būti sukeltas mažo</w:t>
      </w:r>
      <w:r w:rsidR="00C30BC0" w:rsidRPr="00BE562B">
        <w:rPr>
          <w:rFonts w:ascii="Times New Roman" w:hAnsi="Times New Roman"/>
        </w:rPr>
        <w:t xml:space="preserve"> </w:t>
      </w:r>
      <w:r w:rsidR="00C30BC0" w:rsidRPr="00534C57">
        <w:rPr>
          <w:rFonts w:ascii="Times New Roman" w:eastAsia="Times New Roman" w:hAnsi="Times New Roman"/>
        </w:rPr>
        <w:t>trombocitų</w:t>
      </w:r>
      <w:r w:rsidR="00C30BC0" w:rsidRPr="00BE562B">
        <w:rPr>
          <w:rFonts w:ascii="Times New Roman" w:hAnsi="Times New Roman"/>
        </w:rPr>
        <w:t xml:space="preserve"> </w:t>
      </w:r>
      <w:r w:rsidR="00C30BC0" w:rsidRPr="00534C57">
        <w:rPr>
          <w:rFonts w:ascii="Times New Roman" w:eastAsia="Times New Roman" w:hAnsi="Times New Roman"/>
        </w:rPr>
        <w:t>kiekio,</w:t>
      </w:r>
      <w:r w:rsidR="00C30BC0" w:rsidRPr="00BE562B">
        <w:rPr>
          <w:rFonts w:ascii="Times New Roman" w:hAnsi="Times New Roman"/>
        </w:rPr>
        <w:t xml:space="preserve"> </w:t>
      </w:r>
      <w:r w:rsidR="00C30BC0" w:rsidRPr="00534C57">
        <w:rPr>
          <w:rFonts w:ascii="Times New Roman" w:eastAsia="Times New Roman" w:hAnsi="Times New Roman"/>
        </w:rPr>
        <w:t>egzema;</w:t>
      </w:r>
    </w:p>
    <w:p w14:paraId="11FECC2F" w14:textId="77777777" w:rsidR="0051310D" w:rsidRDefault="0051310D" w:rsidP="00611333">
      <w:pPr>
        <w:widowControl w:val="0"/>
        <w:tabs>
          <w:tab w:val="left" w:pos="640"/>
          <w:tab w:val="left" w:pos="680"/>
        </w:tabs>
        <w:spacing w:before="5" w:after="0" w:line="252" w:lineRule="exact"/>
        <w:ind w:right="692" w:firstLine="142"/>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alerginė reakcija arba padidėjęs imuninis atsakas;</w:t>
      </w:r>
    </w:p>
    <w:p w14:paraId="56B435FF" w14:textId="77777777" w:rsidR="007C3F1A" w:rsidRPr="00534C57" w:rsidRDefault="007C3F1A" w:rsidP="007C3F1A">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 xml:space="preserve">kaulą supančio audinio </w:t>
      </w:r>
      <w:r w:rsidRPr="00534C57">
        <w:rPr>
          <w:rFonts w:ascii="Times New Roman" w:eastAsia="Times New Roman" w:hAnsi="Times New Roman"/>
          <w:spacing w:val="-1"/>
        </w:rPr>
        <w:t>uždegimas;</w:t>
      </w:r>
    </w:p>
    <w:p w14:paraId="76EBF2D3" w14:textId="77777777" w:rsidR="002F3324" w:rsidRPr="00534C57" w:rsidRDefault="002F3324" w:rsidP="00611333">
      <w:pPr>
        <w:tabs>
          <w:tab w:val="left" w:pos="709"/>
        </w:tabs>
        <w:spacing w:after="0" w:line="240" w:lineRule="auto"/>
        <w:ind w:left="709" w:right="-20" w:hanging="567"/>
        <w:rPr>
          <w:rFonts w:ascii="Times New Roman" w:hAnsi="Times New Roman"/>
        </w:rPr>
      </w:pPr>
    </w:p>
    <w:p w14:paraId="54CF7AFE" w14:textId="77777777" w:rsidR="002F3324" w:rsidRPr="0059379B" w:rsidRDefault="002F3324" w:rsidP="002F3324">
      <w:pPr>
        <w:spacing w:after="0" w:line="240" w:lineRule="auto"/>
        <w:ind w:left="118" w:right="-20"/>
        <w:rPr>
          <w:rFonts w:ascii="Times New Roman" w:hAnsi="Times New Roman"/>
          <w:b/>
        </w:rPr>
      </w:pPr>
      <w:r w:rsidRPr="0059379B">
        <w:rPr>
          <w:rFonts w:ascii="Times New Roman" w:hAnsi="Times New Roman"/>
          <w:b/>
        </w:rPr>
        <w:t>Ret</w:t>
      </w:r>
      <w:r w:rsidR="0059379B" w:rsidRPr="0059379B">
        <w:rPr>
          <w:rFonts w:ascii="Times New Roman" w:hAnsi="Times New Roman"/>
          <w:b/>
        </w:rPr>
        <w:t>i šalutinio poveikio reiškiniai (</w:t>
      </w:r>
      <w:r w:rsidRPr="0059379B">
        <w:rPr>
          <w:rFonts w:ascii="Times New Roman" w:hAnsi="Times New Roman"/>
          <w:b/>
        </w:rPr>
        <w:t xml:space="preserve">gali pasireikšti </w:t>
      </w:r>
      <w:r w:rsidR="009C7236" w:rsidRPr="0059379B">
        <w:rPr>
          <w:rFonts w:ascii="Times New Roman" w:hAnsi="Times New Roman"/>
          <w:b/>
        </w:rPr>
        <w:t>rečiau</w:t>
      </w:r>
      <w:r w:rsidRPr="0059379B">
        <w:rPr>
          <w:rFonts w:ascii="Times New Roman" w:hAnsi="Times New Roman"/>
          <w:b/>
        </w:rPr>
        <w:t xml:space="preserve"> kaip 1 iš 1</w:t>
      </w:r>
      <w:r w:rsidR="00DE7AE0">
        <w:rPr>
          <w:rFonts w:ascii="Times New Roman" w:hAnsi="Times New Roman"/>
          <w:b/>
        </w:rPr>
        <w:t> </w:t>
      </w:r>
      <w:r w:rsidRPr="0059379B">
        <w:rPr>
          <w:rFonts w:ascii="Times New Roman" w:hAnsi="Times New Roman"/>
          <w:b/>
        </w:rPr>
        <w:t xml:space="preserve">000 </w:t>
      </w:r>
      <w:r w:rsidR="0059379B" w:rsidRPr="0059379B">
        <w:rPr>
          <w:rFonts w:ascii="Times New Roman" w:hAnsi="Times New Roman"/>
          <w:b/>
        </w:rPr>
        <w:t>asmen</w:t>
      </w:r>
      <w:r w:rsidRPr="0059379B">
        <w:rPr>
          <w:rFonts w:ascii="Times New Roman" w:hAnsi="Times New Roman"/>
          <w:b/>
        </w:rPr>
        <w:t>ų</w:t>
      </w:r>
      <w:r w:rsidR="0059379B" w:rsidRPr="0059379B">
        <w:rPr>
          <w:rFonts w:ascii="Times New Roman" w:hAnsi="Times New Roman"/>
          <w:b/>
        </w:rPr>
        <w:t>)</w:t>
      </w:r>
      <w:r w:rsidRPr="0059379B">
        <w:rPr>
          <w:rFonts w:ascii="Times New Roman" w:hAnsi="Times New Roman"/>
          <w:b/>
        </w:rPr>
        <w:t>:</w:t>
      </w:r>
    </w:p>
    <w:p w14:paraId="36AE434E"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pernelyg</w:t>
      </w:r>
      <w:r w:rsidRPr="00534C57">
        <w:rPr>
          <w:rFonts w:ascii="Times New Roman" w:eastAsia="Times New Roman" w:hAnsi="Times New Roman"/>
          <w:spacing w:val="-1"/>
        </w:rPr>
        <w:t xml:space="preserve"> </w:t>
      </w:r>
      <w:r w:rsidRPr="00534C57">
        <w:rPr>
          <w:rFonts w:ascii="Times New Roman" w:eastAsia="Times New Roman" w:hAnsi="Times New Roman"/>
        </w:rPr>
        <w:t>suaktyvėjusi</w:t>
      </w:r>
      <w:r w:rsidRPr="00534C57">
        <w:rPr>
          <w:rFonts w:ascii="Times New Roman" w:eastAsia="Times New Roman" w:hAnsi="Times New Roman"/>
          <w:spacing w:val="-1"/>
        </w:rPr>
        <w:t xml:space="preserve"> </w:t>
      </w:r>
      <w:r w:rsidRPr="00534C57">
        <w:rPr>
          <w:rFonts w:ascii="Times New Roman" w:eastAsia="Times New Roman" w:hAnsi="Times New Roman"/>
        </w:rPr>
        <w:t>skydliaukė;</w:t>
      </w:r>
    </w:p>
    <w:p w14:paraId="5658E9CA"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smegenų funkcijos pablogėjimas, kuris yra sunki kepenų ligos komplikacija;</w:t>
      </w:r>
    </w:p>
    <w:p w14:paraId="2C0DDE26" w14:textId="77777777" w:rsidR="002F3324" w:rsidRPr="00534C57" w:rsidRDefault="002F3324" w:rsidP="002F3324">
      <w:pPr>
        <w:tabs>
          <w:tab w:val="left" w:pos="680"/>
        </w:tabs>
        <w:spacing w:after="0" w:line="240" w:lineRule="auto"/>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00F73FDF" w:rsidRPr="00534C57">
        <w:rPr>
          <w:rFonts w:ascii="Times New Roman" w:eastAsia="Times New Roman" w:hAnsi="Times New Roman"/>
        </w:rPr>
        <w:t xml:space="preserve">daugumos </w:t>
      </w:r>
      <w:r w:rsidRPr="00534C57">
        <w:rPr>
          <w:rFonts w:ascii="Times New Roman" w:hAnsi="Times New Roman"/>
        </w:rPr>
        <w:t>regos nervo</w:t>
      </w:r>
      <w:r w:rsidR="00F73FDF" w:rsidRPr="00534C57">
        <w:rPr>
          <w:rFonts w:ascii="Times New Roman" w:hAnsi="Times New Roman"/>
        </w:rPr>
        <w:t xml:space="preserve"> skaidulų</w:t>
      </w:r>
      <w:r w:rsidRPr="00534C57">
        <w:rPr>
          <w:rFonts w:ascii="Times New Roman" w:hAnsi="Times New Roman"/>
        </w:rPr>
        <w:t xml:space="preserve"> pažeidimas, </w:t>
      </w:r>
      <w:r w:rsidRPr="00534C57">
        <w:rPr>
          <w:rFonts w:ascii="Times New Roman" w:hAnsi="Times New Roman"/>
          <w:spacing w:val="-1"/>
        </w:rPr>
        <w:t>rageno</w:t>
      </w:r>
      <w:r w:rsidRPr="00534C57">
        <w:rPr>
          <w:rFonts w:ascii="Times New Roman" w:hAnsi="Times New Roman"/>
        </w:rPr>
        <w:t>s</w:t>
      </w:r>
      <w:r w:rsidRPr="00534C57">
        <w:rPr>
          <w:rFonts w:ascii="Times New Roman" w:hAnsi="Times New Roman"/>
          <w:spacing w:val="-1"/>
        </w:rPr>
        <w:t xml:space="preserve"> drumstys</w:t>
      </w:r>
      <w:r w:rsidR="00F73FDF" w:rsidRPr="00534C57">
        <w:rPr>
          <w:rFonts w:ascii="Times New Roman" w:hAnsi="Times New Roman"/>
          <w:spacing w:val="-1"/>
        </w:rPr>
        <w:t>, nevalingi akių judesiai</w:t>
      </w:r>
      <w:r w:rsidRPr="00534C57">
        <w:rPr>
          <w:rFonts w:ascii="Times New Roman" w:hAnsi="Times New Roman"/>
          <w:spacing w:val="-1"/>
        </w:rPr>
        <w:t>;</w:t>
      </w:r>
    </w:p>
    <w:p w14:paraId="2B1023A2"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jautrumas šviesai;</w:t>
      </w:r>
    </w:p>
    <w:p w14:paraId="2533D0CD" w14:textId="77777777" w:rsidR="002F3324"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sutrikimas, kuriam esant kūno imuninė sistema at</w:t>
      </w:r>
      <w:r w:rsidRPr="00534C57">
        <w:rPr>
          <w:rFonts w:ascii="Times New Roman" w:eastAsia="Times New Roman" w:hAnsi="Times New Roman"/>
          <w:spacing w:val="-1"/>
        </w:rPr>
        <w:t>a</w:t>
      </w:r>
      <w:r w:rsidRPr="00534C57">
        <w:rPr>
          <w:rFonts w:ascii="Times New Roman" w:eastAsia="Times New Roman" w:hAnsi="Times New Roman"/>
        </w:rPr>
        <w:t>kuoja periferinės nervų sistemos dalį;</w:t>
      </w:r>
    </w:p>
    <w:p w14:paraId="4FDDFEDF" w14:textId="77777777" w:rsidR="00F73FDF" w:rsidRPr="00534C57" w:rsidRDefault="002F3324" w:rsidP="002F3324">
      <w:pPr>
        <w:tabs>
          <w:tab w:val="left" w:pos="680"/>
        </w:tabs>
        <w:spacing w:after="0" w:line="240" w:lineRule="auto"/>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hAnsi="Times New Roman"/>
        </w:rPr>
        <w:t>širdies ritmo</w:t>
      </w:r>
      <w:r w:rsidR="00F73FDF" w:rsidRPr="00534C57">
        <w:rPr>
          <w:rFonts w:ascii="Times New Roman" w:hAnsi="Times New Roman"/>
        </w:rPr>
        <w:t xml:space="preserve"> ar laidumo</w:t>
      </w:r>
      <w:r w:rsidRPr="00534C57">
        <w:rPr>
          <w:rFonts w:ascii="Times New Roman" w:hAnsi="Times New Roman"/>
        </w:rPr>
        <w:t xml:space="preserve"> </w:t>
      </w:r>
      <w:r w:rsidRPr="00534C57">
        <w:rPr>
          <w:rFonts w:ascii="Times New Roman" w:eastAsia="Times New Roman" w:hAnsi="Times New Roman"/>
        </w:rPr>
        <w:t>problemos</w:t>
      </w:r>
      <w:r w:rsidR="00906A72" w:rsidRPr="00534C57">
        <w:rPr>
          <w:rFonts w:ascii="Times New Roman" w:eastAsia="Times New Roman" w:hAnsi="Times New Roman"/>
        </w:rPr>
        <w:t xml:space="preserve"> (kartais pavojingos</w:t>
      </w:r>
      <w:r w:rsidR="00906A72" w:rsidRPr="00BE562B">
        <w:rPr>
          <w:rFonts w:ascii="Times New Roman" w:hAnsi="Times New Roman"/>
          <w:spacing w:val="-2"/>
        </w:rPr>
        <w:t xml:space="preserve"> </w:t>
      </w:r>
      <w:r w:rsidR="00906A72" w:rsidRPr="00BE562B">
        <w:rPr>
          <w:rFonts w:ascii="Times New Roman" w:hAnsi="Times New Roman"/>
          <w:spacing w:val="-1"/>
        </w:rPr>
        <w:t>gyvybe</w:t>
      </w:r>
      <w:r w:rsidR="00906A72" w:rsidRPr="00BE562B">
        <w:rPr>
          <w:rFonts w:ascii="Times New Roman" w:hAnsi="Times New Roman"/>
          <w:spacing w:val="1"/>
        </w:rPr>
        <w:t>i</w:t>
      </w:r>
      <w:r w:rsidR="00F73FDF" w:rsidRPr="00534C57">
        <w:rPr>
          <w:rFonts w:ascii="Times New Roman" w:eastAsia="Times New Roman" w:hAnsi="Times New Roman"/>
        </w:rPr>
        <w:t>);</w:t>
      </w:r>
    </w:p>
    <w:p w14:paraId="128785E9" w14:textId="77777777" w:rsidR="00906A72" w:rsidRPr="00534C57" w:rsidRDefault="00906A72" w:rsidP="00906A72">
      <w:pPr>
        <w:widowControl w:val="0"/>
        <w:tabs>
          <w:tab w:val="left" w:pos="680"/>
        </w:tabs>
        <w:spacing w:after="0" w:line="252" w:lineRule="exact"/>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gyvybei pavojinga alerginė reakcija;</w:t>
      </w:r>
    </w:p>
    <w:p w14:paraId="7428E766" w14:textId="77777777" w:rsidR="00906A72" w:rsidRPr="00534C57" w:rsidRDefault="00906A72" w:rsidP="00906A72">
      <w:pPr>
        <w:widowControl w:val="0"/>
        <w:tabs>
          <w:tab w:val="left" w:pos="680"/>
        </w:tabs>
        <w:spacing w:after="0" w:line="252" w:lineRule="exact"/>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kraujo krešėjimo sistemos sutrikimas;</w:t>
      </w:r>
    </w:p>
    <w:p w14:paraId="60423741" w14:textId="77777777" w:rsidR="00906A72" w:rsidRPr="00534C57" w:rsidRDefault="00906A72" w:rsidP="00906A72">
      <w:pPr>
        <w:widowControl w:val="0"/>
        <w:tabs>
          <w:tab w:val="left" w:pos="680"/>
        </w:tabs>
        <w:spacing w:before="1" w:after="0" w:line="240" w:lineRule="auto"/>
        <w:ind w:left="658" w:right="152" w:hanging="54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r>
      <w:r w:rsidRPr="00534C57">
        <w:rPr>
          <w:rFonts w:ascii="Times New Roman" w:eastAsia="Times New Roman" w:hAnsi="Times New Roman"/>
        </w:rPr>
        <w:tab/>
        <w:t>alerginės odos reakcijos (kartais sunkios), įskaitant ūmų odos, poodinio audinio, gleivinių ir po gleivinėmis esančių audinių tinimą (edemą), sust</w:t>
      </w:r>
      <w:r w:rsidRPr="00534C57">
        <w:rPr>
          <w:rFonts w:ascii="Times New Roman" w:eastAsia="Times New Roman" w:hAnsi="Times New Roman"/>
          <w:spacing w:val="-3"/>
        </w:rPr>
        <w:t>o</w:t>
      </w:r>
      <w:r w:rsidRPr="00534C57">
        <w:rPr>
          <w:rFonts w:ascii="Times New Roman" w:eastAsia="Times New Roman" w:hAnsi="Times New Roman"/>
        </w:rPr>
        <w:t>rėjusios, paraudusios odos niežtinčias arba skausmingas dėmes su sidabriniais odos žvynais, odos ir gleivinių sudirginimą, gyvybei pavojingą odos ligą, dėl kurios didelės epidermio, išorinio odos sluoksnio dalys atsiskiria nuo giliau esančių odos sluoksn</w:t>
      </w:r>
      <w:r w:rsidRPr="00534C57">
        <w:rPr>
          <w:rFonts w:ascii="Times New Roman" w:eastAsia="Times New Roman" w:hAnsi="Times New Roman"/>
          <w:spacing w:val="1"/>
        </w:rPr>
        <w:t>i</w:t>
      </w:r>
      <w:r w:rsidRPr="00534C57">
        <w:rPr>
          <w:rFonts w:ascii="Times New Roman" w:eastAsia="Times New Roman" w:hAnsi="Times New Roman"/>
        </w:rPr>
        <w:t>ų</w:t>
      </w:r>
      <w:r w:rsidR="0051310D">
        <w:rPr>
          <w:rFonts w:ascii="Times New Roman" w:eastAsia="Times New Roman" w:hAnsi="Times New Roman"/>
        </w:rPr>
        <w:t xml:space="preserve">, </w:t>
      </w:r>
      <w:r w:rsidR="0051310D" w:rsidRPr="0051310D">
        <w:rPr>
          <w:rFonts w:ascii="Times New Roman" w:eastAsia="Times New Roman" w:hAnsi="Times New Roman"/>
        </w:rPr>
        <w:t>išplitęs išbėrimas, aukšta kūno temperatūra ir padidėję limfmazgiai</w:t>
      </w:r>
    </w:p>
    <w:p w14:paraId="674E948C" w14:textId="77777777" w:rsidR="00906A72" w:rsidRPr="00534C57" w:rsidRDefault="00906A72" w:rsidP="00906A72">
      <w:pPr>
        <w:widowControl w:val="0"/>
        <w:tabs>
          <w:tab w:val="left" w:pos="680"/>
        </w:tabs>
        <w:spacing w:after="0" w:line="252" w:lineRule="exact"/>
        <w:ind w:left="118" w:right="-20"/>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nedideli sausos</w:t>
      </w:r>
      <w:r w:rsidRPr="00534C57">
        <w:rPr>
          <w:rFonts w:ascii="Times New Roman" w:eastAsia="Times New Roman" w:hAnsi="Times New Roman"/>
          <w:spacing w:val="-3"/>
        </w:rPr>
        <w:t xml:space="preserve"> </w:t>
      </w:r>
      <w:r w:rsidRPr="00534C57">
        <w:rPr>
          <w:rFonts w:ascii="Times New Roman" w:eastAsia="Times New Roman" w:hAnsi="Times New Roman"/>
        </w:rPr>
        <w:t>pleiskanotos odos plotai, kartais sustorėję ir padengti žvyneliais ar „rageliais</w:t>
      </w:r>
      <w:r w:rsidRPr="00534C57">
        <w:rPr>
          <w:rFonts w:ascii="Times New Roman" w:eastAsia="Times New Roman" w:hAnsi="Times New Roman"/>
          <w:spacing w:val="-1"/>
        </w:rPr>
        <w:t>“</w:t>
      </w:r>
      <w:r w:rsidRPr="00534C57">
        <w:rPr>
          <w:rFonts w:ascii="Times New Roman" w:eastAsia="Times New Roman" w:hAnsi="Times New Roman"/>
        </w:rPr>
        <w:t>.</w:t>
      </w:r>
    </w:p>
    <w:p w14:paraId="4CA5BA31" w14:textId="77777777" w:rsidR="002F3324" w:rsidRPr="00534C57" w:rsidRDefault="002F3324" w:rsidP="002F3324">
      <w:pPr>
        <w:tabs>
          <w:tab w:val="left" w:pos="680"/>
        </w:tabs>
        <w:spacing w:after="0" w:line="240" w:lineRule="auto"/>
        <w:ind w:left="118" w:right="-20"/>
        <w:rPr>
          <w:rFonts w:ascii="Times New Roman" w:hAnsi="Times New Roman"/>
        </w:rPr>
      </w:pPr>
    </w:p>
    <w:p w14:paraId="0CE4C2E5" w14:textId="77777777" w:rsidR="00906A72" w:rsidRPr="0059379B" w:rsidRDefault="00906A72" w:rsidP="00906A72">
      <w:pPr>
        <w:widowControl w:val="0"/>
        <w:spacing w:after="0" w:line="240" w:lineRule="auto"/>
        <w:ind w:left="118" w:right="-20"/>
        <w:rPr>
          <w:rFonts w:ascii="Times New Roman" w:eastAsia="Times New Roman" w:hAnsi="Times New Roman"/>
          <w:b/>
        </w:rPr>
      </w:pPr>
      <w:r w:rsidRPr="0059379B">
        <w:rPr>
          <w:rFonts w:ascii="Times New Roman" w:eastAsia="Times New Roman" w:hAnsi="Times New Roman"/>
          <w:b/>
        </w:rPr>
        <w:t>Šalutini</w:t>
      </w:r>
      <w:r w:rsidR="0059379B">
        <w:rPr>
          <w:rFonts w:ascii="Times New Roman" w:eastAsia="Times New Roman" w:hAnsi="Times New Roman"/>
          <w:b/>
        </w:rPr>
        <w:t xml:space="preserve">o </w:t>
      </w:r>
      <w:r w:rsidRPr="0059379B">
        <w:rPr>
          <w:rFonts w:ascii="Times New Roman" w:eastAsia="Times New Roman" w:hAnsi="Times New Roman"/>
          <w:b/>
        </w:rPr>
        <w:t>poveiki</w:t>
      </w:r>
      <w:r w:rsidR="0059379B">
        <w:rPr>
          <w:rFonts w:ascii="Times New Roman" w:eastAsia="Times New Roman" w:hAnsi="Times New Roman"/>
          <w:b/>
        </w:rPr>
        <w:t>o reiškiniai</w:t>
      </w:r>
      <w:r w:rsidRPr="0059379B">
        <w:rPr>
          <w:rFonts w:ascii="Times New Roman" w:eastAsia="Times New Roman" w:hAnsi="Times New Roman"/>
          <w:b/>
        </w:rPr>
        <w:t>, kuri</w:t>
      </w:r>
      <w:r w:rsidR="0059379B">
        <w:rPr>
          <w:rFonts w:ascii="Times New Roman" w:eastAsia="Times New Roman" w:hAnsi="Times New Roman"/>
          <w:b/>
        </w:rPr>
        <w:t>ų</w:t>
      </w:r>
      <w:r w:rsidRPr="0059379B">
        <w:rPr>
          <w:rFonts w:ascii="Times New Roman" w:eastAsia="Times New Roman" w:hAnsi="Times New Roman"/>
          <w:b/>
        </w:rPr>
        <w:t xml:space="preserve"> dažnis nežinomas</w:t>
      </w:r>
      <w:r w:rsidR="00DE7AE0">
        <w:rPr>
          <w:rFonts w:ascii="Times New Roman" w:eastAsia="Times New Roman" w:hAnsi="Times New Roman"/>
          <w:b/>
        </w:rPr>
        <w:t xml:space="preserve"> (</w:t>
      </w:r>
      <w:r w:rsidR="000864CD" w:rsidRPr="0059379B">
        <w:rPr>
          <w:rFonts w:ascii="Times New Roman" w:eastAsia="Times New Roman" w:hAnsi="Times New Roman"/>
          <w:b/>
        </w:rPr>
        <w:t>negali būti apskaičiuotas</w:t>
      </w:r>
      <w:r w:rsidR="0051310D" w:rsidRPr="0059379B">
        <w:rPr>
          <w:rFonts w:ascii="Times New Roman" w:eastAsia="Times New Roman" w:hAnsi="Times New Roman"/>
          <w:b/>
        </w:rPr>
        <w:t xml:space="preserve"> pagal turimus duomenis</w:t>
      </w:r>
      <w:r w:rsidR="00DE7AE0">
        <w:rPr>
          <w:rFonts w:ascii="Times New Roman" w:eastAsia="Times New Roman" w:hAnsi="Times New Roman"/>
          <w:b/>
        </w:rPr>
        <w:t>):</w:t>
      </w:r>
    </w:p>
    <w:p w14:paraId="3F157D8B" w14:textId="77777777" w:rsidR="00906A72" w:rsidRPr="00244EC9" w:rsidRDefault="00906A72" w:rsidP="00BE562B">
      <w:pPr>
        <w:widowControl w:val="0"/>
        <w:tabs>
          <w:tab w:val="left" w:pos="680"/>
        </w:tabs>
        <w:spacing w:after="0" w:line="252" w:lineRule="exact"/>
        <w:ind w:left="118" w:right="-20"/>
        <w:rPr>
          <w:rFonts w:ascii="Times New Roman" w:hAnsi="Times New Roman"/>
        </w:rPr>
      </w:pPr>
      <w:r w:rsidRPr="00534C57">
        <w:rPr>
          <w:rFonts w:ascii="Times New Roman" w:eastAsia="Times New Roman" w:hAnsi="Times New Roman"/>
        </w:rPr>
        <w:t>-</w:t>
      </w:r>
      <w:r w:rsidRPr="00534C57">
        <w:rPr>
          <w:rFonts w:ascii="Times New Roman" w:eastAsia="Times New Roman" w:hAnsi="Times New Roman"/>
        </w:rPr>
        <w:tab/>
        <w:t>strazdanos ir pigmentinės dėmės</w:t>
      </w:r>
      <w:r w:rsidRPr="00534C57">
        <w:rPr>
          <w:rFonts w:ascii="Times New Roman" w:hAnsi="Times New Roman"/>
        </w:rPr>
        <w:t>.</w:t>
      </w:r>
    </w:p>
    <w:p w14:paraId="367E19BC"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160699E7" w14:textId="7021CDBD" w:rsidR="002F3324" w:rsidRPr="00534C57" w:rsidRDefault="002F3324" w:rsidP="00FE7B76">
      <w:pPr>
        <w:spacing w:after="0" w:line="240" w:lineRule="auto"/>
        <w:ind w:left="118" w:right="310"/>
        <w:rPr>
          <w:rFonts w:ascii="Times New Roman" w:eastAsia="Times New Roman" w:hAnsi="Times New Roman"/>
        </w:rPr>
      </w:pPr>
      <w:r w:rsidRPr="00534C57">
        <w:rPr>
          <w:rFonts w:ascii="Times New Roman" w:eastAsia="Times New Roman" w:hAnsi="Times New Roman"/>
        </w:rPr>
        <w:t>Kitas reikšmingas šalutinis poveikis, kurio dažnis nežinomas, bet apie jį reikia skubiai pranešti savo gydytojui:</w:t>
      </w:r>
      <w:r w:rsidRPr="00534C57">
        <w:rPr>
          <w:rFonts w:ascii="Times New Roman" w:eastAsia="Times New Roman" w:hAnsi="Times New Roman"/>
        </w:rPr>
        <w:tab/>
      </w:r>
    </w:p>
    <w:p w14:paraId="5283E1B7" w14:textId="77777777" w:rsidR="002F3324" w:rsidRPr="00534C57" w:rsidRDefault="002F3324" w:rsidP="002F3324">
      <w:pPr>
        <w:tabs>
          <w:tab w:val="left" w:pos="680"/>
        </w:tabs>
        <w:spacing w:after="0" w:line="240" w:lineRule="auto"/>
        <w:ind w:left="685" w:right="316" w:hanging="566"/>
        <w:rPr>
          <w:rFonts w:ascii="Times New Roman" w:eastAsia="Times New Roman" w:hAnsi="Times New Roman"/>
        </w:rPr>
      </w:pPr>
      <w:r w:rsidRPr="00534C57">
        <w:rPr>
          <w:rFonts w:ascii="Times New Roman" w:eastAsia="Times New Roman" w:hAnsi="Times New Roman"/>
        </w:rPr>
        <w:t>-</w:t>
      </w:r>
      <w:r w:rsidRPr="00534C57">
        <w:rPr>
          <w:rFonts w:ascii="Times New Roman" w:eastAsia="Times New Roman" w:hAnsi="Times New Roman"/>
        </w:rPr>
        <w:tab/>
        <w:t>raudoni, žvynuoti plotai arba žiedo formos odos pažeidimai, galintys būti autoimuninės ligos, vadinamos odos raudonąja vilklige, simptomais.</w:t>
      </w:r>
    </w:p>
    <w:p w14:paraId="287714A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B5F349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lastRenderedPageBreak/>
        <w:t>Voriconazole Teva gali daryti poveikį kepenims ir inkstams, taigi gydytojas turės stebėti Jūsų inkstų ir kepenų funkciją (tirti kraują). Jeigu skauda pilvą ar pakito išmatų konsistencija, kreipkitės į gydytoją.</w:t>
      </w:r>
    </w:p>
    <w:p w14:paraId="0E713F01"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98ABB0B" w14:textId="77777777" w:rsidR="002F3324" w:rsidRPr="00534C57" w:rsidRDefault="002F3324" w:rsidP="002F3324">
      <w:pPr>
        <w:spacing w:after="0" w:line="240" w:lineRule="auto"/>
        <w:ind w:right="-20"/>
        <w:rPr>
          <w:rFonts w:ascii="Times New Roman" w:eastAsia="Times New Roman" w:hAnsi="Times New Roman"/>
        </w:rPr>
      </w:pPr>
      <w:r w:rsidRPr="00534C57">
        <w:rPr>
          <w:rFonts w:ascii="Times New Roman" w:eastAsia="Times New Roman" w:hAnsi="Times New Roman"/>
        </w:rPr>
        <w:t xml:space="preserve">Buvo pranešta apie odos vėžį pacientams, kurie ilgą laiką </w:t>
      </w:r>
      <w:r w:rsidR="006E0B25">
        <w:rPr>
          <w:rFonts w:ascii="Times New Roman" w:eastAsia="Times New Roman" w:hAnsi="Times New Roman"/>
        </w:rPr>
        <w:t>buvo gydomi</w:t>
      </w:r>
      <w:r w:rsidR="006E0B25" w:rsidRPr="00534C57">
        <w:rPr>
          <w:rFonts w:ascii="Times New Roman" w:eastAsia="Times New Roman" w:hAnsi="Times New Roman"/>
        </w:rPr>
        <w:t xml:space="preserve"> </w:t>
      </w:r>
      <w:r w:rsidRPr="00534C57">
        <w:rPr>
          <w:rFonts w:ascii="Times New Roman" w:eastAsia="Times New Roman" w:hAnsi="Times New Roman"/>
        </w:rPr>
        <w:t>vorikonazolu</w:t>
      </w:r>
      <w:r w:rsidR="00C05112">
        <w:rPr>
          <w:rFonts w:ascii="Times New Roman" w:eastAsia="Times New Roman" w:hAnsi="Times New Roman"/>
        </w:rPr>
        <w:t xml:space="preserve"> (žr. antrą skyrių)</w:t>
      </w:r>
      <w:r w:rsidRPr="00534C57">
        <w:rPr>
          <w:rFonts w:ascii="Times New Roman" w:eastAsia="Times New Roman" w:hAnsi="Times New Roman"/>
        </w:rPr>
        <w:t>.</w:t>
      </w:r>
    </w:p>
    <w:p w14:paraId="4A3658E1" w14:textId="77777777" w:rsidR="002F3324" w:rsidRPr="00534C57" w:rsidRDefault="002F3324" w:rsidP="002F3324">
      <w:pPr>
        <w:spacing w:after="0" w:line="240" w:lineRule="auto"/>
        <w:rPr>
          <w:rFonts w:ascii="Times New Roman" w:hAnsi="Times New Roman"/>
        </w:rPr>
      </w:pPr>
    </w:p>
    <w:p w14:paraId="21FC9F4F" w14:textId="77777777" w:rsidR="002F3324" w:rsidRPr="00534C57" w:rsidRDefault="002F3324" w:rsidP="002F3324">
      <w:pPr>
        <w:spacing w:after="0" w:line="240" w:lineRule="auto"/>
        <w:ind w:right="123"/>
        <w:rPr>
          <w:rFonts w:ascii="Times New Roman" w:eastAsia="Times New Roman" w:hAnsi="Times New Roman"/>
        </w:rPr>
      </w:pPr>
      <w:r w:rsidRPr="00534C57">
        <w:rPr>
          <w:rFonts w:ascii="Times New Roman" w:eastAsia="Times New Roman" w:hAnsi="Times New Roman"/>
        </w:rPr>
        <w:t xml:space="preserve">Saulės nudegimus ar sunkias odos reakcijas pabuvus šviesoje ar saulėje dažniau patyrė vaikai. Jeigu </w:t>
      </w:r>
      <w:r w:rsidRPr="00534C57">
        <w:rPr>
          <w:rFonts w:ascii="Times New Roman" w:eastAsia="Times New Roman" w:hAnsi="Times New Roman"/>
          <w:spacing w:val="1"/>
        </w:rPr>
        <w:t>Ju</w:t>
      </w:r>
      <w:r w:rsidRPr="00534C57">
        <w:rPr>
          <w:rFonts w:ascii="Times New Roman" w:eastAsia="Times New Roman" w:hAnsi="Times New Roman"/>
          <w:spacing w:val="-4"/>
        </w:rPr>
        <w:t>m</w:t>
      </w:r>
      <w:r w:rsidRPr="00534C57">
        <w:rPr>
          <w:rFonts w:ascii="Times New Roman" w:eastAsia="Times New Roman" w:hAnsi="Times New Roman"/>
        </w:rPr>
        <w:t>s</w:t>
      </w:r>
      <w:r w:rsidRPr="00534C57">
        <w:rPr>
          <w:rFonts w:ascii="Times New Roman" w:eastAsia="Times New Roman" w:hAnsi="Times New Roman"/>
          <w:spacing w:val="-1"/>
        </w:rPr>
        <w:t xml:space="preserve"> </w:t>
      </w:r>
      <w:r w:rsidRPr="00534C57">
        <w:rPr>
          <w:rFonts w:ascii="Times New Roman" w:eastAsia="Times New Roman" w:hAnsi="Times New Roman"/>
        </w:rPr>
        <w:t>ar</w:t>
      </w:r>
      <w:r w:rsidRPr="00534C57">
        <w:rPr>
          <w:rFonts w:ascii="Times New Roman" w:eastAsia="Times New Roman" w:hAnsi="Times New Roman"/>
          <w:spacing w:val="-1"/>
        </w:rPr>
        <w:t xml:space="preserve"> </w:t>
      </w:r>
      <w:r w:rsidRPr="00534C57">
        <w:rPr>
          <w:rFonts w:ascii="Times New Roman" w:eastAsia="Times New Roman" w:hAnsi="Times New Roman"/>
        </w:rPr>
        <w:t>Jūsų</w:t>
      </w:r>
      <w:r w:rsidRPr="00534C57">
        <w:rPr>
          <w:rFonts w:ascii="Times New Roman" w:eastAsia="Times New Roman" w:hAnsi="Times New Roman"/>
          <w:spacing w:val="-1"/>
        </w:rPr>
        <w:t xml:space="preserve"> </w:t>
      </w:r>
      <w:r w:rsidRPr="00534C57">
        <w:rPr>
          <w:rFonts w:ascii="Times New Roman" w:eastAsia="Times New Roman" w:hAnsi="Times New Roman"/>
        </w:rPr>
        <w:t>vaikui atsiranda odos sutrikimų, Jūsų gydytojas gali Jus nukreipti pas dermatologą, kuris po konsultacijos gali nuspręsti, kad Jums ar Jūsų vaikui svarbu reguliariai pas jį lankytis.</w:t>
      </w:r>
      <w:r w:rsidR="00906A72" w:rsidRPr="00534C57">
        <w:rPr>
          <w:rFonts w:ascii="Times New Roman" w:eastAsia="Times New Roman" w:hAnsi="Times New Roman"/>
        </w:rPr>
        <w:t xml:space="preserve"> Vaikams taip pat dažniau pastebėtas kepenų fermentų</w:t>
      </w:r>
      <w:r w:rsidR="00906A72" w:rsidRPr="00534C57">
        <w:rPr>
          <w:rFonts w:ascii="Times New Roman" w:eastAsia="Times New Roman" w:hAnsi="Times New Roman"/>
          <w:spacing w:val="-1"/>
        </w:rPr>
        <w:t xml:space="preserve"> aktyvum</w:t>
      </w:r>
      <w:r w:rsidR="00906A72" w:rsidRPr="00534C57">
        <w:rPr>
          <w:rFonts w:ascii="Times New Roman" w:eastAsia="Times New Roman" w:hAnsi="Times New Roman"/>
        </w:rPr>
        <w:t>o pa</w:t>
      </w:r>
      <w:r w:rsidR="00906A72" w:rsidRPr="00534C57">
        <w:rPr>
          <w:rFonts w:ascii="Times New Roman" w:eastAsia="Times New Roman" w:hAnsi="Times New Roman"/>
          <w:spacing w:val="1"/>
        </w:rPr>
        <w:t>di</w:t>
      </w:r>
      <w:r w:rsidR="00906A72" w:rsidRPr="00534C57">
        <w:rPr>
          <w:rFonts w:ascii="Times New Roman" w:eastAsia="Times New Roman" w:hAnsi="Times New Roman"/>
        </w:rPr>
        <w:t>dėjimas.</w:t>
      </w:r>
    </w:p>
    <w:p w14:paraId="73785EE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BDECA5E"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bet kuris minėtas šalutinis poveikis išlieka arba sunkėja, reikia pasakyti gydytojui.</w:t>
      </w:r>
    </w:p>
    <w:p w14:paraId="5D06665E" w14:textId="77777777" w:rsidR="002F3324" w:rsidRPr="00534C57" w:rsidRDefault="002F3324" w:rsidP="002F3324">
      <w:pPr>
        <w:autoSpaceDE w:val="0"/>
        <w:autoSpaceDN w:val="0"/>
        <w:adjustRightInd w:val="0"/>
        <w:spacing w:after="0" w:line="240" w:lineRule="auto"/>
        <w:rPr>
          <w:rFonts w:ascii="Times New Roman" w:hAnsi="Times New Roman"/>
          <w:b/>
          <w:noProof/>
        </w:rPr>
      </w:pPr>
    </w:p>
    <w:p w14:paraId="5992057B"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b/>
          <w:noProof/>
        </w:rPr>
        <w:t>Pranešimas apie šalutinį poveikį</w:t>
      </w:r>
    </w:p>
    <w:p w14:paraId="51E917A6" w14:textId="2D510388" w:rsidR="009E758A" w:rsidRPr="009E758A" w:rsidRDefault="009E758A" w:rsidP="009E758A">
      <w:pPr>
        <w:tabs>
          <w:tab w:val="left" w:pos="567"/>
        </w:tabs>
        <w:spacing w:line="260" w:lineRule="exact"/>
        <w:ind w:right="-1"/>
        <w:rPr>
          <w:rFonts w:ascii="Times New Roman" w:hAnsi="Times New Roman"/>
        </w:rPr>
      </w:pPr>
      <w:r w:rsidRPr="009E758A">
        <w:rPr>
          <w:rFonts w:ascii="Times New Roman" w:hAnsi="Times New Roman"/>
        </w:rPr>
        <w:t>Jeigu pasireiškė šalutinis poveikis, įskaitant šiame lapelyje nenurodytą, pasakykite gydytojui</w:t>
      </w:r>
      <w:r>
        <w:rPr>
          <w:rFonts w:ascii="Times New Roman" w:hAnsi="Times New Roman"/>
        </w:rPr>
        <w:t>,</w:t>
      </w:r>
      <w:r w:rsidRPr="009E758A">
        <w:rPr>
          <w:rFonts w:ascii="Times New Roman" w:hAnsi="Times New Roman"/>
        </w:rPr>
        <w:t xml:space="preserve"> vaistininkui arba slaugytojui. </w:t>
      </w:r>
      <w:r w:rsidR="00703174" w:rsidRPr="00FE7B76">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r w:rsidR="00703174" w:rsidRPr="00FE7B76">
        <w:rPr>
          <w:rFonts w:ascii="Times New Roman" w:hAnsi="Times New Roman"/>
          <w:color w:val="0000EE"/>
          <w:u w:val="single"/>
          <w:lang w:eastAsia="lt-LT"/>
        </w:rPr>
        <w:t>https://vvkt.lrv.lt/lt/</w:t>
      </w:r>
      <w:r w:rsidR="00703174" w:rsidRPr="00FE7B76">
        <w:rPr>
          <w:rFonts w:ascii="Times New Roman" w:hAnsi="Times New Roman"/>
          <w:lang w:eastAsia="lt-LT"/>
        </w:rPr>
        <w:t xml:space="preserve"> nurodytais būdais arba paskambinti nemokamu telefonu 8 800 73 568. Pranešdami apie šalutinį poveikį galite mums padėti gauti daugiau informacijos apie šio vaisto saugumą</w:t>
      </w:r>
      <w:r w:rsidRPr="009E758A">
        <w:rPr>
          <w:rFonts w:ascii="Times New Roman" w:hAnsi="Times New Roman"/>
        </w:rPr>
        <w:t>.</w:t>
      </w:r>
    </w:p>
    <w:p w14:paraId="763D1E95" w14:textId="77777777" w:rsidR="002F3324" w:rsidRPr="00534C57" w:rsidRDefault="002F3324" w:rsidP="002F3324">
      <w:pPr>
        <w:spacing w:after="0" w:line="240" w:lineRule="auto"/>
        <w:rPr>
          <w:rFonts w:ascii="Times New Roman" w:hAnsi="Times New Roman"/>
          <w:b/>
        </w:rPr>
      </w:pPr>
    </w:p>
    <w:p w14:paraId="21CB2DD2"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0AA99627" w14:textId="77777777" w:rsidR="002F3324" w:rsidRPr="00534C57" w:rsidRDefault="002F3324" w:rsidP="002F3324">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5. </w:t>
      </w:r>
      <w:r w:rsidRPr="00534C57">
        <w:rPr>
          <w:rFonts w:ascii="Times New Roman" w:hAnsi="Times New Roman"/>
          <w:b/>
          <w:bCs/>
          <w:color w:val="000000"/>
        </w:rPr>
        <w:tab/>
        <w:t xml:space="preserve">Kaip laikyti </w:t>
      </w:r>
      <w:r w:rsidRPr="00534C57">
        <w:rPr>
          <w:rFonts w:ascii="Times New Roman" w:hAnsi="Times New Roman"/>
          <w:b/>
          <w:color w:val="000000"/>
        </w:rPr>
        <w:t xml:space="preserve">Voriconazole Teva </w:t>
      </w:r>
    </w:p>
    <w:p w14:paraId="26F206E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DFE756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Šį vaistą laikykite vaikams nepastebimoje ir nepasiekiamoje vietoje.</w:t>
      </w:r>
    </w:p>
    <w:p w14:paraId="15EAA27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6567BC5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Ant lizdinės plokštelės </w:t>
      </w:r>
      <w:r w:rsidR="00152B26" w:rsidRPr="00534C57">
        <w:rPr>
          <w:rFonts w:ascii="Times New Roman" w:hAnsi="Times New Roman"/>
          <w:color w:val="000000"/>
        </w:rPr>
        <w:t xml:space="preserve">ar </w:t>
      </w:r>
      <w:r w:rsidRPr="00534C57">
        <w:rPr>
          <w:rFonts w:ascii="Times New Roman" w:hAnsi="Times New Roman"/>
          <w:color w:val="000000"/>
        </w:rPr>
        <w:t>dėžutės po „</w:t>
      </w:r>
      <w:r w:rsidRPr="00E50BA2">
        <w:rPr>
          <w:rFonts w:ascii="Times New Roman" w:hAnsi="Times New Roman"/>
          <w:color w:val="000000"/>
          <w:highlight w:val="lightGray"/>
        </w:rPr>
        <w:t>Tinka iki</w:t>
      </w:r>
      <w:r w:rsidRPr="00534C57">
        <w:rPr>
          <w:rFonts w:ascii="Times New Roman" w:hAnsi="Times New Roman"/>
          <w:color w:val="000000"/>
        </w:rPr>
        <w:t>/EXP“ nurodytam tinkamumo laikui pasibaigus, šio vaisto vartoti negalima. Vaistas tinkamas vartoti iki paskutinės nurodyto mėnesio dienos.</w:t>
      </w:r>
    </w:p>
    <w:p w14:paraId="57B070C0"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6E26339"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Šiam vaistui specialių laikymo sąlygų nereikia.</w:t>
      </w:r>
    </w:p>
    <w:p w14:paraId="560543A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2300E4C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Vaistų negalima išmesti į kanalizaciją arba su buitinėmis atliekomis. Kaip išmesti nereikalingus vaistus, klauskite vaistininko. Šios priemonės padės apsaugoti aplinką.</w:t>
      </w:r>
    </w:p>
    <w:p w14:paraId="7455D6AC"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C1974A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179D015D" w14:textId="77777777" w:rsidR="002F3324" w:rsidRPr="00534C57" w:rsidRDefault="002F3324" w:rsidP="002F3324">
      <w:pPr>
        <w:tabs>
          <w:tab w:val="left" w:pos="567"/>
        </w:tabs>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 xml:space="preserve">6. </w:t>
      </w:r>
      <w:r w:rsidRPr="00534C57">
        <w:rPr>
          <w:rFonts w:ascii="Times New Roman" w:hAnsi="Times New Roman"/>
          <w:b/>
          <w:bCs/>
          <w:color w:val="000000"/>
        </w:rPr>
        <w:tab/>
        <w:t>Pakuotės turinys ir kita informacija</w:t>
      </w:r>
    </w:p>
    <w:p w14:paraId="7D4A0654" w14:textId="77777777" w:rsidR="002F3324" w:rsidRPr="00534C57" w:rsidRDefault="002F3324" w:rsidP="002F3324">
      <w:pPr>
        <w:autoSpaceDE w:val="0"/>
        <w:autoSpaceDN w:val="0"/>
        <w:adjustRightInd w:val="0"/>
        <w:spacing w:after="0" w:line="240" w:lineRule="auto"/>
        <w:rPr>
          <w:rFonts w:ascii="Times New Roman" w:hAnsi="Times New Roman"/>
          <w:b/>
          <w:color w:val="000000"/>
        </w:rPr>
      </w:pPr>
    </w:p>
    <w:p w14:paraId="1BE1B18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color w:val="000000"/>
        </w:rPr>
        <w:t>Voriconazole Teva</w:t>
      </w:r>
      <w:r w:rsidRPr="00534C57">
        <w:rPr>
          <w:rFonts w:ascii="Times New Roman" w:hAnsi="Times New Roman"/>
          <w:b/>
          <w:bCs/>
          <w:color w:val="000000"/>
        </w:rPr>
        <w:t xml:space="preserve"> sudėtis</w:t>
      </w:r>
    </w:p>
    <w:p w14:paraId="3C64B9B3" w14:textId="77777777" w:rsidR="002F3324" w:rsidRPr="00534C57" w:rsidRDefault="002F3324" w:rsidP="002F3324">
      <w:pPr>
        <w:spacing w:after="0" w:line="240" w:lineRule="auto"/>
        <w:rPr>
          <w:rFonts w:ascii="Times New Roman" w:hAnsi="Times New Roman"/>
          <w:noProof/>
        </w:rPr>
      </w:pPr>
    </w:p>
    <w:p w14:paraId="7F34D533" w14:textId="77777777" w:rsidR="002F3324" w:rsidRPr="00951727" w:rsidRDefault="002F3324" w:rsidP="00451C7F">
      <w:pPr>
        <w:pStyle w:val="Sraopastraipa"/>
        <w:numPr>
          <w:ilvl w:val="0"/>
          <w:numId w:val="24"/>
        </w:numPr>
        <w:autoSpaceDE w:val="0"/>
        <w:autoSpaceDN w:val="0"/>
        <w:adjustRightInd w:val="0"/>
        <w:spacing w:after="0" w:line="240" w:lineRule="auto"/>
        <w:ind w:left="567" w:hanging="567"/>
        <w:rPr>
          <w:rFonts w:ascii="Times New Roman" w:hAnsi="Times New Roman"/>
          <w:color w:val="000000"/>
        </w:rPr>
      </w:pPr>
      <w:r w:rsidRPr="00951727">
        <w:rPr>
          <w:rFonts w:ascii="Times New Roman" w:hAnsi="Times New Roman"/>
          <w:color w:val="000000"/>
        </w:rPr>
        <w:t>Veiklioji medžiaga yra vorikonazolas. Kiekvienoje tabletėje yra 200</w:t>
      </w:r>
      <w:r w:rsidR="00A46711">
        <w:rPr>
          <w:rFonts w:ascii="Times New Roman" w:hAnsi="Times New Roman"/>
          <w:color w:val="000000"/>
        </w:rPr>
        <w:t> </w:t>
      </w:r>
      <w:r w:rsidRPr="00951727">
        <w:rPr>
          <w:rFonts w:ascii="Times New Roman" w:hAnsi="Times New Roman"/>
          <w:color w:val="000000"/>
        </w:rPr>
        <w:t>mg vorikonazolo.</w:t>
      </w:r>
    </w:p>
    <w:p w14:paraId="28E4092E" w14:textId="77777777" w:rsidR="002F3324" w:rsidRPr="00534C57" w:rsidRDefault="002F3324" w:rsidP="00451C7F">
      <w:pPr>
        <w:autoSpaceDE w:val="0"/>
        <w:autoSpaceDN w:val="0"/>
        <w:adjustRightInd w:val="0"/>
        <w:spacing w:after="0" w:line="240" w:lineRule="auto"/>
        <w:ind w:left="567" w:hanging="567"/>
        <w:rPr>
          <w:rFonts w:ascii="Times New Roman" w:hAnsi="Times New Roman"/>
          <w:color w:val="000000"/>
        </w:rPr>
      </w:pPr>
    </w:p>
    <w:p w14:paraId="4F40E2BB" w14:textId="77777777" w:rsidR="002F3324" w:rsidRPr="00951727" w:rsidRDefault="002F3324" w:rsidP="00451C7F">
      <w:pPr>
        <w:pStyle w:val="Sraopastraipa"/>
        <w:numPr>
          <w:ilvl w:val="0"/>
          <w:numId w:val="24"/>
        </w:numPr>
        <w:autoSpaceDE w:val="0"/>
        <w:autoSpaceDN w:val="0"/>
        <w:adjustRightInd w:val="0"/>
        <w:spacing w:after="0" w:line="240" w:lineRule="auto"/>
        <w:ind w:left="567" w:hanging="567"/>
        <w:rPr>
          <w:rFonts w:ascii="Times New Roman" w:hAnsi="Times New Roman"/>
          <w:b/>
          <w:color w:val="000000"/>
        </w:rPr>
      </w:pPr>
      <w:r w:rsidRPr="00951727">
        <w:rPr>
          <w:rFonts w:ascii="Times New Roman" w:hAnsi="Times New Roman"/>
        </w:rPr>
        <w:t>Pagalbinės medžiagos yra laktozė monohidratas (žr. 2 skyrių „</w:t>
      </w:r>
      <w:r w:rsidRPr="00951727">
        <w:rPr>
          <w:rFonts w:ascii="Times New Roman" w:hAnsi="Times New Roman"/>
          <w:color w:val="000000"/>
        </w:rPr>
        <w:t>Voriconazole Teva</w:t>
      </w:r>
      <w:r w:rsidRPr="00951727">
        <w:rPr>
          <w:rFonts w:ascii="Times New Roman" w:hAnsi="Times New Roman"/>
          <w:bCs/>
          <w:color w:val="000000"/>
        </w:rPr>
        <w:t xml:space="preserve"> sudėtyje yra laktozės“</w:t>
      </w:r>
      <w:r w:rsidRPr="00951727">
        <w:rPr>
          <w:rFonts w:ascii="Times New Roman" w:hAnsi="Times New Roman"/>
        </w:rPr>
        <w:t>), kroskarmeliozės natrio druska, povidonas K 25, pregelifikuotas kukurūzų krakmolas, magnio stearatas, hipromeliozė 5</w:t>
      </w:r>
      <w:r w:rsidR="00451C7F">
        <w:rPr>
          <w:rFonts w:ascii="Times New Roman" w:hAnsi="Times New Roman"/>
        </w:rPr>
        <w:t> </w:t>
      </w:r>
      <w:r w:rsidRPr="00951727">
        <w:rPr>
          <w:rFonts w:ascii="Times New Roman" w:hAnsi="Times New Roman"/>
        </w:rPr>
        <w:t>mPa·s, glicerolis (85%), titano dioksidas (E</w:t>
      </w:r>
      <w:r w:rsidR="00A46711">
        <w:rPr>
          <w:rFonts w:ascii="Times New Roman" w:hAnsi="Times New Roman"/>
        </w:rPr>
        <w:t> </w:t>
      </w:r>
      <w:r w:rsidRPr="00951727">
        <w:rPr>
          <w:rFonts w:ascii="Times New Roman" w:hAnsi="Times New Roman"/>
        </w:rPr>
        <w:t>171).</w:t>
      </w:r>
    </w:p>
    <w:p w14:paraId="0747028B" w14:textId="77777777" w:rsidR="002F3324" w:rsidRPr="00534C57" w:rsidRDefault="002F3324" w:rsidP="00451C7F">
      <w:pPr>
        <w:autoSpaceDE w:val="0"/>
        <w:autoSpaceDN w:val="0"/>
        <w:adjustRightInd w:val="0"/>
        <w:spacing w:after="0" w:line="240" w:lineRule="auto"/>
        <w:ind w:left="567" w:hanging="567"/>
        <w:rPr>
          <w:rFonts w:ascii="Times New Roman" w:hAnsi="Times New Roman"/>
          <w:b/>
          <w:color w:val="000000"/>
        </w:rPr>
      </w:pPr>
    </w:p>
    <w:p w14:paraId="4A39437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color w:val="000000"/>
        </w:rPr>
        <w:t>Voriconazole Teva</w:t>
      </w:r>
      <w:r w:rsidRPr="00534C57">
        <w:rPr>
          <w:rFonts w:ascii="Times New Roman" w:hAnsi="Times New Roman"/>
          <w:b/>
          <w:bCs/>
          <w:color w:val="000000"/>
        </w:rPr>
        <w:t xml:space="preserve"> išvaizda ir kiekis pakuotėje</w:t>
      </w:r>
    </w:p>
    <w:p w14:paraId="11DE3C8C" w14:textId="77777777" w:rsidR="002F3324" w:rsidRPr="00534C57" w:rsidRDefault="002F3324" w:rsidP="002F3324">
      <w:pPr>
        <w:autoSpaceDE w:val="0"/>
        <w:autoSpaceDN w:val="0"/>
        <w:adjustRightInd w:val="0"/>
        <w:spacing w:after="0" w:line="240" w:lineRule="auto"/>
        <w:rPr>
          <w:rFonts w:ascii="Times New Roman" w:hAnsi="Times New Roman"/>
          <w:bCs/>
          <w:color w:val="000000"/>
        </w:rPr>
      </w:pPr>
    </w:p>
    <w:p w14:paraId="15C5743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Voriconazole Teva yra baltos pailgos plėvele dengtos tabletės (dydis apie 17,2 mm x 7,2</w:t>
      </w:r>
      <w:r w:rsidR="00A46711">
        <w:rPr>
          <w:rFonts w:ascii="Times New Roman" w:hAnsi="Times New Roman"/>
          <w:color w:val="000000"/>
        </w:rPr>
        <w:t> </w:t>
      </w:r>
      <w:r w:rsidRPr="00534C57">
        <w:rPr>
          <w:rFonts w:ascii="Times New Roman" w:hAnsi="Times New Roman"/>
          <w:color w:val="000000"/>
        </w:rPr>
        <w:t>mm), kurių vienoje pusėje įspaustas ženklas ,,V”, kitoje – ,,200”.</w:t>
      </w:r>
    </w:p>
    <w:p w14:paraId="5307518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ACF2D5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Voriconazole Teva tiekiamas PVC / aliuminio lizdinių plokštelių </w:t>
      </w:r>
      <w:r w:rsidR="009512CF">
        <w:rPr>
          <w:rFonts w:ascii="Times New Roman" w:hAnsi="Times New Roman"/>
          <w:color w:val="000000"/>
        </w:rPr>
        <w:t xml:space="preserve">arba dalomųjų lizdinių plokštelių </w:t>
      </w:r>
      <w:r w:rsidRPr="00534C57">
        <w:rPr>
          <w:rFonts w:ascii="Times New Roman" w:hAnsi="Times New Roman"/>
          <w:color w:val="000000"/>
        </w:rPr>
        <w:t xml:space="preserve">pakuotėse po 2, 10, 14, 20, 28, 30, 50, 56, 98 arba 100 plėvele dengtų tablečių. </w:t>
      </w:r>
    </w:p>
    <w:p w14:paraId="590C1EA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100CCA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Gali būti tiekiamos ne visų dydžių pakuotės.</w:t>
      </w:r>
    </w:p>
    <w:p w14:paraId="56B7F04B"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98A4DFA"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r w:rsidRPr="00534C57">
        <w:rPr>
          <w:rFonts w:ascii="Times New Roman" w:hAnsi="Times New Roman"/>
          <w:b/>
          <w:bCs/>
          <w:color w:val="000000"/>
        </w:rPr>
        <w:t>Registruotojas ir gamintojas</w:t>
      </w:r>
    </w:p>
    <w:p w14:paraId="79DE5CC3" w14:textId="77777777" w:rsidR="002F3324" w:rsidRPr="00534C57" w:rsidRDefault="002F3324" w:rsidP="002F3324">
      <w:pPr>
        <w:spacing w:after="0" w:line="240" w:lineRule="auto"/>
        <w:rPr>
          <w:rFonts w:ascii="Times New Roman" w:hAnsi="Times New Roman"/>
          <w:lang w:eastAsia="lt-LT"/>
        </w:rPr>
      </w:pPr>
    </w:p>
    <w:p w14:paraId="6299A916" w14:textId="77777777" w:rsidR="002F3324" w:rsidRPr="00534C57" w:rsidRDefault="002F3324" w:rsidP="002F3324">
      <w:pPr>
        <w:spacing w:after="0" w:line="240" w:lineRule="auto"/>
        <w:rPr>
          <w:rFonts w:ascii="Times New Roman" w:hAnsi="Times New Roman"/>
          <w:i/>
          <w:lang w:eastAsia="lt-LT"/>
        </w:rPr>
      </w:pPr>
      <w:r w:rsidRPr="00534C57">
        <w:rPr>
          <w:rFonts w:ascii="Times New Roman" w:hAnsi="Times New Roman"/>
          <w:i/>
          <w:lang w:eastAsia="lt-LT"/>
        </w:rPr>
        <w:t>Registruotojas</w:t>
      </w:r>
    </w:p>
    <w:p w14:paraId="3BF8A1C3" w14:textId="77777777" w:rsidR="002F3324" w:rsidRPr="00534C57" w:rsidRDefault="002F3324" w:rsidP="002F3324">
      <w:pPr>
        <w:spacing w:after="0" w:line="240" w:lineRule="auto"/>
        <w:rPr>
          <w:rFonts w:ascii="Times New Roman" w:hAnsi="Times New Roman"/>
          <w:lang w:eastAsia="lt-LT"/>
        </w:rPr>
      </w:pPr>
      <w:r w:rsidRPr="00534C57">
        <w:rPr>
          <w:rFonts w:ascii="Times New Roman" w:hAnsi="Times New Roman"/>
          <w:lang w:eastAsia="lt-LT"/>
        </w:rPr>
        <w:lastRenderedPageBreak/>
        <w:t>Teva Pharma B.V.</w:t>
      </w:r>
    </w:p>
    <w:p w14:paraId="4C62777A" w14:textId="77777777" w:rsidR="002F3324" w:rsidRPr="00534C57" w:rsidRDefault="002F3324" w:rsidP="002F3324">
      <w:pPr>
        <w:spacing w:after="0" w:line="240" w:lineRule="auto"/>
        <w:rPr>
          <w:rFonts w:ascii="Times New Roman" w:eastAsia="Times New Roman" w:hAnsi="Times New Roman"/>
          <w:lang w:eastAsia="de-DE"/>
        </w:rPr>
      </w:pPr>
      <w:r w:rsidRPr="00534C57">
        <w:rPr>
          <w:rFonts w:ascii="Times New Roman" w:eastAsia="Times New Roman" w:hAnsi="Times New Roman"/>
          <w:lang w:eastAsia="de-DE"/>
        </w:rPr>
        <w:t>Swensweg 5</w:t>
      </w:r>
    </w:p>
    <w:p w14:paraId="788E61A7" w14:textId="77777777" w:rsidR="002F3324" w:rsidRPr="00534C57" w:rsidRDefault="002F3324" w:rsidP="002F3324">
      <w:pPr>
        <w:spacing w:after="0" w:line="240" w:lineRule="auto"/>
        <w:rPr>
          <w:rFonts w:ascii="Times New Roman" w:eastAsia="Times New Roman" w:hAnsi="Times New Roman"/>
          <w:lang w:eastAsia="de-DE"/>
        </w:rPr>
      </w:pPr>
      <w:r w:rsidRPr="00534C57">
        <w:rPr>
          <w:rFonts w:ascii="Times New Roman" w:eastAsia="Times New Roman" w:hAnsi="Times New Roman"/>
          <w:lang w:eastAsia="de-DE"/>
        </w:rPr>
        <w:t>2031 GA Haarlem</w:t>
      </w:r>
    </w:p>
    <w:p w14:paraId="094537CF" w14:textId="77777777" w:rsidR="002F3324" w:rsidRPr="00534C57" w:rsidRDefault="002F3324" w:rsidP="002F3324">
      <w:pPr>
        <w:spacing w:after="0" w:line="240" w:lineRule="auto"/>
        <w:rPr>
          <w:rFonts w:ascii="Times New Roman" w:hAnsi="Times New Roman"/>
          <w:lang w:eastAsia="lt-LT"/>
        </w:rPr>
      </w:pPr>
      <w:r w:rsidRPr="00534C57">
        <w:rPr>
          <w:rFonts w:ascii="Times New Roman" w:hAnsi="Times New Roman"/>
          <w:lang w:eastAsia="lt-LT"/>
        </w:rPr>
        <w:t>Nyderlandai</w:t>
      </w:r>
    </w:p>
    <w:p w14:paraId="3F7AC8A8" w14:textId="77777777" w:rsidR="002F3324" w:rsidRPr="00534C57" w:rsidRDefault="002F3324" w:rsidP="002F3324">
      <w:pPr>
        <w:autoSpaceDE w:val="0"/>
        <w:autoSpaceDN w:val="0"/>
        <w:adjustRightInd w:val="0"/>
        <w:spacing w:after="0" w:line="240" w:lineRule="auto"/>
        <w:rPr>
          <w:rFonts w:ascii="Times New Roman" w:hAnsi="Times New Roman"/>
          <w:b/>
          <w:bCs/>
          <w:color w:val="000000"/>
        </w:rPr>
      </w:pPr>
    </w:p>
    <w:p w14:paraId="6470A14E" w14:textId="77777777" w:rsidR="002F3324" w:rsidRPr="00534C57" w:rsidRDefault="00FE3972" w:rsidP="002F3324">
      <w:pPr>
        <w:autoSpaceDE w:val="0"/>
        <w:autoSpaceDN w:val="0"/>
        <w:adjustRightInd w:val="0"/>
        <w:spacing w:after="0" w:line="240" w:lineRule="auto"/>
        <w:rPr>
          <w:rFonts w:ascii="Times New Roman" w:hAnsi="Times New Roman"/>
          <w:bCs/>
          <w:i/>
          <w:color w:val="000000"/>
        </w:rPr>
      </w:pPr>
      <w:r w:rsidRPr="00534C57">
        <w:rPr>
          <w:rFonts w:ascii="Times New Roman" w:hAnsi="Times New Roman"/>
          <w:bCs/>
          <w:i/>
          <w:color w:val="000000"/>
        </w:rPr>
        <w:t>Gamintoja</w:t>
      </w:r>
      <w:r>
        <w:rPr>
          <w:rFonts w:ascii="Times New Roman" w:hAnsi="Times New Roman"/>
          <w:bCs/>
          <w:i/>
          <w:color w:val="000000"/>
        </w:rPr>
        <w:t>s</w:t>
      </w:r>
    </w:p>
    <w:p w14:paraId="4FE92A17"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Merckle GmbH</w:t>
      </w:r>
    </w:p>
    <w:p w14:paraId="3F009EC1"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Ludwig-Merckle-Str. 3</w:t>
      </w:r>
    </w:p>
    <w:p w14:paraId="15D72942"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89143 Blaubeuren</w:t>
      </w:r>
    </w:p>
    <w:p w14:paraId="7A5685F7"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Vokietija</w:t>
      </w:r>
    </w:p>
    <w:p w14:paraId="645E4F63" w14:textId="77777777" w:rsidR="002F3324" w:rsidRPr="00534C57" w:rsidRDefault="002F3324" w:rsidP="002F3324">
      <w:pPr>
        <w:autoSpaceDE w:val="0"/>
        <w:autoSpaceDN w:val="0"/>
        <w:spacing w:after="0" w:line="240" w:lineRule="auto"/>
        <w:rPr>
          <w:rFonts w:ascii="Times New Roman" w:hAnsi="Times New Roman"/>
          <w:lang w:eastAsia="lt-LT"/>
        </w:rPr>
      </w:pPr>
    </w:p>
    <w:p w14:paraId="11187025"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14:paraId="7192F37C" w14:textId="77777777" w:rsidR="002F3324" w:rsidRPr="00534C57" w:rsidRDefault="002F3324" w:rsidP="002F3324">
      <w:pPr>
        <w:autoSpaceDE w:val="0"/>
        <w:autoSpaceDN w:val="0"/>
        <w:spacing w:after="0" w:line="240" w:lineRule="auto"/>
        <w:rPr>
          <w:rFonts w:ascii="Times New Roman" w:hAnsi="Times New Roman"/>
          <w:lang w:eastAsia="lt-LT"/>
        </w:rPr>
      </w:pPr>
    </w:p>
    <w:p w14:paraId="2D93D728"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TEVA Pharmaceutical Works Private Limited Company</w:t>
      </w:r>
    </w:p>
    <w:p w14:paraId="1BB1DDCB"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Pallagi út 13</w:t>
      </w:r>
    </w:p>
    <w:p w14:paraId="11967A6F"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4042 Debrecen</w:t>
      </w:r>
    </w:p>
    <w:p w14:paraId="54E3A4F4"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Vengrija</w:t>
      </w:r>
    </w:p>
    <w:p w14:paraId="3C3BFA0F" w14:textId="77777777" w:rsidR="002F3324" w:rsidRPr="00534C57" w:rsidRDefault="002F3324" w:rsidP="002F3324">
      <w:pPr>
        <w:autoSpaceDE w:val="0"/>
        <w:autoSpaceDN w:val="0"/>
        <w:spacing w:after="0" w:line="240" w:lineRule="auto"/>
        <w:rPr>
          <w:rFonts w:ascii="Times New Roman" w:hAnsi="Times New Roman"/>
          <w:lang w:eastAsia="lt-LT"/>
        </w:rPr>
      </w:pPr>
    </w:p>
    <w:p w14:paraId="63F4EDFC"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14:paraId="465AC2E6" w14:textId="77777777" w:rsidR="002F3324" w:rsidRPr="00534C57" w:rsidRDefault="002F3324" w:rsidP="002F3324">
      <w:pPr>
        <w:autoSpaceDE w:val="0"/>
        <w:autoSpaceDN w:val="0"/>
        <w:spacing w:after="0" w:line="240" w:lineRule="auto"/>
        <w:rPr>
          <w:rFonts w:ascii="Times New Roman" w:hAnsi="Times New Roman"/>
          <w:lang w:eastAsia="lt-LT"/>
        </w:rPr>
      </w:pPr>
    </w:p>
    <w:p w14:paraId="22F3D00B"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Teva Pharmaceuticals Europe B.V.</w:t>
      </w:r>
    </w:p>
    <w:p w14:paraId="7E80EB57"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Swensweg 5</w:t>
      </w:r>
    </w:p>
    <w:p w14:paraId="32D17566"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2031 GA Haarlem</w:t>
      </w:r>
    </w:p>
    <w:p w14:paraId="28918939"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Nyderlandai</w:t>
      </w:r>
    </w:p>
    <w:p w14:paraId="724A07E7" w14:textId="77777777" w:rsidR="002F3324" w:rsidRPr="00534C57" w:rsidRDefault="002F3324" w:rsidP="002F3324">
      <w:pPr>
        <w:autoSpaceDE w:val="0"/>
        <w:autoSpaceDN w:val="0"/>
        <w:spacing w:after="0" w:line="240" w:lineRule="auto"/>
        <w:rPr>
          <w:rFonts w:ascii="Times New Roman" w:hAnsi="Times New Roman"/>
          <w:lang w:eastAsia="lt-LT"/>
        </w:rPr>
      </w:pPr>
    </w:p>
    <w:p w14:paraId="1D1E0B9A"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14:paraId="24AFCEF7" w14:textId="77777777" w:rsidR="002F3324" w:rsidRPr="00534C57" w:rsidRDefault="002F3324" w:rsidP="002F3324">
      <w:pPr>
        <w:autoSpaceDE w:val="0"/>
        <w:autoSpaceDN w:val="0"/>
        <w:spacing w:after="0" w:line="240" w:lineRule="auto"/>
        <w:rPr>
          <w:rFonts w:ascii="Times New Roman" w:hAnsi="Times New Roman"/>
          <w:lang w:eastAsia="lt-LT"/>
        </w:rPr>
      </w:pPr>
    </w:p>
    <w:p w14:paraId="07A3A02B"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TEVA PHARMA S.L.U.</w:t>
      </w:r>
    </w:p>
    <w:p w14:paraId="2B443B35"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C/C, n. 4, Poligono Industrial Malpica</w:t>
      </w:r>
    </w:p>
    <w:p w14:paraId="73A032D2"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50016 Zaragoza</w:t>
      </w:r>
    </w:p>
    <w:p w14:paraId="63CAA8EF"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Ispanija</w:t>
      </w:r>
    </w:p>
    <w:p w14:paraId="70BFC265" w14:textId="77777777" w:rsidR="002F3324" w:rsidRPr="00534C57" w:rsidRDefault="002F3324" w:rsidP="002F3324">
      <w:pPr>
        <w:autoSpaceDE w:val="0"/>
        <w:autoSpaceDN w:val="0"/>
        <w:spacing w:after="0" w:line="240" w:lineRule="auto"/>
        <w:rPr>
          <w:rFonts w:ascii="Times New Roman" w:hAnsi="Times New Roman"/>
          <w:lang w:eastAsia="lt-LT"/>
        </w:rPr>
      </w:pPr>
    </w:p>
    <w:p w14:paraId="07919A46"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14:paraId="77D83363" w14:textId="77777777" w:rsidR="002F3324" w:rsidRPr="00534C57" w:rsidRDefault="002F3324" w:rsidP="002F3324">
      <w:pPr>
        <w:autoSpaceDE w:val="0"/>
        <w:autoSpaceDN w:val="0"/>
        <w:spacing w:after="0" w:line="240" w:lineRule="auto"/>
        <w:rPr>
          <w:rFonts w:ascii="Times New Roman" w:hAnsi="Times New Roman"/>
          <w:lang w:eastAsia="lt-LT"/>
        </w:rPr>
      </w:pPr>
    </w:p>
    <w:p w14:paraId="3C385381"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Teva Operations Poland Sp. z o. o.</w:t>
      </w:r>
    </w:p>
    <w:p w14:paraId="57E83D20"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Mogilska 80 Str. </w:t>
      </w:r>
    </w:p>
    <w:p w14:paraId="037DD67C"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31-546 Kraków</w:t>
      </w:r>
    </w:p>
    <w:p w14:paraId="0D9A0F11"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 xml:space="preserve">Lenkija </w:t>
      </w:r>
    </w:p>
    <w:p w14:paraId="6A40C59B" w14:textId="77777777" w:rsidR="002F3324" w:rsidRPr="00534C57" w:rsidRDefault="002F3324" w:rsidP="002F3324">
      <w:pPr>
        <w:autoSpaceDE w:val="0"/>
        <w:autoSpaceDN w:val="0"/>
        <w:spacing w:after="0" w:line="240" w:lineRule="auto"/>
        <w:rPr>
          <w:rFonts w:ascii="Times New Roman" w:hAnsi="Times New Roman"/>
          <w:lang w:eastAsia="lt-LT"/>
        </w:rPr>
      </w:pPr>
    </w:p>
    <w:p w14:paraId="51E9C19F" w14:textId="77777777" w:rsidR="002F3324" w:rsidRPr="00534C57" w:rsidRDefault="002F3324" w:rsidP="002F3324">
      <w:pPr>
        <w:autoSpaceDE w:val="0"/>
        <w:autoSpaceDN w:val="0"/>
        <w:spacing w:after="0" w:line="240" w:lineRule="auto"/>
        <w:rPr>
          <w:rFonts w:ascii="Times New Roman" w:hAnsi="Times New Roman"/>
          <w:lang w:eastAsia="lt-LT"/>
        </w:rPr>
      </w:pPr>
      <w:r w:rsidRPr="00534C57">
        <w:rPr>
          <w:rFonts w:ascii="Times New Roman" w:hAnsi="Times New Roman"/>
          <w:lang w:eastAsia="lt-LT"/>
        </w:rPr>
        <w:t>arba</w:t>
      </w:r>
    </w:p>
    <w:p w14:paraId="0FB5C356" w14:textId="77777777" w:rsidR="002F3324" w:rsidRPr="00534C57" w:rsidRDefault="002F3324" w:rsidP="002F3324">
      <w:pPr>
        <w:autoSpaceDE w:val="0"/>
        <w:autoSpaceDN w:val="0"/>
        <w:spacing w:after="0" w:line="240" w:lineRule="auto"/>
        <w:ind w:left="74"/>
        <w:rPr>
          <w:rFonts w:ascii="Times New Roman" w:hAnsi="Times New Roman"/>
          <w:lang w:eastAsia="lt-LT"/>
        </w:rPr>
      </w:pPr>
    </w:p>
    <w:p w14:paraId="4B137429"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 xml:space="preserve">PLIVA Croatia Ltd. </w:t>
      </w:r>
    </w:p>
    <w:p w14:paraId="445C3265"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Prilaz baruna Filipovića 25</w:t>
      </w:r>
    </w:p>
    <w:p w14:paraId="20061CF1"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 xml:space="preserve">10000 Zagreb </w:t>
      </w:r>
    </w:p>
    <w:p w14:paraId="259111A2" w14:textId="77777777" w:rsidR="002F3324" w:rsidRPr="00534C57" w:rsidRDefault="002F3324" w:rsidP="002F3324">
      <w:pPr>
        <w:autoSpaceDE w:val="0"/>
        <w:autoSpaceDN w:val="0"/>
        <w:spacing w:after="0" w:line="240" w:lineRule="auto"/>
        <w:ind w:left="74"/>
        <w:rPr>
          <w:rFonts w:ascii="Times New Roman" w:hAnsi="Times New Roman"/>
          <w:lang w:eastAsia="lt-LT"/>
        </w:rPr>
      </w:pPr>
      <w:r w:rsidRPr="00534C57">
        <w:rPr>
          <w:rFonts w:ascii="Times New Roman" w:hAnsi="Times New Roman"/>
          <w:lang w:eastAsia="lt-LT"/>
        </w:rPr>
        <w:t>Kroatija</w:t>
      </w:r>
    </w:p>
    <w:p w14:paraId="495E43A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4056224D"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Jeigu apie šį vaistą norite sužinoti daugiau, kreipkitės į vietinį registruotojo atstovą.</w:t>
      </w:r>
    </w:p>
    <w:p w14:paraId="436ECC7F"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0CA80CE4"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UAB </w:t>
      </w:r>
      <w:r w:rsidR="0051310D">
        <w:rPr>
          <w:rFonts w:ascii="Times New Roman" w:hAnsi="Times New Roman"/>
          <w:color w:val="000000"/>
        </w:rPr>
        <w:t>Teva Baltics</w:t>
      </w:r>
    </w:p>
    <w:p w14:paraId="260337C2"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 xml:space="preserve">Molėtų pl. 5 </w:t>
      </w:r>
    </w:p>
    <w:p w14:paraId="647ED867"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LT-08409 Vilnius</w:t>
      </w:r>
    </w:p>
    <w:p w14:paraId="7140D9D5" w14:textId="77777777" w:rsidR="002F3324" w:rsidRPr="00534C57" w:rsidRDefault="002F3324" w:rsidP="002F3324">
      <w:pPr>
        <w:autoSpaceDE w:val="0"/>
        <w:autoSpaceDN w:val="0"/>
        <w:adjustRightInd w:val="0"/>
        <w:spacing w:after="0" w:line="240" w:lineRule="auto"/>
        <w:rPr>
          <w:rFonts w:ascii="Times New Roman" w:hAnsi="Times New Roman"/>
          <w:color w:val="000000"/>
        </w:rPr>
      </w:pPr>
      <w:r w:rsidRPr="00534C57">
        <w:rPr>
          <w:rFonts w:ascii="Times New Roman" w:hAnsi="Times New Roman"/>
          <w:color w:val="000000"/>
        </w:rPr>
        <w:t>Tel.+370 5 266 02 03</w:t>
      </w:r>
    </w:p>
    <w:p w14:paraId="5FF1A83A"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4CFAFFB" w14:textId="77777777" w:rsidR="002F3324" w:rsidRPr="00534C57" w:rsidRDefault="002F3324" w:rsidP="002F3324">
      <w:pPr>
        <w:numPr>
          <w:ilvl w:val="12"/>
          <w:numId w:val="0"/>
        </w:numPr>
        <w:spacing w:after="0" w:line="240" w:lineRule="auto"/>
        <w:ind w:right="-2"/>
        <w:rPr>
          <w:rFonts w:ascii="Times New Roman" w:hAnsi="Times New Roman"/>
          <w:b/>
          <w:bCs/>
        </w:rPr>
      </w:pPr>
      <w:r w:rsidRPr="00534C57">
        <w:rPr>
          <w:rFonts w:ascii="Times New Roman" w:hAnsi="Times New Roman"/>
          <w:b/>
          <w:bCs/>
        </w:rPr>
        <w:t>Šis vaistas E</w:t>
      </w:r>
      <w:r w:rsidR="00E87082">
        <w:rPr>
          <w:rFonts w:ascii="Times New Roman" w:hAnsi="Times New Roman"/>
          <w:b/>
          <w:bCs/>
        </w:rPr>
        <w:t xml:space="preserve">uropos ekonominės erdvės </w:t>
      </w:r>
      <w:r w:rsidRPr="00534C57">
        <w:rPr>
          <w:rFonts w:ascii="Times New Roman" w:hAnsi="Times New Roman"/>
          <w:b/>
          <w:bCs/>
        </w:rPr>
        <w:t>valstybėse narėse registruotas tokiais pavadinimais:</w:t>
      </w:r>
    </w:p>
    <w:p w14:paraId="3E9F1423"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77D46864"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Austrija:</w:t>
      </w:r>
      <w:r w:rsidRPr="00534C57">
        <w:rPr>
          <w:rFonts w:ascii="Times New Roman" w:hAnsi="Times New Roman"/>
        </w:rPr>
        <w:tab/>
      </w:r>
      <w:r w:rsidRPr="00534C57">
        <w:rPr>
          <w:rFonts w:ascii="Times New Roman" w:hAnsi="Times New Roman"/>
        </w:rPr>
        <w:tab/>
        <w:t>Voriconazol ratiopharm 200 mg Filmtabletten</w:t>
      </w:r>
    </w:p>
    <w:p w14:paraId="2AB5B0D3"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Belgija:</w:t>
      </w:r>
      <w:r w:rsidRPr="00534C57">
        <w:rPr>
          <w:rFonts w:ascii="Times New Roman" w:hAnsi="Times New Roman"/>
        </w:rPr>
        <w:tab/>
      </w:r>
      <w:r w:rsidRPr="00534C57">
        <w:rPr>
          <w:rFonts w:ascii="Times New Roman" w:hAnsi="Times New Roman"/>
        </w:rPr>
        <w:tab/>
        <w:t>Voriconazole Teva 200 mg filmomhulde tabletten</w:t>
      </w:r>
    </w:p>
    <w:p w14:paraId="174D6918"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lastRenderedPageBreak/>
        <w:t xml:space="preserve">Čekija: </w:t>
      </w:r>
      <w:r w:rsidRPr="00534C57">
        <w:rPr>
          <w:rFonts w:ascii="Times New Roman" w:hAnsi="Times New Roman"/>
        </w:rPr>
        <w:tab/>
      </w:r>
      <w:r w:rsidRPr="00534C57">
        <w:rPr>
          <w:rFonts w:ascii="Times New Roman" w:hAnsi="Times New Roman"/>
        </w:rPr>
        <w:tab/>
        <w:t>Voriconazole Teva 200 mg</w:t>
      </w:r>
    </w:p>
    <w:p w14:paraId="0FC57A6A"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Estija:</w:t>
      </w:r>
      <w:r w:rsidRPr="00534C57">
        <w:rPr>
          <w:rFonts w:ascii="Times New Roman" w:hAnsi="Times New Roman"/>
        </w:rPr>
        <w:tab/>
      </w:r>
      <w:r w:rsidRPr="00534C57">
        <w:rPr>
          <w:rFonts w:ascii="Times New Roman" w:hAnsi="Times New Roman"/>
        </w:rPr>
        <w:tab/>
        <w:t>Voriconazole Teva 200 mg</w:t>
      </w:r>
    </w:p>
    <w:p w14:paraId="25F5ECEE"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Prancūzija:</w:t>
      </w:r>
      <w:r w:rsidRPr="00534C57">
        <w:rPr>
          <w:rFonts w:ascii="Times New Roman" w:hAnsi="Times New Roman"/>
        </w:rPr>
        <w:tab/>
      </w:r>
      <w:r w:rsidRPr="00534C57">
        <w:rPr>
          <w:rFonts w:ascii="Times New Roman" w:hAnsi="Times New Roman"/>
        </w:rPr>
        <w:tab/>
        <w:t>Voriconazole Teva 200 mg, comprimé pelliculé</w:t>
      </w:r>
    </w:p>
    <w:p w14:paraId="668F37AE"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Vokietija:</w:t>
      </w:r>
      <w:r w:rsidRPr="00534C57">
        <w:rPr>
          <w:rFonts w:ascii="Times New Roman" w:hAnsi="Times New Roman"/>
        </w:rPr>
        <w:tab/>
      </w:r>
      <w:r w:rsidRPr="00534C57">
        <w:rPr>
          <w:rFonts w:ascii="Times New Roman" w:hAnsi="Times New Roman"/>
        </w:rPr>
        <w:tab/>
        <w:t>Voriconazol-ratiopharm</w:t>
      </w:r>
      <w:r w:rsidRPr="00534C57">
        <w:rPr>
          <w:rFonts w:ascii="Times New Roman" w:hAnsi="Times New Roman"/>
          <w:vertAlign w:val="superscript"/>
        </w:rPr>
        <w:t>®</w:t>
      </w:r>
      <w:r w:rsidRPr="00534C57">
        <w:rPr>
          <w:rFonts w:ascii="Times New Roman" w:hAnsi="Times New Roman"/>
        </w:rPr>
        <w:t xml:space="preserve"> 200 mg Filmtabletten</w:t>
      </w:r>
    </w:p>
    <w:p w14:paraId="1F580A85"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Graikija:</w:t>
      </w:r>
      <w:r w:rsidRPr="00534C57">
        <w:rPr>
          <w:rFonts w:ascii="Times New Roman" w:hAnsi="Times New Roman"/>
        </w:rPr>
        <w:tab/>
      </w:r>
      <w:r w:rsidRPr="00534C57">
        <w:rPr>
          <w:rFonts w:ascii="Times New Roman" w:hAnsi="Times New Roman"/>
        </w:rPr>
        <w:tab/>
        <w:t>Voriconazole Teva 200 mg Επικαλυμμένα με λεπτό υμένιο δισκία</w:t>
      </w:r>
    </w:p>
    <w:p w14:paraId="0F9850E8"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Vengrija:</w:t>
      </w:r>
      <w:r w:rsidRPr="00534C57">
        <w:rPr>
          <w:rFonts w:ascii="Times New Roman" w:hAnsi="Times New Roman"/>
        </w:rPr>
        <w:tab/>
      </w:r>
      <w:r w:rsidRPr="00534C57">
        <w:rPr>
          <w:rFonts w:ascii="Times New Roman" w:hAnsi="Times New Roman"/>
        </w:rPr>
        <w:tab/>
        <w:t>Voriconazole Teva 200 mg filmtabletta</w:t>
      </w:r>
    </w:p>
    <w:p w14:paraId="61649DC9"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Airija:</w:t>
      </w:r>
      <w:r w:rsidRPr="00534C57">
        <w:rPr>
          <w:rFonts w:ascii="Times New Roman" w:hAnsi="Times New Roman"/>
        </w:rPr>
        <w:tab/>
      </w:r>
      <w:r w:rsidRPr="00534C57">
        <w:rPr>
          <w:rFonts w:ascii="Times New Roman" w:hAnsi="Times New Roman"/>
        </w:rPr>
        <w:tab/>
        <w:t>Voriconazole Teva 200mg Film-coated Tablets</w:t>
      </w:r>
    </w:p>
    <w:p w14:paraId="6C060920"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Italija:</w:t>
      </w:r>
      <w:r w:rsidRPr="00534C57">
        <w:rPr>
          <w:rFonts w:ascii="Times New Roman" w:hAnsi="Times New Roman"/>
        </w:rPr>
        <w:tab/>
      </w:r>
      <w:r w:rsidRPr="00534C57">
        <w:rPr>
          <w:rFonts w:ascii="Times New Roman" w:hAnsi="Times New Roman"/>
        </w:rPr>
        <w:tab/>
        <w:t>VORICONAZOLO TEVA</w:t>
      </w:r>
    </w:p>
    <w:p w14:paraId="3E98FA0D"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Latvija:</w:t>
      </w:r>
      <w:r w:rsidRPr="00534C57">
        <w:rPr>
          <w:rFonts w:ascii="Times New Roman" w:hAnsi="Times New Roman"/>
        </w:rPr>
        <w:tab/>
      </w:r>
      <w:r w:rsidRPr="00534C57">
        <w:rPr>
          <w:rFonts w:ascii="Times New Roman" w:hAnsi="Times New Roman"/>
        </w:rPr>
        <w:tab/>
        <w:t>Voriconazole Teva 200 mg apvalkotās tabletes</w:t>
      </w:r>
    </w:p>
    <w:p w14:paraId="0DBD8E15"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Liuksemburgas:</w:t>
      </w:r>
      <w:r w:rsidRPr="00534C57">
        <w:rPr>
          <w:rFonts w:ascii="Times New Roman" w:hAnsi="Times New Roman"/>
        </w:rPr>
        <w:tab/>
        <w:t>Voriconazole Teva 200 mg comprimés pelliculés</w:t>
      </w:r>
    </w:p>
    <w:p w14:paraId="3C006870" w14:textId="77777777" w:rsidR="002F3324" w:rsidRPr="00534C57" w:rsidRDefault="002F3324" w:rsidP="002F3324">
      <w:pPr>
        <w:widowControl w:val="0"/>
        <w:autoSpaceDE w:val="0"/>
        <w:autoSpaceDN w:val="0"/>
        <w:adjustRightInd w:val="0"/>
        <w:spacing w:after="0" w:line="240" w:lineRule="auto"/>
        <w:rPr>
          <w:rFonts w:ascii="Times New Roman" w:hAnsi="Times New Roman"/>
          <w:bCs/>
        </w:rPr>
      </w:pPr>
      <w:r w:rsidRPr="00534C57">
        <w:rPr>
          <w:rFonts w:ascii="Times New Roman" w:hAnsi="Times New Roman"/>
        </w:rPr>
        <w:t>Nyderlandai:</w:t>
      </w:r>
      <w:r w:rsidRPr="00534C57">
        <w:rPr>
          <w:rFonts w:ascii="Times New Roman" w:hAnsi="Times New Roman"/>
        </w:rPr>
        <w:tab/>
      </w:r>
      <w:r w:rsidRPr="00534C57">
        <w:rPr>
          <w:rFonts w:ascii="Times New Roman" w:hAnsi="Times New Roman"/>
        </w:rPr>
        <w:tab/>
      </w:r>
      <w:r w:rsidRPr="00534C57">
        <w:rPr>
          <w:rFonts w:ascii="Times New Roman" w:hAnsi="Times New Roman"/>
          <w:bCs/>
        </w:rPr>
        <w:t>Voriconazol 200 mg Teva, filmomhulde tabletten</w:t>
      </w:r>
    </w:p>
    <w:p w14:paraId="76B35BFD"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Portugalija:</w:t>
      </w:r>
      <w:r w:rsidRPr="00534C57">
        <w:rPr>
          <w:rFonts w:ascii="Times New Roman" w:hAnsi="Times New Roman"/>
        </w:rPr>
        <w:tab/>
      </w:r>
      <w:r w:rsidRPr="00534C57">
        <w:rPr>
          <w:rFonts w:ascii="Times New Roman" w:hAnsi="Times New Roman"/>
        </w:rPr>
        <w:tab/>
        <w:t>Voriconazol Teva</w:t>
      </w:r>
    </w:p>
    <w:p w14:paraId="59DCE7CE"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Ispanija:</w:t>
      </w:r>
      <w:r w:rsidRPr="00534C57">
        <w:rPr>
          <w:rFonts w:ascii="Times New Roman" w:hAnsi="Times New Roman"/>
        </w:rPr>
        <w:tab/>
      </w:r>
      <w:r w:rsidRPr="00534C57">
        <w:rPr>
          <w:rFonts w:ascii="Times New Roman" w:hAnsi="Times New Roman"/>
        </w:rPr>
        <w:tab/>
        <w:t>Voriconazol Teva 200 mg comprimidos recubieertos con película EFG</w:t>
      </w:r>
    </w:p>
    <w:p w14:paraId="0AB59D16" w14:textId="77777777" w:rsidR="002F3324" w:rsidRPr="00534C57" w:rsidRDefault="002F3324" w:rsidP="002F3324">
      <w:pPr>
        <w:widowControl w:val="0"/>
        <w:autoSpaceDE w:val="0"/>
        <w:autoSpaceDN w:val="0"/>
        <w:adjustRightInd w:val="0"/>
        <w:spacing w:after="0" w:line="240" w:lineRule="auto"/>
        <w:rPr>
          <w:rFonts w:ascii="Times New Roman" w:hAnsi="Times New Roman"/>
        </w:rPr>
      </w:pPr>
      <w:r w:rsidRPr="00534C57">
        <w:rPr>
          <w:rFonts w:ascii="Times New Roman" w:hAnsi="Times New Roman"/>
        </w:rPr>
        <w:t>Švedija:</w:t>
      </w:r>
      <w:r w:rsidRPr="00534C57">
        <w:rPr>
          <w:rFonts w:ascii="Times New Roman" w:hAnsi="Times New Roman"/>
        </w:rPr>
        <w:tab/>
      </w:r>
      <w:r w:rsidRPr="00534C57">
        <w:rPr>
          <w:rFonts w:ascii="Times New Roman" w:hAnsi="Times New Roman"/>
        </w:rPr>
        <w:tab/>
        <w:t>Voriconazole Teva</w:t>
      </w:r>
    </w:p>
    <w:p w14:paraId="745800E6" w14:textId="77777777" w:rsidR="002F3324" w:rsidRPr="00534C57" w:rsidRDefault="002F3324" w:rsidP="002F3324">
      <w:pPr>
        <w:autoSpaceDE w:val="0"/>
        <w:autoSpaceDN w:val="0"/>
        <w:adjustRightInd w:val="0"/>
        <w:spacing w:after="0" w:line="240" w:lineRule="auto"/>
        <w:rPr>
          <w:rFonts w:ascii="Times New Roman" w:hAnsi="Times New Roman"/>
          <w:color w:val="000000"/>
        </w:rPr>
      </w:pPr>
    </w:p>
    <w:p w14:paraId="54F40436" w14:textId="180130D4" w:rsidR="002F3324" w:rsidRPr="008C1323" w:rsidRDefault="002F3324" w:rsidP="002F3324">
      <w:pPr>
        <w:autoSpaceDE w:val="0"/>
        <w:autoSpaceDN w:val="0"/>
        <w:adjustRightInd w:val="0"/>
        <w:spacing w:after="0" w:line="240" w:lineRule="auto"/>
        <w:rPr>
          <w:rFonts w:ascii="Times New Roman" w:hAnsi="Times New Roman"/>
          <w:color w:val="000000"/>
        </w:rPr>
      </w:pPr>
      <w:r w:rsidRPr="008C1323">
        <w:rPr>
          <w:rFonts w:ascii="Times New Roman" w:hAnsi="Times New Roman"/>
          <w:b/>
          <w:bCs/>
          <w:color w:val="000000"/>
        </w:rPr>
        <w:t>Šis pakuotės lapelis paskutinį kartą peržiūrėtas</w:t>
      </w:r>
      <w:r w:rsidR="00FC2066" w:rsidRPr="008C1323">
        <w:rPr>
          <w:rFonts w:ascii="Times New Roman" w:hAnsi="Times New Roman"/>
          <w:b/>
          <w:bCs/>
          <w:color w:val="000000"/>
        </w:rPr>
        <w:t xml:space="preserve"> </w:t>
      </w:r>
      <w:r w:rsidR="001D4D1B">
        <w:rPr>
          <w:rFonts w:ascii="Times New Roman" w:hAnsi="Times New Roman"/>
          <w:b/>
          <w:bCs/>
          <w:color w:val="000000"/>
        </w:rPr>
        <w:t>2024-07-17.</w:t>
      </w:r>
    </w:p>
    <w:p w14:paraId="30526169" w14:textId="77777777" w:rsidR="002F3324" w:rsidRDefault="002F3324" w:rsidP="002F3324">
      <w:pPr>
        <w:numPr>
          <w:ilvl w:val="12"/>
          <w:numId w:val="0"/>
        </w:numPr>
        <w:spacing w:after="0" w:line="240" w:lineRule="auto"/>
        <w:ind w:right="-2"/>
        <w:rPr>
          <w:rFonts w:ascii="Times New Roman" w:hAnsi="Times New Roman"/>
        </w:rPr>
      </w:pPr>
    </w:p>
    <w:p w14:paraId="53DE40A4" w14:textId="556E5466" w:rsidR="00451C16" w:rsidRDefault="002F3324" w:rsidP="000C65B9">
      <w:pPr>
        <w:numPr>
          <w:ilvl w:val="12"/>
          <w:numId w:val="0"/>
        </w:numPr>
        <w:spacing w:after="0" w:line="240" w:lineRule="auto"/>
        <w:ind w:right="-2"/>
        <w:rPr>
          <w:rFonts w:ascii="Times New Roman" w:hAnsi="Times New Roman"/>
        </w:rPr>
      </w:pPr>
      <w:r w:rsidRPr="00534C57">
        <w:rPr>
          <w:rFonts w:ascii="Times New Roman" w:hAnsi="Times New Roman"/>
        </w:rPr>
        <w:t>Išsami informacija apie šį vaistą pateikiama Valstybinės vaistų kontrolės tarnybos prie Lietuvos Respublikos sveikatos apsaugos ministerijos tinklalapyje</w:t>
      </w:r>
      <w:r w:rsidRPr="00534C57">
        <w:rPr>
          <w:rFonts w:ascii="Times New Roman" w:hAnsi="Times New Roman"/>
          <w:i/>
        </w:rPr>
        <w:t xml:space="preserve"> </w:t>
      </w:r>
      <w:r w:rsidR="00703174" w:rsidRPr="00FE7B76">
        <w:rPr>
          <w:rFonts w:ascii="Times New Roman" w:hAnsi="Times New Roman"/>
          <w:color w:val="0000EE"/>
          <w:u w:val="single"/>
          <w:lang w:eastAsia="lt-LT"/>
        </w:rPr>
        <w:t>https://vvkt.lrv.lt/lt/</w:t>
      </w:r>
      <w:r w:rsidR="00703174" w:rsidRPr="00FE7B76">
        <w:rPr>
          <w:rFonts w:ascii="Times New Roman" w:hAnsi="Times New Roman"/>
          <w:lang w:eastAsia="lt-LT"/>
        </w:rPr>
        <w:t>.</w:t>
      </w:r>
    </w:p>
    <w:p w14:paraId="27FC7657" w14:textId="77777777" w:rsidR="007C3F1A" w:rsidRDefault="007C3F1A" w:rsidP="000C65B9">
      <w:pPr>
        <w:numPr>
          <w:ilvl w:val="12"/>
          <w:numId w:val="0"/>
        </w:numPr>
        <w:spacing w:after="0" w:line="240" w:lineRule="auto"/>
        <w:ind w:right="-2"/>
        <w:rPr>
          <w:rFonts w:ascii="Times New Roman" w:hAnsi="Times New Roman"/>
        </w:rPr>
      </w:pPr>
    </w:p>
    <w:p w14:paraId="2B8B4628" w14:textId="77777777" w:rsidR="007C3F1A" w:rsidRPr="00FE7B76" w:rsidRDefault="007C3F1A" w:rsidP="007C3F1A">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QR kodas ir URL</w:t>
      </w:r>
    </w:p>
    <w:p w14:paraId="190F39EF" w14:textId="77777777" w:rsidR="007C3F1A" w:rsidRPr="00FE7B76" w:rsidRDefault="007C3F1A" w:rsidP="007C3F1A">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&lt;Kiti informacijos šaltiniai&gt;</w:t>
      </w:r>
    </w:p>
    <w:p w14:paraId="782E51A6" w14:textId="77777777" w:rsidR="007C3F1A" w:rsidRPr="00FE7B76" w:rsidRDefault="007C3F1A" w:rsidP="007C3F1A">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&lt;Naujausią patvirtintą informaciją apie šį vaistą rasite nuskaitę &lt;QR kodą&gt; &lt;kitą 2D barkodą&gt; &lt;NFC&gt; įtrauktą į &lt;PL&gt; &lt;išorinę dėžutę&gt; &lt;vidinę pakuotę&gt; su išmaniuoju telefonu/prietaisu. Ta pati informacija taip pat pateikiama toliau nurodytu URL: {URL} &lt;ir &lt;{NCA}&gt; svetainėje&gt;&gt;</w:t>
      </w:r>
    </w:p>
    <w:p w14:paraId="23FF469E" w14:textId="77777777" w:rsidR="007C3F1A" w:rsidRPr="00FE7B76" w:rsidRDefault="007C3F1A" w:rsidP="007C3F1A">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&lt;{QR kodas}&gt; &lt;{kitas 2D barkodas}&gt; &lt;{NFC}&gt;</w:t>
      </w:r>
    </w:p>
    <w:p w14:paraId="1344D1E0" w14:textId="77777777" w:rsidR="007C3F1A" w:rsidRPr="00FE7B76" w:rsidRDefault="007C3F1A" w:rsidP="007C3F1A">
      <w:pPr>
        <w:numPr>
          <w:ilvl w:val="12"/>
          <w:numId w:val="0"/>
        </w:numPr>
        <w:spacing w:after="0" w:line="240" w:lineRule="auto"/>
        <w:ind w:right="-2"/>
        <w:rPr>
          <w:rFonts w:ascii="Times New Roman" w:hAnsi="Times New Roman"/>
          <w:highlight w:val="lightGray"/>
        </w:rPr>
      </w:pPr>
    </w:p>
    <w:p w14:paraId="523433DF" w14:textId="77777777" w:rsidR="007C3F1A" w:rsidRPr="00FE7B76" w:rsidRDefault="007C3F1A" w:rsidP="007C3F1A">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Tik URL</w:t>
      </w:r>
    </w:p>
    <w:p w14:paraId="37B6E660" w14:textId="77777777" w:rsidR="007C3F1A" w:rsidRPr="00FE7B76" w:rsidRDefault="007C3F1A" w:rsidP="007C3F1A">
      <w:pPr>
        <w:numPr>
          <w:ilvl w:val="12"/>
          <w:numId w:val="0"/>
        </w:numPr>
        <w:spacing w:after="0" w:line="240" w:lineRule="auto"/>
        <w:ind w:right="-2"/>
        <w:rPr>
          <w:rFonts w:ascii="Times New Roman" w:hAnsi="Times New Roman"/>
          <w:highlight w:val="lightGray"/>
        </w:rPr>
      </w:pPr>
      <w:r w:rsidRPr="00FE7B76">
        <w:rPr>
          <w:rFonts w:ascii="Times New Roman" w:hAnsi="Times New Roman"/>
          <w:highlight w:val="lightGray"/>
        </w:rPr>
        <w:t>&lt;Kiti informacijos šaltiniai&gt;</w:t>
      </w:r>
    </w:p>
    <w:p w14:paraId="3920E1F5" w14:textId="7EB0CE15" w:rsidR="007C3F1A" w:rsidRDefault="007C3F1A" w:rsidP="007C3F1A">
      <w:pPr>
        <w:numPr>
          <w:ilvl w:val="12"/>
          <w:numId w:val="0"/>
        </w:numPr>
        <w:spacing w:after="0" w:line="240" w:lineRule="auto"/>
        <w:ind w:right="-2"/>
        <w:rPr>
          <w:rFonts w:ascii="Times New Roman" w:hAnsi="Times New Roman"/>
        </w:rPr>
      </w:pPr>
      <w:r w:rsidRPr="00FE7B76">
        <w:rPr>
          <w:rFonts w:ascii="Times New Roman" w:hAnsi="Times New Roman"/>
          <w:highlight w:val="lightGray"/>
        </w:rPr>
        <w:t>&lt; Naujausia patvirtinta informacija apie šį vaistą pateikiama šiame URL: {URL} &lt;ir &lt;{NCA}&gt; svetainėje&gt;&gt;</w:t>
      </w:r>
    </w:p>
    <w:p w14:paraId="1062B3F0" w14:textId="4428151F" w:rsidR="00BB0965" w:rsidRPr="00534C57" w:rsidRDefault="000C65B9" w:rsidP="000C65B9">
      <w:pPr>
        <w:numPr>
          <w:ilvl w:val="12"/>
          <w:numId w:val="0"/>
        </w:numPr>
        <w:spacing w:after="0" w:line="240" w:lineRule="auto"/>
        <w:ind w:right="-2"/>
      </w:pPr>
      <w:r>
        <w:rPr>
          <w:rFonts w:ascii="Times New Roman" w:hAnsi="Times New Roman"/>
        </w:rPr>
        <w:t xml:space="preserve"> </w:t>
      </w:r>
      <w:bookmarkStart w:id="10" w:name="_GoBack"/>
      <w:bookmarkEnd w:id="10"/>
      <w:r>
        <w:rPr>
          <w:rFonts w:ascii="Times New Roman" w:hAnsi="Times New Roman"/>
        </w:rPr>
        <w:t xml:space="preserve">   </w:t>
      </w:r>
    </w:p>
    <w:sectPr w:rsidR="00BB0965" w:rsidRPr="00534C57" w:rsidSect="00B426B4">
      <w:headerReference w:type="default" r:id="rId9"/>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CB236A" w14:textId="77777777" w:rsidR="00FE7B76" w:rsidRDefault="00FE7B76">
      <w:pPr>
        <w:spacing w:after="0" w:line="240" w:lineRule="auto"/>
      </w:pPr>
      <w:r>
        <w:separator/>
      </w:r>
    </w:p>
  </w:endnote>
  <w:endnote w:type="continuationSeparator" w:id="0">
    <w:p w14:paraId="3F176666" w14:textId="77777777" w:rsidR="00FE7B76" w:rsidRDefault="00FE7B76">
      <w:pPr>
        <w:spacing w:after="0" w:line="240" w:lineRule="auto"/>
      </w:pPr>
      <w:r>
        <w:continuationSeparator/>
      </w:r>
    </w:p>
  </w:endnote>
  <w:endnote w:type="continuationNotice" w:id="1">
    <w:p w14:paraId="09F88030" w14:textId="77777777" w:rsidR="00FE7B76" w:rsidRDefault="00FE7B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TimesNewRoman,Italic">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04047C" w14:textId="20A30DCA" w:rsidR="009619D2" w:rsidRPr="00CD2961" w:rsidRDefault="009619D2">
    <w:pPr>
      <w:pStyle w:val="Porat"/>
      <w:jc w:val="right"/>
      <w:rPr>
        <w:rFonts w:ascii="Times New Roman" w:hAnsi="Times New Roman"/>
      </w:rPr>
    </w:pPr>
    <w:r w:rsidRPr="00CD2961">
      <w:rPr>
        <w:rFonts w:ascii="Times New Roman" w:hAnsi="Times New Roman"/>
      </w:rPr>
      <w:fldChar w:fldCharType="begin"/>
    </w:r>
    <w:r w:rsidRPr="00CD2961">
      <w:rPr>
        <w:rFonts w:ascii="Times New Roman" w:hAnsi="Times New Roman"/>
      </w:rPr>
      <w:instrText xml:space="preserve"> PAGE   \* MERGEFORMAT </w:instrText>
    </w:r>
    <w:r w:rsidRPr="00CD2961">
      <w:rPr>
        <w:rFonts w:ascii="Times New Roman" w:hAnsi="Times New Roman"/>
      </w:rPr>
      <w:fldChar w:fldCharType="separate"/>
    </w:r>
    <w:r w:rsidR="00DA2D5B">
      <w:rPr>
        <w:rFonts w:ascii="Times New Roman" w:hAnsi="Times New Roman"/>
        <w:noProof/>
      </w:rPr>
      <w:t>51</w:t>
    </w:r>
    <w:r w:rsidRPr="00CD2961">
      <w:rPr>
        <w:rFonts w:ascii="Times New Roman" w:hAnsi="Times New Roman"/>
        <w:noProof/>
      </w:rPr>
      <w:fldChar w:fldCharType="end"/>
    </w:r>
  </w:p>
  <w:p w14:paraId="7D2D02E0" w14:textId="77777777" w:rsidR="009619D2" w:rsidRDefault="009619D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13AD2C" w14:textId="77777777" w:rsidR="00FE7B76" w:rsidRDefault="00FE7B76">
      <w:pPr>
        <w:spacing w:after="0" w:line="240" w:lineRule="auto"/>
      </w:pPr>
      <w:r>
        <w:separator/>
      </w:r>
    </w:p>
  </w:footnote>
  <w:footnote w:type="continuationSeparator" w:id="0">
    <w:p w14:paraId="632BF4FB" w14:textId="77777777" w:rsidR="00FE7B76" w:rsidRDefault="00FE7B76">
      <w:pPr>
        <w:spacing w:after="0" w:line="240" w:lineRule="auto"/>
      </w:pPr>
      <w:r>
        <w:continuationSeparator/>
      </w:r>
    </w:p>
  </w:footnote>
  <w:footnote w:type="continuationNotice" w:id="1">
    <w:p w14:paraId="5B2B9361" w14:textId="77777777" w:rsidR="00FE7B76" w:rsidRDefault="00FE7B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B11AB" w14:textId="7ADDD7BA" w:rsidR="009619D2" w:rsidRPr="004328AB" w:rsidRDefault="009619D2" w:rsidP="00881749">
    <w:pPr>
      <w:pStyle w:val="Antrats"/>
      <w:jc w:val="right"/>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645AE"/>
    <w:multiLevelType w:val="hybridMultilevel"/>
    <w:tmpl w:val="B3AC41F4"/>
    <w:lvl w:ilvl="0" w:tplc="86DAE340">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13F09B0"/>
    <w:multiLevelType w:val="hybridMultilevel"/>
    <w:tmpl w:val="A5AE9BBC"/>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B4C0132"/>
    <w:multiLevelType w:val="hybridMultilevel"/>
    <w:tmpl w:val="230CF1B8"/>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237904"/>
    <w:multiLevelType w:val="hybridMultilevel"/>
    <w:tmpl w:val="7D2C9A2C"/>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E354882"/>
    <w:multiLevelType w:val="hybridMultilevel"/>
    <w:tmpl w:val="FDB6F8CE"/>
    <w:lvl w:ilvl="0" w:tplc="E6E232E0">
      <w:start w:val="2"/>
      <w:numFmt w:val="bullet"/>
      <w:lvlText w:val="-"/>
      <w:lvlJc w:val="left"/>
      <w:pPr>
        <w:ind w:left="720" w:hanging="360"/>
      </w:pPr>
      <w:rPr>
        <w:rFonts w:ascii="Times New Roman" w:eastAsia="Times New Roman" w:hAnsi="Times New Roman" w:hint="default"/>
      </w:rPr>
    </w:lvl>
    <w:lvl w:ilvl="1" w:tplc="EA9E5BAE">
      <w:start w:val="6"/>
      <w:numFmt w:val="bullet"/>
      <w:lvlText w:val="•"/>
      <w:lvlJc w:val="left"/>
      <w:pPr>
        <w:ind w:left="1440" w:hanging="36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F5D2339"/>
    <w:multiLevelType w:val="hybridMultilevel"/>
    <w:tmpl w:val="2ADE0DFC"/>
    <w:lvl w:ilvl="0" w:tplc="51FA4652">
      <w:start w:val="2"/>
      <w:numFmt w:val="bullet"/>
      <w:lvlText w:val="-"/>
      <w:lvlJc w:val="left"/>
      <w:pPr>
        <w:ind w:left="1778"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1D71E0D"/>
    <w:multiLevelType w:val="hybridMultilevel"/>
    <w:tmpl w:val="1A569A78"/>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79A324D"/>
    <w:multiLevelType w:val="hybridMultilevel"/>
    <w:tmpl w:val="BE623D76"/>
    <w:lvl w:ilvl="0" w:tplc="51FA4652">
      <w:start w:val="2"/>
      <w:numFmt w:val="bullet"/>
      <w:lvlText w:val="-"/>
      <w:lvlJc w:val="left"/>
      <w:pPr>
        <w:ind w:left="720" w:hanging="360"/>
      </w:pPr>
      <w:rPr>
        <w:rFonts w:ascii="Times New Roman" w:hAnsi="Times New Roman" w:hint="default"/>
        <w:sz w:val="22"/>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0E0E65"/>
    <w:multiLevelType w:val="hybridMultilevel"/>
    <w:tmpl w:val="BBBEDB26"/>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C8B33D6"/>
    <w:multiLevelType w:val="hybridMultilevel"/>
    <w:tmpl w:val="D2D27BB2"/>
    <w:lvl w:ilvl="0" w:tplc="51FA4652">
      <w:start w:val="2"/>
      <w:numFmt w:val="bullet"/>
      <w:lvlText w:val="-"/>
      <w:lvlJc w:val="left"/>
      <w:pPr>
        <w:ind w:left="720" w:hanging="360"/>
      </w:pPr>
      <w:rPr>
        <w:rFonts w:ascii="Times New Roman" w:hAnsi="Times New Roman" w:hint="default"/>
        <w:sz w:val="22"/>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00A5ABE"/>
    <w:multiLevelType w:val="hybridMultilevel"/>
    <w:tmpl w:val="DC8C8B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02F5662"/>
    <w:multiLevelType w:val="hybridMultilevel"/>
    <w:tmpl w:val="4912BBD0"/>
    <w:lvl w:ilvl="0" w:tplc="DE2A78AE">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2DB6046"/>
    <w:multiLevelType w:val="hybridMultilevel"/>
    <w:tmpl w:val="4042A0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2F37B1D"/>
    <w:multiLevelType w:val="hybridMultilevel"/>
    <w:tmpl w:val="C2F4993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401D56"/>
    <w:multiLevelType w:val="hybridMultilevel"/>
    <w:tmpl w:val="403ED774"/>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CF903E0"/>
    <w:multiLevelType w:val="hybridMultilevel"/>
    <w:tmpl w:val="94AC3394"/>
    <w:lvl w:ilvl="0" w:tplc="E6E232E0">
      <w:start w:val="2"/>
      <w:numFmt w:val="bullet"/>
      <w:lvlText w:val="-"/>
      <w:lvlJc w:val="left"/>
      <w:pPr>
        <w:ind w:left="720" w:hanging="360"/>
      </w:pPr>
      <w:rPr>
        <w:rFonts w:ascii="Times New Roman" w:eastAsia="Times New Roman" w:hAnsi="Times New Roman" w:hint="default"/>
      </w:rPr>
    </w:lvl>
    <w:lvl w:ilvl="1" w:tplc="E6E232E0">
      <w:start w:val="2"/>
      <w:numFmt w:val="bullet"/>
      <w:lvlText w:val="-"/>
      <w:lvlJc w:val="left"/>
      <w:pPr>
        <w:ind w:left="1440" w:hanging="36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E6504B0"/>
    <w:multiLevelType w:val="hybridMultilevel"/>
    <w:tmpl w:val="F948DF30"/>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1792D23"/>
    <w:multiLevelType w:val="hybridMultilevel"/>
    <w:tmpl w:val="BFAE12A6"/>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7E1843"/>
    <w:multiLevelType w:val="hybridMultilevel"/>
    <w:tmpl w:val="CEF65B7A"/>
    <w:lvl w:ilvl="0" w:tplc="51FA4652">
      <w:start w:val="2"/>
      <w:numFmt w:val="bullet"/>
      <w:lvlText w:val="-"/>
      <w:lvlJc w:val="left"/>
      <w:pPr>
        <w:ind w:left="720" w:hanging="360"/>
      </w:pPr>
      <w:rPr>
        <w:rFonts w:ascii="Times New Roman" w:hAnsi="Times New Roman" w:hint="default"/>
        <w:sz w:val="22"/>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3177C71"/>
    <w:multiLevelType w:val="hybridMultilevel"/>
    <w:tmpl w:val="888854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4365330E"/>
    <w:multiLevelType w:val="hybridMultilevel"/>
    <w:tmpl w:val="E06418D6"/>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4357677"/>
    <w:multiLevelType w:val="hybridMultilevel"/>
    <w:tmpl w:val="0494E8F6"/>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6252F3F"/>
    <w:multiLevelType w:val="hybridMultilevel"/>
    <w:tmpl w:val="B562FB54"/>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470F531E"/>
    <w:multiLevelType w:val="hybridMultilevel"/>
    <w:tmpl w:val="34E6C3DE"/>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9E16E1F"/>
    <w:multiLevelType w:val="hybridMultilevel"/>
    <w:tmpl w:val="C998890C"/>
    <w:lvl w:ilvl="0" w:tplc="E6E232E0">
      <w:start w:val="2"/>
      <w:numFmt w:val="bullet"/>
      <w:pStyle w:val="BT-EMEASMCA"/>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510B4DA3"/>
    <w:multiLevelType w:val="hybridMultilevel"/>
    <w:tmpl w:val="584E0956"/>
    <w:lvl w:ilvl="0" w:tplc="51FA4652">
      <w:start w:val="2"/>
      <w:numFmt w:val="bullet"/>
      <w:lvlText w:val="-"/>
      <w:lvlJc w:val="left"/>
      <w:pPr>
        <w:ind w:left="720" w:hanging="360"/>
      </w:pPr>
      <w:rPr>
        <w:rFonts w:ascii="Times New Roman" w:hAnsi="Times New Roman" w:hint="default"/>
        <w:sz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D83A16"/>
    <w:multiLevelType w:val="hybridMultilevel"/>
    <w:tmpl w:val="A55E8BBC"/>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87B2DB0"/>
    <w:multiLevelType w:val="hybridMultilevel"/>
    <w:tmpl w:val="D6F06094"/>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DA96BE9"/>
    <w:multiLevelType w:val="hybridMultilevel"/>
    <w:tmpl w:val="2DAA4378"/>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5ED7293B"/>
    <w:multiLevelType w:val="hybridMultilevel"/>
    <w:tmpl w:val="08E826AE"/>
    <w:lvl w:ilvl="0" w:tplc="E6E232E0">
      <w:start w:val="2"/>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1025BDC"/>
    <w:multiLevelType w:val="hybridMultilevel"/>
    <w:tmpl w:val="8A7A0190"/>
    <w:lvl w:ilvl="0" w:tplc="F472525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3E2821"/>
    <w:multiLevelType w:val="hybridMultilevel"/>
    <w:tmpl w:val="5B4013D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42F2685"/>
    <w:multiLevelType w:val="hybridMultilevel"/>
    <w:tmpl w:val="D00CD98C"/>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6C3DBC"/>
    <w:multiLevelType w:val="hybridMultilevel"/>
    <w:tmpl w:val="F678F0D2"/>
    <w:lvl w:ilvl="0" w:tplc="E6E232E0">
      <w:start w:val="2"/>
      <w:numFmt w:val="bullet"/>
      <w:lvlText w:val="-"/>
      <w:lvlJc w:val="left"/>
      <w:pPr>
        <w:ind w:left="720" w:hanging="360"/>
      </w:pPr>
      <w:rPr>
        <w:rFonts w:ascii="Times New Roman" w:eastAsia="Times New Roman" w:hAnsi="Times New Roman" w:hint="default"/>
      </w:rPr>
    </w:lvl>
    <w:lvl w:ilvl="1" w:tplc="AE42B7FE">
      <w:start w:val="6"/>
      <w:numFmt w:val="bullet"/>
      <w:lvlText w:val="•"/>
      <w:lvlJc w:val="left"/>
      <w:pPr>
        <w:ind w:left="1440" w:hanging="36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63955D6"/>
    <w:multiLevelType w:val="hybridMultilevel"/>
    <w:tmpl w:val="8AE26824"/>
    <w:lvl w:ilvl="0" w:tplc="51FA4652">
      <w:start w:val="2"/>
      <w:numFmt w:val="bullet"/>
      <w:lvlText w:val="-"/>
      <w:lvlJc w:val="left"/>
      <w:pPr>
        <w:ind w:left="720" w:hanging="360"/>
      </w:pPr>
      <w:rPr>
        <w:rFonts w:ascii="Times New Roman" w:hAnsi="Times New Roman" w:hint="default"/>
        <w:sz w:val="22"/>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8DE5548"/>
    <w:multiLevelType w:val="hybridMultilevel"/>
    <w:tmpl w:val="DF4C04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9583374"/>
    <w:multiLevelType w:val="hybridMultilevel"/>
    <w:tmpl w:val="44446082"/>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B236875"/>
    <w:multiLevelType w:val="hybridMultilevel"/>
    <w:tmpl w:val="34CCCF0A"/>
    <w:lvl w:ilvl="0" w:tplc="51FA4652">
      <w:start w:val="2"/>
      <w:numFmt w:val="bullet"/>
      <w:lvlText w:val="-"/>
      <w:lvlJc w:val="left"/>
      <w:pPr>
        <w:ind w:left="720" w:hanging="360"/>
      </w:pPr>
      <w:rPr>
        <w:rFonts w:ascii="Times New Roman" w:hAnsi="Times New Roman" w:hint="default"/>
        <w:sz w:val="22"/>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C665C62"/>
    <w:multiLevelType w:val="hybridMultilevel"/>
    <w:tmpl w:val="78D2753A"/>
    <w:lvl w:ilvl="0" w:tplc="E6E232E0">
      <w:start w:val="2"/>
      <w:numFmt w:val="bullet"/>
      <w:lvlText w:val="-"/>
      <w:lvlJc w:val="left"/>
      <w:pPr>
        <w:ind w:left="720" w:hanging="360"/>
      </w:pPr>
      <w:rPr>
        <w:rFonts w:ascii="Times New Roman" w:eastAsia="Times New Roman" w:hAnsi="Times New Roman" w:hint="default"/>
      </w:rPr>
    </w:lvl>
    <w:lvl w:ilvl="1" w:tplc="7122B860">
      <w:start w:val="6"/>
      <w:numFmt w:val="bullet"/>
      <w:lvlText w:val="•"/>
      <w:lvlJc w:val="left"/>
      <w:pPr>
        <w:ind w:left="1440" w:hanging="360"/>
      </w:pPr>
      <w:rPr>
        <w:rFonts w:ascii="Times New Roman" w:eastAsia="Times New Roman" w:hAnsi="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FC474E8"/>
    <w:multiLevelType w:val="hybridMultilevel"/>
    <w:tmpl w:val="59A6A840"/>
    <w:lvl w:ilvl="0" w:tplc="51FA4652">
      <w:start w:val="2"/>
      <w:numFmt w:val="bullet"/>
      <w:lvlText w:val="-"/>
      <w:lvlJc w:val="left"/>
      <w:pPr>
        <w:ind w:left="720" w:hanging="360"/>
      </w:pPr>
      <w:rPr>
        <w:rFonts w:ascii="Times New Roman" w:hAnsi="Times New Roman" w:hint="default"/>
        <w:sz w:val="22"/>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1" w15:restartNumberingAfterBreak="0">
    <w:nsid w:val="7B5E2762"/>
    <w:multiLevelType w:val="hybridMultilevel"/>
    <w:tmpl w:val="D62ACA58"/>
    <w:lvl w:ilvl="0" w:tplc="16423280">
      <w:start w:val="17"/>
      <w:numFmt w:val="decimal"/>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2" w15:restartNumberingAfterBreak="0">
    <w:nsid w:val="7B6C29F7"/>
    <w:multiLevelType w:val="hybridMultilevel"/>
    <w:tmpl w:val="333E1CDE"/>
    <w:lvl w:ilvl="0" w:tplc="51FA4652">
      <w:start w:val="2"/>
      <w:numFmt w:val="bullet"/>
      <w:lvlText w:val="-"/>
      <w:lvlJc w:val="left"/>
      <w:pPr>
        <w:ind w:left="1080" w:hanging="360"/>
      </w:pPr>
      <w:rPr>
        <w:rFonts w:ascii="Times New Roman" w:hAnsi="Times New Roman" w:hint="default"/>
        <w:sz w:val="22"/>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3" w15:restartNumberingAfterBreak="0">
    <w:nsid w:val="7C0B7917"/>
    <w:multiLevelType w:val="hybridMultilevel"/>
    <w:tmpl w:val="E522C532"/>
    <w:lvl w:ilvl="0" w:tplc="940AE12C">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7D4C0FDD"/>
    <w:multiLevelType w:val="hybridMultilevel"/>
    <w:tmpl w:val="A5CAA7F2"/>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4"/>
  </w:num>
  <w:num w:numId="2">
    <w:abstractNumId w:val="22"/>
  </w:num>
  <w:num w:numId="3">
    <w:abstractNumId w:val="6"/>
  </w:num>
  <w:num w:numId="4">
    <w:abstractNumId w:val="11"/>
  </w:num>
  <w:num w:numId="5">
    <w:abstractNumId w:val="27"/>
  </w:num>
  <w:num w:numId="6">
    <w:abstractNumId w:val="3"/>
  </w:num>
  <w:num w:numId="7">
    <w:abstractNumId w:val="43"/>
  </w:num>
  <w:num w:numId="8">
    <w:abstractNumId w:val="4"/>
  </w:num>
  <w:num w:numId="9">
    <w:abstractNumId w:val="15"/>
  </w:num>
  <w:num w:numId="10">
    <w:abstractNumId w:val="23"/>
  </w:num>
  <w:num w:numId="11">
    <w:abstractNumId w:val="26"/>
  </w:num>
  <w:num w:numId="12">
    <w:abstractNumId w:val="38"/>
  </w:num>
  <w:num w:numId="13">
    <w:abstractNumId w:val="0"/>
  </w:num>
  <w:num w:numId="14">
    <w:abstractNumId w:val="37"/>
  </w:num>
  <w:num w:numId="15">
    <w:abstractNumId w:val="8"/>
  </w:num>
  <w:num w:numId="16">
    <w:abstractNumId w:val="34"/>
  </w:num>
  <w:num w:numId="17">
    <w:abstractNumId w:val="7"/>
  </w:num>
  <w:num w:numId="18">
    <w:abstractNumId w:val="18"/>
  </w:num>
  <w:num w:numId="19">
    <w:abstractNumId w:val="9"/>
  </w:num>
  <w:num w:numId="20">
    <w:abstractNumId w:val="39"/>
  </w:num>
  <w:num w:numId="21">
    <w:abstractNumId w:val="33"/>
  </w:num>
  <w:num w:numId="22">
    <w:abstractNumId w:val="14"/>
  </w:num>
  <w:num w:numId="23">
    <w:abstractNumId w:val="36"/>
  </w:num>
  <w:num w:numId="24">
    <w:abstractNumId w:val="16"/>
  </w:num>
  <w:num w:numId="25">
    <w:abstractNumId w:val="21"/>
  </w:num>
  <w:num w:numId="26">
    <w:abstractNumId w:val="2"/>
  </w:num>
  <w:num w:numId="27">
    <w:abstractNumId w:val="28"/>
  </w:num>
  <w:num w:numId="28">
    <w:abstractNumId w:val="5"/>
  </w:num>
  <w:num w:numId="29">
    <w:abstractNumId w:val="24"/>
  </w:num>
  <w:num w:numId="30">
    <w:abstractNumId w:val="25"/>
  </w:num>
  <w:num w:numId="31">
    <w:abstractNumId w:val="13"/>
  </w:num>
  <w:num w:numId="32">
    <w:abstractNumId w:val="32"/>
  </w:num>
  <w:num w:numId="33">
    <w:abstractNumId w:val="30"/>
  </w:num>
  <w:num w:numId="34">
    <w:abstractNumId w:val="40"/>
  </w:num>
  <w:num w:numId="35">
    <w:abstractNumId w:val="41"/>
  </w:num>
  <w:num w:numId="36">
    <w:abstractNumId w:val="1"/>
  </w:num>
  <w:num w:numId="37">
    <w:abstractNumId w:val="17"/>
  </w:num>
  <w:num w:numId="38">
    <w:abstractNumId w:val="29"/>
  </w:num>
  <w:num w:numId="39">
    <w:abstractNumId w:val="20"/>
  </w:num>
  <w:num w:numId="40">
    <w:abstractNumId w:val="42"/>
  </w:num>
  <w:num w:numId="41">
    <w:abstractNumId w:val="12"/>
  </w:num>
  <w:num w:numId="42">
    <w:abstractNumId w:val="10"/>
  </w:num>
  <w:num w:numId="43">
    <w:abstractNumId w:val="35"/>
  </w:num>
  <w:num w:numId="44">
    <w:abstractNumId w:val="31"/>
  </w:num>
  <w:num w:numId="45">
    <w:abstractNumId w:val="19"/>
  </w:num>
  <w:num w:numId="4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de-DE" w:vendorID="64" w:dllVersion="6" w:nlCheck="1" w:checkStyle="0"/>
  <w:activeWritingStyle w:appName="MSWord" w:lang="de-DE" w:vendorID="64" w:dllVersion="0" w:nlCheck="1" w:checkStyle="0"/>
  <w:proofState w:grammar="clean"/>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836"/>
    <w:rsid w:val="000022AC"/>
    <w:rsid w:val="000043E7"/>
    <w:rsid w:val="000118D1"/>
    <w:rsid w:val="00013057"/>
    <w:rsid w:val="00013849"/>
    <w:rsid w:val="00022F6A"/>
    <w:rsid w:val="00026233"/>
    <w:rsid w:val="000279CD"/>
    <w:rsid w:val="00047F1B"/>
    <w:rsid w:val="00050907"/>
    <w:rsid w:val="000543AE"/>
    <w:rsid w:val="00054FFD"/>
    <w:rsid w:val="0006209A"/>
    <w:rsid w:val="00065BC0"/>
    <w:rsid w:val="00082037"/>
    <w:rsid w:val="00082D66"/>
    <w:rsid w:val="00084531"/>
    <w:rsid w:val="00085C41"/>
    <w:rsid w:val="000864CD"/>
    <w:rsid w:val="00087723"/>
    <w:rsid w:val="0009123B"/>
    <w:rsid w:val="000971B8"/>
    <w:rsid w:val="000C65B9"/>
    <w:rsid w:val="000D6E5B"/>
    <w:rsid w:val="000E236A"/>
    <w:rsid w:val="00107FA4"/>
    <w:rsid w:val="00116FEB"/>
    <w:rsid w:val="00121D68"/>
    <w:rsid w:val="0014289C"/>
    <w:rsid w:val="00142A0C"/>
    <w:rsid w:val="00143A2A"/>
    <w:rsid w:val="00152B26"/>
    <w:rsid w:val="001549B2"/>
    <w:rsid w:val="00157F27"/>
    <w:rsid w:val="001650F1"/>
    <w:rsid w:val="00167903"/>
    <w:rsid w:val="001845DE"/>
    <w:rsid w:val="001931BB"/>
    <w:rsid w:val="001A51D1"/>
    <w:rsid w:val="001C1639"/>
    <w:rsid w:val="001D2BAB"/>
    <w:rsid w:val="001D4D1B"/>
    <w:rsid w:val="001E2F82"/>
    <w:rsid w:val="001F31AA"/>
    <w:rsid w:val="001F7F28"/>
    <w:rsid w:val="00201F39"/>
    <w:rsid w:val="00204E46"/>
    <w:rsid w:val="00211895"/>
    <w:rsid w:val="0023319A"/>
    <w:rsid w:val="002336AB"/>
    <w:rsid w:val="00237545"/>
    <w:rsid w:val="00241734"/>
    <w:rsid w:val="00241BAD"/>
    <w:rsid w:val="002445C8"/>
    <w:rsid w:val="00244EC9"/>
    <w:rsid w:val="002526C5"/>
    <w:rsid w:val="00257501"/>
    <w:rsid w:val="002709E5"/>
    <w:rsid w:val="002730B2"/>
    <w:rsid w:val="00276FE5"/>
    <w:rsid w:val="00280F7C"/>
    <w:rsid w:val="002826B7"/>
    <w:rsid w:val="00294339"/>
    <w:rsid w:val="002A06EC"/>
    <w:rsid w:val="002A2B6B"/>
    <w:rsid w:val="002A51DD"/>
    <w:rsid w:val="002B0564"/>
    <w:rsid w:val="002C4C09"/>
    <w:rsid w:val="002D6B6A"/>
    <w:rsid w:val="002E3BD0"/>
    <w:rsid w:val="002E5046"/>
    <w:rsid w:val="002E6865"/>
    <w:rsid w:val="002E7D0A"/>
    <w:rsid w:val="002F3324"/>
    <w:rsid w:val="002F4E37"/>
    <w:rsid w:val="00302631"/>
    <w:rsid w:val="00303DBC"/>
    <w:rsid w:val="00306A5F"/>
    <w:rsid w:val="0031029C"/>
    <w:rsid w:val="00316B73"/>
    <w:rsid w:val="00317239"/>
    <w:rsid w:val="003178EA"/>
    <w:rsid w:val="003219BD"/>
    <w:rsid w:val="00322E94"/>
    <w:rsid w:val="003431E8"/>
    <w:rsid w:val="00347877"/>
    <w:rsid w:val="00381875"/>
    <w:rsid w:val="003860FB"/>
    <w:rsid w:val="003A5BD3"/>
    <w:rsid w:val="003A60D9"/>
    <w:rsid w:val="003B7FB1"/>
    <w:rsid w:val="003C242E"/>
    <w:rsid w:val="003C51BF"/>
    <w:rsid w:val="003D0F90"/>
    <w:rsid w:val="003D63D6"/>
    <w:rsid w:val="003E113F"/>
    <w:rsid w:val="003E2EA1"/>
    <w:rsid w:val="003E38EF"/>
    <w:rsid w:val="003E70BB"/>
    <w:rsid w:val="003E7128"/>
    <w:rsid w:val="003F6695"/>
    <w:rsid w:val="003F73FB"/>
    <w:rsid w:val="0040088D"/>
    <w:rsid w:val="004014BD"/>
    <w:rsid w:val="00415E27"/>
    <w:rsid w:val="004174AB"/>
    <w:rsid w:val="0042136D"/>
    <w:rsid w:val="0042542B"/>
    <w:rsid w:val="00431B12"/>
    <w:rsid w:val="004328AB"/>
    <w:rsid w:val="00434CED"/>
    <w:rsid w:val="0043577C"/>
    <w:rsid w:val="0044393C"/>
    <w:rsid w:val="00451C16"/>
    <w:rsid w:val="00451C7F"/>
    <w:rsid w:val="00456A4B"/>
    <w:rsid w:val="00467811"/>
    <w:rsid w:val="00471C76"/>
    <w:rsid w:val="0047382A"/>
    <w:rsid w:val="004816E0"/>
    <w:rsid w:val="004823F0"/>
    <w:rsid w:val="00484A61"/>
    <w:rsid w:val="00486931"/>
    <w:rsid w:val="004921F6"/>
    <w:rsid w:val="0049522E"/>
    <w:rsid w:val="00497ADC"/>
    <w:rsid w:val="004A13FD"/>
    <w:rsid w:val="004A6FA3"/>
    <w:rsid w:val="004B3986"/>
    <w:rsid w:val="004B75D4"/>
    <w:rsid w:val="004F00CB"/>
    <w:rsid w:val="004F6B44"/>
    <w:rsid w:val="005010DD"/>
    <w:rsid w:val="00501148"/>
    <w:rsid w:val="00505630"/>
    <w:rsid w:val="0051310D"/>
    <w:rsid w:val="00520BCE"/>
    <w:rsid w:val="00522C1F"/>
    <w:rsid w:val="00524D44"/>
    <w:rsid w:val="005271F2"/>
    <w:rsid w:val="005319D1"/>
    <w:rsid w:val="00532D4E"/>
    <w:rsid w:val="00534C57"/>
    <w:rsid w:val="00541438"/>
    <w:rsid w:val="00547033"/>
    <w:rsid w:val="00553239"/>
    <w:rsid w:val="00563FDC"/>
    <w:rsid w:val="00564808"/>
    <w:rsid w:val="00574AA8"/>
    <w:rsid w:val="00575406"/>
    <w:rsid w:val="005813AA"/>
    <w:rsid w:val="00587CAB"/>
    <w:rsid w:val="0059379B"/>
    <w:rsid w:val="00597C62"/>
    <w:rsid w:val="005A7575"/>
    <w:rsid w:val="005B4647"/>
    <w:rsid w:val="005B55F5"/>
    <w:rsid w:val="005B66AA"/>
    <w:rsid w:val="005C279C"/>
    <w:rsid w:val="005D608F"/>
    <w:rsid w:val="005F0788"/>
    <w:rsid w:val="0060373A"/>
    <w:rsid w:val="00604880"/>
    <w:rsid w:val="00611333"/>
    <w:rsid w:val="0061290C"/>
    <w:rsid w:val="00614E16"/>
    <w:rsid w:val="006211CF"/>
    <w:rsid w:val="006332D5"/>
    <w:rsid w:val="006410DE"/>
    <w:rsid w:val="006446EA"/>
    <w:rsid w:val="0064740C"/>
    <w:rsid w:val="00647825"/>
    <w:rsid w:val="00677529"/>
    <w:rsid w:val="00681F87"/>
    <w:rsid w:val="006A42C4"/>
    <w:rsid w:val="006A62C3"/>
    <w:rsid w:val="006B0BD3"/>
    <w:rsid w:val="006D1928"/>
    <w:rsid w:val="006E0B25"/>
    <w:rsid w:val="006E549D"/>
    <w:rsid w:val="006F3AB6"/>
    <w:rsid w:val="006F54AF"/>
    <w:rsid w:val="006F640B"/>
    <w:rsid w:val="006F6EFA"/>
    <w:rsid w:val="00703174"/>
    <w:rsid w:val="00715D83"/>
    <w:rsid w:val="00716B9E"/>
    <w:rsid w:val="00717871"/>
    <w:rsid w:val="00721E74"/>
    <w:rsid w:val="00726939"/>
    <w:rsid w:val="00730061"/>
    <w:rsid w:val="00731AA6"/>
    <w:rsid w:val="007340AD"/>
    <w:rsid w:val="00736078"/>
    <w:rsid w:val="00743ED1"/>
    <w:rsid w:val="00744CE2"/>
    <w:rsid w:val="00752249"/>
    <w:rsid w:val="007534B9"/>
    <w:rsid w:val="00760563"/>
    <w:rsid w:val="0076762B"/>
    <w:rsid w:val="007754E0"/>
    <w:rsid w:val="00786F27"/>
    <w:rsid w:val="007A4F93"/>
    <w:rsid w:val="007B6427"/>
    <w:rsid w:val="007B6FA7"/>
    <w:rsid w:val="007C3F1A"/>
    <w:rsid w:val="007C4619"/>
    <w:rsid w:val="007D4584"/>
    <w:rsid w:val="007E716C"/>
    <w:rsid w:val="007F0AD2"/>
    <w:rsid w:val="007F1C26"/>
    <w:rsid w:val="007F5E2E"/>
    <w:rsid w:val="007F783E"/>
    <w:rsid w:val="00800B5E"/>
    <w:rsid w:val="00801CB8"/>
    <w:rsid w:val="008060F2"/>
    <w:rsid w:val="00807F4A"/>
    <w:rsid w:val="00812582"/>
    <w:rsid w:val="00824047"/>
    <w:rsid w:val="00832C8D"/>
    <w:rsid w:val="00832F4E"/>
    <w:rsid w:val="00836F2C"/>
    <w:rsid w:val="00881749"/>
    <w:rsid w:val="00885BCF"/>
    <w:rsid w:val="008934F9"/>
    <w:rsid w:val="00896613"/>
    <w:rsid w:val="008A4216"/>
    <w:rsid w:val="008B3C25"/>
    <w:rsid w:val="008B3D51"/>
    <w:rsid w:val="008B6942"/>
    <w:rsid w:val="008C1323"/>
    <w:rsid w:val="008C1FDD"/>
    <w:rsid w:val="008D556E"/>
    <w:rsid w:val="008F2AEF"/>
    <w:rsid w:val="008F384C"/>
    <w:rsid w:val="00901703"/>
    <w:rsid w:val="009033D8"/>
    <w:rsid w:val="00906A72"/>
    <w:rsid w:val="00914B2F"/>
    <w:rsid w:val="0094268B"/>
    <w:rsid w:val="009512CF"/>
    <w:rsid w:val="00951727"/>
    <w:rsid w:val="00957648"/>
    <w:rsid w:val="009619D2"/>
    <w:rsid w:val="009A454A"/>
    <w:rsid w:val="009C4BB7"/>
    <w:rsid w:val="009C7236"/>
    <w:rsid w:val="009E13CF"/>
    <w:rsid w:val="009E1D0D"/>
    <w:rsid w:val="009E758A"/>
    <w:rsid w:val="009F27C8"/>
    <w:rsid w:val="00A0162A"/>
    <w:rsid w:val="00A02C41"/>
    <w:rsid w:val="00A11CB5"/>
    <w:rsid w:val="00A22C76"/>
    <w:rsid w:val="00A249D6"/>
    <w:rsid w:val="00A34035"/>
    <w:rsid w:val="00A35E2B"/>
    <w:rsid w:val="00A43A3B"/>
    <w:rsid w:val="00A45ADD"/>
    <w:rsid w:val="00A46711"/>
    <w:rsid w:val="00A46DA7"/>
    <w:rsid w:val="00A61C3F"/>
    <w:rsid w:val="00A71445"/>
    <w:rsid w:val="00A7394A"/>
    <w:rsid w:val="00A76803"/>
    <w:rsid w:val="00A831B4"/>
    <w:rsid w:val="00A83E46"/>
    <w:rsid w:val="00A9395F"/>
    <w:rsid w:val="00AA3D4B"/>
    <w:rsid w:val="00AA5203"/>
    <w:rsid w:val="00AB0D75"/>
    <w:rsid w:val="00AB586A"/>
    <w:rsid w:val="00AB5DF2"/>
    <w:rsid w:val="00AB7015"/>
    <w:rsid w:val="00AC5C4C"/>
    <w:rsid w:val="00AC61CD"/>
    <w:rsid w:val="00AC7A35"/>
    <w:rsid w:val="00AF0CF7"/>
    <w:rsid w:val="00AF279F"/>
    <w:rsid w:val="00AF2E19"/>
    <w:rsid w:val="00AF4332"/>
    <w:rsid w:val="00B14C34"/>
    <w:rsid w:val="00B2252D"/>
    <w:rsid w:val="00B230F2"/>
    <w:rsid w:val="00B236E9"/>
    <w:rsid w:val="00B241DF"/>
    <w:rsid w:val="00B30CD5"/>
    <w:rsid w:val="00B330A3"/>
    <w:rsid w:val="00B351EB"/>
    <w:rsid w:val="00B426B4"/>
    <w:rsid w:val="00B43466"/>
    <w:rsid w:val="00B436FE"/>
    <w:rsid w:val="00B50930"/>
    <w:rsid w:val="00B5687B"/>
    <w:rsid w:val="00B75210"/>
    <w:rsid w:val="00B92818"/>
    <w:rsid w:val="00BA090F"/>
    <w:rsid w:val="00BA4686"/>
    <w:rsid w:val="00BA585F"/>
    <w:rsid w:val="00BB0965"/>
    <w:rsid w:val="00BB4696"/>
    <w:rsid w:val="00BC232A"/>
    <w:rsid w:val="00BD7013"/>
    <w:rsid w:val="00BE562B"/>
    <w:rsid w:val="00BF5CBE"/>
    <w:rsid w:val="00BF66C6"/>
    <w:rsid w:val="00C05112"/>
    <w:rsid w:val="00C05955"/>
    <w:rsid w:val="00C07C45"/>
    <w:rsid w:val="00C10181"/>
    <w:rsid w:val="00C2656D"/>
    <w:rsid w:val="00C2704B"/>
    <w:rsid w:val="00C30BC0"/>
    <w:rsid w:val="00C318BF"/>
    <w:rsid w:val="00C33D9E"/>
    <w:rsid w:val="00C41A81"/>
    <w:rsid w:val="00C45A6D"/>
    <w:rsid w:val="00C61539"/>
    <w:rsid w:val="00C75E81"/>
    <w:rsid w:val="00CB0ECB"/>
    <w:rsid w:val="00CB2DEA"/>
    <w:rsid w:val="00CB718E"/>
    <w:rsid w:val="00CC0367"/>
    <w:rsid w:val="00CC210F"/>
    <w:rsid w:val="00CD276F"/>
    <w:rsid w:val="00CF53B7"/>
    <w:rsid w:val="00D018E5"/>
    <w:rsid w:val="00D01F93"/>
    <w:rsid w:val="00D03543"/>
    <w:rsid w:val="00D16436"/>
    <w:rsid w:val="00D21150"/>
    <w:rsid w:val="00D22BCD"/>
    <w:rsid w:val="00D30661"/>
    <w:rsid w:val="00D32B41"/>
    <w:rsid w:val="00D35206"/>
    <w:rsid w:val="00D672A0"/>
    <w:rsid w:val="00D7511B"/>
    <w:rsid w:val="00D8441E"/>
    <w:rsid w:val="00D94BA7"/>
    <w:rsid w:val="00DA2D5B"/>
    <w:rsid w:val="00DB086D"/>
    <w:rsid w:val="00DB3EAC"/>
    <w:rsid w:val="00DB4AE0"/>
    <w:rsid w:val="00DB4E16"/>
    <w:rsid w:val="00DB55E6"/>
    <w:rsid w:val="00DC01BC"/>
    <w:rsid w:val="00DC22FB"/>
    <w:rsid w:val="00DC2527"/>
    <w:rsid w:val="00DC5836"/>
    <w:rsid w:val="00DC7707"/>
    <w:rsid w:val="00DD2F55"/>
    <w:rsid w:val="00DD36A7"/>
    <w:rsid w:val="00DE7AE0"/>
    <w:rsid w:val="00DF17CC"/>
    <w:rsid w:val="00DF4273"/>
    <w:rsid w:val="00E14088"/>
    <w:rsid w:val="00E231ED"/>
    <w:rsid w:val="00E27683"/>
    <w:rsid w:val="00E277C3"/>
    <w:rsid w:val="00E27D05"/>
    <w:rsid w:val="00E43699"/>
    <w:rsid w:val="00E50A91"/>
    <w:rsid w:val="00E50BA2"/>
    <w:rsid w:val="00E51339"/>
    <w:rsid w:val="00E55333"/>
    <w:rsid w:val="00E60797"/>
    <w:rsid w:val="00E77090"/>
    <w:rsid w:val="00E840BC"/>
    <w:rsid w:val="00E87082"/>
    <w:rsid w:val="00E94B51"/>
    <w:rsid w:val="00EA39D0"/>
    <w:rsid w:val="00EB700F"/>
    <w:rsid w:val="00EB7C02"/>
    <w:rsid w:val="00EC0356"/>
    <w:rsid w:val="00EC0CEB"/>
    <w:rsid w:val="00EC5345"/>
    <w:rsid w:val="00EF5547"/>
    <w:rsid w:val="00F019E9"/>
    <w:rsid w:val="00F04F5E"/>
    <w:rsid w:val="00F064D2"/>
    <w:rsid w:val="00F21817"/>
    <w:rsid w:val="00F27733"/>
    <w:rsid w:val="00F433ED"/>
    <w:rsid w:val="00F536C2"/>
    <w:rsid w:val="00F602B5"/>
    <w:rsid w:val="00F60A51"/>
    <w:rsid w:val="00F73FDF"/>
    <w:rsid w:val="00F82005"/>
    <w:rsid w:val="00F831B4"/>
    <w:rsid w:val="00F84C4F"/>
    <w:rsid w:val="00F8548D"/>
    <w:rsid w:val="00F909DC"/>
    <w:rsid w:val="00F90BC1"/>
    <w:rsid w:val="00FC2066"/>
    <w:rsid w:val="00FD7873"/>
    <w:rsid w:val="00FE2278"/>
    <w:rsid w:val="00FE2CCE"/>
    <w:rsid w:val="00FE3972"/>
    <w:rsid w:val="00FE498A"/>
    <w:rsid w:val="00FE6FD0"/>
    <w:rsid w:val="00FE7B76"/>
    <w:rsid w:val="00FF08F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08379"/>
  <w15:docId w15:val="{16FF27E9-15F7-45FD-8DB4-6A997DB1B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43ED1"/>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next w:val="Sraonra"/>
    <w:uiPriority w:val="99"/>
    <w:semiHidden/>
    <w:unhideWhenUsed/>
    <w:rsid w:val="002F3324"/>
  </w:style>
  <w:style w:type="paragraph" w:styleId="Sraopastraipa">
    <w:name w:val="List Paragraph"/>
    <w:basedOn w:val="prastasis"/>
    <w:uiPriority w:val="99"/>
    <w:qFormat/>
    <w:rsid w:val="002F3324"/>
    <w:pPr>
      <w:spacing w:after="200" w:line="276" w:lineRule="auto"/>
      <w:ind w:left="720"/>
      <w:contextualSpacing/>
    </w:pPr>
  </w:style>
  <w:style w:type="paragraph" w:customStyle="1" w:styleId="BT-EMEASMCA">
    <w:name w:val="BT- EMEA_SMCA"/>
    <w:basedOn w:val="prastasis"/>
    <w:uiPriority w:val="99"/>
    <w:rsid w:val="002F3324"/>
    <w:pPr>
      <w:numPr>
        <w:numId w:val="29"/>
      </w:numPr>
      <w:spacing w:after="200" w:line="276" w:lineRule="auto"/>
    </w:pPr>
  </w:style>
  <w:style w:type="table" w:styleId="Lentelstinklelis">
    <w:name w:val="Table Grid"/>
    <w:basedOn w:val="prastojilentel"/>
    <w:uiPriority w:val="99"/>
    <w:rsid w:val="002F33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link w:val="BTEMEASMCAChar"/>
    <w:autoRedefine/>
    <w:uiPriority w:val="99"/>
    <w:rsid w:val="002F3324"/>
    <w:pPr>
      <w:spacing w:after="0" w:line="240" w:lineRule="auto"/>
    </w:pPr>
    <w:rPr>
      <w:rFonts w:ascii="Times New Roman" w:hAnsi="Times New Roman"/>
      <w:noProof/>
      <w:sz w:val="20"/>
      <w:szCs w:val="20"/>
      <w:lang w:val="x-none" w:eastAsia="x-none"/>
    </w:rPr>
  </w:style>
  <w:style w:type="character" w:customStyle="1" w:styleId="BTEMEASMCAChar">
    <w:name w:val="BT EMEA_SMCA Char"/>
    <w:link w:val="BTEMEASMCA"/>
    <w:uiPriority w:val="99"/>
    <w:locked/>
    <w:rsid w:val="002F3324"/>
    <w:rPr>
      <w:rFonts w:ascii="Times New Roman" w:eastAsia="Calibri" w:hAnsi="Times New Roman" w:cs="Times New Roman"/>
      <w:noProof/>
      <w:sz w:val="20"/>
      <w:szCs w:val="20"/>
      <w:lang w:val="x-none" w:eastAsia="x-none"/>
    </w:rPr>
  </w:style>
  <w:style w:type="paragraph" w:styleId="Antrats">
    <w:name w:val="header"/>
    <w:basedOn w:val="prastasis"/>
    <w:link w:val="AntratsDiagrama"/>
    <w:uiPriority w:val="99"/>
    <w:rsid w:val="002F3324"/>
    <w:pPr>
      <w:tabs>
        <w:tab w:val="center" w:pos="4819"/>
        <w:tab w:val="right" w:pos="9638"/>
      </w:tabs>
      <w:spacing w:after="0" w:line="240" w:lineRule="auto"/>
    </w:pPr>
  </w:style>
  <w:style w:type="character" w:customStyle="1" w:styleId="AntratsDiagrama">
    <w:name w:val="Antraštės Diagrama"/>
    <w:link w:val="Antrats"/>
    <w:uiPriority w:val="99"/>
    <w:rsid w:val="002F3324"/>
    <w:rPr>
      <w:rFonts w:ascii="Calibri" w:eastAsia="Calibri" w:hAnsi="Calibri" w:cs="Times New Roman"/>
    </w:rPr>
  </w:style>
  <w:style w:type="paragraph" w:styleId="Porat">
    <w:name w:val="footer"/>
    <w:basedOn w:val="prastasis"/>
    <w:link w:val="PoratDiagrama"/>
    <w:uiPriority w:val="99"/>
    <w:rsid w:val="002F3324"/>
    <w:pPr>
      <w:tabs>
        <w:tab w:val="center" w:pos="4819"/>
        <w:tab w:val="right" w:pos="9638"/>
      </w:tabs>
      <w:spacing w:after="0" w:line="240" w:lineRule="auto"/>
    </w:pPr>
  </w:style>
  <w:style w:type="character" w:customStyle="1" w:styleId="PoratDiagrama">
    <w:name w:val="Poraštė Diagrama"/>
    <w:link w:val="Porat"/>
    <w:uiPriority w:val="99"/>
    <w:rsid w:val="002F3324"/>
    <w:rPr>
      <w:rFonts w:ascii="Calibri" w:eastAsia="Calibri" w:hAnsi="Calibri" w:cs="Times New Roman"/>
    </w:rPr>
  </w:style>
  <w:style w:type="paragraph" w:styleId="Debesliotekstas">
    <w:name w:val="Balloon Text"/>
    <w:basedOn w:val="prastasis"/>
    <w:link w:val="DebesliotekstasDiagrama"/>
    <w:uiPriority w:val="99"/>
    <w:semiHidden/>
    <w:rsid w:val="002F3324"/>
    <w:pPr>
      <w:spacing w:after="0" w:line="240" w:lineRule="auto"/>
    </w:pPr>
    <w:rPr>
      <w:rFonts w:ascii="Tahoma" w:hAnsi="Tahoma" w:cs="Tahoma"/>
      <w:sz w:val="16"/>
      <w:szCs w:val="16"/>
    </w:rPr>
  </w:style>
  <w:style w:type="character" w:customStyle="1" w:styleId="DebesliotekstasDiagrama">
    <w:name w:val="Debesėlio tekstas Diagrama"/>
    <w:link w:val="Debesliotekstas"/>
    <w:uiPriority w:val="99"/>
    <w:semiHidden/>
    <w:rsid w:val="002F3324"/>
    <w:rPr>
      <w:rFonts w:ascii="Tahoma" w:eastAsia="Calibri" w:hAnsi="Tahoma" w:cs="Tahoma"/>
      <w:sz w:val="16"/>
      <w:szCs w:val="16"/>
    </w:rPr>
  </w:style>
  <w:style w:type="character" w:styleId="Hipersaitas">
    <w:name w:val="Hyperlink"/>
    <w:uiPriority w:val="99"/>
    <w:rsid w:val="002F3324"/>
    <w:rPr>
      <w:rFonts w:cs="Times New Roman"/>
      <w:color w:val="0000FF"/>
      <w:u w:val="single"/>
    </w:rPr>
  </w:style>
  <w:style w:type="paragraph" w:styleId="Paprastasistekstas">
    <w:name w:val="Plain Text"/>
    <w:basedOn w:val="prastasis"/>
    <w:link w:val="PaprastasistekstasDiagrama"/>
    <w:uiPriority w:val="99"/>
    <w:rsid w:val="002F3324"/>
    <w:pPr>
      <w:spacing w:after="0" w:line="240" w:lineRule="auto"/>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2F3324"/>
    <w:rPr>
      <w:rFonts w:ascii="Courier New" w:eastAsia="SimSun" w:hAnsi="Courier New" w:cs="Times New Roman"/>
      <w:sz w:val="20"/>
      <w:szCs w:val="20"/>
      <w:lang w:val="en-US"/>
    </w:rPr>
  </w:style>
  <w:style w:type="character" w:styleId="Komentaronuoroda">
    <w:name w:val="annotation reference"/>
    <w:uiPriority w:val="99"/>
    <w:semiHidden/>
    <w:rsid w:val="002F3324"/>
    <w:rPr>
      <w:rFonts w:cs="Times New Roman"/>
      <w:sz w:val="16"/>
      <w:szCs w:val="16"/>
    </w:rPr>
  </w:style>
  <w:style w:type="paragraph" w:styleId="Komentarotekstas">
    <w:name w:val="annotation text"/>
    <w:basedOn w:val="prastasis"/>
    <w:link w:val="KomentarotekstasDiagrama"/>
    <w:uiPriority w:val="99"/>
    <w:semiHidden/>
    <w:rsid w:val="002F3324"/>
    <w:pPr>
      <w:spacing w:after="200" w:line="240" w:lineRule="auto"/>
    </w:pPr>
    <w:rPr>
      <w:sz w:val="20"/>
      <w:szCs w:val="20"/>
    </w:rPr>
  </w:style>
  <w:style w:type="character" w:customStyle="1" w:styleId="KomentarotekstasDiagrama">
    <w:name w:val="Komentaro tekstas Diagrama"/>
    <w:link w:val="Komentarotekstas"/>
    <w:uiPriority w:val="99"/>
    <w:semiHidden/>
    <w:rsid w:val="002F3324"/>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rsid w:val="002F3324"/>
    <w:rPr>
      <w:b/>
      <w:bCs/>
    </w:rPr>
  </w:style>
  <w:style w:type="character" w:customStyle="1" w:styleId="KomentarotemaDiagrama">
    <w:name w:val="Komentaro tema Diagrama"/>
    <w:link w:val="Komentarotema"/>
    <w:uiPriority w:val="99"/>
    <w:semiHidden/>
    <w:rsid w:val="002F3324"/>
    <w:rPr>
      <w:rFonts w:ascii="Calibri" w:eastAsia="Calibri" w:hAnsi="Calibri" w:cs="Times New Roman"/>
      <w:b/>
      <w:bCs/>
      <w:sz w:val="20"/>
      <w:szCs w:val="20"/>
    </w:rPr>
  </w:style>
  <w:style w:type="paragraph" w:styleId="Pataisymai">
    <w:name w:val="Revision"/>
    <w:hidden/>
    <w:uiPriority w:val="99"/>
    <w:semiHidden/>
    <w:rsid w:val="00951727"/>
    <w:rPr>
      <w:sz w:val="22"/>
      <w:szCs w:val="22"/>
      <w:lang w:eastAsia="en-US"/>
    </w:rPr>
  </w:style>
  <w:style w:type="paragraph" w:styleId="Betarp">
    <w:name w:val="No Spacing"/>
    <w:uiPriority w:val="1"/>
    <w:qFormat/>
    <w:rsid w:val="00951727"/>
    <w:rPr>
      <w:sz w:val="22"/>
      <w:szCs w:val="22"/>
      <w:lang w:eastAsia="en-US"/>
    </w:rPr>
  </w:style>
  <w:style w:type="paragraph" w:styleId="HTMLiankstoformatuotas">
    <w:name w:val="HTML Preformatted"/>
    <w:basedOn w:val="prastasis"/>
    <w:link w:val="HTMLiankstoformatuotasDiagrama"/>
    <w:uiPriority w:val="99"/>
    <w:semiHidden/>
    <w:unhideWhenUsed/>
    <w:rsid w:val="00C30BC0"/>
    <w:pPr>
      <w:spacing w:after="0" w:line="240" w:lineRule="auto"/>
    </w:pPr>
    <w:rPr>
      <w:rFonts w:ascii="Consolas" w:hAnsi="Consolas" w:cs="Consolas"/>
      <w:sz w:val="20"/>
      <w:szCs w:val="20"/>
    </w:rPr>
  </w:style>
  <w:style w:type="character" w:customStyle="1" w:styleId="HTMLiankstoformatuotasDiagrama">
    <w:name w:val="HTML iš anksto formatuotas Diagrama"/>
    <w:link w:val="HTMLiankstoformatuotas"/>
    <w:uiPriority w:val="99"/>
    <w:semiHidden/>
    <w:rsid w:val="00C30BC0"/>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320967">
      <w:bodyDiv w:val="1"/>
      <w:marLeft w:val="0"/>
      <w:marRight w:val="0"/>
      <w:marTop w:val="0"/>
      <w:marBottom w:val="0"/>
      <w:divBdr>
        <w:top w:val="none" w:sz="0" w:space="0" w:color="auto"/>
        <w:left w:val="none" w:sz="0" w:space="0" w:color="auto"/>
        <w:bottom w:val="none" w:sz="0" w:space="0" w:color="auto"/>
        <w:right w:val="none" w:sz="0" w:space="0" w:color="auto"/>
      </w:divBdr>
    </w:div>
    <w:div w:id="86660961">
      <w:bodyDiv w:val="1"/>
      <w:marLeft w:val="0"/>
      <w:marRight w:val="0"/>
      <w:marTop w:val="0"/>
      <w:marBottom w:val="0"/>
      <w:divBdr>
        <w:top w:val="none" w:sz="0" w:space="0" w:color="auto"/>
        <w:left w:val="none" w:sz="0" w:space="0" w:color="auto"/>
        <w:bottom w:val="none" w:sz="0" w:space="0" w:color="auto"/>
        <w:right w:val="none" w:sz="0" w:space="0" w:color="auto"/>
      </w:divBdr>
    </w:div>
    <w:div w:id="137383480">
      <w:bodyDiv w:val="1"/>
      <w:marLeft w:val="0"/>
      <w:marRight w:val="0"/>
      <w:marTop w:val="0"/>
      <w:marBottom w:val="0"/>
      <w:divBdr>
        <w:top w:val="none" w:sz="0" w:space="0" w:color="auto"/>
        <w:left w:val="none" w:sz="0" w:space="0" w:color="auto"/>
        <w:bottom w:val="none" w:sz="0" w:space="0" w:color="auto"/>
        <w:right w:val="none" w:sz="0" w:space="0" w:color="auto"/>
      </w:divBdr>
    </w:div>
    <w:div w:id="151995633">
      <w:bodyDiv w:val="1"/>
      <w:marLeft w:val="0"/>
      <w:marRight w:val="0"/>
      <w:marTop w:val="0"/>
      <w:marBottom w:val="0"/>
      <w:divBdr>
        <w:top w:val="none" w:sz="0" w:space="0" w:color="auto"/>
        <w:left w:val="none" w:sz="0" w:space="0" w:color="auto"/>
        <w:bottom w:val="none" w:sz="0" w:space="0" w:color="auto"/>
        <w:right w:val="none" w:sz="0" w:space="0" w:color="auto"/>
      </w:divBdr>
    </w:div>
    <w:div w:id="188376466">
      <w:bodyDiv w:val="1"/>
      <w:marLeft w:val="0"/>
      <w:marRight w:val="0"/>
      <w:marTop w:val="0"/>
      <w:marBottom w:val="0"/>
      <w:divBdr>
        <w:top w:val="none" w:sz="0" w:space="0" w:color="auto"/>
        <w:left w:val="none" w:sz="0" w:space="0" w:color="auto"/>
        <w:bottom w:val="none" w:sz="0" w:space="0" w:color="auto"/>
        <w:right w:val="none" w:sz="0" w:space="0" w:color="auto"/>
      </w:divBdr>
    </w:div>
    <w:div w:id="199319070">
      <w:bodyDiv w:val="1"/>
      <w:marLeft w:val="0"/>
      <w:marRight w:val="0"/>
      <w:marTop w:val="0"/>
      <w:marBottom w:val="0"/>
      <w:divBdr>
        <w:top w:val="none" w:sz="0" w:space="0" w:color="auto"/>
        <w:left w:val="none" w:sz="0" w:space="0" w:color="auto"/>
        <w:bottom w:val="none" w:sz="0" w:space="0" w:color="auto"/>
        <w:right w:val="none" w:sz="0" w:space="0" w:color="auto"/>
      </w:divBdr>
    </w:div>
    <w:div w:id="286205011">
      <w:bodyDiv w:val="1"/>
      <w:marLeft w:val="0"/>
      <w:marRight w:val="0"/>
      <w:marTop w:val="0"/>
      <w:marBottom w:val="0"/>
      <w:divBdr>
        <w:top w:val="none" w:sz="0" w:space="0" w:color="auto"/>
        <w:left w:val="none" w:sz="0" w:space="0" w:color="auto"/>
        <w:bottom w:val="none" w:sz="0" w:space="0" w:color="auto"/>
        <w:right w:val="none" w:sz="0" w:space="0" w:color="auto"/>
      </w:divBdr>
    </w:div>
    <w:div w:id="300696986">
      <w:bodyDiv w:val="1"/>
      <w:marLeft w:val="0"/>
      <w:marRight w:val="0"/>
      <w:marTop w:val="0"/>
      <w:marBottom w:val="0"/>
      <w:divBdr>
        <w:top w:val="none" w:sz="0" w:space="0" w:color="auto"/>
        <w:left w:val="none" w:sz="0" w:space="0" w:color="auto"/>
        <w:bottom w:val="none" w:sz="0" w:space="0" w:color="auto"/>
        <w:right w:val="none" w:sz="0" w:space="0" w:color="auto"/>
      </w:divBdr>
    </w:div>
    <w:div w:id="347828627">
      <w:bodyDiv w:val="1"/>
      <w:marLeft w:val="0"/>
      <w:marRight w:val="0"/>
      <w:marTop w:val="0"/>
      <w:marBottom w:val="0"/>
      <w:divBdr>
        <w:top w:val="none" w:sz="0" w:space="0" w:color="auto"/>
        <w:left w:val="none" w:sz="0" w:space="0" w:color="auto"/>
        <w:bottom w:val="none" w:sz="0" w:space="0" w:color="auto"/>
        <w:right w:val="none" w:sz="0" w:space="0" w:color="auto"/>
      </w:divBdr>
    </w:div>
    <w:div w:id="522784288">
      <w:bodyDiv w:val="1"/>
      <w:marLeft w:val="0"/>
      <w:marRight w:val="0"/>
      <w:marTop w:val="0"/>
      <w:marBottom w:val="0"/>
      <w:divBdr>
        <w:top w:val="none" w:sz="0" w:space="0" w:color="auto"/>
        <w:left w:val="none" w:sz="0" w:space="0" w:color="auto"/>
        <w:bottom w:val="none" w:sz="0" w:space="0" w:color="auto"/>
        <w:right w:val="none" w:sz="0" w:space="0" w:color="auto"/>
      </w:divBdr>
    </w:div>
    <w:div w:id="573704525">
      <w:bodyDiv w:val="1"/>
      <w:marLeft w:val="0"/>
      <w:marRight w:val="0"/>
      <w:marTop w:val="0"/>
      <w:marBottom w:val="0"/>
      <w:divBdr>
        <w:top w:val="none" w:sz="0" w:space="0" w:color="auto"/>
        <w:left w:val="none" w:sz="0" w:space="0" w:color="auto"/>
        <w:bottom w:val="none" w:sz="0" w:space="0" w:color="auto"/>
        <w:right w:val="none" w:sz="0" w:space="0" w:color="auto"/>
      </w:divBdr>
    </w:div>
    <w:div w:id="665015325">
      <w:bodyDiv w:val="1"/>
      <w:marLeft w:val="0"/>
      <w:marRight w:val="0"/>
      <w:marTop w:val="0"/>
      <w:marBottom w:val="0"/>
      <w:divBdr>
        <w:top w:val="none" w:sz="0" w:space="0" w:color="auto"/>
        <w:left w:val="none" w:sz="0" w:space="0" w:color="auto"/>
        <w:bottom w:val="none" w:sz="0" w:space="0" w:color="auto"/>
        <w:right w:val="none" w:sz="0" w:space="0" w:color="auto"/>
      </w:divBdr>
    </w:div>
    <w:div w:id="708577150">
      <w:bodyDiv w:val="1"/>
      <w:marLeft w:val="0"/>
      <w:marRight w:val="0"/>
      <w:marTop w:val="0"/>
      <w:marBottom w:val="0"/>
      <w:divBdr>
        <w:top w:val="none" w:sz="0" w:space="0" w:color="auto"/>
        <w:left w:val="none" w:sz="0" w:space="0" w:color="auto"/>
        <w:bottom w:val="none" w:sz="0" w:space="0" w:color="auto"/>
        <w:right w:val="none" w:sz="0" w:space="0" w:color="auto"/>
      </w:divBdr>
    </w:div>
    <w:div w:id="816334830">
      <w:bodyDiv w:val="1"/>
      <w:marLeft w:val="0"/>
      <w:marRight w:val="0"/>
      <w:marTop w:val="0"/>
      <w:marBottom w:val="0"/>
      <w:divBdr>
        <w:top w:val="none" w:sz="0" w:space="0" w:color="auto"/>
        <w:left w:val="none" w:sz="0" w:space="0" w:color="auto"/>
        <w:bottom w:val="none" w:sz="0" w:space="0" w:color="auto"/>
        <w:right w:val="none" w:sz="0" w:space="0" w:color="auto"/>
      </w:divBdr>
    </w:div>
    <w:div w:id="839349107">
      <w:bodyDiv w:val="1"/>
      <w:marLeft w:val="0"/>
      <w:marRight w:val="0"/>
      <w:marTop w:val="0"/>
      <w:marBottom w:val="0"/>
      <w:divBdr>
        <w:top w:val="none" w:sz="0" w:space="0" w:color="auto"/>
        <w:left w:val="none" w:sz="0" w:space="0" w:color="auto"/>
        <w:bottom w:val="none" w:sz="0" w:space="0" w:color="auto"/>
        <w:right w:val="none" w:sz="0" w:space="0" w:color="auto"/>
      </w:divBdr>
    </w:div>
    <w:div w:id="902594183">
      <w:bodyDiv w:val="1"/>
      <w:marLeft w:val="0"/>
      <w:marRight w:val="0"/>
      <w:marTop w:val="0"/>
      <w:marBottom w:val="0"/>
      <w:divBdr>
        <w:top w:val="none" w:sz="0" w:space="0" w:color="auto"/>
        <w:left w:val="none" w:sz="0" w:space="0" w:color="auto"/>
        <w:bottom w:val="none" w:sz="0" w:space="0" w:color="auto"/>
        <w:right w:val="none" w:sz="0" w:space="0" w:color="auto"/>
      </w:divBdr>
    </w:div>
    <w:div w:id="1107386151">
      <w:bodyDiv w:val="1"/>
      <w:marLeft w:val="0"/>
      <w:marRight w:val="0"/>
      <w:marTop w:val="0"/>
      <w:marBottom w:val="0"/>
      <w:divBdr>
        <w:top w:val="none" w:sz="0" w:space="0" w:color="auto"/>
        <w:left w:val="none" w:sz="0" w:space="0" w:color="auto"/>
        <w:bottom w:val="none" w:sz="0" w:space="0" w:color="auto"/>
        <w:right w:val="none" w:sz="0" w:space="0" w:color="auto"/>
      </w:divBdr>
    </w:div>
    <w:div w:id="1288851133">
      <w:bodyDiv w:val="1"/>
      <w:marLeft w:val="0"/>
      <w:marRight w:val="0"/>
      <w:marTop w:val="0"/>
      <w:marBottom w:val="0"/>
      <w:divBdr>
        <w:top w:val="none" w:sz="0" w:space="0" w:color="auto"/>
        <w:left w:val="none" w:sz="0" w:space="0" w:color="auto"/>
        <w:bottom w:val="none" w:sz="0" w:space="0" w:color="auto"/>
        <w:right w:val="none" w:sz="0" w:space="0" w:color="auto"/>
      </w:divBdr>
    </w:div>
    <w:div w:id="1355957484">
      <w:bodyDiv w:val="1"/>
      <w:marLeft w:val="0"/>
      <w:marRight w:val="0"/>
      <w:marTop w:val="0"/>
      <w:marBottom w:val="0"/>
      <w:divBdr>
        <w:top w:val="none" w:sz="0" w:space="0" w:color="auto"/>
        <w:left w:val="none" w:sz="0" w:space="0" w:color="auto"/>
        <w:bottom w:val="none" w:sz="0" w:space="0" w:color="auto"/>
        <w:right w:val="none" w:sz="0" w:space="0" w:color="auto"/>
      </w:divBdr>
    </w:div>
    <w:div w:id="1367022901">
      <w:bodyDiv w:val="1"/>
      <w:marLeft w:val="0"/>
      <w:marRight w:val="0"/>
      <w:marTop w:val="0"/>
      <w:marBottom w:val="0"/>
      <w:divBdr>
        <w:top w:val="none" w:sz="0" w:space="0" w:color="auto"/>
        <w:left w:val="none" w:sz="0" w:space="0" w:color="auto"/>
        <w:bottom w:val="none" w:sz="0" w:space="0" w:color="auto"/>
        <w:right w:val="none" w:sz="0" w:space="0" w:color="auto"/>
      </w:divBdr>
    </w:div>
    <w:div w:id="1538159753">
      <w:bodyDiv w:val="1"/>
      <w:marLeft w:val="0"/>
      <w:marRight w:val="0"/>
      <w:marTop w:val="0"/>
      <w:marBottom w:val="0"/>
      <w:divBdr>
        <w:top w:val="none" w:sz="0" w:space="0" w:color="auto"/>
        <w:left w:val="none" w:sz="0" w:space="0" w:color="auto"/>
        <w:bottom w:val="none" w:sz="0" w:space="0" w:color="auto"/>
        <w:right w:val="none" w:sz="0" w:space="0" w:color="auto"/>
      </w:divBdr>
    </w:div>
    <w:div w:id="1566183779">
      <w:bodyDiv w:val="1"/>
      <w:marLeft w:val="0"/>
      <w:marRight w:val="0"/>
      <w:marTop w:val="0"/>
      <w:marBottom w:val="0"/>
      <w:divBdr>
        <w:top w:val="none" w:sz="0" w:space="0" w:color="auto"/>
        <w:left w:val="none" w:sz="0" w:space="0" w:color="auto"/>
        <w:bottom w:val="none" w:sz="0" w:space="0" w:color="auto"/>
        <w:right w:val="none" w:sz="0" w:space="0" w:color="auto"/>
      </w:divBdr>
    </w:div>
    <w:div w:id="1644701054">
      <w:bodyDiv w:val="1"/>
      <w:marLeft w:val="0"/>
      <w:marRight w:val="0"/>
      <w:marTop w:val="0"/>
      <w:marBottom w:val="0"/>
      <w:divBdr>
        <w:top w:val="none" w:sz="0" w:space="0" w:color="auto"/>
        <w:left w:val="none" w:sz="0" w:space="0" w:color="auto"/>
        <w:bottom w:val="none" w:sz="0" w:space="0" w:color="auto"/>
        <w:right w:val="none" w:sz="0" w:space="0" w:color="auto"/>
      </w:divBdr>
    </w:div>
    <w:div w:id="1709379867">
      <w:bodyDiv w:val="1"/>
      <w:marLeft w:val="0"/>
      <w:marRight w:val="0"/>
      <w:marTop w:val="0"/>
      <w:marBottom w:val="0"/>
      <w:divBdr>
        <w:top w:val="none" w:sz="0" w:space="0" w:color="auto"/>
        <w:left w:val="none" w:sz="0" w:space="0" w:color="auto"/>
        <w:bottom w:val="none" w:sz="0" w:space="0" w:color="auto"/>
        <w:right w:val="none" w:sz="0" w:space="0" w:color="auto"/>
      </w:divBdr>
    </w:div>
    <w:div w:id="1726106435">
      <w:bodyDiv w:val="1"/>
      <w:marLeft w:val="0"/>
      <w:marRight w:val="0"/>
      <w:marTop w:val="0"/>
      <w:marBottom w:val="0"/>
      <w:divBdr>
        <w:top w:val="none" w:sz="0" w:space="0" w:color="auto"/>
        <w:left w:val="none" w:sz="0" w:space="0" w:color="auto"/>
        <w:bottom w:val="none" w:sz="0" w:space="0" w:color="auto"/>
        <w:right w:val="none" w:sz="0" w:space="0" w:color="auto"/>
      </w:divBdr>
    </w:div>
    <w:div w:id="1857500538">
      <w:bodyDiv w:val="1"/>
      <w:marLeft w:val="0"/>
      <w:marRight w:val="0"/>
      <w:marTop w:val="0"/>
      <w:marBottom w:val="0"/>
      <w:divBdr>
        <w:top w:val="none" w:sz="0" w:space="0" w:color="auto"/>
        <w:left w:val="none" w:sz="0" w:space="0" w:color="auto"/>
        <w:bottom w:val="none" w:sz="0" w:space="0" w:color="auto"/>
        <w:right w:val="none" w:sz="0" w:space="0" w:color="auto"/>
      </w:divBdr>
    </w:div>
    <w:div w:id="1893810236">
      <w:bodyDiv w:val="1"/>
      <w:marLeft w:val="0"/>
      <w:marRight w:val="0"/>
      <w:marTop w:val="0"/>
      <w:marBottom w:val="0"/>
      <w:divBdr>
        <w:top w:val="none" w:sz="0" w:space="0" w:color="auto"/>
        <w:left w:val="none" w:sz="0" w:space="0" w:color="auto"/>
        <w:bottom w:val="none" w:sz="0" w:space="0" w:color="auto"/>
        <w:right w:val="none" w:sz="0" w:space="0" w:color="auto"/>
      </w:divBdr>
    </w:div>
    <w:div w:id="1957566667">
      <w:bodyDiv w:val="1"/>
      <w:marLeft w:val="0"/>
      <w:marRight w:val="0"/>
      <w:marTop w:val="0"/>
      <w:marBottom w:val="0"/>
      <w:divBdr>
        <w:top w:val="none" w:sz="0" w:space="0" w:color="auto"/>
        <w:left w:val="none" w:sz="0" w:space="0" w:color="auto"/>
        <w:bottom w:val="none" w:sz="0" w:space="0" w:color="auto"/>
        <w:right w:val="none" w:sz="0" w:space="0" w:color="auto"/>
      </w:divBdr>
    </w:div>
    <w:div w:id="1969317379">
      <w:bodyDiv w:val="1"/>
      <w:marLeft w:val="0"/>
      <w:marRight w:val="0"/>
      <w:marTop w:val="0"/>
      <w:marBottom w:val="0"/>
      <w:divBdr>
        <w:top w:val="none" w:sz="0" w:space="0" w:color="auto"/>
        <w:left w:val="none" w:sz="0" w:space="0" w:color="auto"/>
        <w:bottom w:val="none" w:sz="0" w:space="0" w:color="auto"/>
        <w:right w:val="none" w:sz="0" w:space="0" w:color="auto"/>
      </w:divBdr>
    </w:div>
    <w:div w:id="2045131017">
      <w:bodyDiv w:val="1"/>
      <w:marLeft w:val="0"/>
      <w:marRight w:val="0"/>
      <w:marTop w:val="0"/>
      <w:marBottom w:val="0"/>
      <w:divBdr>
        <w:top w:val="none" w:sz="0" w:space="0" w:color="auto"/>
        <w:left w:val="none" w:sz="0" w:space="0" w:color="auto"/>
        <w:bottom w:val="none" w:sz="0" w:space="0" w:color="auto"/>
        <w:right w:val="none" w:sz="0" w:space="0" w:color="auto"/>
      </w:divBdr>
    </w:div>
    <w:div w:id="2065789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C06983-1313-40EE-B169-3DDF9A0E3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53</Pages>
  <Words>79458</Words>
  <Characters>45292</Characters>
  <Application>Microsoft Office Word</Application>
  <DocSecurity>0</DocSecurity>
  <Lines>377</Lines>
  <Paragraphs>249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124501</CharactersWithSpaces>
  <SharedDoc>false</SharedDoc>
  <HLinks>
    <vt:vector size="18" baseType="variant">
      <vt:variant>
        <vt:i4>1245197</vt:i4>
      </vt:variant>
      <vt:variant>
        <vt:i4>6</vt:i4>
      </vt:variant>
      <vt:variant>
        <vt:i4>0</vt:i4>
      </vt:variant>
      <vt:variant>
        <vt:i4>5</vt:i4>
      </vt:variant>
      <vt:variant>
        <vt:lpwstr>http://www.ema.europa.eu/</vt:lpwstr>
      </vt:variant>
      <vt:variant>
        <vt:lpwstr/>
      </vt:variant>
      <vt:variant>
        <vt:i4>1245197</vt:i4>
      </vt:variant>
      <vt:variant>
        <vt:i4>3</vt:i4>
      </vt:variant>
      <vt:variant>
        <vt:i4>0</vt:i4>
      </vt:variant>
      <vt:variant>
        <vt:i4>5</vt:i4>
      </vt:variant>
      <vt:variant>
        <vt:lpwstr>http://www.ema.europa.eu/</vt:lpwstr>
      </vt:variant>
      <vt:variant>
        <vt:lpwstr/>
      </vt:variant>
      <vt:variant>
        <vt:i4>2162708</vt:i4>
      </vt:variant>
      <vt:variant>
        <vt:i4>0</vt:i4>
      </vt:variant>
      <vt:variant>
        <vt:i4>0</vt:i4>
      </vt:variant>
      <vt:variant>
        <vt:i4>5</vt:i4>
      </vt:variant>
      <vt:variant>
        <vt:lpwstr>mailto:NepageidaujamaR@vvkt.lt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cp:lastModifiedBy>Albina Burkauskaitė</cp:lastModifiedBy>
  <cp:revision>3</cp:revision>
  <dcterms:created xsi:type="dcterms:W3CDTF">2024-09-10T08:26:00Z</dcterms:created>
  <dcterms:modified xsi:type="dcterms:W3CDTF">2024-09-10T08:28:00Z</dcterms:modified>
</cp:coreProperties>
</file>