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CD7A0" w14:textId="77777777" w:rsidR="000E5428" w:rsidRPr="009B54A6" w:rsidRDefault="000E5428" w:rsidP="000E5428">
      <w:pPr>
        <w:tabs>
          <w:tab w:val="left" w:pos="3060"/>
        </w:tabs>
        <w:autoSpaceDE w:val="0"/>
        <w:autoSpaceDN w:val="0"/>
        <w:adjustRightInd w:val="0"/>
        <w:rPr>
          <w:b/>
          <w:bCs/>
          <w:sz w:val="22"/>
          <w:szCs w:val="22"/>
        </w:rPr>
      </w:pPr>
    </w:p>
    <w:p w14:paraId="20390D50" w14:textId="77777777" w:rsidR="000E5428" w:rsidRPr="009B54A6" w:rsidRDefault="000E5428" w:rsidP="000E5428">
      <w:pPr>
        <w:tabs>
          <w:tab w:val="left" w:pos="3060"/>
        </w:tabs>
        <w:autoSpaceDE w:val="0"/>
        <w:autoSpaceDN w:val="0"/>
        <w:adjustRightInd w:val="0"/>
        <w:rPr>
          <w:b/>
          <w:bCs/>
          <w:sz w:val="22"/>
          <w:szCs w:val="22"/>
        </w:rPr>
      </w:pPr>
    </w:p>
    <w:p w14:paraId="47C07706" w14:textId="77777777" w:rsidR="000E5428" w:rsidRPr="009B54A6" w:rsidRDefault="000E5428" w:rsidP="000E5428">
      <w:pPr>
        <w:tabs>
          <w:tab w:val="left" w:pos="3060"/>
        </w:tabs>
        <w:autoSpaceDE w:val="0"/>
        <w:autoSpaceDN w:val="0"/>
        <w:adjustRightInd w:val="0"/>
        <w:rPr>
          <w:b/>
          <w:bCs/>
          <w:sz w:val="22"/>
          <w:szCs w:val="22"/>
        </w:rPr>
      </w:pPr>
    </w:p>
    <w:p w14:paraId="3DA30D87" w14:textId="77777777" w:rsidR="000E5428" w:rsidRPr="009B54A6" w:rsidRDefault="000E5428" w:rsidP="000E5428">
      <w:pPr>
        <w:tabs>
          <w:tab w:val="left" w:pos="3060"/>
        </w:tabs>
        <w:autoSpaceDE w:val="0"/>
        <w:autoSpaceDN w:val="0"/>
        <w:adjustRightInd w:val="0"/>
        <w:rPr>
          <w:b/>
          <w:bCs/>
          <w:sz w:val="22"/>
          <w:szCs w:val="22"/>
        </w:rPr>
      </w:pPr>
    </w:p>
    <w:p w14:paraId="334AC08C" w14:textId="77777777" w:rsidR="000E5428" w:rsidRPr="009B54A6" w:rsidRDefault="000E5428" w:rsidP="000E5428">
      <w:pPr>
        <w:tabs>
          <w:tab w:val="left" w:pos="3060"/>
        </w:tabs>
        <w:autoSpaceDE w:val="0"/>
        <w:autoSpaceDN w:val="0"/>
        <w:adjustRightInd w:val="0"/>
        <w:rPr>
          <w:b/>
          <w:bCs/>
          <w:sz w:val="22"/>
          <w:szCs w:val="22"/>
        </w:rPr>
      </w:pPr>
    </w:p>
    <w:p w14:paraId="55C97FCB" w14:textId="77777777" w:rsidR="000E5428" w:rsidRPr="009B54A6" w:rsidRDefault="000E5428" w:rsidP="000E5428">
      <w:pPr>
        <w:tabs>
          <w:tab w:val="left" w:pos="3060"/>
        </w:tabs>
        <w:autoSpaceDE w:val="0"/>
        <w:autoSpaceDN w:val="0"/>
        <w:adjustRightInd w:val="0"/>
        <w:rPr>
          <w:b/>
          <w:bCs/>
          <w:sz w:val="22"/>
          <w:szCs w:val="22"/>
        </w:rPr>
      </w:pPr>
    </w:p>
    <w:p w14:paraId="2E386CC8" w14:textId="77777777" w:rsidR="000E5428" w:rsidRPr="009B54A6" w:rsidRDefault="000E5428" w:rsidP="000E5428">
      <w:pPr>
        <w:tabs>
          <w:tab w:val="left" w:pos="3060"/>
        </w:tabs>
        <w:autoSpaceDE w:val="0"/>
        <w:autoSpaceDN w:val="0"/>
        <w:adjustRightInd w:val="0"/>
        <w:rPr>
          <w:b/>
          <w:bCs/>
          <w:sz w:val="22"/>
          <w:szCs w:val="22"/>
        </w:rPr>
      </w:pPr>
    </w:p>
    <w:p w14:paraId="45B20CEC" w14:textId="77777777" w:rsidR="000E5428" w:rsidRPr="009B54A6" w:rsidRDefault="000E5428" w:rsidP="000E5428">
      <w:pPr>
        <w:tabs>
          <w:tab w:val="left" w:pos="3060"/>
        </w:tabs>
        <w:autoSpaceDE w:val="0"/>
        <w:autoSpaceDN w:val="0"/>
        <w:adjustRightInd w:val="0"/>
        <w:rPr>
          <w:b/>
          <w:bCs/>
          <w:sz w:val="22"/>
          <w:szCs w:val="22"/>
        </w:rPr>
      </w:pPr>
    </w:p>
    <w:p w14:paraId="5AA69286" w14:textId="77777777" w:rsidR="000E5428" w:rsidRPr="009B54A6" w:rsidRDefault="000E5428" w:rsidP="000E5428">
      <w:pPr>
        <w:tabs>
          <w:tab w:val="left" w:pos="3060"/>
        </w:tabs>
        <w:autoSpaceDE w:val="0"/>
        <w:autoSpaceDN w:val="0"/>
        <w:adjustRightInd w:val="0"/>
        <w:rPr>
          <w:b/>
          <w:bCs/>
          <w:sz w:val="22"/>
          <w:szCs w:val="22"/>
        </w:rPr>
      </w:pPr>
    </w:p>
    <w:p w14:paraId="435001E3" w14:textId="77777777" w:rsidR="000E5428" w:rsidRPr="009B54A6" w:rsidRDefault="000E5428" w:rsidP="000E5428">
      <w:pPr>
        <w:tabs>
          <w:tab w:val="left" w:pos="3060"/>
        </w:tabs>
        <w:autoSpaceDE w:val="0"/>
        <w:autoSpaceDN w:val="0"/>
        <w:adjustRightInd w:val="0"/>
        <w:rPr>
          <w:b/>
          <w:bCs/>
          <w:sz w:val="22"/>
          <w:szCs w:val="22"/>
        </w:rPr>
      </w:pPr>
    </w:p>
    <w:p w14:paraId="6F6527D2" w14:textId="77777777" w:rsidR="000E5428" w:rsidRPr="009B54A6" w:rsidRDefault="000E5428" w:rsidP="000E5428">
      <w:pPr>
        <w:tabs>
          <w:tab w:val="left" w:pos="3060"/>
        </w:tabs>
        <w:autoSpaceDE w:val="0"/>
        <w:autoSpaceDN w:val="0"/>
        <w:adjustRightInd w:val="0"/>
        <w:rPr>
          <w:b/>
          <w:bCs/>
          <w:sz w:val="22"/>
          <w:szCs w:val="22"/>
        </w:rPr>
      </w:pPr>
    </w:p>
    <w:p w14:paraId="16B592A3" w14:textId="77777777" w:rsidR="000E5428" w:rsidRPr="009B54A6" w:rsidRDefault="000E5428" w:rsidP="000E5428">
      <w:pPr>
        <w:tabs>
          <w:tab w:val="left" w:pos="3060"/>
        </w:tabs>
        <w:autoSpaceDE w:val="0"/>
        <w:autoSpaceDN w:val="0"/>
        <w:adjustRightInd w:val="0"/>
        <w:rPr>
          <w:b/>
          <w:bCs/>
          <w:sz w:val="22"/>
          <w:szCs w:val="22"/>
        </w:rPr>
      </w:pPr>
    </w:p>
    <w:p w14:paraId="4EC727B1" w14:textId="77777777" w:rsidR="000E5428" w:rsidRPr="009B54A6" w:rsidRDefault="000E5428" w:rsidP="000E5428">
      <w:pPr>
        <w:tabs>
          <w:tab w:val="left" w:pos="3060"/>
        </w:tabs>
        <w:autoSpaceDE w:val="0"/>
        <w:autoSpaceDN w:val="0"/>
        <w:adjustRightInd w:val="0"/>
        <w:rPr>
          <w:b/>
          <w:bCs/>
          <w:sz w:val="22"/>
          <w:szCs w:val="22"/>
        </w:rPr>
      </w:pPr>
    </w:p>
    <w:p w14:paraId="494A9F25" w14:textId="77777777" w:rsidR="000E5428" w:rsidRPr="009B54A6" w:rsidRDefault="000E5428" w:rsidP="000E5428">
      <w:pPr>
        <w:tabs>
          <w:tab w:val="left" w:pos="3060"/>
        </w:tabs>
        <w:autoSpaceDE w:val="0"/>
        <w:autoSpaceDN w:val="0"/>
        <w:adjustRightInd w:val="0"/>
        <w:rPr>
          <w:b/>
          <w:bCs/>
          <w:sz w:val="22"/>
          <w:szCs w:val="22"/>
        </w:rPr>
      </w:pPr>
    </w:p>
    <w:p w14:paraId="4EC83338" w14:textId="77777777" w:rsidR="000E5428" w:rsidRPr="009B54A6" w:rsidRDefault="000E5428" w:rsidP="000E5428">
      <w:pPr>
        <w:tabs>
          <w:tab w:val="left" w:pos="3060"/>
        </w:tabs>
        <w:autoSpaceDE w:val="0"/>
        <w:autoSpaceDN w:val="0"/>
        <w:adjustRightInd w:val="0"/>
        <w:rPr>
          <w:b/>
          <w:bCs/>
          <w:sz w:val="22"/>
          <w:szCs w:val="22"/>
        </w:rPr>
      </w:pPr>
    </w:p>
    <w:p w14:paraId="7161D0F2" w14:textId="77777777" w:rsidR="000E5428" w:rsidRPr="009B54A6" w:rsidRDefault="000E5428" w:rsidP="000E5428">
      <w:pPr>
        <w:tabs>
          <w:tab w:val="left" w:pos="3060"/>
        </w:tabs>
        <w:autoSpaceDE w:val="0"/>
        <w:autoSpaceDN w:val="0"/>
        <w:adjustRightInd w:val="0"/>
        <w:rPr>
          <w:b/>
          <w:bCs/>
          <w:sz w:val="22"/>
          <w:szCs w:val="22"/>
        </w:rPr>
      </w:pPr>
    </w:p>
    <w:p w14:paraId="5099B971" w14:textId="77777777" w:rsidR="000E5428" w:rsidRPr="009B54A6" w:rsidRDefault="000E5428" w:rsidP="000E5428">
      <w:pPr>
        <w:tabs>
          <w:tab w:val="left" w:pos="3060"/>
        </w:tabs>
        <w:autoSpaceDE w:val="0"/>
        <w:autoSpaceDN w:val="0"/>
        <w:adjustRightInd w:val="0"/>
        <w:rPr>
          <w:b/>
          <w:bCs/>
          <w:sz w:val="22"/>
          <w:szCs w:val="22"/>
        </w:rPr>
      </w:pPr>
    </w:p>
    <w:p w14:paraId="346C02B0" w14:textId="77777777" w:rsidR="000E5428" w:rsidRPr="009B54A6" w:rsidRDefault="000E5428" w:rsidP="000E5428">
      <w:pPr>
        <w:tabs>
          <w:tab w:val="left" w:pos="3060"/>
        </w:tabs>
        <w:autoSpaceDE w:val="0"/>
        <w:autoSpaceDN w:val="0"/>
        <w:adjustRightInd w:val="0"/>
        <w:rPr>
          <w:b/>
          <w:bCs/>
          <w:sz w:val="22"/>
          <w:szCs w:val="22"/>
        </w:rPr>
      </w:pPr>
    </w:p>
    <w:p w14:paraId="2EAFDD39" w14:textId="77777777" w:rsidR="000E5428" w:rsidRPr="009B54A6" w:rsidRDefault="000E5428" w:rsidP="000E5428">
      <w:pPr>
        <w:tabs>
          <w:tab w:val="left" w:pos="3060"/>
        </w:tabs>
        <w:autoSpaceDE w:val="0"/>
        <w:autoSpaceDN w:val="0"/>
        <w:adjustRightInd w:val="0"/>
        <w:rPr>
          <w:b/>
          <w:bCs/>
          <w:sz w:val="22"/>
          <w:szCs w:val="22"/>
        </w:rPr>
      </w:pPr>
    </w:p>
    <w:p w14:paraId="2BC6B1E5" w14:textId="77777777" w:rsidR="000E5428" w:rsidRPr="009B54A6" w:rsidRDefault="000E5428" w:rsidP="000E5428">
      <w:pPr>
        <w:tabs>
          <w:tab w:val="left" w:pos="3060"/>
        </w:tabs>
        <w:autoSpaceDE w:val="0"/>
        <w:autoSpaceDN w:val="0"/>
        <w:adjustRightInd w:val="0"/>
        <w:rPr>
          <w:b/>
          <w:bCs/>
          <w:sz w:val="22"/>
          <w:szCs w:val="22"/>
        </w:rPr>
      </w:pPr>
    </w:p>
    <w:p w14:paraId="00A35E09" w14:textId="77777777" w:rsidR="000E5428" w:rsidRPr="009B54A6" w:rsidRDefault="000E5428" w:rsidP="000E5428">
      <w:pPr>
        <w:tabs>
          <w:tab w:val="left" w:pos="3060"/>
        </w:tabs>
        <w:autoSpaceDE w:val="0"/>
        <w:autoSpaceDN w:val="0"/>
        <w:adjustRightInd w:val="0"/>
        <w:rPr>
          <w:b/>
          <w:bCs/>
          <w:sz w:val="22"/>
          <w:szCs w:val="22"/>
        </w:rPr>
      </w:pPr>
    </w:p>
    <w:p w14:paraId="165B2975" w14:textId="77777777" w:rsidR="000E5428" w:rsidRPr="009B54A6" w:rsidRDefault="000E5428" w:rsidP="000E5428">
      <w:pPr>
        <w:tabs>
          <w:tab w:val="left" w:pos="3060"/>
        </w:tabs>
        <w:autoSpaceDE w:val="0"/>
        <w:autoSpaceDN w:val="0"/>
        <w:adjustRightInd w:val="0"/>
        <w:rPr>
          <w:b/>
          <w:bCs/>
          <w:sz w:val="22"/>
          <w:szCs w:val="22"/>
        </w:rPr>
      </w:pPr>
    </w:p>
    <w:p w14:paraId="42522B19" w14:textId="77777777" w:rsidR="000E5428" w:rsidRPr="009B54A6" w:rsidRDefault="000E5428" w:rsidP="000E5428">
      <w:pPr>
        <w:tabs>
          <w:tab w:val="left" w:pos="3060"/>
        </w:tabs>
        <w:autoSpaceDE w:val="0"/>
        <w:autoSpaceDN w:val="0"/>
        <w:adjustRightInd w:val="0"/>
        <w:rPr>
          <w:b/>
          <w:bCs/>
          <w:sz w:val="22"/>
          <w:szCs w:val="22"/>
        </w:rPr>
      </w:pPr>
    </w:p>
    <w:p w14:paraId="654C28E5" w14:textId="77777777" w:rsidR="000E5428" w:rsidRPr="009B54A6" w:rsidRDefault="000E5428" w:rsidP="000E5428">
      <w:pPr>
        <w:tabs>
          <w:tab w:val="left" w:pos="3060"/>
        </w:tabs>
        <w:autoSpaceDE w:val="0"/>
        <w:autoSpaceDN w:val="0"/>
        <w:adjustRightInd w:val="0"/>
        <w:jc w:val="center"/>
        <w:rPr>
          <w:b/>
          <w:bCs/>
          <w:sz w:val="22"/>
          <w:szCs w:val="22"/>
        </w:rPr>
      </w:pPr>
      <w:r w:rsidRPr="009B54A6">
        <w:rPr>
          <w:b/>
          <w:bCs/>
          <w:sz w:val="22"/>
          <w:szCs w:val="22"/>
        </w:rPr>
        <w:t>I PRIEDAS</w:t>
      </w:r>
    </w:p>
    <w:p w14:paraId="35C9D460" w14:textId="77777777" w:rsidR="000E5428" w:rsidRPr="009B54A6" w:rsidRDefault="000E5428" w:rsidP="000E5428">
      <w:pPr>
        <w:tabs>
          <w:tab w:val="left" w:pos="3060"/>
        </w:tabs>
        <w:autoSpaceDE w:val="0"/>
        <w:autoSpaceDN w:val="0"/>
        <w:adjustRightInd w:val="0"/>
        <w:jc w:val="center"/>
        <w:rPr>
          <w:b/>
          <w:bCs/>
          <w:sz w:val="22"/>
          <w:szCs w:val="22"/>
        </w:rPr>
      </w:pPr>
    </w:p>
    <w:p w14:paraId="1AE53208" w14:textId="77777777" w:rsidR="000E5428" w:rsidRPr="009B54A6" w:rsidRDefault="000E5428" w:rsidP="000E5428">
      <w:pPr>
        <w:tabs>
          <w:tab w:val="left" w:pos="3060"/>
        </w:tabs>
        <w:autoSpaceDE w:val="0"/>
        <w:autoSpaceDN w:val="0"/>
        <w:adjustRightInd w:val="0"/>
        <w:jc w:val="center"/>
        <w:rPr>
          <w:sz w:val="22"/>
          <w:szCs w:val="22"/>
        </w:rPr>
      </w:pPr>
      <w:r w:rsidRPr="009B54A6">
        <w:rPr>
          <w:b/>
          <w:bCs/>
          <w:sz w:val="22"/>
          <w:szCs w:val="22"/>
        </w:rPr>
        <w:t>PREPARATO CHARAKTERISTIKŲ SANTRAUKA</w:t>
      </w:r>
    </w:p>
    <w:p w14:paraId="65BD1780" w14:textId="77777777" w:rsidR="000E5428" w:rsidRPr="009B54A6" w:rsidRDefault="000E5428" w:rsidP="000E5428">
      <w:pPr>
        <w:tabs>
          <w:tab w:val="left" w:pos="3060"/>
        </w:tabs>
        <w:autoSpaceDE w:val="0"/>
        <w:autoSpaceDN w:val="0"/>
        <w:adjustRightInd w:val="0"/>
        <w:rPr>
          <w:b/>
          <w:bCs/>
          <w:sz w:val="22"/>
          <w:szCs w:val="22"/>
        </w:rPr>
      </w:pPr>
    </w:p>
    <w:p w14:paraId="223B64FD" w14:textId="77777777" w:rsidR="000E5428" w:rsidRPr="009B54A6" w:rsidRDefault="000E5428" w:rsidP="000E5428">
      <w:pPr>
        <w:tabs>
          <w:tab w:val="left" w:pos="3060"/>
        </w:tabs>
        <w:autoSpaceDE w:val="0"/>
        <w:autoSpaceDN w:val="0"/>
        <w:adjustRightInd w:val="0"/>
        <w:rPr>
          <w:b/>
          <w:bCs/>
          <w:sz w:val="22"/>
          <w:szCs w:val="22"/>
        </w:rPr>
      </w:pPr>
    </w:p>
    <w:p w14:paraId="5B9E0F6E" w14:textId="77777777" w:rsidR="000E5428" w:rsidRPr="009B54A6" w:rsidRDefault="000E5428" w:rsidP="000E5428">
      <w:pPr>
        <w:tabs>
          <w:tab w:val="left" w:pos="3060"/>
        </w:tabs>
        <w:autoSpaceDE w:val="0"/>
        <w:autoSpaceDN w:val="0"/>
        <w:adjustRightInd w:val="0"/>
        <w:rPr>
          <w:b/>
          <w:bCs/>
          <w:sz w:val="22"/>
          <w:szCs w:val="22"/>
        </w:rPr>
      </w:pPr>
    </w:p>
    <w:p w14:paraId="59C2E0C7" w14:textId="77777777" w:rsidR="000E5428" w:rsidRPr="009B54A6" w:rsidRDefault="000E5428" w:rsidP="000E5428">
      <w:pPr>
        <w:tabs>
          <w:tab w:val="left" w:pos="3060"/>
        </w:tabs>
        <w:autoSpaceDE w:val="0"/>
        <w:autoSpaceDN w:val="0"/>
        <w:adjustRightInd w:val="0"/>
        <w:rPr>
          <w:b/>
          <w:bCs/>
          <w:sz w:val="22"/>
          <w:szCs w:val="22"/>
        </w:rPr>
      </w:pPr>
    </w:p>
    <w:p w14:paraId="243608C3" w14:textId="77777777" w:rsidR="000E5428" w:rsidRPr="009B54A6" w:rsidRDefault="000E5428" w:rsidP="000E5428">
      <w:pPr>
        <w:tabs>
          <w:tab w:val="left" w:pos="3060"/>
        </w:tabs>
        <w:autoSpaceDE w:val="0"/>
        <w:autoSpaceDN w:val="0"/>
        <w:adjustRightInd w:val="0"/>
        <w:rPr>
          <w:b/>
          <w:bCs/>
          <w:sz w:val="22"/>
          <w:szCs w:val="22"/>
        </w:rPr>
      </w:pPr>
    </w:p>
    <w:p w14:paraId="47FAEBD8" w14:textId="77777777" w:rsidR="000E5428" w:rsidRPr="009B54A6" w:rsidRDefault="000E5428" w:rsidP="000E5428">
      <w:pPr>
        <w:tabs>
          <w:tab w:val="left" w:pos="3060"/>
        </w:tabs>
        <w:autoSpaceDE w:val="0"/>
        <w:autoSpaceDN w:val="0"/>
        <w:adjustRightInd w:val="0"/>
        <w:rPr>
          <w:b/>
          <w:bCs/>
          <w:sz w:val="22"/>
          <w:szCs w:val="22"/>
        </w:rPr>
      </w:pPr>
    </w:p>
    <w:p w14:paraId="0036907E" w14:textId="77777777" w:rsidR="000E5428" w:rsidRPr="009B54A6" w:rsidRDefault="000E5428" w:rsidP="000E5428">
      <w:pPr>
        <w:tabs>
          <w:tab w:val="left" w:pos="567"/>
        </w:tabs>
        <w:autoSpaceDE w:val="0"/>
        <w:autoSpaceDN w:val="0"/>
        <w:adjustRightInd w:val="0"/>
        <w:rPr>
          <w:b/>
          <w:bCs/>
          <w:sz w:val="22"/>
          <w:szCs w:val="22"/>
        </w:rPr>
      </w:pPr>
      <w:r w:rsidRPr="009B54A6">
        <w:rPr>
          <w:b/>
          <w:bCs/>
          <w:sz w:val="22"/>
          <w:szCs w:val="22"/>
        </w:rPr>
        <w:br w:type="page"/>
      </w:r>
      <w:r w:rsidRPr="009B54A6">
        <w:rPr>
          <w:b/>
          <w:bCs/>
          <w:sz w:val="22"/>
          <w:szCs w:val="22"/>
        </w:rPr>
        <w:lastRenderedPageBreak/>
        <w:t>1.</w:t>
      </w:r>
      <w:r w:rsidRPr="009B54A6">
        <w:rPr>
          <w:b/>
          <w:bCs/>
          <w:sz w:val="22"/>
          <w:szCs w:val="22"/>
        </w:rPr>
        <w:tab/>
        <w:t>VAISTINIO PREPARATO PAVADINIMAS</w:t>
      </w:r>
    </w:p>
    <w:p w14:paraId="4851EF24" w14:textId="77777777" w:rsidR="000E5428" w:rsidRPr="009B54A6" w:rsidRDefault="000E5428" w:rsidP="000E5428">
      <w:pPr>
        <w:tabs>
          <w:tab w:val="left" w:pos="3060"/>
        </w:tabs>
        <w:autoSpaceDE w:val="0"/>
        <w:autoSpaceDN w:val="0"/>
        <w:adjustRightInd w:val="0"/>
        <w:rPr>
          <w:sz w:val="22"/>
          <w:szCs w:val="22"/>
        </w:rPr>
      </w:pPr>
    </w:p>
    <w:p w14:paraId="0A5008DB"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Telmisartan/Hydrochlorothiazide Sandoz 40 mg/12,5 mg dengtos tabletės</w:t>
      </w:r>
    </w:p>
    <w:p w14:paraId="3B707414" w14:textId="77777777" w:rsidR="000E5428" w:rsidRPr="009B54A6" w:rsidRDefault="000E5428" w:rsidP="000E5428">
      <w:pPr>
        <w:tabs>
          <w:tab w:val="left" w:pos="3060"/>
        </w:tabs>
        <w:autoSpaceDE w:val="0"/>
        <w:autoSpaceDN w:val="0"/>
        <w:adjustRightInd w:val="0"/>
        <w:rPr>
          <w:sz w:val="22"/>
          <w:szCs w:val="22"/>
          <w:highlight w:val="lightGray"/>
        </w:rPr>
      </w:pPr>
      <w:r w:rsidRPr="009B54A6">
        <w:rPr>
          <w:sz w:val="22"/>
          <w:szCs w:val="22"/>
          <w:highlight w:val="lightGray"/>
        </w:rPr>
        <w:t>Telmisartan/Hydrochlorothiazide Sandoz 80 mg/12,5 mg dengtos tabletės</w:t>
      </w:r>
    </w:p>
    <w:p w14:paraId="6421F7C8" w14:textId="77777777" w:rsidR="000E5428" w:rsidRPr="009B54A6" w:rsidRDefault="000E5428" w:rsidP="000E5428">
      <w:pPr>
        <w:tabs>
          <w:tab w:val="left" w:pos="3060"/>
        </w:tabs>
        <w:autoSpaceDE w:val="0"/>
        <w:autoSpaceDN w:val="0"/>
        <w:adjustRightInd w:val="0"/>
        <w:rPr>
          <w:sz w:val="22"/>
          <w:szCs w:val="22"/>
        </w:rPr>
      </w:pPr>
      <w:r w:rsidRPr="009B54A6">
        <w:rPr>
          <w:sz w:val="22"/>
          <w:szCs w:val="22"/>
          <w:highlight w:val="lightGray"/>
        </w:rPr>
        <w:t>Telmisartan/Hydrochlorothiazide Sandoz 80 mg/25 mg dengtos tabletės</w:t>
      </w:r>
      <w:r w:rsidRPr="009B54A6">
        <w:rPr>
          <w:sz w:val="22"/>
          <w:szCs w:val="22"/>
        </w:rPr>
        <w:t xml:space="preserve"> </w:t>
      </w:r>
    </w:p>
    <w:p w14:paraId="062BAFAB" w14:textId="77777777" w:rsidR="000E5428" w:rsidRPr="009B54A6" w:rsidRDefault="000E5428" w:rsidP="000E5428">
      <w:pPr>
        <w:tabs>
          <w:tab w:val="left" w:pos="3060"/>
        </w:tabs>
        <w:autoSpaceDE w:val="0"/>
        <w:autoSpaceDN w:val="0"/>
        <w:adjustRightInd w:val="0"/>
        <w:rPr>
          <w:b/>
          <w:bCs/>
          <w:sz w:val="22"/>
          <w:szCs w:val="22"/>
        </w:rPr>
      </w:pPr>
    </w:p>
    <w:p w14:paraId="54FED7D6" w14:textId="77777777" w:rsidR="000E5428" w:rsidRPr="009B54A6" w:rsidRDefault="000E5428" w:rsidP="000E5428">
      <w:pPr>
        <w:tabs>
          <w:tab w:val="left" w:pos="3060"/>
        </w:tabs>
        <w:autoSpaceDE w:val="0"/>
        <w:autoSpaceDN w:val="0"/>
        <w:adjustRightInd w:val="0"/>
        <w:rPr>
          <w:b/>
          <w:bCs/>
          <w:sz w:val="22"/>
          <w:szCs w:val="22"/>
        </w:rPr>
      </w:pPr>
    </w:p>
    <w:p w14:paraId="4FAB06BB" w14:textId="77777777" w:rsidR="000E5428" w:rsidRPr="009B54A6" w:rsidRDefault="000E5428" w:rsidP="000E5428">
      <w:pPr>
        <w:tabs>
          <w:tab w:val="left" w:pos="505"/>
          <w:tab w:val="left" w:pos="540"/>
          <w:tab w:val="left" w:pos="3060"/>
        </w:tabs>
        <w:autoSpaceDE w:val="0"/>
        <w:autoSpaceDN w:val="0"/>
        <w:adjustRightInd w:val="0"/>
        <w:rPr>
          <w:b/>
          <w:bCs/>
          <w:sz w:val="22"/>
          <w:szCs w:val="22"/>
        </w:rPr>
      </w:pPr>
      <w:r w:rsidRPr="009B54A6">
        <w:rPr>
          <w:b/>
          <w:bCs/>
          <w:sz w:val="22"/>
          <w:szCs w:val="22"/>
        </w:rPr>
        <w:t>2.</w:t>
      </w:r>
      <w:r w:rsidRPr="009B54A6">
        <w:rPr>
          <w:b/>
          <w:bCs/>
          <w:sz w:val="22"/>
          <w:szCs w:val="22"/>
        </w:rPr>
        <w:tab/>
        <w:t>KOKYBINĖ IR KIEKYBINĖ SUDĖTIS</w:t>
      </w:r>
    </w:p>
    <w:p w14:paraId="6F2E138A" w14:textId="77777777" w:rsidR="000E5428" w:rsidRPr="009B54A6" w:rsidRDefault="000E5428" w:rsidP="000E5428">
      <w:pPr>
        <w:tabs>
          <w:tab w:val="left" w:pos="3060"/>
        </w:tabs>
        <w:autoSpaceDE w:val="0"/>
        <w:autoSpaceDN w:val="0"/>
        <w:adjustRightInd w:val="0"/>
        <w:rPr>
          <w:sz w:val="22"/>
          <w:szCs w:val="22"/>
        </w:rPr>
      </w:pPr>
    </w:p>
    <w:p w14:paraId="55B08CA4" w14:textId="77777777" w:rsidR="000E5428" w:rsidRPr="009B54A6" w:rsidRDefault="000E5428" w:rsidP="000E5428">
      <w:pPr>
        <w:tabs>
          <w:tab w:val="left" w:pos="3060"/>
        </w:tabs>
        <w:autoSpaceDE w:val="0"/>
        <w:autoSpaceDN w:val="0"/>
        <w:adjustRightInd w:val="0"/>
        <w:rPr>
          <w:i/>
          <w:sz w:val="22"/>
          <w:szCs w:val="22"/>
        </w:rPr>
      </w:pPr>
      <w:r w:rsidRPr="009B54A6">
        <w:rPr>
          <w:sz w:val="22"/>
          <w:szCs w:val="22"/>
        </w:rPr>
        <w:t>Telmisartan/Hydrochlorothiazide Sandoz 40 mg/12,5 mg dengtos tabletės</w:t>
      </w:r>
    </w:p>
    <w:p w14:paraId="711064FD" w14:textId="77777777" w:rsidR="000E5428" w:rsidRPr="009B54A6" w:rsidRDefault="000E5428" w:rsidP="000E5428">
      <w:pPr>
        <w:tabs>
          <w:tab w:val="left" w:pos="3060"/>
        </w:tabs>
        <w:autoSpaceDE w:val="0"/>
        <w:autoSpaceDN w:val="0"/>
        <w:adjustRightInd w:val="0"/>
        <w:rPr>
          <w:sz w:val="22"/>
          <w:szCs w:val="22"/>
        </w:rPr>
      </w:pPr>
      <w:r w:rsidRPr="009B54A6">
        <w:rPr>
          <w:rFonts w:eastAsia="TimesNewRoman"/>
          <w:sz w:val="22"/>
          <w:szCs w:val="22"/>
          <w:lang w:eastAsia="lt-LT"/>
        </w:rPr>
        <w:t>Kiekvienoje dengtoje tabletėje yra 40 mg telmisartano ir 12,5 mg hidrochlorotiazido.</w:t>
      </w:r>
      <w:r w:rsidRPr="009B54A6">
        <w:rPr>
          <w:sz w:val="22"/>
          <w:szCs w:val="22"/>
        </w:rPr>
        <w:t xml:space="preserve"> </w:t>
      </w:r>
    </w:p>
    <w:p w14:paraId="1CFF2FF4" w14:textId="77777777" w:rsidR="000E5428" w:rsidRPr="009B54A6" w:rsidRDefault="000E5428" w:rsidP="000E5428">
      <w:pPr>
        <w:tabs>
          <w:tab w:val="left" w:pos="3060"/>
        </w:tabs>
        <w:autoSpaceDE w:val="0"/>
        <w:autoSpaceDN w:val="0"/>
        <w:adjustRightInd w:val="0"/>
        <w:rPr>
          <w:sz w:val="22"/>
          <w:szCs w:val="22"/>
        </w:rPr>
      </w:pPr>
    </w:p>
    <w:p w14:paraId="04DF68CE" w14:textId="77777777" w:rsidR="000E5428" w:rsidRPr="009B54A6" w:rsidRDefault="000E5428" w:rsidP="000E5428">
      <w:pPr>
        <w:tabs>
          <w:tab w:val="left" w:pos="3060"/>
        </w:tabs>
        <w:autoSpaceDE w:val="0"/>
        <w:autoSpaceDN w:val="0"/>
        <w:adjustRightInd w:val="0"/>
        <w:rPr>
          <w:i/>
          <w:sz w:val="22"/>
          <w:szCs w:val="22"/>
          <w:highlight w:val="lightGray"/>
        </w:rPr>
      </w:pPr>
      <w:r w:rsidRPr="009B54A6">
        <w:rPr>
          <w:sz w:val="22"/>
          <w:szCs w:val="22"/>
          <w:highlight w:val="lightGray"/>
        </w:rPr>
        <w:t>Telmisartan/Hydrochlorothiazide Sandoz 80 mg/12,5 mg dengtos tabletės</w:t>
      </w:r>
    </w:p>
    <w:p w14:paraId="09C44D0E" w14:textId="77777777" w:rsidR="000E5428" w:rsidRPr="009B54A6" w:rsidRDefault="000E5428" w:rsidP="000E5428">
      <w:pPr>
        <w:tabs>
          <w:tab w:val="left" w:pos="3060"/>
        </w:tabs>
        <w:autoSpaceDE w:val="0"/>
        <w:autoSpaceDN w:val="0"/>
        <w:adjustRightInd w:val="0"/>
        <w:rPr>
          <w:sz w:val="22"/>
          <w:szCs w:val="22"/>
          <w:highlight w:val="lightGray"/>
        </w:rPr>
      </w:pPr>
      <w:r w:rsidRPr="009B54A6">
        <w:rPr>
          <w:rFonts w:eastAsia="TimesNewRoman"/>
          <w:sz w:val="22"/>
          <w:szCs w:val="22"/>
          <w:highlight w:val="lightGray"/>
          <w:lang w:eastAsia="lt-LT"/>
        </w:rPr>
        <w:t>Kiekvienoje dengtoje tabletėje yra 80 mg telmisartano ir 12,5 mg hidrochlorotiazido.</w:t>
      </w:r>
    </w:p>
    <w:p w14:paraId="4ACCB7A0" w14:textId="77777777" w:rsidR="000E5428" w:rsidRPr="009B54A6" w:rsidRDefault="000E5428" w:rsidP="000E5428">
      <w:pPr>
        <w:tabs>
          <w:tab w:val="left" w:pos="3060"/>
        </w:tabs>
        <w:autoSpaceDE w:val="0"/>
        <w:autoSpaceDN w:val="0"/>
        <w:adjustRightInd w:val="0"/>
        <w:rPr>
          <w:sz w:val="22"/>
          <w:szCs w:val="22"/>
          <w:highlight w:val="lightGray"/>
        </w:rPr>
      </w:pPr>
    </w:p>
    <w:p w14:paraId="2AAD4F0A" w14:textId="77777777" w:rsidR="000E5428" w:rsidRPr="009B54A6" w:rsidRDefault="000E5428" w:rsidP="000E5428">
      <w:pPr>
        <w:tabs>
          <w:tab w:val="left" w:pos="3060"/>
        </w:tabs>
        <w:autoSpaceDE w:val="0"/>
        <w:autoSpaceDN w:val="0"/>
        <w:adjustRightInd w:val="0"/>
        <w:rPr>
          <w:i/>
          <w:sz w:val="22"/>
          <w:szCs w:val="22"/>
          <w:highlight w:val="lightGray"/>
        </w:rPr>
      </w:pPr>
      <w:r w:rsidRPr="009B54A6">
        <w:rPr>
          <w:sz w:val="22"/>
          <w:szCs w:val="22"/>
          <w:highlight w:val="lightGray"/>
        </w:rPr>
        <w:t>Telmisartan/Hydrochlorothiazide Sandoz 80 mg/25 mg dengtos tabletės</w:t>
      </w:r>
    </w:p>
    <w:p w14:paraId="55BE0B46" w14:textId="77777777" w:rsidR="000E5428" w:rsidRPr="009B54A6" w:rsidRDefault="000E5428" w:rsidP="000E5428">
      <w:pPr>
        <w:tabs>
          <w:tab w:val="left" w:pos="3060"/>
        </w:tabs>
        <w:autoSpaceDE w:val="0"/>
        <w:autoSpaceDN w:val="0"/>
        <w:adjustRightInd w:val="0"/>
        <w:rPr>
          <w:sz w:val="22"/>
          <w:szCs w:val="22"/>
        </w:rPr>
      </w:pPr>
      <w:r w:rsidRPr="009B54A6">
        <w:rPr>
          <w:rFonts w:eastAsia="TimesNewRoman"/>
          <w:sz w:val="22"/>
          <w:szCs w:val="22"/>
          <w:highlight w:val="lightGray"/>
          <w:lang w:eastAsia="lt-LT"/>
        </w:rPr>
        <w:t>Kiekvienoje dengtoje tabletėje yra 80 mg telmisartano ir 25 mg hidrochlorotiazido.</w:t>
      </w:r>
    </w:p>
    <w:p w14:paraId="76C351B2" w14:textId="77777777" w:rsidR="000E5428" w:rsidRPr="009B54A6" w:rsidRDefault="000E5428" w:rsidP="000E5428">
      <w:pPr>
        <w:tabs>
          <w:tab w:val="left" w:pos="3060"/>
        </w:tabs>
        <w:autoSpaceDE w:val="0"/>
        <w:autoSpaceDN w:val="0"/>
        <w:adjustRightInd w:val="0"/>
        <w:rPr>
          <w:sz w:val="22"/>
          <w:szCs w:val="22"/>
        </w:rPr>
      </w:pPr>
    </w:p>
    <w:p w14:paraId="3E220EA1" w14:textId="77777777" w:rsidR="000E5428" w:rsidRPr="009B54A6" w:rsidRDefault="000E5428" w:rsidP="000E5428">
      <w:pPr>
        <w:autoSpaceDE w:val="0"/>
        <w:autoSpaceDN w:val="0"/>
        <w:adjustRightInd w:val="0"/>
        <w:rPr>
          <w:rFonts w:eastAsia="TimesNewRoman"/>
          <w:sz w:val="22"/>
          <w:szCs w:val="22"/>
          <w:u w:val="single"/>
          <w:lang w:eastAsia="lt-LT"/>
        </w:rPr>
      </w:pPr>
      <w:r w:rsidRPr="009B54A6">
        <w:rPr>
          <w:rFonts w:eastAsia="TimesNewRoman"/>
          <w:sz w:val="22"/>
          <w:szCs w:val="22"/>
          <w:u w:val="single"/>
          <w:lang w:eastAsia="lt-LT"/>
        </w:rPr>
        <w:t>Pagalbinė medžiaga, kurios poveikis žinomas:</w:t>
      </w:r>
    </w:p>
    <w:p w14:paraId="3B97FECB" w14:textId="77777777" w:rsidR="000E5428" w:rsidRPr="009B54A6" w:rsidRDefault="000E5428" w:rsidP="000E5428">
      <w:pPr>
        <w:tabs>
          <w:tab w:val="left" w:pos="3060"/>
        </w:tabs>
        <w:autoSpaceDE w:val="0"/>
        <w:autoSpaceDN w:val="0"/>
        <w:adjustRightInd w:val="0"/>
        <w:rPr>
          <w:rFonts w:eastAsia="TimesNewRoman"/>
          <w:sz w:val="22"/>
          <w:szCs w:val="22"/>
          <w:lang w:eastAsia="lt-LT"/>
        </w:rPr>
      </w:pPr>
      <w:r w:rsidRPr="009B54A6">
        <w:rPr>
          <w:sz w:val="22"/>
          <w:szCs w:val="22"/>
        </w:rPr>
        <w:t>Telmisartan/Hydrochlorothiazide Sandoz 40 mg/12,5 mg dengtos tabletės</w:t>
      </w:r>
      <w:r w:rsidRPr="009B54A6">
        <w:rPr>
          <w:rFonts w:eastAsia="TimesNewRoman"/>
          <w:sz w:val="22"/>
          <w:szCs w:val="22"/>
          <w:lang w:eastAsia="lt-LT"/>
        </w:rPr>
        <w:t xml:space="preserve"> </w:t>
      </w:r>
    </w:p>
    <w:p w14:paraId="51169673" w14:textId="77777777" w:rsidR="000E5428" w:rsidRPr="009B54A6" w:rsidRDefault="000E5428" w:rsidP="000E5428">
      <w:pPr>
        <w:tabs>
          <w:tab w:val="left" w:pos="3060"/>
        </w:tabs>
        <w:autoSpaceDE w:val="0"/>
        <w:autoSpaceDN w:val="0"/>
        <w:adjustRightInd w:val="0"/>
        <w:rPr>
          <w:sz w:val="22"/>
          <w:szCs w:val="22"/>
        </w:rPr>
      </w:pPr>
      <w:r w:rsidRPr="009B54A6">
        <w:rPr>
          <w:rFonts w:eastAsia="TimesNewRoman"/>
          <w:sz w:val="22"/>
          <w:szCs w:val="22"/>
          <w:lang w:eastAsia="lt-LT"/>
        </w:rPr>
        <w:t>Sudėtyje yra 153,4 mg laktozės.</w:t>
      </w:r>
    </w:p>
    <w:p w14:paraId="6A969869" w14:textId="77777777" w:rsidR="000E5428" w:rsidRPr="009B54A6" w:rsidRDefault="000E5428" w:rsidP="000E5428">
      <w:pPr>
        <w:tabs>
          <w:tab w:val="left" w:pos="3060"/>
        </w:tabs>
        <w:autoSpaceDE w:val="0"/>
        <w:autoSpaceDN w:val="0"/>
        <w:adjustRightInd w:val="0"/>
        <w:rPr>
          <w:sz w:val="22"/>
          <w:szCs w:val="22"/>
        </w:rPr>
      </w:pPr>
    </w:p>
    <w:p w14:paraId="2E61DDCB" w14:textId="77777777" w:rsidR="000E5428" w:rsidRPr="009B54A6" w:rsidRDefault="000E5428" w:rsidP="000E5428">
      <w:pPr>
        <w:tabs>
          <w:tab w:val="left" w:pos="3060"/>
        </w:tabs>
        <w:autoSpaceDE w:val="0"/>
        <w:autoSpaceDN w:val="0"/>
        <w:adjustRightInd w:val="0"/>
        <w:rPr>
          <w:rFonts w:eastAsia="TimesNewRoman"/>
          <w:sz w:val="22"/>
          <w:szCs w:val="22"/>
          <w:highlight w:val="lightGray"/>
          <w:lang w:eastAsia="lt-LT"/>
        </w:rPr>
      </w:pPr>
      <w:r w:rsidRPr="009B54A6">
        <w:rPr>
          <w:sz w:val="22"/>
          <w:szCs w:val="22"/>
          <w:highlight w:val="lightGray"/>
        </w:rPr>
        <w:t>Telmisartan/Hydrochlorothiazide Sandoz 80 mg/12,5 mg dengtos tabletės</w:t>
      </w:r>
      <w:r w:rsidRPr="009B54A6">
        <w:rPr>
          <w:rFonts w:eastAsia="TimesNewRoman"/>
          <w:sz w:val="22"/>
          <w:szCs w:val="22"/>
          <w:highlight w:val="lightGray"/>
          <w:lang w:eastAsia="lt-LT"/>
        </w:rPr>
        <w:t xml:space="preserve"> </w:t>
      </w:r>
    </w:p>
    <w:p w14:paraId="7B8692ED" w14:textId="77777777" w:rsidR="000E5428" w:rsidRPr="009B54A6" w:rsidRDefault="000E5428" w:rsidP="000E5428">
      <w:pPr>
        <w:tabs>
          <w:tab w:val="left" w:pos="3060"/>
        </w:tabs>
        <w:autoSpaceDE w:val="0"/>
        <w:autoSpaceDN w:val="0"/>
        <w:adjustRightInd w:val="0"/>
        <w:rPr>
          <w:sz w:val="22"/>
          <w:szCs w:val="22"/>
          <w:highlight w:val="lightGray"/>
        </w:rPr>
      </w:pPr>
      <w:r w:rsidRPr="009B54A6">
        <w:rPr>
          <w:rFonts w:eastAsia="TimesNewRoman"/>
          <w:sz w:val="22"/>
          <w:szCs w:val="22"/>
          <w:highlight w:val="lightGray"/>
          <w:lang w:eastAsia="lt-LT"/>
        </w:rPr>
        <w:t>Sudėtyje yra 306,8 mg laktozės.</w:t>
      </w:r>
    </w:p>
    <w:p w14:paraId="74BF9AA9" w14:textId="77777777" w:rsidR="000E5428" w:rsidRPr="009B54A6" w:rsidRDefault="000E5428" w:rsidP="000E5428">
      <w:pPr>
        <w:tabs>
          <w:tab w:val="left" w:pos="3060"/>
        </w:tabs>
        <w:autoSpaceDE w:val="0"/>
        <w:autoSpaceDN w:val="0"/>
        <w:adjustRightInd w:val="0"/>
        <w:rPr>
          <w:sz w:val="22"/>
          <w:szCs w:val="22"/>
          <w:highlight w:val="lightGray"/>
        </w:rPr>
      </w:pPr>
    </w:p>
    <w:p w14:paraId="759D3C4E" w14:textId="77777777" w:rsidR="000E5428" w:rsidRPr="009B54A6" w:rsidRDefault="000E5428" w:rsidP="000E5428">
      <w:pPr>
        <w:tabs>
          <w:tab w:val="left" w:pos="3060"/>
        </w:tabs>
        <w:autoSpaceDE w:val="0"/>
        <w:autoSpaceDN w:val="0"/>
        <w:adjustRightInd w:val="0"/>
        <w:rPr>
          <w:rFonts w:eastAsia="TimesNewRoman"/>
          <w:sz w:val="22"/>
          <w:szCs w:val="22"/>
          <w:highlight w:val="lightGray"/>
          <w:lang w:eastAsia="lt-LT"/>
        </w:rPr>
      </w:pPr>
      <w:r w:rsidRPr="009B54A6">
        <w:rPr>
          <w:sz w:val="22"/>
          <w:szCs w:val="22"/>
          <w:highlight w:val="lightGray"/>
        </w:rPr>
        <w:t>Telmisartan/Hydrochlorothiazide Sandoz 80 mg/25 mg dengtos tabletės</w:t>
      </w:r>
      <w:r w:rsidRPr="009B54A6">
        <w:rPr>
          <w:rFonts w:eastAsia="TimesNewRoman"/>
          <w:sz w:val="22"/>
          <w:szCs w:val="22"/>
          <w:highlight w:val="lightGray"/>
          <w:lang w:eastAsia="lt-LT"/>
        </w:rPr>
        <w:t xml:space="preserve"> </w:t>
      </w:r>
    </w:p>
    <w:p w14:paraId="2C1F605E" w14:textId="77777777" w:rsidR="000E5428" w:rsidRPr="009B54A6" w:rsidRDefault="000E5428" w:rsidP="000E5428">
      <w:pPr>
        <w:tabs>
          <w:tab w:val="left" w:pos="3060"/>
        </w:tabs>
        <w:autoSpaceDE w:val="0"/>
        <w:autoSpaceDN w:val="0"/>
        <w:adjustRightInd w:val="0"/>
        <w:rPr>
          <w:sz w:val="22"/>
          <w:szCs w:val="22"/>
        </w:rPr>
      </w:pPr>
      <w:r w:rsidRPr="009B54A6">
        <w:rPr>
          <w:rFonts w:eastAsia="TimesNewRoman"/>
          <w:sz w:val="22"/>
          <w:szCs w:val="22"/>
          <w:highlight w:val="lightGray"/>
          <w:lang w:eastAsia="lt-LT"/>
        </w:rPr>
        <w:t>Sudėtyje yra 306,8 mg laktozės.</w:t>
      </w:r>
    </w:p>
    <w:p w14:paraId="4AC0BC81" w14:textId="77777777" w:rsidR="000E5428" w:rsidRPr="009B54A6" w:rsidRDefault="000E5428" w:rsidP="000E5428">
      <w:pPr>
        <w:tabs>
          <w:tab w:val="left" w:pos="3060"/>
        </w:tabs>
        <w:autoSpaceDE w:val="0"/>
        <w:autoSpaceDN w:val="0"/>
        <w:adjustRightInd w:val="0"/>
        <w:rPr>
          <w:sz w:val="22"/>
          <w:szCs w:val="22"/>
        </w:rPr>
      </w:pPr>
    </w:p>
    <w:p w14:paraId="5F0C9035"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Visos pagalbinės medžiagos išvardytos 6.1 skyriuje.</w:t>
      </w:r>
    </w:p>
    <w:p w14:paraId="000517F3" w14:textId="77777777" w:rsidR="000E5428" w:rsidRPr="009B54A6" w:rsidRDefault="000E5428" w:rsidP="000E5428">
      <w:pPr>
        <w:tabs>
          <w:tab w:val="left" w:pos="3060"/>
        </w:tabs>
        <w:autoSpaceDE w:val="0"/>
        <w:autoSpaceDN w:val="0"/>
        <w:adjustRightInd w:val="0"/>
        <w:rPr>
          <w:b/>
          <w:bCs/>
          <w:sz w:val="22"/>
          <w:szCs w:val="22"/>
        </w:rPr>
      </w:pPr>
    </w:p>
    <w:p w14:paraId="5E747ED2" w14:textId="77777777" w:rsidR="000E5428" w:rsidRPr="009B54A6" w:rsidRDefault="000E5428" w:rsidP="000E5428">
      <w:pPr>
        <w:tabs>
          <w:tab w:val="left" w:pos="3060"/>
        </w:tabs>
        <w:autoSpaceDE w:val="0"/>
        <w:autoSpaceDN w:val="0"/>
        <w:adjustRightInd w:val="0"/>
        <w:rPr>
          <w:b/>
          <w:bCs/>
          <w:sz w:val="22"/>
          <w:szCs w:val="22"/>
        </w:rPr>
      </w:pPr>
    </w:p>
    <w:p w14:paraId="36322B50" w14:textId="77777777" w:rsidR="000E5428" w:rsidRPr="009B54A6" w:rsidRDefault="000E5428" w:rsidP="000E5428">
      <w:pPr>
        <w:tabs>
          <w:tab w:val="left" w:pos="540"/>
          <w:tab w:val="left" w:pos="3060"/>
        </w:tabs>
        <w:autoSpaceDE w:val="0"/>
        <w:autoSpaceDN w:val="0"/>
        <w:adjustRightInd w:val="0"/>
        <w:rPr>
          <w:b/>
          <w:bCs/>
          <w:sz w:val="22"/>
          <w:szCs w:val="22"/>
        </w:rPr>
      </w:pPr>
      <w:r w:rsidRPr="009B54A6">
        <w:rPr>
          <w:b/>
          <w:bCs/>
          <w:sz w:val="22"/>
          <w:szCs w:val="22"/>
        </w:rPr>
        <w:t>3.</w:t>
      </w:r>
      <w:r w:rsidRPr="009B54A6">
        <w:rPr>
          <w:b/>
          <w:bCs/>
          <w:sz w:val="22"/>
          <w:szCs w:val="22"/>
        </w:rPr>
        <w:tab/>
        <w:t>FARMACINĖ FORMA</w:t>
      </w:r>
    </w:p>
    <w:p w14:paraId="3DB4686A" w14:textId="77777777" w:rsidR="000E5428" w:rsidRPr="009B54A6" w:rsidRDefault="000E5428" w:rsidP="000E5428">
      <w:pPr>
        <w:tabs>
          <w:tab w:val="left" w:pos="3060"/>
        </w:tabs>
        <w:autoSpaceDE w:val="0"/>
        <w:autoSpaceDN w:val="0"/>
        <w:adjustRightInd w:val="0"/>
        <w:rPr>
          <w:sz w:val="22"/>
          <w:szCs w:val="22"/>
        </w:rPr>
      </w:pPr>
    </w:p>
    <w:p w14:paraId="4D1687DE"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Dengta tabletė (tabletė)</w:t>
      </w:r>
    </w:p>
    <w:p w14:paraId="746735EC" w14:textId="77777777" w:rsidR="000E5428" w:rsidRPr="009B54A6" w:rsidRDefault="000E5428" w:rsidP="000E5428">
      <w:pPr>
        <w:tabs>
          <w:tab w:val="left" w:pos="3060"/>
        </w:tabs>
        <w:autoSpaceDE w:val="0"/>
        <w:autoSpaceDN w:val="0"/>
        <w:adjustRightInd w:val="0"/>
        <w:rPr>
          <w:sz w:val="22"/>
          <w:szCs w:val="22"/>
        </w:rPr>
      </w:pPr>
    </w:p>
    <w:p w14:paraId="368C9C9D" w14:textId="77777777" w:rsidR="000E5428" w:rsidRPr="009B54A6" w:rsidRDefault="000E5428" w:rsidP="000E5428">
      <w:pPr>
        <w:tabs>
          <w:tab w:val="left" w:pos="3060"/>
        </w:tabs>
        <w:autoSpaceDE w:val="0"/>
        <w:autoSpaceDN w:val="0"/>
        <w:adjustRightInd w:val="0"/>
        <w:rPr>
          <w:rFonts w:eastAsia="TimesNewRoman"/>
          <w:sz w:val="22"/>
          <w:szCs w:val="22"/>
          <w:lang w:eastAsia="lt-LT"/>
        </w:rPr>
      </w:pPr>
      <w:r w:rsidRPr="009B54A6">
        <w:rPr>
          <w:sz w:val="22"/>
          <w:szCs w:val="22"/>
        </w:rPr>
        <w:t>Telmisartan/Hydrochlorothiazide Sandoz 40 mg/12,5 mg dengtos tabletės</w:t>
      </w:r>
      <w:r w:rsidRPr="009B54A6">
        <w:rPr>
          <w:rFonts w:eastAsia="TimesNewRoman"/>
          <w:sz w:val="22"/>
          <w:szCs w:val="22"/>
          <w:lang w:eastAsia="lt-LT"/>
        </w:rPr>
        <w:t xml:space="preserve"> </w:t>
      </w:r>
    </w:p>
    <w:p w14:paraId="4B6112DE"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Raudonos, ovalios, abipus išgaubtos dengtos tabletės (12,4 mm x 6,2 mm), kurių vienoje pusėje įspaustas skaičius “40”, kitoje pusėje - “12,5”.</w:t>
      </w:r>
    </w:p>
    <w:p w14:paraId="661DB4B3" w14:textId="77777777" w:rsidR="000E5428" w:rsidRPr="009B54A6" w:rsidRDefault="000E5428" w:rsidP="000E5428">
      <w:pPr>
        <w:tabs>
          <w:tab w:val="left" w:pos="3060"/>
        </w:tabs>
        <w:autoSpaceDE w:val="0"/>
        <w:autoSpaceDN w:val="0"/>
        <w:adjustRightInd w:val="0"/>
        <w:rPr>
          <w:sz w:val="22"/>
          <w:szCs w:val="22"/>
        </w:rPr>
      </w:pPr>
    </w:p>
    <w:p w14:paraId="1CAA2001" w14:textId="77777777" w:rsidR="000E5428" w:rsidRPr="009B54A6" w:rsidRDefault="000E5428" w:rsidP="000E5428">
      <w:pPr>
        <w:tabs>
          <w:tab w:val="left" w:pos="3060"/>
        </w:tabs>
        <w:autoSpaceDE w:val="0"/>
        <w:autoSpaceDN w:val="0"/>
        <w:adjustRightInd w:val="0"/>
        <w:rPr>
          <w:rFonts w:eastAsia="TimesNewRoman"/>
          <w:sz w:val="22"/>
          <w:szCs w:val="22"/>
          <w:highlight w:val="lightGray"/>
          <w:lang w:eastAsia="lt-LT"/>
        </w:rPr>
      </w:pPr>
      <w:r w:rsidRPr="009B54A6">
        <w:rPr>
          <w:sz w:val="22"/>
          <w:szCs w:val="22"/>
          <w:highlight w:val="lightGray"/>
        </w:rPr>
        <w:t>Telmisartan/Hydrochlorothiazide Sandoz 80 mg/12,5 mg dengtos tabletės</w:t>
      </w:r>
      <w:r w:rsidRPr="009B54A6">
        <w:rPr>
          <w:rFonts w:eastAsia="TimesNewRoman"/>
          <w:sz w:val="22"/>
          <w:szCs w:val="22"/>
          <w:highlight w:val="lightGray"/>
          <w:lang w:eastAsia="lt-LT"/>
        </w:rPr>
        <w:t xml:space="preserve"> </w:t>
      </w:r>
    </w:p>
    <w:p w14:paraId="459A8C32" w14:textId="77777777" w:rsidR="000E5428" w:rsidRPr="009B54A6" w:rsidRDefault="000E5428" w:rsidP="000E5428">
      <w:pPr>
        <w:autoSpaceDE w:val="0"/>
        <w:autoSpaceDN w:val="0"/>
        <w:adjustRightInd w:val="0"/>
        <w:rPr>
          <w:rFonts w:eastAsia="TimesNewRoman"/>
          <w:sz w:val="22"/>
          <w:szCs w:val="22"/>
          <w:highlight w:val="lightGray"/>
          <w:lang w:eastAsia="lt-LT"/>
        </w:rPr>
      </w:pPr>
      <w:r w:rsidRPr="009B54A6">
        <w:rPr>
          <w:rFonts w:eastAsia="TimesNewRoman"/>
          <w:sz w:val="22"/>
          <w:szCs w:val="22"/>
          <w:highlight w:val="lightGray"/>
          <w:lang w:eastAsia="lt-LT"/>
        </w:rPr>
        <w:t>Baltos arba beveik baltos, ovalios, abipus išgaubtos dengtos tabletės (15,4 mm x 8,0 mm), kurių vienoje pusėje įspaustas skaičius “80”, kitoje pusėje - “12,5”.</w:t>
      </w:r>
    </w:p>
    <w:p w14:paraId="55013F17" w14:textId="77777777" w:rsidR="000E5428" w:rsidRPr="009B54A6" w:rsidRDefault="000E5428" w:rsidP="000E5428">
      <w:pPr>
        <w:tabs>
          <w:tab w:val="left" w:pos="3060"/>
        </w:tabs>
        <w:autoSpaceDE w:val="0"/>
        <w:autoSpaceDN w:val="0"/>
        <w:adjustRightInd w:val="0"/>
        <w:rPr>
          <w:sz w:val="22"/>
          <w:szCs w:val="22"/>
          <w:highlight w:val="lightGray"/>
        </w:rPr>
      </w:pPr>
    </w:p>
    <w:p w14:paraId="2BDE48E5" w14:textId="77777777" w:rsidR="000E5428" w:rsidRPr="009B54A6" w:rsidRDefault="000E5428" w:rsidP="000E5428">
      <w:pPr>
        <w:tabs>
          <w:tab w:val="left" w:pos="3060"/>
        </w:tabs>
        <w:autoSpaceDE w:val="0"/>
        <w:autoSpaceDN w:val="0"/>
        <w:adjustRightInd w:val="0"/>
        <w:rPr>
          <w:rFonts w:eastAsia="TimesNewRoman"/>
          <w:sz w:val="22"/>
          <w:szCs w:val="22"/>
          <w:highlight w:val="lightGray"/>
          <w:lang w:eastAsia="lt-LT"/>
        </w:rPr>
      </w:pPr>
      <w:r w:rsidRPr="009B54A6">
        <w:rPr>
          <w:sz w:val="22"/>
          <w:szCs w:val="22"/>
          <w:highlight w:val="lightGray"/>
        </w:rPr>
        <w:t>Telmisartan/Hydrochlorothiazide Sandoz 80 mg/25 mg dengtos tabletės</w:t>
      </w:r>
      <w:r w:rsidRPr="009B54A6">
        <w:rPr>
          <w:rFonts w:eastAsia="TimesNewRoman"/>
          <w:sz w:val="22"/>
          <w:szCs w:val="22"/>
          <w:highlight w:val="lightGray"/>
          <w:lang w:eastAsia="lt-LT"/>
        </w:rPr>
        <w:t xml:space="preserve"> </w:t>
      </w:r>
    </w:p>
    <w:p w14:paraId="099F567B"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highlight w:val="lightGray"/>
          <w:lang w:eastAsia="lt-LT"/>
        </w:rPr>
        <w:t>Geltonos, ovalios, abipus išgaubtos dengtos tabletės (15,4 mm x 8,0 mm), kurių vienoje pusėje įspaustas skaičius “80”, kitoje pusėje - “25”.</w:t>
      </w:r>
    </w:p>
    <w:p w14:paraId="40C565A1" w14:textId="77777777" w:rsidR="000E5428" w:rsidRPr="009B54A6" w:rsidRDefault="000E5428" w:rsidP="000E5428">
      <w:pPr>
        <w:tabs>
          <w:tab w:val="left" w:pos="3060"/>
        </w:tabs>
        <w:autoSpaceDE w:val="0"/>
        <w:autoSpaceDN w:val="0"/>
        <w:adjustRightInd w:val="0"/>
        <w:rPr>
          <w:sz w:val="22"/>
          <w:szCs w:val="22"/>
        </w:rPr>
      </w:pPr>
    </w:p>
    <w:p w14:paraId="6FD8AD1F" w14:textId="77777777" w:rsidR="000E5428" w:rsidRPr="009B54A6" w:rsidRDefault="000E5428" w:rsidP="000E5428">
      <w:pPr>
        <w:tabs>
          <w:tab w:val="left" w:pos="3060"/>
        </w:tabs>
        <w:autoSpaceDE w:val="0"/>
        <w:autoSpaceDN w:val="0"/>
        <w:adjustRightInd w:val="0"/>
        <w:rPr>
          <w:b/>
          <w:bCs/>
          <w:sz w:val="22"/>
          <w:szCs w:val="22"/>
        </w:rPr>
      </w:pPr>
    </w:p>
    <w:p w14:paraId="66768415" w14:textId="77777777" w:rsidR="000E5428" w:rsidRPr="009B54A6" w:rsidRDefault="000E5428" w:rsidP="000E5428">
      <w:pPr>
        <w:tabs>
          <w:tab w:val="left" w:pos="540"/>
          <w:tab w:val="left" w:pos="3060"/>
        </w:tabs>
        <w:autoSpaceDE w:val="0"/>
        <w:autoSpaceDN w:val="0"/>
        <w:adjustRightInd w:val="0"/>
        <w:rPr>
          <w:b/>
          <w:bCs/>
          <w:sz w:val="22"/>
          <w:szCs w:val="22"/>
        </w:rPr>
      </w:pPr>
      <w:r w:rsidRPr="009B54A6">
        <w:rPr>
          <w:b/>
          <w:bCs/>
          <w:sz w:val="22"/>
          <w:szCs w:val="22"/>
        </w:rPr>
        <w:t>4.</w:t>
      </w:r>
      <w:r w:rsidRPr="009B54A6">
        <w:rPr>
          <w:b/>
          <w:bCs/>
          <w:sz w:val="22"/>
          <w:szCs w:val="22"/>
        </w:rPr>
        <w:tab/>
        <w:t>KLINIKINĖ INFORMACIJA</w:t>
      </w:r>
    </w:p>
    <w:p w14:paraId="6BB6035A" w14:textId="77777777" w:rsidR="000E5428" w:rsidRPr="009B54A6" w:rsidRDefault="000E5428" w:rsidP="000E5428">
      <w:pPr>
        <w:tabs>
          <w:tab w:val="left" w:pos="3060"/>
        </w:tabs>
        <w:autoSpaceDE w:val="0"/>
        <w:autoSpaceDN w:val="0"/>
        <w:adjustRightInd w:val="0"/>
        <w:rPr>
          <w:b/>
          <w:bCs/>
          <w:sz w:val="22"/>
          <w:szCs w:val="22"/>
        </w:rPr>
      </w:pPr>
    </w:p>
    <w:p w14:paraId="40AB78D9" w14:textId="77777777" w:rsidR="000E5428" w:rsidRPr="009B54A6" w:rsidRDefault="000E5428" w:rsidP="000E5428">
      <w:pPr>
        <w:tabs>
          <w:tab w:val="left" w:pos="540"/>
          <w:tab w:val="left" w:pos="3060"/>
        </w:tabs>
        <w:autoSpaceDE w:val="0"/>
        <w:autoSpaceDN w:val="0"/>
        <w:adjustRightInd w:val="0"/>
        <w:rPr>
          <w:b/>
          <w:bCs/>
          <w:sz w:val="22"/>
          <w:szCs w:val="22"/>
        </w:rPr>
      </w:pPr>
      <w:r w:rsidRPr="009B54A6">
        <w:rPr>
          <w:b/>
          <w:bCs/>
          <w:sz w:val="22"/>
          <w:szCs w:val="22"/>
        </w:rPr>
        <w:t>4.1</w:t>
      </w:r>
      <w:r w:rsidRPr="009B54A6">
        <w:rPr>
          <w:b/>
          <w:bCs/>
          <w:sz w:val="22"/>
          <w:szCs w:val="22"/>
        </w:rPr>
        <w:tab/>
        <w:t>Terapinės indikacijos</w:t>
      </w:r>
    </w:p>
    <w:p w14:paraId="0D47FF11" w14:textId="77777777" w:rsidR="000E5428" w:rsidRPr="009B54A6" w:rsidRDefault="000E5428" w:rsidP="000E5428">
      <w:pPr>
        <w:tabs>
          <w:tab w:val="left" w:pos="3060"/>
        </w:tabs>
        <w:autoSpaceDE w:val="0"/>
        <w:autoSpaceDN w:val="0"/>
        <w:adjustRightInd w:val="0"/>
        <w:rPr>
          <w:sz w:val="22"/>
          <w:szCs w:val="22"/>
        </w:rPr>
      </w:pPr>
    </w:p>
    <w:p w14:paraId="1E10E7AD"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Pirminės arterinės hipertenzijos gydymas.</w:t>
      </w:r>
    </w:p>
    <w:p w14:paraId="099489AE" w14:textId="77777777" w:rsidR="000E5428" w:rsidRPr="009B54A6" w:rsidRDefault="000E5428" w:rsidP="000E5428">
      <w:pPr>
        <w:autoSpaceDE w:val="0"/>
        <w:autoSpaceDN w:val="0"/>
        <w:adjustRightInd w:val="0"/>
        <w:rPr>
          <w:rFonts w:eastAsia="TimesNewRoman"/>
          <w:sz w:val="22"/>
          <w:szCs w:val="22"/>
          <w:lang w:eastAsia="lt-LT"/>
        </w:rPr>
      </w:pPr>
    </w:p>
    <w:p w14:paraId="227283AC"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Telmisartan/Hydrochlorothiazide Sandoz fiksuotų dozių deriniu (40 mg telmisartano ir 12,5 mg hidrochlorotiazido arba 80 mg telmisartano ir 12,5 mg hidrochlorotiazido) gydomi suaugę žmonės, kurių kraujospūdžio vien telmisartanas tinkamai nesureguliuoja.</w:t>
      </w:r>
    </w:p>
    <w:p w14:paraId="1E321E73" w14:textId="77777777" w:rsidR="000E5428" w:rsidRPr="009B54A6" w:rsidRDefault="000E5428" w:rsidP="000E5428">
      <w:pPr>
        <w:autoSpaceDE w:val="0"/>
        <w:autoSpaceDN w:val="0"/>
        <w:adjustRightInd w:val="0"/>
        <w:rPr>
          <w:rFonts w:eastAsia="TimesNewRoman"/>
          <w:sz w:val="22"/>
          <w:szCs w:val="22"/>
          <w:lang w:eastAsia="lt-LT"/>
        </w:rPr>
      </w:pPr>
    </w:p>
    <w:p w14:paraId="03C6E7C4" w14:textId="77777777" w:rsidR="000E5428" w:rsidRPr="009B54A6" w:rsidRDefault="000E5428" w:rsidP="000E5428">
      <w:pPr>
        <w:autoSpaceDE w:val="0"/>
        <w:autoSpaceDN w:val="0"/>
        <w:adjustRightInd w:val="0"/>
        <w:rPr>
          <w:sz w:val="22"/>
          <w:szCs w:val="22"/>
        </w:rPr>
      </w:pPr>
      <w:r w:rsidRPr="009B54A6">
        <w:rPr>
          <w:rFonts w:eastAsia="TimesNewRoman"/>
          <w:sz w:val="22"/>
          <w:szCs w:val="22"/>
          <w:lang w:eastAsia="lt-LT"/>
        </w:rPr>
        <w:t xml:space="preserve">Telmisartan/Hydrochlorothiazide Sandoz fiksuotų dozių deriniu (80 mg telmisartano ir 25 mg hidrochlorotiazido) gydomi suaugę žmonės, kurių kraujospūdžio Telmisartan/Hydrochlorothiazide Sandoz </w:t>
      </w:r>
      <w:r w:rsidRPr="009B54A6">
        <w:rPr>
          <w:sz w:val="22"/>
          <w:szCs w:val="22"/>
        </w:rPr>
        <w:t xml:space="preserve">80/12,5 mg </w:t>
      </w:r>
      <w:r w:rsidRPr="009B54A6">
        <w:rPr>
          <w:rFonts w:eastAsia="TimesNewRoman"/>
          <w:sz w:val="22"/>
          <w:szCs w:val="22"/>
          <w:lang w:eastAsia="lt-LT"/>
        </w:rPr>
        <w:t>(80 mg telmisartano ir 12,5 mg hidrochlorotiazido) tinkamai nesureguliuoja arba kurių būklę stabilizavo atskirais vaistiniais preparatais kartu vartojami telmisartanas ir hidrochlorotiazidas.</w:t>
      </w:r>
    </w:p>
    <w:p w14:paraId="00B5F059" w14:textId="77777777" w:rsidR="000E5428" w:rsidRPr="009B54A6" w:rsidRDefault="000E5428" w:rsidP="000E5428">
      <w:pPr>
        <w:tabs>
          <w:tab w:val="left" w:pos="3060"/>
        </w:tabs>
        <w:autoSpaceDE w:val="0"/>
        <w:autoSpaceDN w:val="0"/>
        <w:adjustRightInd w:val="0"/>
        <w:rPr>
          <w:b/>
          <w:bCs/>
          <w:sz w:val="22"/>
          <w:szCs w:val="22"/>
        </w:rPr>
      </w:pPr>
    </w:p>
    <w:p w14:paraId="5ED224E7" w14:textId="77777777" w:rsidR="000E5428" w:rsidRPr="009B54A6" w:rsidRDefault="000E5428" w:rsidP="000E5428">
      <w:pPr>
        <w:tabs>
          <w:tab w:val="left" w:pos="540"/>
          <w:tab w:val="left" w:pos="3060"/>
        </w:tabs>
        <w:autoSpaceDE w:val="0"/>
        <w:autoSpaceDN w:val="0"/>
        <w:adjustRightInd w:val="0"/>
        <w:rPr>
          <w:b/>
          <w:bCs/>
          <w:sz w:val="22"/>
          <w:szCs w:val="22"/>
        </w:rPr>
      </w:pPr>
      <w:r w:rsidRPr="009B54A6">
        <w:rPr>
          <w:b/>
          <w:bCs/>
          <w:sz w:val="22"/>
          <w:szCs w:val="22"/>
        </w:rPr>
        <w:t>4.2</w:t>
      </w:r>
      <w:r w:rsidRPr="009B54A6">
        <w:rPr>
          <w:b/>
          <w:bCs/>
          <w:sz w:val="22"/>
          <w:szCs w:val="22"/>
        </w:rPr>
        <w:tab/>
        <w:t>Dozavimas ir vartojimo metodas</w:t>
      </w:r>
    </w:p>
    <w:p w14:paraId="3EDE8FF4" w14:textId="77777777" w:rsidR="000E5428" w:rsidRPr="009B54A6" w:rsidRDefault="000E5428" w:rsidP="000E5428">
      <w:pPr>
        <w:tabs>
          <w:tab w:val="left" w:pos="3060"/>
        </w:tabs>
        <w:autoSpaceDE w:val="0"/>
        <w:autoSpaceDN w:val="0"/>
        <w:adjustRightInd w:val="0"/>
        <w:rPr>
          <w:sz w:val="22"/>
          <w:szCs w:val="22"/>
        </w:rPr>
      </w:pPr>
    </w:p>
    <w:p w14:paraId="7B45675E" w14:textId="77777777" w:rsidR="000E5428" w:rsidRPr="009B54A6" w:rsidRDefault="000E5428" w:rsidP="000E5428">
      <w:pPr>
        <w:tabs>
          <w:tab w:val="left" w:pos="3060"/>
        </w:tabs>
        <w:autoSpaceDE w:val="0"/>
        <w:autoSpaceDN w:val="0"/>
        <w:adjustRightInd w:val="0"/>
        <w:rPr>
          <w:sz w:val="22"/>
          <w:szCs w:val="22"/>
          <w:u w:val="single"/>
        </w:rPr>
      </w:pPr>
      <w:r w:rsidRPr="009B54A6">
        <w:rPr>
          <w:sz w:val="22"/>
          <w:szCs w:val="22"/>
          <w:u w:val="single"/>
        </w:rPr>
        <w:t>Dozavimas</w:t>
      </w:r>
    </w:p>
    <w:p w14:paraId="309B7849"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Telmisartan/Hydrochlorothiazide Sandoz reikia vartoti pacientams, kurių kraujospūdžio vien telmisartanas tinkamai nesureguliuoja. Prieš gydymą šiuo kompleksiniu preparatu kiekvienos veikliosios medžiagos dozę rekomenduojama nustatyti atskirai. Jeigu kliniškai tinka, monoterapiją kompleksiniu preparatu galima keisti iš karto.</w:t>
      </w:r>
    </w:p>
    <w:p w14:paraId="57625B2A" w14:textId="77777777" w:rsidR="000E5428" w:rsidRPr="009B54A6" w:rsidRDefault="000E5428" w:rsidP="000E5428">
      <w:pPr>
        <w:numPr>
          <w:ilvl w:val="0"/>
          <w:numId w:val="23"/>
        </w:numPr>
        <w:autoSpaceDE w:val="0"/>
        <w:autoSpaceDN w:val="0"/>
        <w:adjustRightInd w:val="0"/>
        <w:rPr>
          <w:rFonts w:eastAsia="TimesNewRoman"/>
          <w:sz w:val="22"/>
          <w:szCs w:val="22"/>
          <w:lang w:eastAsia="lt-LT"/>
        </w:rPr>
      </w:pPr>
      <w:r w:rsidRPr="009B54A6">
        <w:rPr>
          <w:rFonts w:eastAsia="TimesNewRoman"/>
          <w:sz w:val="22"/>
          <w:szCs w:val="22"/>
          <w:lang w:eastAsia="lt-LT"/>
        </w:rPr>
        <w:t>Telmisartan/Hydrochlorothiazide Sandoz 40 mg/12,5 mg galima gydyti tuos pacientus, kurių kraujospūdžio tinkamai nesureguliavo 40 mg telmisartano dozė.</w:t>
      </w:r>
    </w:p>
    <w:p w14:paraId="73504182" w14:textId="77777777" w:rsidR="000E5428" w:rsidRPr="009B54A6" w:rsidRDefault="000E5428" w:rsidP="000E5428">
      <w:pPr>
        <w:numPr>
          <w:ilvl w:val="0"/>
          <w:numId w:val="23"/>
        </w:numPr>
        <w:autoSpaceDE w:val="0"/>
        <w:autoSpaceDN w:val="0"/>
        <w:adjustRightInd w:val="0"/>
        <w:rPr>
          <w:rFonts w:eastAsia="TimesNewRoman"/>
          <w:sz w:val="22"/>
          <w:szCs w:val="22"/>
          <w:lang w:eastAsia="lt-LT"/>
        </w:rPr>
      </w:pPr>
      <w:r w:rsidRPr="009B54A6">
        <w:rPr>
          <w:rFonts w:eastAsia="TimesNewRoman"/>
          <w:sz w:val="22"/>
          <w:szCs w:val="22"/>
          <w:lang w:eastAsia="lt-LT"/>
        </w:rPr>
        <w:t xml:space="preserve">Telmisartan/Hydrochlorothiazide Sandoz 80 mg/12,5 mg galima gydyti tuos pacientus, kurių kraujospūdžio tinkamai nesureguliavo 80 mg telmisartano dozė. </w:t>
      </w:r>
    </w:p>
    <w:p w14:paraId="68EDFD9A" w14:textId="77777777" w:rsidR="000E5428" w:rsidRPr="009B54A6" w:rsidRDefault="000E5428" w:rsidP="000E5428">
      <w:pPr>
        <w:numPr>
          <w:ilvl w:val="0"/>
          <w:numId w:val="23"/>
        </w:numPr>
        <w:autoSpaceDE w:val="0"/>
        <w:autoSpaceDN w:val="0"/>
        <w:adjustRightInd w:val="0"/>
        <w:rPr>
          <w:rFonts w:eastAsia="TimesNewRoman"/>
          <w:sz w:val="22"/>
          <w:szCs w:val="22"/>
          <w:lang w:eastAsia="lt-LT"/>
        </w:rPr>
      </w:pPr>
      <w:r w:rsidRPr="009B54A6">
        <w:rPr>
          <w:rFonts w:eastAsia="TimesNewRoman"/>
          <w:sz w:val="22"/>
          <w:szCs w:val="22"/>
          <w:lang w:eastAsia="lt-LT"/>
        </w:rPr>
        <w:t>Telmisartan/Hydrochlorothiazide Sandoz 80 mg/25 mg galima gydyti tuos pacientus, kurių kraujospūdžio tinkamai nesureguliavo Telmisartan/Hydrochlorothiazide Sandoz 80 mg/12,5 mg arba kurių būklę stabilizavo atskirai vartojami telmisartanas ir hidrochlorotiazidas.</w:t>
      </w:r>
    </w:p>
    <w:p w14:paraId="0D26F403" w14:textId="77777777" w:rsidR="000E5428" w:rsidRPr="009B54A6" w:rsidRDefault="000E5428" w:rsidP="000E5428">
      <w:pPr>
        <w:autoSpaceDE w:val="0"/>
        <w:autoSpaceDN w:val="0"/>
        <w:adjustRightInd w:val="0"/>
        <w:rPr>
          <w:rFonts w:eastAsia="TimesNewRoman"/>
          <w:sz w:val="22"/>
          <w:szCs w:val="22"/>
          <w:lang w:eastAsia="lt-LT"/>
        </w:rPr>
      </w:pPr>
    </w:p>
    <w:p w14:paraId="2A6BBC42"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Telmisartan/Hydrochlorothiazide Sandoz taip pat yra tiekiams 40 mg/12,5 mg ir 80 mg/12,5 mg stiprumų dozėmis.</w:t>
      </w:r>
    </w:p>
    <w:p w14:paraId="0221E70E" w14:textId="77777777" w:rsidR="000E5428" w:rsidRPr="009B54A6" w:rsidRDefault="000E5428" w:rsidP="000E5428">
      <w:pPr>
        <w:autoSpaceDE w:val="0"/>
        <w:autoSpaceDN w:val="0"/>
        <w:adjustRightInd w:val="0"/>
        <w:rPr>
          <w:rFonts w:eastAsia="TimesNewRoman"/>
          <w:sz w:val="22"/>
          <w:szCs w:val="22"/>
          <w:lang w:eastAsia="lt-LT"/>
        </w:rPr>
      </w:pPr>
    </w:p>
    <w:p w14:paraId="69A9A49A" w14:textId="77777777" w:rsidR="000E5428" w:rsidRPr="009B54A6" w:rsidRDefault="000E5428" w:rsidP="000E5428">
      <w:pPr>
        <w:autoSpaceDE w:val="0"/>
        <w:autoSpaceDN w:val="0"/>
        <w:adjustRightInd w:val="0"/>
        <w:rPr>
          <w:rFonts w:eastAsia="TimesNewRoman"/>
          <w:i/>
          <w:iCs/>
          <w:sz w:val="22"/>
          <w:szCs w:val="22"/>
          <w:lang w:eastAsia="lt-LT"/>
        </w:rPr>
      </w:pPr>
      <w:r w:rsidRPr="009B54A6">
        <w:rPr>
          <w:rFonts w:eastAsia="TimesNewRoman"/>
          <w:i/>
          <w:iCs/>
          <w:sz w:val="22"/>
          <w:szCs w:val="22"/>
          <w:lang w:eastAsia="lt-LT"/>
        </w:rPr>
        <w:t>Ypatingos populiacijos</w:t>
      </w:r>
    </w:p>
    <w:p w14:paraId="2C1CA1B5" w14:textId="77777777" w:rsidR="000E5428" w:rsidRPr="009B54A6" w:rsidRDefault="000E5428" w:rsidP="000E5428">
      <w:pPr>
        <w:autoSpaceDE w:val="0"/>
        <w:autoSpaceDN w:val="0"/>
        <w:adjustRightInd w:val="0"/>
        <w:rPr>
          <w:rFonts w:eastAsia="TimesNewRoman"/>
          <w:sz w:val="22"/>
          <w:szCs w:val="22"/>
          <w:u w:val="single"/>
          <w:lang w:eastAsia="lt-LT"/>
        </w:rPr>
      </w:pPr>
      <w:r w:rsidRPr="009B54A6">
        <w:rPr>
          <w:rFonts w:eastAsia="TimesNewRoman"/>
          <w:sz w:val="22"/>
          <w:szCs w:val="22"/>
          <w:u w:val="single"/>
          <w:lang w:eastAsia="lt-LT"/>
        </w:rPr>
        <w:t>Pacientams, kurių inkstų funkcija sutrikusi</w:t>
      </w:r>
    </w:p>
    <w:p w14:paraId="61746D9A"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Gydymo metu patariama periodiškai tirti tokių ligonių inkstų funkciją (žr. 4.4 skyrių).</w:t>
      </w:r>
    </w:p>
    <w:p w14:paraId="4A9D8669" w14:textId="77777777" w:rsidR="000E5428" w:rsidRPr="009B54A6" w:rsidRDefault="000E5428" w:rsidP="000E5428">
      <w:pPr>
        <w:autoSpaceDE w:val="0"/>
        <w:autoSpaceDN w:val="0"/>
        <w:adjustRightInd w:val="0"/>
        <w:rPr>
          <w:rFonts w:eastAsia="TimesNewRoman"/>
          <w:sz w:val="22"/>
          <w:szCs w:val="22"/>
          <w:lang w:eastAsia="lt-LT"/>
        </w:rPr>
      </w:pPr>
    </w:p>
    <w:p w14:paraId="183A3F57" w14:textId="77777777" w:rsidR="000E5428" w:rsidRPr="009B54A6" w:rsidRDefault="000E5428" w:rsidP="000E5428">
      <w:pPr>
        <w:autoSpaceDE w:val="0"/>
        <w:autoSpaceDN w:val="0"/>
        <w:adjustRightInd w:val="0"/>
        <w:rPr>
          <w:rFonts w:eastAsia="TimesNewRoman"/>
          <w:sz w:val="22"/>
          <w:szCs w:val="22"/>
          <w:u w:val="single"/>
          <w:lang w:eastAsia="lt-LT"/>
        </w:rPr>
      </w:pPr>
      <w:r w:rsidRPr="009B54A6">
        <w:rPr>
          <w:rFonts w:eastAsia="TimesNewRoman"/>
          <w:sz w:val="22"/>
          <w:szCs w:val="22"/>
          <w:u w:val="single"/>
          <w:lang w:eastAsia="lt-LT"/>
        </w:rPr>
        <w:t>Pacientams, kurių kepenų funkcija sutrikusi</w:t>
      </w:r>
    </w:p>
    <w:p w14:paraId="0D9CB43E" w14:textId="77777777" w:rsidR="000E5428" w:rsidRPr="009B54A6" w:rsidRDefault="000E5428" w:rsidP="000E5428">
      <w:pPr>
        <w:autoSpaceDE w:val="0"/>
        <w:autoSpaceDN w:val="0"/>
        <w:adjustRightInd w:val="0"/>
        <w:rPr>
          <w:i/>
          <w:iCs/>
          <w:sz w:val="22"/>
          <w:szCs w:val="22"/>
        </w:rPr>
      </w:pPr>
      <w:r w:rsidRPr="009B54A6">
        <w:rPr>
          <w:rFonts w:eastAsia="TimesNewRoman"/>
          <w:sz w:val="22"/>
          <w:szCs w:val="22"/>
          <w:lang w:eastAsia="lt-LT"/>
        </w:rPr>
        <w:t>Pacientams, kuriems yra lengvas arba vidutinio sunkumo kepenų funkcijos sutrikimas, galima gerti ne daugiau kaip po vieną Telmisartan/Hydrochlorothiazide Sandoz 40 mg/12,5 mg tabletę per parą. Telmisartan/Hydrochlorothiazide Sandoz netinka pacientams, kuriems yra sunkus kepenų funkcijos sutrikimas. Tiazidų turi būti vartojama atsargiai pacientams, kurių kepenų funkcija sutrikusi (žr. 4.4 skyrių).</w:t>
      </w:r>
    </w:p>
    <w:p w14:paraId="4FBB5483" w14:textId="77777777" w:rsidR="000E5428" w:rsidRPr="009B54A6" w:rsidRDefault="000E5428" w:rsidP="000E5428">
      <w:pPr>
        <w:tabs>
          <w:tab w:val="left" w:pos="3060"/>
        </w:tabs>
        <w:autoSpaceDE w:val="0"/>
        <w:autoSpaceDN w:val="0"/>
        <w:adjustRightInd w:val="0"/>
        <w:rPr>
          <w:iCs/>
          <w:sz w:val="22"/>
          <w:szCs w:val="22"/>
          <w:u w:val="single"/>
        </w:rPr>
      </w:pPr>
    </w:p>
    <w:p w14:paraId="60A602F3" w14:textId="0409E834" w:rsidR="000E5428" w:rsidRPr="009B54A6" w:rsidRDefault="00010674" w:rsidP="000E5428">
      <w:pPr>
        <w:tabs>
          <w:tab w:val="left" w:pos="3060"/>
        </w:tabs>
        <w:autoSpaceDE w:val="0"/>
        <w:autoSpaceDN w:val="0"/>
        <w:adjustRightInd w:val="0"/>
        <w:rPr>
          <w:iCs/>
          <w:sz w:val="22"/>
          <w:szCs w:val="22"/>
          <w:u w:val="single"/>
        </w:rPr>
      </w:pPr>
      <w:r>
        <w:rPr>
          <w:iCs/>
          <w:sz w:val="22"/>
          <w:szCs w:val="22"/>
          <w:u w:val="single"/>
        </w:rPr>
        <w:t xml:space="preserve">Vyresnio amžiaus </w:t>
      </w:r>
      <w:r w:rsidR="000E5428" w:rsidRPr="009B54A6">
        <w:rPr>
          <w:iCs/>
          <w:sz w:val="22"/>
          <w:szCs w:val="22"/>
          <w:u w:val="single"/>
        </w:rPr>
        <w:t>pacientams</w:t>
      </w:r>
    </w:p>
    <w:p w14:paraId="5BCC0A8E" w14:textId="0B1DD73B" w:rsidR="000E5428" w:rsidRPr="009B54A6" w:rsidRDefault="00010674" w:rsidP="000E5428">
      <w:pPr>
        <w:tabs>
          <w:tab w:val="left" w:pos="3060"/>
        </w:tabs>
        <w:autoSpaceDE w:val="0"/>
        <w:autoSpaceDN w:val="0"/>
        <w:adjustRightInd w:val="0"/>
        <w:rPr>
          <w:sz w:val="22"/>
          <w:szCs w:val="22"/>
        </w:rPr>
      </w:pPr>
      <w:r>
        <w:rPr>
          <w:sz w:val="22"/>
          <w:szCs w:val="22"/>
        </w:rPr>
        <w:t>V</w:t>
      </w:r>
      <w:r>
        <w:rPr>
          <w:iCs/>
          <w:sz w:val="22"/>
          <w:szCs w:val="22"/>
          <w:u w:val="single"/>
        </w:rPr>
        <w:t>yresnio amžiaus</w:t>
      </w:r>
      <w:r w:rsidRPr="00B84FE7">
        <w:rPr>
          <w:sz w:val="22"/>
          <w:u w:val="single"/>
        </w:rPr>
        <w:t xml:space="preserve"> </w:t>
      </w:r>
      <w:r w:rsidR="000E5428" w:rsidRPr="009B54A6">
        <w:rPr>
          <w:sz w:val="22"/>
          <w:szCs w:val="22"/>
        </w:rPr>
        <w:t>pacientams dozės priderinimas nereikalingas.</w:t>
      </w:r>
    </w:p>
    <w:p w14:paraId="3DBDC11A" w14:textId="77777777" w:rsidR="000E5428" w:rsidRPr="009B54A6" w:rsidRDefault="000E5428" w:rsidP="000E5428">
      <w:pPr>
        <w:tabs>
          <w:tab w:val="left" w:pos="3060"/>
        </w:tabs>
        <w:autoSpaceDE w:val="0"/>
        <w:autoSpaceDN w:val="0"/>
        <w:adjustRightInd w:val="0"/>
        <w:rPr>
          <w:sz w:val="22"/>
          <w:szCs w:val="22"/>
        </w:rPr>
      </w:pPr>
    </w:p>
    <w:p w14:paraId="33A5E248"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Vaikų populiacija</w:t>
      </w:r>
    </w:p>
    <w:p w14:paraId="7DE6A3D8" w14:textId="77777777" w:rsidR="000E5428" w:rsidRPr="009B54A6" w:rsidRDefault="000E5428" w:rsidP="000E5428">
      <w:pPr>
        <w:autoSpaceDE w:val="0"/>
        <w:autoSpaceDN w:val="0"/>
        <w:adjustRightInd w:val="0"/>
        <w:rPr>
          <w:sz w:val="22"/>
          <w:szCs w:val="22"/>
        </w:rPr>
      </w:pPr>
      <w:r w:rsidRPr="009B54A6">
        <w:rPr>
          <w:rFonts w:eastAsia="TimesNewRoman"/>
          <w:sz w:val="22"/>
          <w:szCs w:val="22"/>
          <w:lang w:eastAsia="lt-LT"/>
        </w:rPr>
        <w:t>Telmisartan/Hydrochlorothiazide Sandoz</w:t>
      </w:r>
      <w:r w:rsidRPr="009B54A6">
        <w:rPr>
          <w:rFonts w:eastAsia="TimesNewRoman"/>
          <w:sz w:val="22"/>
          <w:szCs w:val="22"/>
        </w:rPr>
        <w:t xml:space="preserve"> nerekomenduojama vartoti jaunesniems kaip 18 metų paaugliams, nes duomenų apie saugumą ir veiksmingumą nepakanka.</w:t>
      </w:r>
    </w:p>
    <w:p w14:paraId="14287E72" w14:textId="77777777" w:rsidR="000E5428" w:rsidRPr="009B54A6" w:rsidRDefault="000E5428" w:rsidP="000E5428">
      <w:pPr>
        <w:tabs>
          <w:tab w:val="left" w:pos="3060"/>
        </w:tabs>
        <w:autoSpaceDE w:val="0"/>
        <w:autoSpaceDN w:val="0"/>
        <w:adjustRightInd w:val="0"/>
        <w:rPr>
          <w:sz w:val="22"/>
          <w:szCs w:val="22"/>
        </w:rPr>
      </w:pPr>
    </w:p>
    <w:p w14:paraId="7087A152" w14:textId="77777777" w:rsidR="000E5428" w:rsidRPr="009B54A6" w:rsidRDefault="000E5428" w:rsidP="000E5428">
      <w:pPr>
        <w:tabs>
          <w:tab w:val="left" w:pos="3060"/>
        </w:tabs>
        <w:autoSpaceDE w:val="0"/>
        <w:autoSpaceDN w:val="0"/>
        <w:adjustRightInd w:val="0"/>
        <w:rPr>
          <w:sz w:val="22"/>
          <w:szCs w:val="22"/>
          <w:u w:val="single"/>
        </w:rPr>
      </w:pPr>
      <w:r w:rsidRPr="009B54A6">
        <w:rPr>
          <w:sz w:val="22"/>
          <w:szCs w:val="22"/>
          <w:u w:val="single"/>
        </w:rPr>
        <w:t>Vartojimo metodas</w:t>
      </w:r>
    </w:p>
    <w:p w14:paraId="1E44B2B0"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lang w:eastAsia="lt-LT"/>
        </w:rPr>
        <w:t>Telmisartan/Hydrochlorothiazide Sandoz</w:t>
      </w:r>
      <w:r w:rsidRPr="009B54A6">
        <w:rPr>
          <w:rFonts w:eastAsia="TimesNewRoman"/>
          <w:sz w:val="22"/>
          <w:szCs w:val="22"/>
        </w:rPr>
        <w:t xml:space="preserve"> dengtos tabletės skirtos vartoti per burną kartą per parą. Tabletę reikia nuryti valgio metu arba nevalgius, užgeriant skysčiu</w:t>
      </w:r>
      <w:r w:rsidR="00BC420A">
        <w:rPr>
          <w:rFonts w:eastAsia="TimesNewRoman"/>
          <w:sz w:val="22"/>
          <w:szCs w:val="22"/>
        </w:rPr>
        <w:t>.</w:t>
      </w:r>
    </w:p>
    <w:p w14:paraId="4C87D2FE" w14:textId="77777777" w:rsidR="000E5428" w:rsidRPr="009B54A6" w:rsidRDefault="000E5428" w:rsidP="000E5428">
      <w:pPr>
        <w:autoSpaceDE w:val="0"/>
        <w:autoSpaceDN w:val="0"/>
        <w:adjustRightInd w:val="0"/>
        <w:rPr>
          <w:rFonts w:eastAsia="TimesNewRoman"/>
          <w:i/>
          <w:iCs/>
          <w:sz w:val="22"/>
          <w:szCs w:val="22"/>
        </w:rPr>
      </w:pPr>
    </w:p>
    <w:p w14:paraId="11B637F0" w14:textId="77777777" w:rsidR="000E5428" w:rsidRPr="009B54A6" w:rsidRDefault="000E5428" w:rsidP="000E5428">
      <w:pPr>
        <w:autoSpaceDE w:val="0"/>
        <w:autoSpaceDN w:val="0"/>
        <w:adjustRightInd w:val="0"/>
        <w:rPr>
          <w:rFonts w:eastAsia="TimesNewRoman"/>
          <w:i/>
          <w:iCs/>
          <w:sz w:val="22"/>
          <w:szCs w:val="22"/>
        </w:rPr>
      </w:pPr>
      <w:r w:rsidRPr="009B54A6">
        <w:rPr>
          <w:rFonts w:eastAsia="TimesNewRoman"/>
          <w:i/>
          <w:iCs/>
          <w:sz w:val="22"/>
          <w:szCs w:val="22"/>
        </w:rPr>
        <w:t>Atsargumo priemonės prieš ruošiant ar vartojant šį vaistinį preparatą</w:t>
      </w:r>
    </w:p>
    <w:p w14:paraId="168CA79D"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 xml:space="preserve">Kadangi </w:t>
      </w:r>
      <w:r w:rsidRPr="009B54A6">
        <w:rPr>
          <w:rFonts w:eastAsia="TimesNewRoman"/>
          <w:sz w:val="22"/>
          <w:szCs w:val="22"/>
          <w:lang w:eastAsia="lt-LT"/>
        </w:rPr>
        <w:t>Telmisartan/Hydrochlorothiazide Sandoz</w:t>
      </w:r>
      <w:r w:rsidRPr="009B54A6">
        <w:rPr>
          <w:rFonts w:eastAsia="TimesNewRoman"/>
          <w:sz w:val="22"/>
          <w:szCs w:val="22"/>
        </w:rPr>
        <w:t xml:space="preserve"> dengtos tabletės higroskopiškos, jas reikia laikyti hermetiškoje lizdinėje plokštelėje. Iš lizdinės plokštelės dengtą tabletę reikia imti prieš pat vartojimą.</w:t>
      </w:r>
    </w:p>
    <w:p w14:paraId="2D06F912" w14:textId="77777777" w:rsidR="000E5428" w:rsidRPr="009B54A6" w:rsidRDefault="000E5428" w:rsidP="000E5428">
      <w:pPr>
        <w:autoSpaceDE w:val="0"/>
        <w:autoSpaceDN w:val="0"/>
        <w:adjustRightInd w:val="0"/>
        <w:rPr>
          <w:rFonts w:eastAsia="TimesNewRoman"/>
          <w:sz w:val="22"/>
          <w:szCs w:val="22"/>
        </w:rPr>
      </w:pPr>
    </w:p>
    <w:p w14:paraId="7F8DE281" w14:textId="77777777" w:rsidR="000E5428" w:rsidRPr="009B54A6" w:rsidRDefault="000E5428" w:rsidP="000E5428">
      <w:pPr>
        <w:autoSpaceDE w:val="0"/>
        <w:autoSpaceDN w:val="0"/>
        <w:adjustRightInd w:val="0"/>
        <w:rPr>
          <w:rFonts w:eastAsia="TimesNewRoman"/>
          <w:b/>
          <w:bCs/>
          <w:sz w:val="22"/>
          <w:szCs w:val="22"/>
        </w:rPr>
      </w:pPr>
      <w:r w:rsidRPr="009B54A6">
        <w:rPr>
          <w:rFonts w:eastAsia="TimesNewRoman"/>
          <w:b/>
          <w:bCs/>
          <w:sz w:val="22"/>
          <w:szCs w:val="22"/>
        </w:rPr>
        <w:t>4.3</w:t>
      </w:r>
      <w:r w:rsidRPr="009B54A6">
        <w:rPr>
          <w:rFonts w:eastAsia="TimesNewRoman"/>
          <w:b/>
          <w:bCs/>
          <w:sz w:val="22"/>
          <w:szCs w:val="22"/>
        </w:rPr>
        <w:tab/>
        <w:t>Kontraindikacijos</w:t>
      </w:r>
    </w:p>
    <w:p w14:paraId="01376D32" w14:textId="77777777" w:rsidR="000E5428" w:rsidRPr="009B54A6" w:rsidRDefault="000E5428" w:rsidP="000E5428">
      <w:pPr>
        <w:autoSpaceDE w:val="0"/>
        <w:autoSpaceDN w:val="0"/>
        <w:adjustRightInd w:val="0"/>
        <w:rPr>
          <w:rFonts w:eastAsia="TimesNewRoman"/>
          <w:sz w:val="22"/>
          <w:szCs w:val="22"/>
        </w:rPr>
      </w:pPr>
    </w:p>
    <w:p w14:paraId="4664D43B" w14:textId="77777777" w:rsidR="000E5428" w:rsidRPr="009B54A6" w:rsidRDefault="000E5428" w:rsidP="000E5428">
      <w:pPr>
        <w:numPr>
          <w:ilvl w:val="0"/>
          <w:numId w:val="24"/>
        </w:numPr>
        <w:autoSpaceDE w:val="0"/>
        <w:autoSpaceDN w:val="0"/>
        <w:adjustRightInd w:val="0"/>
        <w:ind w:left="0" w:firstLine="0"/>
        <w:rPr>
          <w:rFonts w:eastAsia="TimesNewRoman"/>
          <w:sz w:val="22"/>
          <w:szCs w:val="22"/>
        </w:rPr>
      </w:pPr>
      <w:r w:rsidRPr="009B54A6">
        <w:rPr>
          <w:rFonts w:eastAsia="TimesNewRoman"/>
          <w:sz w:val="22"/>
          <w:szCs w:val="22"/>
        </w:rPr>
        <w:t>Padidėjęs jautrumas veikliajai arba bet kuriai 6.1 skyriuje nurodytai pagalbinei medžiagai.</w:t>
      </w:r>
    </w:p>
    <w:p w14:paraId="252EB6B3" w14:textId="77777777" w:rsidR="000E5428" w:rsidRPr="009B54A6" w:rsidRDefault="000E5428" w:rsidP="000E5428">
      <w:pPr>
        <w:numPr>
          <w:ilvl w:val="0"/>
          <w:numId w:val="24"/>
        </w:numPr>
        <w:autoSpaceDE w:val="0"/>
        <w:autoSpaceDN w:val="0"/>
        <w:adjustRightInd w:val="0"/>
        <w:ind w:left="567" w:hanging="567"/>
        <w:rPr>
          <w:rFonts w:eastAsia="TimesNewRoman"/>
          <w:sz w:val="22"/>
          <w:szCs w:val="22"/>
        </w:rPr>
      </w:pPr>
      <w:r w:rsidRPr="009B54A6">
        <w:rPr>
          <w:rFonts w:eastAsia="TimesNewRoman"/>
          <w:sz w:val="22"/>
          <w:szCs w:val="22"/>
        </w:rPr>
        <w:t>Padidėjęs jautrumas sulfamidų dariniams (hidrochlorotiazidas yra sulfamidų grupės vaistinis preparatas).</w:t>
      </w:r>
    </w:p>
    <w:p w14:paraId="0C23B91D" w14:textId="77777777" w:rsidR="000E5428" w:rsidRPr="009B54A6" w:rsidRDefault="000E5428" w:rsidP="000E5428">
      <w:pPr>
        <w:numPr>
          <w:ilvl w:val="0"/>
          <w:numId w:val="24"/>
        </w:numPr>
        <w:autoSpaceDE w:val="0"/>
        <w:autoSpaceDN w:val="0"/>
        <w:adjustRightInd w:val="0"/>
        <w:ind w:left="0" w:firstLine="0"/>
        <w:rPr>
          <w:rFonts w:eastAsia="TimesNewRoman"/>
          <w:sz w:val="22"/>
          <w:szCs w:val="22"/>
        </w:rPr>
      </w:pPr>
      <w:r w:rsidRPr="009B54A6">
        <w:rPr>
          <w:rFonts w:eastAsia="TimesNewRoman"/>
          <w:sz w:val="22"/>
          <w:szCs w:val="22"/>
        </w:rPr>
        <w:t>Antras ir trečias nėštumo trimestrai (žr. 4.4 ir 4.6 skyrius).</w:t>
      </w:r>
    </w:p>
    <w:p w14:paraId="518136F8" w14:textId="77777777" w:rsidR="000E5428" w:rsidRPr="009B54A6" w:rsidRDefault="000E5428" w:rsidP="000E5428">
      <w:pPr>
        <w:numPr>
          <w:ilvl w:val="0"/>
          <w:numId w:val="24"/>
        </w:numPr>
        <w:autoSpaceDE w:val="0"/>
        <w:autoSpaceDN w:val="0"/>
        <w:adjustRightInd w:val="0"/>
        <w:ind w:left="0" w:firstLine="0"/>
        <w:rPr>
          <w:rFonts w:eastAsia="TimesNewRoman"/>
          <w:sz w:val="22"/>
          <w:szCs w:val="22"/>
        </w:rPr>
      </w:pPr>
      <w:r w:rsidRPr="009B54A6">
        <w:rPr>
          <w:rFonts w:eastAsia="TimesNewRoman"/>
          <w:sz w:val="22"/>
          <w:szCs w:val="22"/>
        </w:rPr>
        <w:lastRenderedPageBreak/>
        <w:t>Tulžies stazė ir nutekėjimo obstrukcija.</w:t>
      </w:r>
    </w:p>
    <w:p w14:paraId="6526B317" w14:textId="77777777" w:rsidR="000E5428" w:rsidRPr="009B54A6" w:rsidRDefault="000E5428" w:rsidP="000E5428">
      <w:pPr>
        <w:numPr>
          <w:ilvl w:val="0"/>
          <w:numId w:val="24"/>
        </w:numPr>
        <w:autoSpaceDE w:val="0"/>
        <w:autoSpaceDN w:val="0"/>
        <w:adjustRightInd w:val="0"/>
        <w:ind w:left="0" w:firstLine="0"/>
        <w:rPr>
          <w:rFonts w:eastAsia="TimesNewRoman"/>
          <w:sz w:val="22"/>
          <w:szCs w:val="22"/>
        </w:rPr>
      </w:pPr>
      <w:r w:rsidRPr="009B54A6">
        <w:rPr>
          <w:rFonts w:eastAsia="TimesNewRoman"/>
          <w:sz w:val="22"/>
          <w:szCs w:val="22"/>
        </w:rPr>
        <w:t>Sunkus kepenų funkcijos sutrikimas.</w:t>
      </w:r>
    </w:p>
    <w:p w14:paraId="18B161E2" w14:textId="77777777" w:rsidR="000E5428" w:rsidRPr="009B54A6" w:rsidRDefault="000E5428" w:rsidP="000E5428">
      <w:pPr>
        <w:numPr>
          <w:ilvl w:val="0"/>
          <w:numId w:val="24"/>
        </w:numPr>
        <w:autoSpaceDE w:val="0"/>
        <w:autoSpaceDN w:val="0"/>
        <w:adjustRightInd w:val="0"/>
        <w:ind w:left="0" w:firstLine="0"/>
        <w:rPr>
          <w:rFonts w:eastAsia="TimesNewRoman"/>
          <w:sz w:val="22"/>
          <w:szCs w:val="22"/>
        </w:rPr>
      </w:pPr>
      <w:r w:rsidRPr="009B54A6">
        <w:rPr>
          <w:rFonts w:eastAsia="TimesNewRoman"/>
          <w:sz w:val="22"/>
          <w:szCs w:val="22"/>
        </w:rPr>
        <w:t>Sunkus inkstų funkcijos sutrikimas (kreatinino klirensas yra &lt; 30 ml/min.).</w:t>
      </w:r>
    </w:p>
    <w:p w14:paraId="6804DD7C" w14:textId="77777777" w:rsidR="000E5428" w:rsidRPr="009B54A6" w:rsidRDefault="000E5428" w:rsidP="000E5428">
      <w:pPr>
        <w:numPr>
          <w:ilvl w:val="0"/>
          <w:numId w:val="24"/>
        </w:numPr>
        <w:autoSpaceDE w:val="0"/>
        <w:autoSpaceDN w:val="0"/>
        <w:adjustRightInd w:val="0"/>
        <w:ind w:left="0" w:firstLine="0"/>
        <w:rPr>
          <w:rFonts w:eastAsia="TimesNewRoman"/>
          <w:sz w:val="22"/>
          <w:szCs w:val="22"/>
        </w:rPr>
      </w:pPr>
      <w:r w:rsidRPr="009B54A6">
        <w:rPr>
          <w:rFonts w:eastAsia="TimesNewRoman"/>
          <w:sz w:val="22"/>
          <w:szCs w:val="22"/>
        </w:rPr>
        <w:t>Refrakterinė hipokalemija, hiperkalcemija.</w:t>
      </w:r>
    </w:p>
    <w:p w14:paraId="1DB1DBB4" w14:textId="77777777" w:rsidR="000E5428" w:rsidRPr="009B54A6" w:rsidRDefault="000E5428" w:rsidP="000E5428">
      <w:pPr>
        <w:numPr>
          <w:ilvl w:val="0"/>
          <w:numId w:val="24"/>
        </w:numPr>
        <w:autoSpaceDE w:val="0"/>
        <w:autoSpaceDN w:val="0"/>
        <w:adjustRightInd w:val="0"/>
        <w:ind w:left="567" w:hanging="567"/>
        <w:rPr>
          <w:rFonts w:eastAsia="TimesNewRoman"/>
          <w:sz w:val="22"/>
          <w:szCs w:val="22"/>
        </w:rPr>
      </w:pPr>
      <w:r w:rsidRPr="009B54A6">
        <w:rPr>
          <w:rFonts w:eastAsia="TimesNewRoman"/>
          <w:sz w:val="22"/>
          <w:szCs w:val="22"/>
          <w:lang w:eastAsia="lt-LT"/>
        </w:rPr>
        <w:t>Telmisartan/Hydrochlorothiazide Sandoz</w:t>
      </w:r>
      <w:r w:rsidRPr="009B54A6">
        <w:rPr>
          <w:color w:val="000000"/>
          <w:sz w:val="22"/>
          <w:szCs w:val="22"/>
        </w:rPr>
        <w:t xml:space="preserve"> draudžiama vartoti kartu su vaistiniais preparatais, kurių sudėtyje yra aliskireno, pacientams, kuriems yra II tipo cukrinis diabetas ar inkstų funkcijos sutrikimas </w:t>
      </w:r>
      <w:r w:rsidRPr="009B54A6">
        <w:rPr>
          <w:sz w:val="22"/>
          <w:szCs w:val="22"/>
          <w:lang w:eastAsia="lt-LT"/>
        </w:rPr>
        <w:t>(glomerulų filtracijos greitis &lt;60 ml/min/1,73 m</w:t>
      </w:r>
      <w:r w:rsidRPr="009B54A6">
        <w:rPr>
          <w:sz w:val="22"/>
          <w:szCs w:val="22"/>
          <w:vertAlign w:val="superscript"/>
          <w:lang w:eastAsia="lt-LT"/>
        </w:rPr>
        <w:t>2</w:t>
      </w:r>
      <w:r w:rsidRPr="009B54A6">
        <w:rPr>
          <w:sz w:val="22"/>
          <w:szCs w:val="22"/>
          <w:lang w:eastAsia="lt-LT"/>
        </w:rPr>
        <w:t>) (žr. 4.5 ir 5.1 skyrius).</w:t>
      </w:r>
    </w:p>
    <w:p w14:paraId="4B465352" w14:textId="77777777" w:rsidR="000E5428" w:rsidRPr="009B54A6" w:rsidRDefault="000E5428" w:rsidP="000E5428">
      <w:pPr>
        <w:autoSpaceDE w:val="0"/>
        <w:autoSpaceDN w:val="0"/>
        <w:adjustRightInd w:val="0"/>
        <w:rPr>
          <w:rFonts w:eastAsia="TimesNewRoman"/>
          <w:b/>
          <w:bCs/>
          <w:sz w:val="22"/>
          <w:szCs w:val="22"/>
        </w:rPr>
      </w:pPr>
    </w:p>
    <w:p w14:paraId="63F73CD7" w14:textId="77777777" w:rsidR="000E5428" w:rsidRPr="009B54A6" w:rsidRDefault="000E5428" w:rsidP="000E5428">
      <w:pPr>
        <w:autoSpaceDE w:val="0"/>
        <w:autoSpaceDN w:val="0"/>
        <w:adjustRightInd w:val="0"/>
        <w:rPr>
          <w:rFonts w:eastAsia="TimesNewRoman"/>
          <w:b/>
          <w:bCs/>
          <w:sz w:val="22"/>
          <w:szCs w:val="22"/>
        </w:rPr>
      </w:pPr>
      <w:r w:rsidRPr="009B54A6">
        <w:rPr>
          <w:rFonts w:eastAsia="TimesNewRoman"/>
          <w:b/>
          <w:bCs/>
          <w:sz w:val="22"/>
          <w:szCs w:val="22"/>
        </w:rPr>
        <w:t>4.4</w:t>
      </w:r>
      <w:r w:rsidRPr="009B54A6">
        <w:rPr>
          <w:rFonts w:eastAsia="TimesNewRoman"/>
          <w:b/>
          <w:bCs/>
          <w:sz w:val="22"/>
          <w:szCs w:val="22"/>
        </w:rPr>
        <w:tab/>
        <w:t>Specialūs įspėjimai ir atsargumo priemonės</w:t>
      </w:r>
    </w:p>
    <w:p w14:paraId="1EE5EBF5" w14:textId="77777777" w:rsidR="000E5428" w:rsidRPr="009B54A6" w:rsidRDefault="000E5428" w:rsidP="000E5428">
      <w:pPr>
        <w:autoSpaceDE w:val="0"/>
        <w:autoSpaceDN w:val="0"/>
        <w:adjustRightInd w:val="0"/>
        <w:rPr>
          <w:rFonts w:eastAsia="TimesNewRoman"/>
          <w:sz w:val="22"/>
          <w:szCs w:val="22"/>
        </w:rPr>
      </w:pPr>
    </w:p>
    <w:p w14:paraId="7599E666"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Nėštumas</w:t>
      </w:r>
    </w:p>
    <w:p w14:paraId="2C28D370"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Nėščių moterų pradėti gydyti angiotenzinui II jautrių receptorių blokatoriais negalima. Išskyrus atvejus, kai tolesnis gydymas angiotenzinui II jautrių receptorių blokatoriais yra būtinas, pastoti planuojančioms moterims juos reikia keisti kitokiais antihipertenziniais vaistiniais preparatais, kurių vartojimo saugumas nėštumo metu ištirtas. Nustačius nėštumą, angiotenzinui II jautrių receptorių blokatorių vartojimą būtina nedelsiant nutraukti ir, jei reikia, skirti kitokį tinkamą gydymą (žr. 4.3 ir 4.6 skyrius).</w:t>
      </w:r>
    </w:p>
    <w:p w14:paraId="3544373F" w14:textId="77777777" w:rsidR="000E5428" w:rsidRPr="009B54A6" w:rsidRDefault="000E5428" w:rsidP="000E5428">
      <w:pPr>
        <w:autoSpaceDE w:val="0"/>
        <w:autoSpaceDN w:val="0"/>
        <w:adjustRightInd w:val="0"/>
        <w:rPr>
          <w:rFonts w:eastAsia="TimesNewRoman"/>
          <w:sz w:val="22"/>
          <w:szCs w:val="22"/>
        </w:rPr>
      </w:pPr>
    </w:p>
    <w:p w14:paraId="15083146"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Kepenų funkcijos sutrikimas</w:t>
      </w:r>
    </w:p>
    <w:p w14:paraId="7657058C"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 xml:space="preserve">Pacientams, kuriems yra tulžies stazė, tulžies nutekėjimo obstrukcija arba sunkus kepenų nepakankamumas, </w:t>
      </w:r>
      <w:r w:rsidRPr="009B54A6">
        <w:rPr>
          <w:rFonts w:eastAsia="TimesNewRoman"/>
          <w:sz w:val="22"/>
          <w:szCs w:val="22"/>
          <w:lang w:eastAsia="lt-LT"/>
        </w:rPr>
        <w:t>Telmisartan/Hydrochlorothiazide Sandoz</w:t>
      </w:r>
      <w:r w:rsidRPr="009B54A6">
        <w:rPr>
          <w:rFonts w:eastAsia="TimesNewRoman"/>
          <w:sz w:val="22"/>
          <w:szCs w:val="22"/>
        </w:rPr>
        <w:t xml:space="preserve"> vartoti negalima, kadangi telmisartanas iš organizmo šalinamas daugiausiai su tulžimi (žr. 4.3 skyrių). Manoma, jog tokių ligonių organizme vaisto klirensas kepenyse gali būti mažesnis.</w:t>
      </w:r>
    </w:p>
    <w:p w14:paraId="037CB1C4" w14:textId="77777777" w:rsidR="000E5428" w:rsidRPr="009B54A6" w:rsidRDefault="000E5428" w:rsidP="000E5428">
      <w:pPr>
        <w:autoSpaceDE w:val="0"/>
        <w:autoSpaceDN w:val="0"/>
        <w:adjustRightInd w:val="0"/>
        <w:rPr>
          <w:rFonts w:eastAsia="TimesNewRoman"/>
          <w:sz w:val="22"/>
          <w:szCs w:val="22"/>
        </w:rPr>
      </w:pPr>
    </w:p>
    <w:p w14:paraId="61BC60E0"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 xml:space="preserve">Be to, atsargiai vaistiniu preparatu reikia gydyti pacientus, kurių kepenų funkcija sutrikusi arba kurie serga progresuojančia kepenų liga, kadangi net nedidelis skysčių ar elektrolitų pusiausvyros pokytis gali skatinti kepenų komos pasireiškimą. Ligonių, kurių kepenų funkcija sutrikusi, gydymo </w:t>
      </w:r>
      <w:r w:rsidRPr="009B54A6">
        <w:rPr>
          <w:rFonts w:eastAsia="TimesNewRoman"/>
          <w:sz w:val="22"/>
          <w:szCs w:val="22"/>
          <w:lang w:eastAsia="lt-LT"/>
        </w:rPr>
        <w:t>Telmisartan/Hydrochlorothiazide Sandoz</w:t>
      </w:r>
      <w:r w:rsidRPr="009B54A6">
        <w:rPr>
          <w:rFonts w:eastAsia="TimesNewRoman"/>
          <w:sz w:val="22"/>
          <w:szCs w:val="22"/>
        </w:rPr>
        <w:t xml:space="preserve"> patirties nėra.</w:t>
      </w:r>
    </w:p>
    <w:p w14:paraId="12DD65D1" w14:textId="77777777" w:rsidR="000E5428" w:rsidRPr="009B54A6" w:rsidRDefault="000E5428" w:rsidP="000E5428">
      <w:pPr>
        <w:autoSpaceDE w:val="0"/>
        <w:autoSpaceDN w:val="0"/>
        <w:adjustRightInd w:val="0"/>
        <w:rPr>
          <w:rFonts w:eastAsia="TimesNewRoman"/>
          <w:sz w:val="22"/>
          <w:szCs w:val="22"/>
        </w:rPr>
      </w:pPr>
    </w:p>
    <w:p w14:paraId="5297C0BE"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Renovaskulinė hipertenzija</w:t>
      </w:r>
    </w:p>
    <w:p w14:paraId="22CA0D3F" w14:textId="12D698BA"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Renino, angiotenzino ir aldosterono sistemą veikiančių preparatų vartojantiems ligoniams, kurių abiejų inkstų (arba vieno, jei funkcio</w:t>
      </w:r>
      <w:r w:rsidR="00BC420A">
        <w:rPr>
          <w:rFonts w:eastAsia="TimesNewRoman"/>
          <w:sz w:val="22"/>
          <w:szCs w:val="22"/>
        </w:rPr>
        <w:t>n</w:t>
      </w:r>
      <w:r w:rsidRPr="009B54A6">
        <w:rPr>
          <w:rFonts w:eastAsia="TimesNewRoman"/>
          <w:sz w:val="22"/>
          <w:szCs w:val="22"/>
        </w:rPr>
        <w:t>uoja tik vienas inkstas) arterijos susiaurėjusios, yra didesnė sunkios hipotenzijos ir inkstų nepakankamumo pasireiškimo rizika.</w:t>
      </w:r>
    </w:p>
    <w:p w14:paraId="3C6AE3A8" w14:textId="77777777" w:rsidR="000E5428" w:rsidRPr="009B54A6" w:rsidRDefault="000E5428" w:rsidP="000E5428">
      <w:pPr>
        <w:tabs>
          <w:tab w:val="left" w:pos="3060"/>
        </w:tabs>
        <w:autoSpaceDE w:val="0"/>
        <w:autoSpaceDN w:val="0"/>
        <w:adjustRightInd w:val="0"/>
        <w:rPr>
          <w:rFonts w:eastAsia="TimesNewRoman"/>
          <w:sz w:val="22"/>
          <w:szCs w:val="22"/>
        </w:rPr>
      </w:pPr>
    </w:p>
    <w:p w14:paraId="6BAC7F97"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Inkstų funkcijos sutrikimas, persodintas inkstas</w:t>
      </w:r>
    </w:p>
    <w:p w14:paraId="53A7C2B5" w14:textId="4DADC414" w:rsidR="000E5428" w:rsidRPr="009B54A6" w:rsidRDefault="000E5428" w:rsidP="000E5428">
      <w:pPr>
        <w:autoSpaceDE w:val="0"/>
        <w:autoSpaceDN w:val="0"/>
        <w:adjustRightInd w:val="0"/>
        <w:rPr>
          <w:sz w:val="22"/>
          <w:szCs w:val="22"/>
          <w:lang w:eastAsia="lt-LT"/>
        </w:rPr>
      </w:pPr>
      <w:r w:rsidRPr="009B54A6">
        <w:rPr>
          <w:rFonts w:eastAsia="TimesNewRoman"/>
          <w:sz w:val="22"/>
          <w:szCs w:val="22"/>
          <w:lang w:eastAsia="lt-LT"/>
        </w:rPr>
        <w:t>Telmisartan/Hydrochlorothiazide Sandoz turi būti nevartojamas p</w:t>
      </w:r>
      <w:r w:rsidRPr="009B54A6">
        <w:rPr>
          <w:rFonts w:eastAsia="TimesNewRoman"/>
          <w:sz w:val="22"/>
          <w:szCs w:val="22"/>
        </w:rPr>
        <w:t>acientams, kuriems yra sunkus inkstų funkcijos sutrikimas (kreatinino klirensas yra &lt; 30 ml/min.) (žr. 4.3 skyrių).</w:t>
      </w:r>
      <w:r w:rsidRPr="009B54A6">
        <w:rPr>
          <w:sz w:val="22"/>
          <w:szCs w:val="22"/>
          <w:lang w:eastAsia="lt-LT"/>
        </w:rPr>
        <w:t xml:space="preserve"> Pacientų, kuriems neseniai persodintas inkstas, gydymo Telmisartan/Hydrochlorothiazide Sandoz patirties nėra. </w:t>
      </w:r>
      <w:r w:rsidRPr="009B54A6">
        <w:rPr>
          <w:rFonts w:eastAsia="TimesNewRoman"/>
          <w:sz w:val="22"/>
          <w:szCs w:val="22"/>
        </w:rPr>
        <w:t>Kadangi pacientų, kuriems yra lengvas ar vidutinis inkstų nepakankamumas, gydymo šiuo vaistiniu preparatu patirtis yra nedidelė, gydymo metu rekomenduojama periodiškai nustatinėti kalio, kreatinino ir šlapimo rūgšties kiekį kraujo serume. Jeigu inkstų funkcija sutrikusi, gali pasireikšti tiazidinių diuretikų sukeliama azotemija.</w:t>
      </w:r>
    </w:p>
    <w:p w14:paraId="65E58786" w14:textId="77777777" w:rsidR="000E5428" w:rsidRPr="009B54A6" w:rsidRDefault="000E5428" w:rsidP="000E5428">
      <w:pPr>
        <w:autoSpaceDE w:val="0"/>
        <w:autoSpaceDN w:val="0"/>
        <w:adjustRightInd w:val="0"/>
        <w:rPr>
          <w:sz w:val="22"/>
          <w:szCs w:val="22"/>
          <w:lang w:eastAsia="lt-LT"/>
        </w:rPr>
      </w:pPr>
    </w:p>
    <w:p w14:paraId="318CFD7E" w14:textId="77777777" w:rsidR="000E5428" w:rsidRPr="009B54A6" w:rsidRDefault="000E5428" w:rsidP="000E5428">
      <w:pPr>
        <w:autoSpaceDE w:val="0"/>
        <w:autoSpaceDN w:val="0"/>
        <w:adjustRightInd w:val="0"/>
        <w:rPr>
          <w:sz w:val="22"/>
          <w:szCs w:val="22"/>
          <w:u w:val="single"/>
          <w:lang w:eastAsia="lt-LT"/>
        </w:rPr>
      </w:pPr>
      <w:r w:rsidRPr="009B54A6">
        <w:rPr>
          <w:sz w:val="22"/>
          <w:szCs w:val="22"/>
          <w:u w:val="single"/>
          <w:lang w:eastAsia="lt-LT"/>
        </w:rPr>
        <w:t>Intravaskulinė hipovolemija</w:t>
      </w:r>
    </w:p>
    <w:p w14:paraId="08E58E23" w14:textId="77777777" w:rsidR="000E5428" w:rsidRPr="009B54A6" w:rsidRDefault="000E5428" w:rsidP="000E5428">
      <w:pPr>
        <w:autoSpaceDE w:val="0"/>
        <w:autoSpaceDN w:val="0"/>
        <w:adjustRightInd w:val="0"/>
        <w:rPr>
          <w:bCs/>
          <w:sz w:val="22"/>
          <w:szCs w:val="22"/>
        </w:rPr>
      </w:pPr>
      <w:r w:rsidRPr="009B54A6">
        <w:rPr>
          <w:sz w:val="22"/>
          <w:szCs w:val="22"/>
          <w:lang w:eastAsia="lt-LT"/>
        </w:rPr>
        <w:t>Išgėrus Telmisartan/Hydrochlorothiazide Sandoz, ypač pirmą dozę, pacientams, kurių organizme dėl gydymo didele diuretiko doze ar dieta, kurioje yra mažai druskos, arba dėl vėmimo ar viduriavimo trūksta skysčio ir (ar) natrio, gali pasireikšti simptominė hipotenzija. Prieš pradedant gydyti Telmisartan/Hydrochlorothiazide Sandoz, šias būkles reikia koreguoti. Prieš gydymą Telmisartan/Hydrochlorothiazide Sandoz reikia normalizuoti skysčio ir (ar) natrio kiekį organizme.</w:t>
      </w:r>
    </w:p>
    <w:p w14:paraId="698A9381" w14:textId="77777777" w:rsidR="000E5428" w:rsidRPr="009B54A6" w:rsidRDefault="000E5428" w:rsidP="000E5428">
      <w:pPr>
        <w:tabs>
          <w:tab w:val="left" w:pos="567"/>
        </w:tabs>
        <w:jc w:val="both"/>
        <w:rPr>
          <w:bCs/>
          <w:sz w:val="22"/>
          <w:szCs w:val="22"/>
        </w:rPr>
      </w:pPr>
    </w:p>
    <w:p w14:paraId="04499DF3" w14:textId="77777777" w:rsidR="000E5428" w:rsidRPr="009B54A6" w:rsidRDefault="000E5428" w:rsidP="000E5428">
      <w:pPr>
        <w:autoSpaceDE w:val="0"/>
        <w:autoSpaceDN w:val="0"/>
        <w:adjustRightInd w:val="0"/>
        <w:rPr>
          <w:sz w:val="22"/>
          <w:szCs w:val="22"/>
          <w:u w:val="single"/>
          <w:lang w:eastAsia="lt-LT"/>
        </w:rPr>
      </w:pPr>
      <w:r w:rsidRPr="009B54A6">
        <w:rPr>
          <w:sz w:val="22"/>
          <w:szCs w:val="22"/>
          <w:u w:val="single"/>
          <w:lang w:eastAsia="lt-LT"/>
        </w:rPr>
        <w:t>Dviguba renino, angiotenzino ir aldosterono sistemos (RAAS) blokada</w:t>
      </w:r>
    </w:p>
    <w:p w14:paraId="173D1DD7" w14:textId="77777777" w:rsidR="000E5428" w:rsidRPr="009B54A6" w:rsidRDefault="000E5428" w:rsidP="000E5428">
      <w:pPr>
        <w:autoSpaceDE w:val="0"/>
        <w:autoSpaceDN w:val="0"/>
        <w:adjustRightInd w:val="0"/>
        <w:rPr>
          <w:sz w:val="22"/>
          <w:szCs w:val="22"/>
          <w:lang w:eastAsia="lt-LT"/>
        </w:rPr>
      </w:pPr>
      <w:r w:rsidRPr="009B54A6">
        <w:rPr>
          <w:sz w:val="22"/>
          <w:szCs w:val="22"/>
        </w:rPr>
        <w:t xml:space="preserve">Yra įrodymų, kad AKF inhibitorių, angiotenzino II receptorių blokatorių ar aliskireno vartojimas kartu didina </w:t>
      </w:r>
      <w:r w:rsidRPr="009B54A6">
        <w:rPr>
          <w:sz w:val="22"/>
          <w:szCs w:val="22"/>
          <w:lang w:eastAsia="lt-LT"/>
        </w:rPr>
        <w:t xml:space="preserve">hipotenzijos, hiperkalemijos ir inkstų funkcijos sumažėjimo (įskaitant ūminį inkstų nepakankamumą) riziką. Dėl to </w:t>
      </w:r>
      <w:r w:rsidRPr="009B54A6">
        <w:rPr>
          <w:sz w:val="22"/>
          <w:szCs w:val="22"/>
        </w:rPr>
        <w:t>AKF inhibitorių, angiotenzino II receptorių blokatorių ar aliskireno</w:t>
      </w:r>
      <w:r w:rsidRPr="009B54A6">
        <w:rPr>
          <w:sz w:val="22"/>
          <w:szCs w:val="22"/>
          <w:lang w:eastAsia="lt-LT"/>
        </w:rPr>
        <w:t xml:space="preserve"> </w:t>
      </w:r>
      <w:r w:rsidRPr="009B54A6">
        <w:rPr>
          <w:sz w:val="22"/>
          <w:szCs w:val="22"/>
        </w:rPr>
        <w:t xml:space="preserve">derinio </w:t>
      </w:r>
      <w:r w:rsidRPr="009B54A6">
        <w:rPr>
          <w:sz w:val="22"/>
          <w:szCs w:val="22"/>
          <w:lang w:eastAsia="lt-LT"/>
        </w:rPr>
        <w:t>sukelta dviguba RAAS blokada yra nerekomenduojama (žr. 4.5 ir 5.1 skyrius).</w:t>
      </w:r>
    </w:p>
    <w:p w14:paraId="1EAE7B2D" w14:textId="77777777" w:rsidR="000E5428" w:rsidRPr="009B54A6" w:rsidRDefault="000E5428" w:rsidP="000E5428">
      <w:pPr>
        <w:autoSpaceDE w:val="0"/>
        <w:autoSpaceDN w:val="0"/>
        <w:adjustRightInd w:val="0"/>
        <w:rPr>
          <w:b/>
          <w:sz w:val="22"/>
          <w:szCs w:val="22"/>
        </w:rPr>
      </w:pPr>
      <w:r w:rsidRPr="009B54A6">
        <w:rPr>
          <w:sz w:val="22"/>
          <w:szCs w:val="22"/>
        </w:rPr>
        <w:t>Nusprendus, kad dvigubos blokados deriniu gydyti neabejotinai būtina, tai turi vykti tik prižiūrint specialistui ir dažnai atidžiai stebint inkstų funkciją, elektrolitų kiekį ir kraujo spaudimą.</w:t>
      </w:r>
    </w:p>
    <w:p w14:paraId="26B83E6C" w14:textId="77777777" w:rsidR="000E5428" w:rsidRPr="009B54A6" w:rsidRDefault="000E5428" w:rsidP="000E5428">
      <w:pPr>
        <w:autoSpaceDE w:val="0"/>
        <w:autoSpaceDN w:val="0"/>
        <w:adjustRightInd w:val="0"/>
        <w:rPr>
          <w:b/>
          <w:sz w:val="22"/>
          <w:szCs w:val="22"/>
        </w:rPr>
      </w:pPr>
      <w:r w:rsidRPr="009B54A6">
        <w:rPr>
          <w:sz w:val="22"/>
          <w:szCs w:val="22"/>
        </w:rPr>
        <w:lastRenderedPageBreak/>
        <w:t>AKF inhibitorių ir angiotenzino II receptorių blokatorių turi būti nevartojama kartu pacientams, kuriems yra diabetinė nefropatija.</w:t>
      </w:r>
    </w:p>
    <w:p w14:paraId="053F7D3F" w14:textId="77777777" w:rsidR="000E5428" w:rsidRPr="009B54A6" w:rsidRDefault="000E5428" w:rsidP="000E5428">
      <w:pPr>
        <w:autoSpaceDE w:val="0"/>
        <w:autoSpaceDN w:val="0"/>
        <w:adjustRightInd w:val="0"/>
        <w:rPr>
          <w:sz w:val="22"/>
          <w:szCs w:val="22"/>
          <w:lang w:eastAsia="lt-LT"/>
        </w:rPr>
      </w:pPr>
    </w:p>
    <w:p w14:paraId="6FB47C5A" w14:textId="77777777" w:rsidR="000E5428" w:rsidRPr="009B54A6" w:rsidRDefault="000E5428" w:rsidP="000E5428">
      <w:pPr>
        <w:autoSpaceDE w:val="0"/>
        <w:autoSpaceDN w:val="0"/>
        <w:adjustRightInd w:val="0"/>
        <w:rPr>
          <w:sz w:val="22"/>
          <w:szCs w:val="22"/>
          <w:u w:val="single"/>
          <w:lang w:eastAsia="lt-LT"/>
        </w:rPr>
      </w:pPr>
      <w:r w:rsidRPr="009B54A6">
        <w:rPr>
          <w:sz w:val="22"/>
          <w:szCs w:val="22"/>
          <w:u w:val="single"/>
          <w:lang w:eastAsia="lt-LT"/>
        </w:rPr>
        <w:t>Kitokios būklės, kurių metu stimuliuojama renino, angiotenzino ir aldosterono sistema</w:t>
      </w:r>
    </w:p>
    <w:p w14:paraId="7A1377D0"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Pacientų, kurių kraujagyslių lygiųjų raumenų tonusas ir inkstų funkcija daugiausiai priklauso nuo renino, angiotenzino ir aldosterono sistemos tonuso, pvz., sergančius sunkiu staziniu širdies nepakankamumu arba pagrindine inkstų liga, įskaitant inkstų  arterijos susiaurėjimą, gydymas renino, angiotenzino ir aldosterono sistemą veikiančiais vaistiniais preparatais buvo susijęs su ūmine hipotenzija, hiperazotemija, oligurija, retais atvejais − ūminiu inkstų nepakankamumu (žr. 4.8 skyrių).</w:t>
      </w:r>
    </w:p>
    <w:p w14:paraId="57E84EC9" w14:textId="77777777" w:rsidR="000E5428" w:rsidRPr="009B54A6" w:rsidRDefault="000E5428" w:rsidP="000E5428">
      <w:pPr>
        <w:autoSpaceDE w:val="0"/>
        <w:autoSpaceDN w:val="0"/>
        <w:adjustRightInd w:val="0"/>
        <w:rPr>
          <w:sz w:val="22"/>
          <w:szCs w:val="22"/>
          <w:lang w:eastAsia="lt-LT"/>
        </w:rPr>
      </w:pPr>
    </w:p>
    <w:p w14:paraId="06236857" w14:textId="77777777" w:rsidR="000E5428" w:rsidRPr="009B54A6" w:rsidRDefault="000E5428" w:rsidP="000E5428">
      <w:pPr>
        <w:autoSpaceDE w:val="0"/>
        <w:autoSpaceDN w:val="0"/>
        <w:adjustRightInd w:val="0"/>
        <w:rPr>
          <w:sz w:val="22"/>
          <w:szCs w:val="22"/>
          <w:u w:val="single"/>
          <w:lang w:eastAsia="lt-LT"/>
        </w:rPr>
      </w:pPr>
      <w:r w:rsidRPr="009B54A6">
        <w:rPr>
          <w:sz w:val="22"/>
          <w:szCs w:val="22"/>
          <w:u w:val="single"/>
          <w:lang w:eastAsia="lt-LT"/>
        </w:rPr>
        <w:t>Pirminis aldosteronizmas</w:t>
      </w:r>
    </w:p>
    <w:p w14:paraId="176673A0"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Ligoniams, kuriems yra pirminis hiperaldosteronizmas, renino, angiotenzino ir aldosterono sistemą veikiantys vaistiniai preparatai antihipertenzinio poveikio paprastai nesukelia, todėl Telmisartan/Hydrochlorothiazide Sandoz jų gydyti nerekomenduojama.</w:t>
      </w:r>
    </w:p>
    <w:p w14:paraId="506E866F" w14:textId="77777777" w:rsidR="000E5428" w:rsidRPr="009B54A6" w:rsidRDefault="000E5428" w:rsidP="000E5428">
      <w:pPr>
        <w:autoSpaceDE w:val="0"/>
        <w:autoSpaceDN w:val="0"/>
        <w:adjustRightInd w:val="0"/>
        <w:rPr>
          <w:sz w:val="22"/>
          <w:szCs w:val="22"/>
          <w:lang w:eastAsia="lt-LT"/>
        </w:rPr>
      </w:pPr>
    </w:p>
    <w:p w14:paraId="3B282AD7" w14:textId="77777777" w:rsidR="000E5428" w:rsidRPr="009B54A6" w:rsidRDefault="000E5428" w:rsidP="000E5428">
      <w:pPr>
        <w:autoSpaceDE w:val="0"/>
        <w:autoSpaceDN w:val="0"/>
        <w:adjustRightInd w:val="0"/>
        <w:rPr>
          <w:sz w:val="22"/>
          <w:szCs w:val="22"/>
          <w:u w:val="single"/>
          <w:lang w:eastAsia="lt-LT"/>
        </w:rPr>
      </w:pPr>
      <w:r w:rsidRPr="009B54A6">
        <w:rPr>
          <w:sz w:val="22"/>
          <w:szCs w:val="22"/>
          <w:u w:val="single"/>
          <w:lang w:eastAsia="lt-LT"/>
        </w:rPr>
        <w:t>Aortos ir dviburio vožtuvo stenozė, obstrukcinė hipertrofinė kardiomiopatija</w:t>
      </w:r>
    </w:p>
    <w:p w14:paraId="0F003DC5"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Ligonius, kuriems yra aortos ar dviburio vožtuvo stenozė arba obstrukcinė hipertrofinė kardiomiopatija, šiuo vaistiniu preparatu, kaip ir kitokiais kraujagysles plečiančiais preparatais, reikia gydyti ypatingai atsargiai.</w:t>
      </w:r>
    </w:p>
    <w:p w14:paraId="174E62DF" w14:textId="77777777" w:rsidR="000E5428" w:rsidRPr="009B54A6" w:rsidRDefault="000E5428" w:rsidP="000E5428">
      <w:pPr>
        <w:autoSpaceDE w:val="0"/>
        <w:autoSpaceDN w:val="0"/>
        <w:adjustRightInd w:val="0"/>
        <w:rPr>
          <w:sz w:val="22"/>
          <w:szCs w:val="22"/>
          <w:lang w:eastAsia="lt-LT"/>
        </w:rPr>
      </w:pPr>
    </w:p>
    <w:p w14:paraId="3533B03F"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Poveikis medžiagų apykaitai ir endokrininei sistemai</w:t>
      </w:r>
    </w:p>
    <w:p w14:paraId="1AFD334F" w14:textId="1E480910"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Gydymas tiazidais gali sutrikdyti gliukozės toleravimą, todėl cukriniu diabetu sergantiems pacientams, kurie gydomi insulinu arba kitokiais antidiabetiniais preparatais ir telmisartanu, gali pasireikšti hipoglikemija. Vadinasi, tokiems pacientams reikia matuoti gliukozės kiekį kraujyje, prireikus gali tekti priderinti insulino arba kitokių antidiabetinių preparatų dozę. Gydymo tiazidais metu gali tapti pastebimas latentinis cukrinis diabetas.</w:t>
      </w:r>
    </w:p>
    <w:p w14:paraId="7EA6300B" w14:textId="77777777" w:rsidR="000E5428" w:rsidRPr="009B54A6" w:rsidRDefault="000E5428" w:rsidP="000E5428">
      <w:pPr>
        <w:autoSpaceDE w:val="0"/>
        <w:autoSpaceDN w:val="0"/>
        <w:adjustRightInd w:val="0"/>
        <w:rPr>
          <w:rFonts w:eastAsia="TimesNewRoman"/>
          <w:sz w:val="22"/>
          <w:szCs w:val="22"/>
        </w:rPr>
      </w:pPr>
    </w:p>
    <w:p w14:paraId="488E07BD" w14:textId="77777777" w:rsidR="000E5428" w:rsidRPr="009B54A6" w:rsidRDefault="000E5428" w:rsidP="000E5428">
      <w:pPr>
        <w:autoSpaceDE w:val="0"/>
        <w:autoSpaceDN w:val="0"/>
        <w:adjustRightInd w:val="0"/>
        <w:rPr>
          <w:sz w:val="22"/>
          <w:szCs w:val="22"/>
          <w:lang w:eastAsia="lt-LT"/>
        </w:rPr>
      </w:pPr>
      <w:r w:rsidRPr="009B54A6">
        <w:rPr>
          <w:rFonts w:eastAsia="TimesNewRoman"/>
          <w:sz w:val="22"/>
          <w:szCs w:val="22"/>
        </w:rPr>
        <w:t>Su tiazidinių diuretikų vartojimu siejamas cholesterolio bei trigliceridų kiekio padidėjimas kraujyje, tačiau Telmisartan/Hydrochlorothiazide Sandoz esanti hidrochlorotiazido dozė, t. y. 12,5 mg, tokio poveikio arba visai nesukelia, arba jis būna silpnas. Kai kuriems žmonėms tiazidai gali sukelti hiperurikemiją, skatinti podagros pasireiškimą.</w:t>
      </w:r>
    </w:p>
    <w:p w14:paraId="0BCBAD50" w14:textId="77777777" w:rsidR="000E5428" w:rsidRPr="009B54A6" w:rsidRDefault="000E5428" w:rsidP="000E5428">
      <w:pPr>
        <w:autoSpaceDE w:val="0"/>
        <w:autoSpaceDN w:val="0"/>
        <w:adjustRightInd w:val="0"/>
        <w:rPr>
          <w:sz w:val="22"/>
          <w:szCs w:val="22"/>
          <w:lang w:eastAsia="lt-LT"/>
        </w:rPr>
      </w:pPr>
    </w:p>
    <w:p w14:paraId="1FC48CC3"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Elektrolitų pusiausvyros sutrikimas</w:t>
      </w:r>
    </w:p>
    <w:p w14:paraId="5258DF3E"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Gydant diuretikais, periodiškai (tinkamais intervalais) reikia nustatinėti elektrolitų kiekį kraujo serume.</w:t>
      </w:r>
    </w:p>
    <w:p w14:paraId="36793586" w14:textId="4C905D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Tiazidai, įskaitant hidrochlorotiazidą, gali sukelti skysčių ar elektrolitų pusiausvyros sutrikimą (įskaitant hipokalemiją, hiponatremiją ir hipochloreminę alkalozę). Įspėjamieji skysčių ir elektrolitų pusiausvyros sutrikimo simptomai yra burnos džiūvimas, troškulys, astenija, letargija, mieguistumas, neramumas, raumenų skausmas, mėšlungis arba nuovargis, hipotenzija, oligurija, tachikardija bei skrandžio ir žarnyno veiklos sutrikimas, tokie, kaip pykinimas, vėmimas (žr. 4.8 skyrių).</w:t>
      </w:r>
    </w:p>
    <w:p w14:paraId="63073403" w14:textId="77777777" w:rsidR="000E5428" w:rsidRPr="009B54A6" w:rsidRDefault="000E5428" w:rsidP="000E5428">
      <w:pPr>
        <w:autoSpaceDE w:val="0"/>
        <w:autoSpaceDN w:val="0"/>
        <w:adjustRightInd w:val="0"/>
        <w:ind w:left="567" w:hanging="567"/>
        <w:rPr>
          <w:rFonts w:eastAsia="TimesNewRoman"/>
          <w:sz w:val="22"/>
          <w:szCs w:val="22"/>
        </w:rPr>
      </w:pPr>
    </w:p>
    <w:p w14:paraId="26634B3B" w14:textId="77777777" w:rsidR="000E5428" w:rsidRPr="009B54A6" w:rsidRDefault="000E5428" w:rsidP="000E5428">
      <w:pPr>
        <w:numPr>
          <w:ilvl w:val="0"/>
          <w:numId w:val="25"/>
        </w:numPr>
        <w:autoSpaceDE w:val="0"/>
        <w:autoSpaceDN w:val="0"/>
        <w:adjustRightInd w:val="0"/>
        <w:ind w:left="567" w:hanging="567"/>
        <w:rPr>
          <w:rFonts w:eastAsia="TimesNewRoman"/>
          <w:sz w:val="22"/>
          <w:szCs w:val="22"/>
        </w:rPr>
      </w:pPr>
      <w:r w:rsidRPr="009B54A6">
        <w:rPr>
          <w:rFonts w:eastAsia="TimesNewRoman"/>
          <w:sz w:val="22"/>
          <w:szCs w:val="22"/>
        </w:rPr>
        <w:t>Hipokalemija</w:t>
      </w:r>
    </w:p>
    <w:p w14:paraId="4A49DEBD" w14:textId="595E6FFA" w:rsidR="000E5428" w:rsidRPr="009B54A6" w:rsidRDefault="000E5428" w:rsidP="000E5428">
      <w:pPr>
        <w:autoSpaceDE w:val="0"/>
        <w:autoSpaceDN w:val="0"/>
        <w:adjustRightInd w:val="0"/>
        <w:ind w:left="567"/>
        <w:rPr>
          <w:rFonts w:eastAsia="TimesNewRoman"/>
          <w:sz w:val="22"/>
          <w:szCs w:val="22"/>
        </w:rPr>
      </w:pPr>
      <w:r w:rsidRPr="009B54A6">
        <w:rPr>
          <w:rFonts w:eastAsia="TimesNewRoman"/>
          <w:sz w:val="22"/>
          <w:szCs w:val="22"/>
        </w:rPr>
        <w:t>Vartojant tiazidinių diuretikų, galima hipokalemija. Jos pasireiškimo galimybę gali mažinti kartu vartojamas telmisartanas. Hipokalemijos rizika yra didesnė pacientams, kuriems yra kepenų cirozė, sustiprėjusi diurezė, kurie per mažai vartoja elektrolitų, vartoja kortikosteroidų ar adrenokortikotropinio hormono (AKTH) (žr. 4.5 skyrių).</w:t>
      </w:r>
    </w:p>
    <w:p w14:paraId="0EF2DD5E" w14:textId="77777777" w:rsidR="000E5428" w:rsidRPr="009B54A6" w:rsidRDefault="000E5428" w:rsidP="000E5428">
      <w:pPr>
        <w:autoSpaceDE w:val="0"/>
        <w:autoSpaceDN w:val="0"/>
        <w:adjustRightInd w:val="0"/>
        <w:ind w:left="567" w:hanging="567"/>
        <w:rPr>
          <w:rFonts w:eastAsia="TimesNewRoman"/>
          <w:sz w:val="22"/>
          <w:szCs w:val="22"/>
        </w:rPr>
      </w:pPr>
    </w:p>
    <w:p w14:paraId="1623176C" w14:textId="77777777" w:rsidR="000E5428" w:rsidRPr="009B54A6" w:rsidRDefault="000E5428" w:rsidP="000E5428">
      <w:pPr>
        <w:numPr>
          <w:ilvl w:val="0"/>
          <w:numId w:val="25"/>
        </w:numPr>
        <w:autoSpaceDE w:val="0"/>
        <w:autoSpaceDN w:val="0"/>
        <w:adjustRightInd w:val="0"/>
        <w:ind w:left="567" w:hanging="567"/>
        <w:rPr>
          <w:sz w:val="22"/>
          <w:szCs w:val="22"/>
          <w:lang w:eastAsia="lt-LT"/>
        </w:rPr>
      </w:pPr>
      <w:r w:rsidRPr="009B54A6">
        <w:rPr>
          <w:rFonts w:eastAsia="TimesNewRoman"/>
          <w:sz w:val="22"/>
          <w:szCs w:val="22"/>
        </w:rPr>
        <w:t>Hiperkalemija</w:t>
      </w:r>
    </w:p>
    <w:p w14:paraId="5B464D85" w14:textId="77777777" w:rsidR="000E5428" w:rsidRPr="009B54A6" w:rsidRDefault="000E5428" w:rsidP="000E5428">
      <w:pPr>
        <w:autoSpaceDE w:val="0"/>
        <w:autoSpaceDN w:val="0"/>
        <w:adjustRightInd w:val="0"/>
        <w:ind w:left="567"/>
        <w:rPr>
          <w:rFonts w:eastAsia="TimesNewRoman"/>
          <w:sz w:val="22"/>
          <w:szCs w:val="22"/>
        </w:rPr>
      </w:pPr>
      <w:r w:rsidRPr="009B54A6">
        <w:rPr>
          <w:rFonts w:eastAsia="TimesNewRoman"/>
          <w:sz w:val="22"/>
          <w:szCs w:val="22"/>
        </w:rPr>
        <w:t>Priešingai, Telmisartan/Hydrochlorothiazide Sandoz esantis angiotenzinui II jautrius receptorius (AT1) blokuojantis telmisartanas gali sukelti hiperkalemiją. Nors gydymo telmisartanu metu klinikai reikšmingos hiperkalemijos atvejų nebuvo, tačiau jos pasireiškimą skatina šie veiksniai: cukrinis diabetas, inkstų ir (arba) širdies nepakankamumas. Kalį organizme sulaikančių diuretikų, kalio preparatų, druskos pakaitalų, kuriuose yra kalio, kartu su Telmisartan/Hydrochlorothiazide Sandoz reikia vartoti atsargiai (žr. 4.5 skyrių).</w:t>
      </w:r>
    </w:p>
    <w:p w14:paraId="3318C581" w14:textId="77777777" w:rsidR="000E5428" w:rsidRPr="009B54A6" w:rsidRDefault="000E5428" w:rsidP="000E5428">
      <w:pPr>
        <w:autoSpaceDE w:val="0"/>
        <w:autoSpaceDN w:val="0"/>
        <w:adjustRightInd w:val="0"/>
        <w:ind w:left="567" w:hanging="567"/>
        <w:rPr>
          <w:rFonts w:eastAsia="TimesNewRoman"/>
          <w:sz w:val="22"/>
          <w:szCs w:val="22"/>
        </w:rPr>
      </w:pPr>
    </w:p>
    <w:p w14:paraId="585DA5B3" w14:textId="77777777" w:rsidR="000E5428" w:rsidRPr="009B54A6" w:rsidRDefault="000E5428" w:rsidP="000E5428">
      <w:pPr>
        <w:numPr>
          <w:ilvl w:val="0"/>
          <w:numId w:val="25"/>
        </w:numPr>
        <w:autoSpaceDE w:val="0"/>
        <w:autoSpaceDN w:val="0"/>
        <w:adjustRightInd w:val="0"/>
        <w:ind w:left="567" w:hanging="567"/>
        <w:rPr>
          <w:rFonts w:eastAsia="TimesNewRoman"/>
          <w:sz w:val="22"/>
          <w:szCs w:val="22"/>
        </w:rPr>
      </w:pPr>
      <w:r w:rsidRPr="009B54A6">
        <w:rPr>
          <w:rFonts w:eastAsia="TimesNewRoman"/>
          <w:sz w:val="22"/>
          <w:szCs w:val="22"/>
        </w:rPr>
        <w:t>Hiponatremija, hipochloreminė alkalozė</w:t>
      </w:r>
    </w:p>
    <w:p w14:paraId="1BAABAF1" w14:textId="77777777" w:rsidR="000E5428" w:rsidRPr="009B54A6" w:rsidRDefault="000E5428" w:rsidP="000E5428">
      <w:pPr>
        <w:autoSpaceDE w:val="0"/>
        <w:autoSpaceDN w:val="0"/>
        <w:adjustRightInd w:val="0"/>
        <w:ind w:left="567"/>
        <w:rPr>
          <w:sz w:val="22"/>
          <w:szCs w:val="22"/>
          <w:lang w:eastAsia="lt-LT"/>
        </w:rPr>
      </w:pPr>
      <w:r w:rsidRPr="009B54A6">
        <w:rPr>
          <w:rFonts w:eastAsia="TimesNewRoman"/>
          <w:sz w:val="22"/>
          <w:szCs w:val="22"/>
        </w:rPr>
        <w:lastRenderedPageBreak/>
        <w:t>Kad Telmisartan/Hydrochlorothiazide Sandoz neleistų pasireikšti diuretikų sukeliamai hiponatremijai arba kad ją mažintų, nepastebėta. Atsirandantis chlorido trūkumas kraujyje paprastai būna mažas, jo šalinti dažniausiai nereikia.</w:t>
      </w:r>
    </w:p>
    <w:p w14:paraId="7FD26D23" w14:textId="77777777" w:rsidR="000E5428" w:rsidRPr="009B54A6" w:rsidRDefault="000E5428" w:rsidP="000E5428">
      <w:pPr>
        <w:autoSpaceDE w:val="0"/>
        <w:autoSpaceDN w:val="0"/>
        <w:adjustRightInd w:val="0"/>
        <w:ind w:left="567" w:hanging="567"/>
        <w:rPr>
          <w:sz w:val="22"/>
          <w:szCs w:val="22"/>
          <w:lang w:eastAsia="lt-LT"/>
        </w:rPr>
      </w:pPr>
    </w:p>
    <w:p w14:paraId="46B1E3C1" w14:textId="77777777" w:rsidR="000E5428" w:rsidRPr="009B54A6" w:rsidRDefault="000E5428" w:rsidP="000E5428">
      <w:pPr>
        <w:numPr>
          <w:ilvl w:val="0"/>
          <w:numId w:val="25"/>
        </w:numPr>
        <w:autoSpaceDE w:val="0"/>
        <w:autoSpaceDN w:val="0"/>
        <w:adjustRightInd w:val="0"/>
        <w:ind w:left="567" w:hanging="567"/>
        <w:rPr>
          <w:rFonts w:eastAsia="TimesNewRoman"/>
          <w:sz w:val="22"/>
          <w:szCs w:val="22"/>
        </w:rPr>
      </w:pPr>
      <w:r w:rsidRPr="009B54A6">
        <w:rPr>
          <w:rFonts w:eastAsia="TimesNewRoman"/>
          <w:sz w:val="22"/>
          <w:szCs w:val="22"/>
        </w:rPr>
        <w:t>Hiperkalcemija</w:t>
      </w:r>
    </w:p>
    <w:p w14:paraId="317B4FB0" w14:textId="295F70D1" w:rsidR="000E5428" w:rsidRPr="009B54A6" w:rsidRDefault="000E5428" w:rsidP="000E5428">
      <w:pPr>
        <w:autoSpaceDE w:val="0"/>
        <w:autoSpaceDN w:val="0"/>
        <w:adjustRightInd w:val="0"/>
        <w:ind w:left="567"/>
        <w:rPr>
          <w:rFonts w:eastAsia="TimesNewRoman"/>
          <w:sz w:val="22"/>
          <w:szCs w:val="22"/>
        </w:rPr>
      </w:pPr>
      <w:r w:rsidRPr="009B54A6">
        <w:rPr>
          <w:rFonts w:eastAsia="TimesNewRoman"/>
          <w:sz w:val="22"/>
          <w:szCs w:val="22"/>
        </w:rPr>
        <w:t>Tiazidai gali mažinti kalcio išsiskyrimą su šlapimu, todėl jo kiekis kraujo serume protarpiais gali šiek tiek arba vidutiniškai padidėti net tuo atveju, kai apykaita nesutrikusi. Ženkli hiperkalcemija gali būti slaptojo hiperparatiroidizmo požymis. Prieš prieskydinės liaukos funkc</w:t>
      </w:r>
      <w:r w:rsidR="00773D8F">
        <w:rPr>
          <w:rFonts w:eastAsia="TimesNewRoman"/>
          <w:sz w:val="22"/>
          <w:szCs w:val="22"/>
        </w:rPr>
        <w:t>i</w:t>
      </w:r>
      <w:r w:rsidRPr="009B54A6">
        <w:rPr>
          <w:rFonts w:eastAsia="TimesNewRoman"/>
          <w:sz w:val="22"/>
          <w:szCs w:val="22"/>
        </w:rPr>
        <w:t>jos tyrimą tiazidų vartojimą reikia nutraukti.</w:t>
      </w:r>
    </w:p>
    <w:p w14:paraId="62ACCDFB" w14:textId="77777777" w:rsidR="000E5428" w:rsidRPr="009B54A6" w:rsidRDefault="000E5428" w:rsidP="000E5428">
      <w:pPr>
        <w:autoSpaceDE w:val="0"/>
        <w:autoSpaceDN w:val="0"/>
        <w:adjustRightInd w:val="0"/>
        <w:ind w:left="567"/>
        <w:rPr>
          <w:rFonts w:eastAsia="TimesNewRoman"/>
          <w:sz w:val="22"/>
          <w:szCs w:val="22"/>
        </w:rPr>
      </w:pPr>
    </w:p>
    <w:p w14:paraId="1A66F51F" w14:textId="77777777" w:rsidR="000E5428" w:rsidRPr="009B54A6" w:rsidRDefault="000E5428" w:rsidP="000E5428">
      <w:pPr>
        <w:numPr>
          <w:ilvl w:val="0"/>
          <w:numId w:val="25"/>
        </w:numPr>
        <w:autoSpaceDE w:val="0"/>
        <w:autoSpaceDN w:val="0"/>
        <w:adjustRightInd w:val="0"/>
        <w:ind w:left="567" w:hanging="567"/>
        <w:rPr>
          <w:rFonts w:eastAsia="TimesNewRoman"/>
          <w:sz w:val="22"/>
          <w:szCs w:val="22"/>
        </w:rPr>
      </w:pPr>
      <w:r w:rsidRPr="009B54A6">
        <w:rPr>
          <w:rFonts w:eastAsia="TimesNewRoman"/>
          <w:sz w:val="22"/>
          <w:szCs w:val="22"/>
        </w:rPr>
        <w:t>Hipomagnezemija</w:t>
      </w:r>
    </w:p>
    <w:p w14:paraId="7AD65F0E" w14:textId="77777777" w:rsidR="000E5428" w:rsidRPr="009B54A6" w:rsidRDefault="000E5428" w:rsidP="000E5428">
      <w:pPr>
        <w:autoSpaceDE w:val="0"/>
        <w:autoSpaceDN w:val="0"/>
        <w:adjustRightInd w:val="0"/>
        <w:ind w:left="567"/>
        <w:rPr>
          <w:rFonts w:eastAsia="TimesNewRoman"/>
          <w:sz w:val="22"/>
          <w:szCs w:val="22"/>
        </w:rPr>
      </w:pPr>
      <w:r w:rsidRPr="009B54A6">
        <w:rPr>
          <w:rFonts w:eastAsia="TimesNewRoman"/>
          <w:sz w:val="22"/>
          <w:szCs w:val="22"/>
        </w:rPr>
        <w:t>Tiazidai didina magnio išsiskyrimą su šlapimu, todėl gali sukelti hipomagnezemiją (žr. 4.5 skyrių).</w:t>
      </w:r>
    </w:p>
    <w:p w14:paraId="0D099027" w14:textId="77777777" w:rsidR="000E5428" w:rsidRPr="009B54A6" w:rsidRDefault="000E5428" w:rsidP="000E5428">
      <w:pPr>
        <w:autoSpaceDE w:val="0"/>
        <w:autoSpaceDN w:val="0"/>
        <w:adjustRightInd w:val="0"/>
        <w:rPr>
          <w:rFonts w:eastAsia="TimesNewRoman"/>
          <w:sz w:val="22"/>
          <w:szCs w:val="22"/>
        </w:rPr>
      </w:pPr>
    </w:p>
    <w:p w14:paraId="42EBE995" w14:textId="77777777" w:rsidR="000E5428" w:rsidRPr="009B54A6" w:rsidRDefault="000E5428" w:rsidP="000E5428">
      <w:pPr>
        <w:autoSpaceDE w:val="0"/>
        <w:autoSpaceDN w:val="0"/>
        <w:adjustRightInd w:val="0"/>
        <w:rPr>
          <w:sz w:val="22"/>
          <w:szCs w:val="22"/>
          <w:u w:val="single"/>
          <w:lang w:eastAsia="lt-LT"/>
        </w:rPr>
      </w:pPr>
      <w:r w:rsidRPr="009B54A6">
        <w:rPr>
          <w:rFonts w:eastAsia="TimesNewRoman"/>
          <w:sz w:val="22"/>
          <w:szCs w:val="22"/>
          <w:u w:val="single"/>
        </w:rPr>
        <w:t>Laktozė</w:t>
      </w:r>
    </w:p>
    <w:p w14:paraId="6F6CC28E"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 xml:space="preserve">Šio vaistinio preparato sudėtyje yra laktozės. Pacientams, kuriems yra retas paveldimas galaktozės netoleravimas, </w:t>
      </w:r>
      <w:r w:rsidRPr="009B54A6">
        <w:rPr>
          <w:i/>
          <w:sz w:val="22"/>
          <w:szCs w:val="22"/>
          <w:lang w:eastAsia="lt-LT"/>
        </w:rPr>
        <w:t>Lapp</w:t>
      </w:r>
      <w:r w:rsidRPr="009B54A6">
        <w:rPr>
          <w:sz w:val="22"/>
          <w:szCs w:val="22"/>
          <w:lang w:eastAsia="lt-LT"/>
        </w:rPr>
        <w:t xml:space="preserve"> laktazės stygius, ar gliukozės ir galaktozės malabsorbcija, šio vaistinio preparato vartoti negalima.</w:t>
      </w:r>
    </w:p>
    <w:p w14:paraId="3A70C217" w14:textId="77777777" w:rsidR="000E5428" w:rsidRPr="009B54A6" w:rsidRDefault="000E5428" w:rsidP="000E5428">
      <w:pPr>
        <w:autoSpaceDE w:val="0"/>
        <w:autoSpaceDN w:val="0"/>
        <w:adjustRightInd w:val="0"/>
        <w:rPr>
          <w:sz w:val="22"/>
          <w:szCs w:val="22"/>
          <w:lang w:eastAsia="lt-LT"/>
        </w:rPr>
      </w:pPr>
    </w:p>
    <w:p w14:paraId="12D2B39E" w14:textId="77777777" w:rsidR="000E5428" w:rsidRPr="009B54A6" w:rsidRDefault="000E5428" w:rsidP="000E5428">
      <w:pPr>
        <w:autoSpaceDE w:val="0"/>
        <w:autoSpaceDN w:val="0"/>
        <w:adjustRightInd w:val="0"/>
        <w:rPr>
          <w:sz w:val="22"/>
          <w:szCs w:val="22"/>
          <w:u w:val="single"/>
          <w:lang w:eastAsia="lt-LT"/>
        </w:rPr>
      </w:pPr>
      <w:r w:rsidRPr="009B54A6">
        <w:rPr>
          <w:sz w:val="22"/>
          <w:szCs w:val="22"/>
          <w:u w:val="single"/>
          <w:lang w:eastAsia="lt-LT"/>
        </w:rPr>
        <w:t>Etniniai skirtumai</w:t>
      </w:r>
    </w:p>
    <w:p w14:paraId="38415DE9"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Remiantis angiotenziną konvertuojančių fermentų inhibitorių tyrimų rezultatais, galima daryti išvadą, kad telmisartanas, kaip ir kitokie angiotenzino II receptorių blokatoriai, juodaodžiams kraujospūdį mažina silpniau negu nejuodaodžiams galbūt todėl, kad hipertenzija sergančių juodaodžių kraujyje renino koncentracija dažniau būna maža.</w:t>
      </w:r>
    </w:p>
    <w:p w14:paraId="3EBC7F3F" w14:textId="77777777" w:rsidR="000E5428" w:rsidRPr="009B54A6" w:rsidRDefault="000E5428" w:rsidP="000E5428">
      <w:pPr>
        <w:tabs>
          <w:tab w:val="left" w:pos="567"/>
        </w:tabs>
        <w:jc w:val="both"/>
        <w:rPr>
          <w:sz w:val="22"/>
          <w:szCs w:val="22"/>
          <w:lang w:eastAsia="lt-LT"/>
        </w:rPr>
      </w:pPr>
    </w:p>
    <w:p w14:paraId="606A784A" w14:textId="77777777" w:rsidR="000E5428" w:rsidRPr="009B54A6" w:rsidRDefault="000E5428" w:rsidP="000E5428">
      <w:pPr>
        <w:autoSpaceDE w:val="0"/>
        <w:autoSpaceDN w:val="0"/>
        <w:adjustRightInd w:val="0"/>
        <w:rPr>
          <w:sz w:val="22"/>
          <w:szCs w:val="22"/>
          <w:u w:val="single"/>
          <w:lang w:eastAsia="lt-LT"/>
        </w:rPr>
      </w:pPr>
      <w:r w:rsidRPr="009B54A6">
        <w:rPr>
          <w:sz w:val="22"/>
          <w:szCs w:val="22"/>
          <w:u w:val="single"/>
          <w:lang w:eastAsia="lt-LT"/>
        </w:rPr>
        <w:t>Kiti veiksniai</w:t>
      </w:r>
    </w:p>
    <w:p w14:paraId="6F959801"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Jeigu telmisartanu, kaip ir kitokiais antihipertenziniais preparatais, gydomiems ligoniams, sergantiems išemine kardiopatija arba išemine širdies liga, labai sumažėja kraujospūdis, juos gali ištikti miokardo infarktas arba smegenų insultas.</w:t>
      </w:r>
    </w:p>
    <w:p w14:paraId="58F5587F" w14:textId="77777777" w:rsidR="000E5428" w:rsidRPr="009B54A6" w:rsidRDefault="000E5428" w:rsidP="000E5428">
      <w:pPr>
        <w:autoSpaceDE w:val="0"/>
        <w:autoSpaceDN w:val="0"/>
        <w:adjustRightInd w:val="0"/>
        <w:rPr>
          <w:sz w:val="22"/>
          <w:szCs w:val="22"/>
          <w:lang w:eastAsia="lt-LT"/>
        </w:rPr>
      </w:pPr>
    </w:p>
    <w:p w14:paraId="5750DCF9"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Visas organizmas</w:t>
      </w:r>
    </w:p>
    <w:p w14:paraId="543A1851"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Vartojant hidrochlorotiazido, galimos padidėjusio organizmo jautrumo reakcijos. Jos gali prasidėti ir tiems pacientams, kuriems jautrumo padidėjimas ar bronchinė astma buvo pasireiškusi anksčiau, ir tiems, kuriems minėtų būklių nėra buvę, tačiau pirmesnės grupės ligoniams ji labiau tikėtina.</w:t>
      </w:r>
    </w:p>
    <w:p w14:paraId="53C3CFCA"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Tiazidiniais diuretikais, įskaitant hidrochlorotiazidą, gydomiems ligoniams buvo sisteminės raudonosios vilkligės suaktyvėjimo ir pasunkėjimo atvejų.</w:t>
      </w:r>
    </w:p>
    <w:p w14:paraId="1A075599"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Tiazidinių diuretikų vartojantiems pacientams buvo padidėjusio jautrumo šviesai reakcijų atvejų (žr. 4.8 skyrių). Jeigu padidėjusio jautrumo šviesai reakcija pasireiškia gydymo metu, gydymą rekomenduojama nutraukti. Manant, kad gydymą diuretikais atnaujinti būtina, pacientui reikia rekomenduoti apsaugoti saulės ar dirbtinių ultravioletinių spindulių veikiamas vietas.</w:t>
      </w:r>
    </w:p>
    <w:p w14:paraId="266B8090" w14:textId="77777777" w:rsidR="000E5428" w:rsidRPr="009B54A6" w:rsidRDefault="000E5428" w:rsidP="000E5428">
      <w:pPr>
        <w:autoSpaceDE w:val="0"/>
        <w:autoSpaceDN w:val="0"/>
        <w:adjustRightInd w:val="0"/>
        <w:rPr>
          <w:rFonts w:eastAsia="TimesNewRoman"/>
          <w:sz w:val="22"/>
          <w:szCs w:val="22"/>
        </w:rPr>
      </w:pPr>
    </w:p>
    <w:p w14:paraId="052FCDB6"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Ūminė trumparegystė ir ūminė uždaro kampo glaukoma</w:t>
      </w:r>
    </w:p>
    <w:p w14:paraId="15F377D7" w14:textId="77777777" w:rsidR="000E5428" w:rsidRPr="009B54A6" w:rsidRDefault="000E5428" w:rsidP="000E5428">
      <w:pPr>
        <w:autoSpaceDE w:val="0"/>
        <w:autoSpaceDN w:val="0"/>
        <w:adjustRightInd w:val="0"/>
        <w:rPr>
          <w:sz w:val="22"/>
          <w:szCs w:val="22"/>
          <w:lang w:eastAsia="lt-LT"/>
        </w:rPr>
      </w:pPr>
      <w:r w:rsidRPr="009B54A6">
        <w:rPr>
          <w:rFonts w:eastAsia="TimesNewRoman"/>
          <w:sz w:val="22"/>
          <w:szCs w:val="22"/>
        </w:rPr>
        <w:t>Sulfamidas hidrochlorotiazidas gali sukelti idiosinkrazijos reakciją, lemiančią ūminę trumpalaikę trumparegystę ir ūminę uždaro kampo glaukomą. Simptomai − staigus regos aštrumo sumažėjimas arba akių skausmas, paprastai atsirandantys per kelias valandas arba savaites nuo gydymo pradžios. Negydoma ūminė uždaro kampo glaukoma gali lemti apakimą visam laikui. Svarbiausias gydymas − kuo greičiau nutraukti hidrochlorotiazido vartojimą. Jeigu akispūdis išlieka nekontroliuojamas, gali reikėti apsvarstyti skubų medikamentinį arba chirurginį gydymą. Rizikos veiksniai ūminei uždaro kampo glaukomai pasireikšti gali būti anksčiau pasireiškusi alergija sulfamidui arba penicilinui.</w:t>
      </w:r>
    </w:p>
    <w:p w14:paraId="384939D7" w14:textId="77777777" w:rsidR="000E5428" w:rsidRPr="009B54A6" w:rsidRDefault="000E5428" w:rsidP="000E5428">
      <w:pPr>
        <w:autoSpaceDE w:val="0"/>
        <w:autoSpaceDN w:val="0"/>
        <w:adjustRightInd w:val="0"/>
        <w:rPr>
          <w:sz w:val="22"/>
          <w:szCs w:val="22"/>
          <w:lang w:eastAsia="lt-LT"/>
        </w:rPr>
      </w:pPr>
    </w:p>
    <w:p w14:paraId="6C3CB290" w14:textId="77777777" w:rsidR="000E5428" w:rsidRPr="009B54A6" w:rsidRDefault="000E5428" w:rsidP="000E5428">
      <w:pPr>
        <w:tabs>
          <w:tab w:val="left" w:pos="567"/>
        </w:tabs>
        <w:jc w:val="both"/>
        <w:rPr>
          <w:b/>
          <w:bCs/>
          <w:sz w:val="22"/>
          <w:szCs w:val="22"/>
        </w:rPr>
      </w:pPr>
      <w:r w:rsidRPr="009B54A6">
        <w:rPr>
          <w:b/>
          <w:bCs/>
          <w:sz w:val="22"/>
          <w:szCs w:val="22"/>
        </w:rPr>
        <w:t>4.5</w:t>
      </w:r>
      <w:r w:rsidRPr="009B54A6">
        <w:rPr>
          <w:b/>
          <w:bCs/>
          <w:sz w:val="22"/>
          <w:szCs w:val="22"/>
        </w:rPr>
        <w:tab/>
        <w:t>Sąveika su kitais vaistiniais preparatais ir kitokia sąveika</w:t>
      </w:r>
    </w:p>
    <w:p w14:paraId="6F9B26C3" w14:textId="77777777" w:rsidR="000E5428" w:rsidRPr="009B54A6" w:rsidRDefault="000E5428" w:rsidP="000E5428">
      <w:pPr>
        <w:tabs>
          <w:tab w:val="left" w:pos="567"/>
        </w:tabs>
        <w:jc w:val="both"/>
        <w:rPr>
          <w:b/>
          <w:bCs/>
          <w:sz w:val="22"/>
          <w:szCs w:val="22"/>
        </w:rPr>
      </w:pPr>
    </w:p>
    <w:p w14:paraId="666DCEC9"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Litis</w:t>
      </w:r>
    </w:p>
    <w:p w14:paraId="1DA2EACF" w14:textId="77777777" w:rsidR="000E5428" w:rsidRPr="009B54A6" w:rsidRDefault="000E5428" w:rsidP="000E5428">
      <w:pPr>
        <w:autoSpaceDE w:val="0"/>
        <w:autoSpaceDN w:val="0"/>
        <w:adjustRightInd w:val="0"/>
        <w:rPr>
          <w:rFonts w:eastAsia="TimesNewRoman"/>
          <w:sz w:val="22"/>
          <w:szCs w:val="22"/>
        </w:rPr>
      </w:pPr>
      <w:r w:rsidRPr="009B54A6">
        <w:rPr>
          <w:sz w:val="22"/>
          <w:szCs w:val="22"/>
          <w:lang w:eastAsia="lt-LT"/>
        </w:rPr>
        <w:t xml:space="preserve">Pranešta apie laikiną ličio koncentracijos kraujo serume padidėjimą ir toksinio poveikio sustiprėjimą tuo atveju, kai kartu su juo buvo vartota AKF inhibitorių. </w:t>
      </w:r>
      <w:r w:rsidRPr="009B54A6">
        <w:rPr>
          <w:rFonts w:eastAsia="TimesNewRoman"/>
          <w:sz w:val="22"/>
          <w:szCs w:val="22"/>
        </w:rPr>
        <w:t>Retais atvejais ličio sąveika galima ir su angiotenzinui II jautrių receptorių blokatoriais (</w:t>
      </w:r>
      <w:r w:rsidRPr="009B54A6">
        <w:rPr>
          <w:sz w:val="22"/>
          <w:szCs w:val="22"/>
          <w:lang w:eastAsia="lt-LT"/>
        </w:rPr>
        <w:t>įskaitant vaistinius preparatus, kurių sudėtyje yra telmisartano ir hidrochlorotiazido)</w:t>
      </w:r>
      <w:r w:rsidRPr="009B54A6">
        <w:rPr>
          <w:rFonts w:eastAsia="TimesNewRoman"/>
          <w:sz w:val="22"/>
          <w:szCs w:val="22"/>
        </w:rPr>
        <w:t xml:space="preserve">. Ličio kartu su Telmisartan/Hydrochlorothiazide Sandoz vartoti </w:t>
      </w:r>
      <w:r w:rsidRPr="009B54A6">
        <w:rPr>
          <w:rFonts w:eastAsia="TimesNewRoman"/>
          <w:sz w:val="22"/>
          <w:szCs w:val="22"/>
        </w:rPr>
        <w:lastRenderedPageBreak/>
        <w:t>nerekomenduojama (žr. 4.4 skyrių). Jeigu taip gydyti būtina, reikia atidžiai sekti ličio kiekį kraujo serume.</w:t>
      </w:r>
    </w:p>
    <w:p w14:paraId="0E16CF5C" w14:textId="77777777" w:rsidR="000E5428" w:rsidRPr="009B54A6" w:rsidRDefault="000E5428" w:rsidP="000E5428">
      <w:pPr>
        <w:autoSpaceDE w:val="0"/>
        <w:autoSpaceDN w:val="0"/>
        <w:adjustRightInd w:val="0"/>
        <w:rPr>
          <w:rFonts w:eastAsia="TimesNewRoman"/>
          <w:sz w:val="22"/>
          <w:szCs w:val="22"/>
        </w:rPr>
      </w:pPr>
    </w:p>
    <w:p w14:paraId="1C1DACD4"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u w:val="single"/>
        </w:rPr>
        <w:t>Vaistiniai preparatai, galintys padidinti kalio išskyrimą iš organizmo arba sukelti hipokalemiją</w:t>
      </w:r>
      <w:r w:rsidRPr="009B54A6">
        <w:rPr>
          <w:rFonts w:eastAsia="TimesNewRoman"/>
          <w:sz w:val="22"/>
          <w:szCs w:val="22"/>
        </w:rPr>
        <w:t xml:space="preserve"> (pvz., kitokie kalį iš organizmo išskiriantys diuretikai, vidurių laisvinamieji preparatai, kortikosteroidai, adrenokortikotropinis hormonas, amfotericinas, karbenoksolonas, penicilino G natrio druska, salicilo rūgštis ir jos dariniai).</w:t>
      </w:r>
    </w:p>
    <w:p w14:paraId="397C0188" w14:textId="77777777" w:rsidR="000E5428" w:rsidRPr="009B54A6" w:rsidRDefault="000E5428" w:rsidP="000E5428">
      <w:pPr>
        <w:autoSpaceDE w:val="0"/>
        <w:autoSpaceDN w:val="0"/>
        <w:adjustRightInd w:val="0"/>
        <w:rPr>
          <w:b/>
          <w:bCs/>
          <w:sz w:val="22"/>
          <w:szCs w:val="22"/>
        </w:rPr>
      </w:pPr>
      <w:r w:rsidRPr="009B54A6">
        <w:rPr>
          <w:rFonts w:eastAsia="TimesNewRoman"/>
          <w:sz w:val="22"/>
          <w:szCs w:val="22"/>
        </w:rPr>
        <w:t>Gydant minėtomis medžiagomis ir Telmisartan/Hydrochlorothiazide Sandoz, patariama sekti kalio kiekį kraujo serume. Minėti vaistiniai preparatai gali stiprinti hidrochlorotiazido sukeliamą kalio kiekio mažėjimą kraujo serume (žr. 4.4 skyrių).</w:t>
      </w:r>
    </w:p>
    <w:p w14:paraId="655380F1" w14:textId="77777777" w:rsidR="000E5428" w:rsidRPr="009B54A6" w:rsidRDefault="000E5428" w:rsidP="000E5428">
      <w:pPr>
        <w:tabs>
          <w:tab w:val="left" w:pos="567"/>
        </w:tabs>
        <w:jc w:val="both"/>
        <w:rPr>
          <w:b/>
          <w:bCs/>
          <w:sz w:val="22"/>
          <w:szCs w:val="22"/>
        </w:rPr>
      </w:pPr>
    </w:p>
    <w:p w14:paraId="4F8682C7"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u w:val="single"/>
        </w:rPr>
        <w:t>Vaistiniai preparatai, galintys padidinti kalio kiekį kraujyje arba sukelti hiperkalemiją</w:t>
      </w:r>
      <w:r w:rsidRPr="009B54A6">
        <w:rPr>
          <w:rFonts w:eastAsia="TimesNewRoman"/>
          <w:sz w:val="22"/>
          <w:szCs w:val="22"/>
        </w:rPr>
        <w:t xml:space="preserve"> (pvz., AKF inhibitoriai, kalį organizme sulaikantys diuretikai, kalio preparatai, druskos pakaitalai, kuriuose yra kalio, ciklosporinas bei kiti vaistai, pvz., heparino natrio druska).</w:t>
      </w:r>
    </w:p>
    <w:p w14:paraId="7653F557"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Minėtais vaistiniais preparatais gydant kartu su telmisartano/hidrochlorotiazido deriniu, patariama sekti kalio kiekį kraujo plazmoje. Gydymo kitais renino ir angiotenzino sistemą slopinančiais vaistiniais preparatais patirtis rodo, jog vartojant jų kartu su minėtais kalio kiekį kraujyje didinančiais preparatais gali padidėti kalio kiekis kraujo serume, todėl taip gydyti nerekomenduojama (žr. 4.4 skyrių).</w:t>
      </w:r>
    </w:p>
    <w:p w14:paraId="0DF7FDC6" w14:textId="77777777" w:rsidR="000E5428" w:rsidRPr="009B54A6" w:rsidRDefault="000E5428" w:rsidP="000E5428">
      <w:pPr>
        <w:autoSpaceDE w:val="0"/>
        <w:autoSpaceDN w:val="0"/>
        <w:adjustRightInd w:val="0"/>
        <w:rPr>
          <w:rFonts w:eastAsia="TimesNewRoman"/>
          <w:sz w:val="22"/>
          <w:szCs w:val="22"/>
        </w:rPr>
      </w:pPr>
    </w:p>
    <w:p w14:paraId="7DCF4F72"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Vaistiniai preparatai, kurių poveikis gali kisti dėl kalio kiekio pokyčio kraujo serume</w:t>
      </w:r>
    </w:p>
    <w:p w14:paraId="1527C34D"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Kartu su Telmisartan/Hydrochlorothiazide Sandoz vartojant vaistinių preparatų, kurių poveikis gali kisti dėl kalio kiekio pokyčio kraujo serume (pvz., rusmenės glikozidų, vaistinių preparatų nuo širdies aritmijos) arba kurie (įskaitant ir kai kuriuos vaistinius preparatus nuo širdies aritmijos) gali sukelti polimorfinę skilvelių paroksizminę tachikardiją (hipokalemija jos pasireiškimą skatina), rekomenduojama periodiškai nustatinėti kalio kiekį kraujo serume ir sekti EKG. Minėtiems vaistiniams preparatams priklauso šios grupės:</w:t>
      </w:r>
    </w:p>
    <w:p w14:paraId="317C1041" w14:textId="77777777" w:rsidR="000E5428" w:rsidRPr="009B54A6" w:rsidRDefault="000E5428" w:rsidP="000E5428">
      <w:pPr>
        <w:numPr>
          <w:ilvl w:val="0"/>
          <w:numId w:val="25"/>
        </w:numPr>
        <w:autoSpaceDE w:val="0"/>
        <w:autoSpaceDN w:val="0"/>
        <w:adjustRightInd w:val="0"/>
        <w:ind w:left="0" w:firstLine="0"/>
        <w:rPr>
          <w:rFonts w:eastAsia="TimesNewRoman"/>
          <w:sz w:val="22"/>
          <w:szCs w:val="22"/>
        </w:rPr>
      </w:pPr>
      <w:r w:rsidRPr="009B54A6">
        <w:rPr>
          <w:rFonts w:eastAsia="TimesNewRoman"/>
          <w:sz w:val="22"/>
          <w:szCs w:val="22"/>
        </w:rPr>
        <w:t>I klasės antiaritminiai preparatai (pvz., chinidinas, hidrochinidinas, disopiramidas);</w:t>
      </w:r>
    </w:p>
    <w:p w14:paraId="7F8858B0" w14:textId="77777777" w:rsidR="000E5428" w:rsidRPr="009B54A6" w:rsidRDefault="000E5428" w:rsidP="000E5428">
      <w:pPr>
        <w:numPr>
          <w:ilvl w:val="0"/>
          <w:numId w:val="25"/>
        </w:numPr>
        <w:autoSpaceDE w:val="0"/>
        <w:autoSpaceDN w:val="0"/>
        <w:adjustRightInd w:val="0"/>
        <w:ind w:left="0" w:firstLine="0"/>
        <w:rPr>
          <w:rFonts w:eastAsia="TimesNewRoman"/>
          <w:sz w:val="22"/>
          <w:szCs w:val="22"/>
        </w:rPr>
      </w:pPr>
      <w:r w:rsidRPr="009B54A6">
        <w:rPr>
          <w:rFonts w:eastAsia="TimesNewRoman"/>
          <w:sz w:val="22"/>
          <w:szCs w:val="22"/>
        </w:rPr>
        <w:t>III klasės antiaritminiai vaistai (pvz., amjodaronas, sotalolis, dofetilidas, ibutilidas);</w:t>
      </w:r>
    </w:p>
    <w:p w14:paraId="2CBF584B" w14:textId="77777777" w:rsidR="000E5428" w:rsidRPr="009B54A6" w:rsidRDefault="000E5428" w:rsidP="000E5428">
      <w:pPr>
        <w:numPr>
          <w:ilvl w:val="0"/>
          <w:numId w:val="25"/>
        </w:numPr>
        <w:autoSpaceDE w:val="0"/>
        <w:autoSpaceDN w:val="0"/>
        <w:adjustRightInd w:val="0"/>
        <w:ind w:left="567" w:hanging="567"/>
        <w:rPr>
          <w:rFonts w:eastAsia="TimesNewRoman"/>
          <w:sz w:val="22"/>
          <w:szCs w:val="22"/>
        </w:rPr>
      </w:pPr>
      <w:r w:rsidRPr="009B54A6">
        <w:rPr>
          <w:rFonts w:eastAsia="TimesNewRoman"/>
          <w:sz w:val="22"/>
          <w:szCs w:val="22"/>
        </w:rPr>
        <w:t>kai kurie vaistai nuo psichozės (pvz., tioridazinas, chlorpromazinas, levomepromazinas, trifluoperazinas, ciamemazinas, sulpiridas, sultopridas, amisulpridas, tiapridas, pimozidas, haloperidolis, droperidolis);</w:t>
      </w:r>
    </w:p>
    <w:p w14:paraId="43AAEE91" w14:textId="77777777" w:rsidR="000E5428" w:rsidRPr="009B54A6" w:rsidRDefault="000E5428" w:rsidP="000E5428">
      <w:pPr>
        <w:numPr>
          <w:ilvl w:val="0"/>
          <w:numId w:val="25"/>
        </w:numPr>
        <w:autoSpaceDE w:val="0"/>
        <w:autoSpaceDN w:val="0"/>
        <w:adjustRightInd w:val="0"/>
        <w:ind w:left="567" w:hanging="567"/>
        <w:rPr>
          <w:rFonts w:eastAsia="TimesNewRoman"/>
          <w:sz w:val="22"/>
          <w:szCs w:val="22"/>
        </w:rPr>
      </w:pPr>
      <w:r w:rsidRPr="009B54A6">
        <w:rPr>
          <w:rFonts w:eastAsia="TimesNewRoman"/>
          <w:sz w:val="22"/>
          <w:szCs w:val="22"/>
        </w:rPr>
        <w:t>kiti vaistiniai preparatai (pvz., bepridilis, cisapridas, difemanilis, į veną leidžiamas eritromicinas, halofantrinas, mizolastinas, pentamidinas, sparfloksacinas, terfenadinas, į veną leidžiamas vankomicinas).</w:t>
      </w:r>
    </w:p>
    <w:p w14:paraId="0F8F08CB" w14:textId="77777777" w:rsidR="000E5428" w:rsidRPr="009B54A6" w:rsidRDefault="000E5428" w:rsidP="000E5428">
      <w:pPr>
        <w:autoSpaceDE w:val="0"/>
        <w:autoSpaceDN w:val="0"/>
        <w:adjustRightInd w:val="0"/>
        <w:rPr>
          <w:rFonts w:eastAsia="TimesNewRoman"/>
          <w:sz w:val="22"/>
          <w:szCs w:val="22"/>
        </w:rPr>
      </w:pPr>
    </w:p>
    <w:p w14:paraId="7D511E99"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Rusmenės glikozidai</w:t>
      </w:r>
    </w:p>
    <w:p w14:paraId="2C0FBF08"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Tiazidų sukeliama hipokalemija ir hipomagnezemija skatina rusmenės glikozidų sukeliamos aritmijos pasireiškimą (žr. 4.4 skyrių).</w:t>
      </w:r>
    </w:p>
    <w:p w14:paraId="73205BA9" w14:textId="77777777" w:rsidR="000E5428" w:rsidRPr="009B54A6" w:rsidRDefault="000E5428" w:rsidP="000E5428">
      <w:pPr>
        <w:autoSpaceDE w:val="0"/>
        <w:autoSpaceDN w:val="0"/>
        <w:adjustRightInd w:val="0"/>
        <w:rPr>
          <w:rFonts w:eastAsia="TimesNewRoman"/>
          <w:sz w:val="22"/>
          <w:szCs w:val="22"/>
        </w:rPr>
      </w:pPr>
    </w:p>
    <w:p w14:paraId="3B6966B8" w14:textId="77777777" w:rsidR="000E5428" w:rsidRPr="009B54A6" w:rsidRDefault="000E5428" w:rsidP="000E5428">
      <w:pPr>
        <w:autoSpaceDE w:val="0"/>
        <w:autoSpaceDN w:val="0"/>
        <w:adjustRightInd w:val="0"/>
        <w:rPr>
          <w:iCs/>
          <w:sz w:val="22"/>
          <w:szCs w:val="22"/>
          <w:u w:val="single"/>
          <w:lang w:eastAsia="lt-LT"/>
        </w:rPr>
      </w:pPr>
      <w:r w:rsidRPr="009B54A6">
        <w:rPr>
          <w:iCs/>
          <w:sz w:val="22"/>
          <w:szCs w:val="22"/>
          <w:u w:val="single"/>
          <w:lang w:eastAsia="lt-LT"/>
        </w:rPr>
        <w:t>Digoksinas</w:t>
      </w:r>
    </w:p>
    <w:p w14:paraId="5596724A" w14:textId="4D77CE0D" w:rsidR="000E5428" w:rsidRPr="009B54A6" w:rsidRDefault="000E5428" w:rsidP="000E5428">
      <w:pPr>
        <w:autoSpaceDE w:val="0"/>
        <w:autoSpaceDN w:val="0"/>
        <w:adjustRightInd w:val="0"/>
        <w:rPr>
          <w:iCs/>
          <w:sz w:val="22"/>
          <w:szCs w:val="22"/>
          <w:lang w:eastAsia="lt-LT"/>
        </w:rPr>
      </w:pPr>
      <w:r w:rsidRPr="009B54A6">
        <w:rPr>
          <w:iCs/>
          <w:sz w:val="22"/>
          <w:szCs w:val="22"/>
          <w:lang w:eastAsia="lt-LT"/>
        </w:rPr>
        <w:t>Telmisartano vartojant kartu su digoksinu buvo pastebėta padidėjusi vidurinė didžiausia (40%) ir žemiausia (20%) digoksino konectracija kraujo plazmoje. Pradedant, priderinant ar nutraukiant telmisartano vartojimą reikia sekti digoksino kiekį kraujo plazmoje tam, kad jį palaikyti gydomųjų dozių diapazone.</w:t>
      </w:r>
    </w:p>
    <w:p w14:paraId="07AB6BBC" w14:textId="77777777" w:rsidR="000E5428" w:rsidRPr="009B54A6" w:rsidRDefault="000E5428" w:rsidP="000E5428">
      <w:pPr>
        <w:autoSpaceDE w:val="0"/>
        <w:autoSpaceDN w:val="0"/>
        <w:adjustRightInd w:val="0"/>
        <w:rPr>
          <w:rFonts w:eastAsia="TimesNewRoman"/>
          <w:sz w:val="22"/>
          <w:szCs w:val="22"/>
        </w:rPr>
      </w:pPr>
    </w:p>
    <w:p w14:paraId="5650BF85"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Kitokie antihipertenziniai vaistiniai preparatai</w:t>
      </w:r>
    </w:p>
    <w:p w14:paraId="72D0424E"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Telmisartanas stiprina kitų antihipertenzinių vaistinių preparatų sukeliamą kraujospūdžio mažėjimą.</w:t>
      </w:r>
    </w:p>
    <w:p w14:paraId="3A8CA73E" w14:textId="77777777" w:rsidR="000E5428" w:rsidRPr="009B54A6" w:rsidRDefault="000E5428" w:rsidP="000E5428">
      <w:pPr>
        <w:autoSpaceDE w:val="0"/>
        <w:autoSpaceDN w:val="0"/>
        <w:adjustRightInd w:val="0"/>
        <w:rPr>
          <w:rFonts w:eastAsia="TimesNewRoman"/>
          <w:sz w:val="22"/>
          <w:szCs w:val="22"/>
        </w:rPr>
      </w:pPr>
    </w:p>
    <w:p w14:paraId="40F8C792" w14:textId="77777777" w:rsidR="00010674" w:rsidRPr="009B54A6" w:rsidRDefault="00010674" w:rsidP="00010674">
      <w:pPr>
        <w:autoSpaceDE w:val="0"/>
        <w:autoSpaceDN w:val="0"/>
        <w:adjustRightInd w:val="0"/>
        <w:rPr>
          <w:sz w:val="22"/>
          <w:szCs w:val="22"/>
          <w:u w:val="single"/>
          <w:lang w:val="es-ES"/>
        </w:rPr>
      </w:pPr>
      <w:r w:rsidRPr="009B54A6">
        <w:rPr>
          <w:sz w:val="22"/>
          <w:szCs w:val="22"/>
          <w:u w:val="single"/>
          <w:lang w:val="es-ES"/>
        </w:rPr>
        <w:t xml:space="preserve">Dviguba renino, angiotenzino ir aldosterono sistemos (RAAS) blokada </w:t>
      </w:r>
    </w:p>
    <w:p w14:paraId="230D01E9" w14:textId="77777777" w:rsidR="00010674" w:rsidRPr="009B54A6" w:rsidRDefault="00010674" w:rsidP="00010674">
      <w:pPr>
        <w:tabs>
          <w:tab w:val="left" w:pos="567"/>
        </w:tabs>
        <w:jc w:val="both"/>
        <w:rPr>
          <w:bCs/>
          <w:sz w:val="22"/>
          <w:szCs w:val="22"/>
        </w:rPr>
      </w:pPr>
      <w:r w:rsidRPr="009B54A6">
        <w:rPr>
          <w:bCs/>
          <w:sz w:val="22"/>
          <w:szCs w:val="22"/>
        </w:rPr>
        <w:t xml:space="preserve">Klinikiniai tyrimai parodė, kad </w:t>
      </w:r>
      <w:r w:rsidRPr="009B54A6">
        <w:rPr>
          <w:sz w:val="22"/>
          <w:szCs w:val="22"/>
        </w:rPr>
        <w:t>AKF inhibitorių, angiotenzino II receptorių blokatorių ar aliskireno derinio vartojimo</w:t>
      </w:r>
      <w:r w:rsidRPr="009B54A6">
        <w:rPr>
          <w:sz w:val="22"/>
          <w:szCs w:val="22"/>
          <w:u w:val="single"/>
        </w:rPr>
        <w:t xml:space="preserve"> sukelta dviguba renino, angiotenzino ir aldosterono sistemos (RAAS) blokada</w:t>
      </w:r>
      <w:r w:rsidRPr="009B54A6">
        <w:rPr>
          <w:sz w:val="22"/>
          <w:szCs w:val="22"/>
        </w:rPr>
        <w:t xml:space="preserve"> yra susijusi su didesne nepageidaujamų reiškinių, tokių, kaip hipotenzija, hiperkalemija ir inkstų funkcijos sumažėjimas (įskaitant ūminį inkstų nepakankamumą), rizika, palyginti su vienos RAAS veikiančios medžiagos vartojimu </w:t>
      </w:r>
      <w:r w:rsidRPr="009B54A6">
        <w:rPr>
          <w:sz w:val="22"/>
          <w:szCs w:val="22"/>
          <w:lang w:eastAsia="lt-LT"/>
        </w:rPr>
        <w:t>(žr. 4.3, 4.4 ir 5.1 skyrius)</w:t>
      </w:r>
      <w:r w:rsidRPr="009B54A6">
        <w:rPr>
          <w:sz w:val="22"/>
          <w:szCs w:val="22"/>
        </w:rPr>
        <w:t>.</w:t>
      </w:r>
    </w:p>
    <w:p w14:paraId="450F0144" w14:textId="77777777" w:rsidR="00010674" w:rsidRPr="00B84FE7" w:rsidRDefault="00010674" w:rsidP="000E5428">
      <w:pPr>
        <w:autoSpaceDE w:val="0"/>
        <w:autoSpaceDN w:val="0"/>
        <w:adjustRightInd w:val="0"/>
        <w:rPr>
          <w:rFonts w:eastAsia="TimesNewRoman"/>
          <w:sz w:val="22"/>
          <w:u w:val="single"/>
        </w:rPr>
      </w:pPr>
    </w:p>
    <w:p w14:paraId="6BB05B54"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Geriamieji vaistiniai preparatai nuo cukrinio diabeto, insulinas</w:t>
      </w:r>
    </w:p>
    <w:p w14:paraId="67AC863F"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lastRenderedPageBreak/>
        <w:t>Gali reikėti priderinti antidiabetinių vaistinių preparatų dozę (žr. 4.4 skyrių).</w:t>
      </w:r>
    </w:p>
    <w:p w14:paraId="60A70BE8" w14:textId="77777777" w:rsidR="000E5428" w:rsidRPr="009B54A6" w:rsidRDefault="000E5428" w:rsidP="000E5428">
      <w:pPr>
        <w:autoSpaceDE w:val="0"/>
        <w:autoSpaceDN w:val="0"/>
        <w:adjustRightInd w:val="0"/>
        <w:rPr>
          <w:rFonts w:eastAsia="TimesNewRoman"/>
          <w:sz w:val="22"/>
          <w:szCs w:val="22"/>
        </w:rPr>
      </w:pPr>
    </w:p>
    <w:p w14:paraId="0380A824"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Metforminas</w:t>
      </w:r>
    </w:p>
    <w:p w14:paraId="79BF0CEB"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Metformino kartu su telmisartano/hidrochlorotiazido deriniu reikia vartoti atsargiai, kadangi pasireiškus hidrochlorotiazido sukeliamam funkciniam inkstų nepakankamumui gali padidėti pieno rūgšties acidozės rizika.</w:t>
      </w:r>
    </w:p>
    <w:p w14:paraId="315F9B24" w14:textId="77777777" w:rsidR="000E5428" w:rsidRPr="009B54A6" w:rsidRDefault="000E5428" w:rsidP="000E5428">
      <w:pPr>
        <w:autoSpaceDE w:val="0"/>
        <w:autoSpaceDN w:val="0"/>
        <w:adjustRightInd w:val="0"/>
        <w:rPr>
          <w:rFonts w:eastAsia="TimesNewRoman"/>
          <w:sz w:val="22"/>
          <w:szCs w:val="22"/>
        </w:rPr>
      </w:pPr>
    </w:p>
    <w:p w14:paraId="3BCF9303"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Kolestiraminas, kolestipolio dervos</w:t>
      </w:r>
    </w:p>
    <w:p w14:paraId="2547B940"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Anijonais pasikeičiančios dervos gali trikdyti hidrochlorotiazido absorbciją.</w:t>
      </w:r>
    </w:p>
    <w:p w14:paraId="4B9A99F3" w14:textId="77777777" w:rsidR="000E5428" w:rsidRPr="009B54A6" w:rsidRDefault="000E5428" w:rsidP="000E5428">
      <w:pPr>
        <w:autoSpaceDE w:val="0"/>
        <w:autoSpaceDN w:val="0"/>
        <w:adjustRightInd w:val="0"/>
        <w:rPr>
          <w:rFonts w:eastAsia="TimesNewRoman"/>
          <w:sz w:val="22"/>
          <w:szCs w:val="22"/>
        </w:rPr>
      </w:pPr>
    </w:p>
    <w:p w14:paraId="0510E6FB"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Nesteroidiniai vaistiniai preparatai nuo uždegimo</w:t>
      </w:r>
    </w:p>
    <w:p w14:paraId="7479EDA4"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 xml:space="preserve">Nesteroidiniai vaistiniai preparatai nuo uždegimo (pvz., uždegimą slopinanti acetilsalicilo rūgšties dozė, COX-2 inhibitoriai ir neselektyvaus poveikio nesteroidiniai vaistiniai preparatai nuo uždegimo) gali silpninti diurezinį, natriurezinį ir antihipertenzinį tiazidinių diuretikų bei antihipertenzinį angiotenzinui II jautrių receptorių antagonistų poveikį. </w:t>
      </w:r>
    </w:p>
    <w:p w14:paraId="049EB135"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Kai kuriems pacientams, kurių inkstų funkcijai gresia pavojus (pvz., dehidruotiems ligoniams, senyviems pacientams, kurių inkstų funkcija sutrikusi), angiotenzinui II jautrių receptorių antagonistų vartojimas kartu su ciklooksigenazės inhibitoriais gali lemti tolesnį inkstų funkcijos blogėjimą, įskaitant ūminio inkstų nepakankamumo, kuris paprastai būna laikinas, pasireiškimą. Vadinasi, kartu šiais vaistiniais preparatais reikia gydyti atsargiai, ypač senyvus pacientus. Tokiems ligoniams būtina tinkama hidracija, kompleksinio gydymo pradžioje ir periodiškai tolesnio gydymo metu reikia sekti jų inkstų funkciją.</w:t>
      </w:r>
    </w:p>
    <w:p w14:paraId="5700DED9" w14:textId="77777777" w:rsidR="000E5428" w:rsidRPr="009B54A6" w:rsidRDefault="000E5428" w:rsidP="000E5428">
      <w:pPr>
        <w:autoSpaceDE w:val="0"/>
        <w:autoSpaceDN w:val="0"/>
        <w:adjustRightInd w:val="0"/>
        <w:rPr>
          <w:rFonts w:eastAsia="TimesNewRoman"/>
          <w:sz w:val="22"/>
          <w:szCs w:val="22"/>
        </w:rPr>
      </w:pPr>
    </w:p>
    <w:p w14:paraId="57720532"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Vieno tyrimo metu telmisartano vartojimas kartu su ramipriliu lėmė ramiprilio ir ramipriato AUC0-24 ir Cmax padidėjimą 2,5 karto. Klinikinė šio pokyčio reikšmė nežinoma.</w:t>
      </w:r>
    </w:p>
    <w:p w14:paraId="4C3E2B40" w14:textId="77777777" w:rsidR="000E5428" w:rsidRPr="009B54A6" w:rsidRDefault="000E5428" w:rsidP="000E5428">
      <w:pPr>
        <w:autoSpaceDE w:val="0"/>
        <w:autoSpaceDN w:val="0"/>
        <w:adjustRightInd w:val="0"/>
        <w:rPr>
          <w:rFonts w:eastAsia="TimesNewRoman"/>
          <w:sz w:val="22"/>
          <w:szCs w:val="22"/>
        </w:rPr>
      </w:pPr>
    </w:p>
    <w:p w14:paraId="080E1929" w14:textId="77777777" w:rsidR="000E5428" w:rsidRPr="00B84FE7" w:rsidRDefault="000E5428" w:rsidP="000E5428">
      <w:pPr>
        <w:autoSpaceDE w:val="0"/>
        <w:autoSpaceDN w:val="0"/>
        <w:adjustRightInd w:val="0"/>
        <w:rPr>
          <w:rFonts w:eastAsia="TimesNewRoman"/>
          <w:sz w:val="22"/>
          <w:u w:val="single"/>
        </w:rPr>
      </w:pPr>
      <w:r w:rsidRPr="00B84FE7">
        <w:rPr>
          <w:rFonts w:eastAsia="TimesNewRoman"/>
          <w:sz w:val="22"/>
          <w:u w:val="single"/>
        </w:rPr>
        <w:t>Kraujagysles sutraukiantys aminai (pvz., norepinefrinas)</w:t>
      </w:r>
    </w:p>
    <w:p w14:paraId="1FE7E462"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Gali silpnėti kraujagysles sutraukiančių aminų sukeliamas poveikis.</w:t>
      </w:r>
    </w:p>
    <w:p w14:paraId="1E3136B4" w14:textId="77777777" w:rsidR="000E5428" w:rsidRPr="009B54A6" w:rsidRDefault="000E5428" w:rsidP="000E5428">
      <w:pPr>
        <w:autoSpaceDE w:val="0"/>
        <w:autoSpaceDN w:val="0"/>
        <w:adjustRightInd w:val="0"/>
        <w:rPr>
          <w:rFonts w:eastAsia="TimesNewRoman"/>
          <w:sz w:val="22"/>
          <w:szCs w:val="22"/>
        </w:rPr>
      </w:pPr>
    </w:p>
    <w:p w14:paraId="610C6C95"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Nedepoliarizuojantys griaučių raumenis atpalaiduojantys vaistiniai preparatai (pvz., tubokurarinas)</w:t>
      </w:r>
    </w:p>
    <w:p w14:paraId="34AE7E20"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Hidrochlorotiazidas gali stiprinti nedepoliarizuojančių griaučių raumenis atpalaiduojančių vaistinių preparatų sukeliamą raumenų atsipalaidavimą.</w:t>
      </w:r>
    </w:p>
    <w:p w14:paraId="25295DFB" w14:textId="77777777" w:rsidR="000E5428" w:rsidRPr="009B54A6" w:rsidRDefault="000E5428" w:rsidP="000E5428">
      <w:pPr>
        <w:autoSpaceDE w:val="0"/>
        <w:autoSpaceDN w:val="0"/>
        <w:adjustRightInd w:val="0"/>
        <w:rPr>
          <w:rFonts w:eastAsia="TimesNewRoman"/>
          <w:sz w:val="22"/>
          <w:szCs w:val="22"/>
        </w:rPr>
      </w:pPr>
    </w:p>
    <w:p w14:paraId="3F071D2E"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Vaistiniai preparatai nuo podagros (pvz., probenecidas, sulfinpirazonas, alopurinolis)</w:t>
      </w:r>
    </w:p>
    <w:p w14:paraId="0EF753FE"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Hidrochlorotiazidas gali didinti šlapimo rūgšties kiekį kraujo serume, todėl gali reikėti priderinti kartu vartojamų šios rūgšties šalinimą iš organizmo skatinančių vaistinių preparatų dozę. Gali prireikti didinti probenecido ir sulfinpirazono dozę. Kartu vartojami tiazidai gali didinti padidėjusio jautrumo reakcijos alopurinoliui atvejų dažnį.</w:t>
      </w:r>
    </w:p>
    <w:p w14:paraId="415DE86D" w14:textId="77777777" w:rsidR="000E5428" w:rsidRPr="009B54A6" w:rsidRDefault="000E5428" w:rsidP="000E5428">
      <w:pPr>
        <w:autoSpaceDE w:val="0"/>
        <w:autoSpaceDN w:val="0"/>
        <w:adjustRightInd w:val="0"/>
        <w:rPr>
          <w:rFonts w:eastAsia="TimesNewRoman"/>
          <w:sz w:val="22"/>
          <w:szCs w:val="22"/>
        </w:rPr>
      </w:pPr>
    </w:p>
    <w:p w14:paraId="4AAA7D6E"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Kalcio druskos</w:t>
      </w:r>
    </w:p>
    <w:p w14:paraId="099ACB04"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 xml:space="preserve">Tiazidai, mažindami kalcio išsiskyrimą su šlapimu, gali didinti jo kiekį kraujo serume. Jeigu kalcio preparatų vartoti būtina, reikia sekti kalcio koncentraciją kraujyje ir atitinkamai priderinti kalcio preparatų dozavimą. </w:t>
      </w:r>
    </w:p>
    <w:p w14:paraId="126B1B11" w14:textId="77777777" w:rsidR="000E5428" w:rsidRPr="009B54A6" w:rsidRDefault="000E5428" w:rsidP="000E5428">
      <w:pPr>
        <w:autoSpaceDE w:val="0"/>
        <w:autoSpaceDN w:val="0"/>
        <w:adjustRightInd w:val="0"/>
        <w:rPr>
          <w:rFonts w:eastAsia="TimesNewRoman"/>
          <w:sz w:val="22"/>
          <w:szCs w:val="22"/>
        </w:rPr>
      </w:pPr>
    </w:p>
    <w:p w14:paraId="31FA2103"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Beta adrenoblokatoriai, diazoksidas</w:t>
      </w:r>
    </w:p>
    <w:p w14:paraId="63D12EA7"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Tiazidai gali stiprinti beta adrenoblokatorių ir diazoksido sukeliamą hiperglikeminį poveikį.</w:t>
      </w:r>
    </w:p>
    <w:p w14:paraId="6AF7B035" w14:textId="77777777" w:rsidR="000E5428" w:rsidRPr="009B54A6" w:rsidRDefault="000E5428" w:rsidP="000E5428">
      <w:pPr>
        <w:autoSpaceDE w:val="0"/>
        <w:autoSpaceDN w:val="0"/>
        <w:adjustRightInd w:val="0"/>
        <w:rPr>
          <w:rFonts w:eastAsia="TimesNewRoman"/>
          <w:sz w:val="22"/>
          <w:szCs w:val="22"/>
        </w:rPr>
      </w:pPr>
    </w:p>
    <w:p w14:paraId="3B2FBE8A"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Anticholinerginiai preparatai (pvz., atropinas, biperidenas)</w:t>
      </w:r>
    </w:p>
    <w:p w14:paraId="31AD9385"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Slopindami skrandžio ir žarnų motoriką ir lėtindami skrandžio ištuštinimą, šie preparatai gali didinti biologinį tiazidinių diuretikų biologinį prieinamumą.</w:t>
      </w:r>
    </w:p>
    <w:p w14:paraId="6B01118E" w14:textId="77777777" w:rsidR="000E5428" w:rsidRPr="009B54A6" w:rsidRDefault="000E5428" w:rsidP="000E5428">
      <w:pPr>
        <w:autoSpaceDE w:val="0"/>
        <w:autoSpaceDN w:val="0"/>
        <w:adjustRightInd w:val="0"/>
        <w:rPr>
          <w:rFonts w:eastAsia="TimesNewRoman"/>
          <w:sz w:val="22"/>
          <w:szCs w:val="22"/>
        </w:rPr>
      </w:pPr>
    </w:p>
    <w:p w14:paraId="230B764A"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Amantadinas</w:t>
      </w:r>
    </w:p>
    <w:p w14:paraId="09C5B88C"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Tiazidai gali didinti amantadino sukeliamo nepageidaujamo poveikio riziką.</w:t>
      </w:r>
    </w:p>
    <w:p w14:paraId="0145872A" w14:textId="77777777" w:rsidR="000E5428" w:rsidRPr="009B54A6" w:rsidRDefault="000E5428" w:rsidP="000E5428">
      <w:pPr>
        <w:autoSpaceDE w:val="0"/>
        <w:autoSpaceDN w:val="0"/>
        <w:adjustRightInd w:val="0"/>
        <w:rPr>
          <w:rFonts w:eastAsia="TimesNewRoman"/>
          <w:sz w:val="22"/>
          <w:szCs w:val="22"/>
        </w:rPr>
      </w:pPr>
    </w:p>
    <w:p w14:paraId="635F017D"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Citotoksinės medžiagos (pvz., ciklofosfamidas, metotreksatas)</w:t>
      </w:r>
    </w:p>
    <w:p w14:paraId="4EC91132"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Tiazidai gali mažinti citotoksinių vaistinių preparatų šalinimą su šlapimu, todėl gali stiprinti jų sukeliamą mieloidinio audinio funkcijos slopinimą.</w:t>
      </w:r>
    </w:p>
    <w:p w14:paraId="12A588FA" w14:textId="77777777" w:rsidR="000E5428" w:rsidRPr="009B54A6" w:rsidRDefault="000E5428" w:rsidP="000E5428">
      <w:pPr>
        <w:autoSpaceDE w:val="0"/>
        <w:autoSpaceDN w:val="0"/>
        <w:adjustRightInd w:val="0"/>
        <w:rPr>
          <w:rFonts w:eastAsia="TimesNewRoman"/>
          <w:sz w:val="22"/>
          <w:szCs w:val="22"/>
        </w:rPr>
      </w:pPr>
    </w:p>
    <w:p w14:paraId="7384A22E"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Remiantis farmakokinetinėmis savybėmis, tikėtina, kad hipotenzinį visų antihipertenzinių vaistinių preparatų, įskaitant telmisartaną, poveikį gali stiprinti baklofenas ir amifostinas. Be to, alkoholis, barbitūratai, narkozę sukeliantys preparatai bei antidepresantai gali sunkinti ortostatinę hipotenziją.</w:t>
      </w:r>
    </w:p>
    <w:p w14:paraId="424EA3DD" w14:textId="77777777" w:rsidR="000E5428" w:rsidRPr="009B54A6" w:rsidRDefault="000E5428" w:rsidP="000E5428">
      <w:pPr>
        <w:autoSpaceDE w:val="0"/>
        <w:autoSpaceDN w:val="0"/>
        <w:adjustRightInd w:val="0"/>
        <w:rPr>
          <w:sz w:val="22"/>
          <w:szCs w:val="22"/>
          <w:lang w:eastAsia="lt-LT"/>
        </w:rPr>
      </w:pPr>
    </w:p>
    <w:p w14:paraId="5DF13784" w14:textId="77777777" w:rsidR="000E5428" w:rsidRPr="009B54A6" w:rsidRDefault="000E5428" w:rsidP="000E5428">
      <w:pPr>
        <w:tabs>
          <w:tab w:val="left" w:pos="567"/>
        </w:tabs>
        <w:rPr>
          <w:b/>
          <w:bCs/>
          <w:sz w:val="22"/>
          <w:szCs w:val="22"/>
        </w:rPr>
      </w:pPr>
      <w:r w:rsidRPr="009B54A6">
        <w:rPr>
          <w:b/>
          <w:bCs/>
          <w:sz w:val="22"/>
          <w:szCs w:val="22"/>
        </w:rPr>
        <w:t>4.6</w:t>
      </w:r>
      <w:r w:rsidRPr="009B54A6">
        <w:rPr>
          <w:b/>
          <w:bCs/>
          <w:sz w:val="22"/>
          <w:szCs w:val="22"/>
        </w:rPr>
        <w:tab/>
        <w:t>Vaisingumas, nėštumo ir žindymo laikotarpis</w:t>
      </w:r>
    </w:p>
    <w:p w14:paraId="09EBA1D1" w14:textId="77777777" w:rsidR="000E5428" w:rsidRPr="009B54A6" w:rsidRDefault="000E5428" w:rsidP="000E5428">
      <w:pPr>
        <w:tabs>
          <w:tab w:val="left" w:pos="567"/>
        </w:tabs>
        <w:rPr>
          <w:b/>
          <w:bCs/>
          <w:sz w:val="22"/>
          <w:szCs w:val="22"/>
        </w:rPr>
      </w:pPr>
    </w:p>
    <w:p w14:paraId="2FAB80C1" w14:textId="77777777" w:rsidR="000E5428" w:rsidRPr="009B54A6" w:rsidRDefault="000E5428" w:rsidP="000E5428">
      <w:pPr>
        <w:autoSpaceDE w:val="0"/>
        <w:autoSpaceDN w:val="0"/>
        <w:adjustRightInd w:val="0"/>
        <w:rPr>
          <w:sz w:val="22"/>
          <w:szCs w:val="22"/>
          <w:u w:val="single"/>
          <w:lang w:eastAsia="lt-LT"/>
        </w:rPr>
      </w:pPr>
      <w:r w:rsidRPr="009B54A6">
        <w:rPr>
          <w:sz w:val="22"/>
          <w:szCs w:val="22"/>
          <w:u w:val="single"/>
          <w:lang w:eastAsia="lt-LT"/>
        </w:rPr>
        <w:t>Nėštumas</w:t>
      </w:r>
    </w:p>
    <w:p w14:paraId="61773DEF" w14:textId="77777777" w:rsidR="000E5428" w:rsidRPr="009B54A6" w:rsidRDefault="000E5428" w:rsidP="000E5428">
      <w:pPr>
        <w:autoSpaceDE w:val="0"/>
        <w:autoSpaceDN w:val="0"/>
        <w:adjustRightInd w:val="0"/>
        <w:rPr>
          <w:sz w:val="22"/>
          <w:szCs w:val="22"/>
          <w:lang w:eastAsia="lt-LT"/>
        </w:rPr>
      </w:pPr>
    </w:p>
    <w:p w14:paraId="368FE127" w14:textId="77777777" w:rsidR="000E5428" w:rsidRPr="009B54A6" w:rsidRDefault="000E5428" w:rsidP="000E5428">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eastAsia="lt-LT"/>
        </w:rPr>
      </w:pPr>
      <w:r w:rsidRPr="009B54A6">
        <w:rPr>
          <w:sz w:val="22"/>
          <w:szCs w:val="22"/>
          <w:lang w:eastAsia="lt-LT"/>
        </w:rPr>
        <w:t>Pirmuoju nėštumo trimestru angiotenzino II receptorių blokatorių (AIIRB) vartoti nerekomenduojama (žr. 4.4 skyrių). Antruoju ir trečiuoju nėštumo trimestrais AIIRB vartoti draudžiama (žr. 4.3 ir 4.4 skyrius).</w:t>
      </w:r>
    </w:p>
    <w:p w14:paraId="48BD5B27" w14:textId="77777777" w:rsidR="000E5428" w:rsidRPr="009B54A6" w:rsidRDefault="000E5428" w:rsidP="000E5428">
      <w:pPr>
        <w:autoSpaceDE w:val="0"/>
        <w:autoSpaceDN w:val="0"/>
        <w:adjustRightInd w:val="0"/>
        <w:rPr>
          <w:sz w:val="22"/>
          <w:szCs w:val="22"/>
          <w:lang w:eastAsia="lt-LT"/>
        </w:rPr>
      </w:pPr>
    </w:p>
    <w:p w14:paraId="235EB3AC"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Pakankamų duomenų apie telmisartano/hidrochlorotiazido vartojimą nėštumo metu nėra. Su gyvūnais atlikti tyrimai parodė toksinį poveikį reprodukcijai (žr. 5.3 skyrių).</w:t>
      </w:r>
    </w:p>
    <w:p w14:paraId="031F926C" w14:textId="77777777" w:rsidR="000E5428" w:rsidRPr="009B54A6" w:rsidRDefault="000E5428" w:rsidP="000E5428">
      <w:pPr>
        <w:autoSpaceDE w:val="0"/>
        <w:autoSpaceDN w:val="0"/>
        <w:adjustRightInd w:val="0"/>
        <w:rPr>
          <w:sz w:val="22"/>
          <w:szCs w:val="22"/>
          <w:lang w:eastAsia="lt-LT"/>
        </w:rPr>
      </w:pPr>
    </w:p>
    <w:p w14:paraId="6D40F0E7"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 xml:space="preserve">Epidemiologinių tyrimų duomenys dėl pirmuoju nėštumo trimestru vartojamų AKF inhibitorių teratogeninio poveikio nėra galutiniai, tačiau nedidelio rizikos padidėjimo atmesti negalima. Nors kontrolinių epidemiologinių tyrimų duomenų apie angiotenzino II receptorių antagonistų keliamą riziką nėra, tačiau ji gali būti tokia pati, kaip ir gydymo kitais šios klasės preparatais metu. Išskyrus atvejus, kai tolesnis gydymas angiotenzino II receptorių antagonistais yra būtinas, pastoti planuojančioms moterims juos reikia keisti kitokiais antihipertenziniais vaistiniais preparatais, kurių vartojimo saugumas nėštumo metu ištirtas. Nustačius nėštumą, angiotenzino II receptorių antagonistų vartojimą būtina nedelsiant nutraukti ir, jei reikia, skirti kitokį tinkamą gydymą. </w:t>
      </w:r>
    </w:p>
    <w:p w14:paraId="6F66CC8C" w14:textId="77777777" w:rsidR="000E5428" w:rsidRPr="009B54A6" w:rsidRDefault="000E5428" w:rsidP="000E5428">
      <w:pPr>
        <w:autoSpaceDE w:val="0"/>
        <w:autoSpaceDN w:val="0"/>
        <w:adjustRightInd w:val="0"/>
        <w:rPr>
          <w:sz w:val="22"/>
          <w:szCs w:val="22"/>
          <w:lang w:eastAsia="lt-LT"/>
        </w:rPr>
      </w:pPr>
    </w:p>
    <w:p w14:paraId="55C206BA"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Žinoma, kad antruoju arba trečiuoju nėštumo trimestrais vartojami angiotenzino II receptorių antagonistai sukelia toksinį poveikį žmogaus vaisiui (inkstų funkcijos susilpnėjimą, oligohidramnioną, kaukolės kaulėjimo sulėtėjimą) ir naujagimiui (inkstų nepakankamumą, hipotenziją, hiperkalemiją) (žr. 5.3 skyrių).</w:t>
      </w:r>
    </w:p>
    <w:p w14:paraId="0F88EEC1"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Jeigu moteris antruoju arba trečiuoju nėštumo trimestru vartojo angiotenzino II receptorių antagonistų, rekomenduojama ultragarsu sekti jos vaisiaus inkstų funkciją ir kaukolę.</w:t>
      </w:r>
    </w:p>
    <w:p w14:paraId="133C2C25"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Reikia atidžiai sekti, ar naujagimiams, kurių motinos nėštumo metu vartojo angiotenzino II receptorių antagonistų, nepasireiškia hipotenzija (žr. 4.3 ir 4.4 skyrius).</w:t>
      </w:r>
    </w:p>
    <w:p w14:paraId="06764C9B" w14:textId="77777777" w:rsidR="000E5428" w:rsidRPr="009B54A6" w:rsidRDefault="000E5428" w:rsidP="000E5428">
      <w:pPr>
        <w:autoSpaceDE w:val="0"/>
        <w:autoSpaceDN w:val="0"/>
        <w:adjustRightInd w:val="0"/>
        <w:rPr>
          <w:sz w:val="22"/>
          <w:szCs w:val="22"/>
          <w:lang w:eastAsia="lt-LT"/>
        </w:rPr>
      </w:pPr>
    </w:p>
    <w:p w14:paraId="03657C87"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Hidrochlorotiazido vartojimo nėštumo metu, ypač pirmuoju trimestru, patirtis yra ribota. Tyrimų su gyvūnais atlikta nepakankamai. Hidrochlorotiazidas prasiskverbia per placentą. Remiantis hidrochlorotiazido farmakologinio veikimo mechanizmu, vartojimas antruoju ir trečiuoju nėštumo trimestru gali daryti žalą vaisiaus ir placentos kraujotakai bei vaisiui ir naujagimiui sukelti poveikį, pvz., geltą, elektrolitų pusiausvyros sutrikimą ir trombocitopeniją.</w:t>
      </w:r>
    </w:p>
    <w:p w14:paraId="6766EC94" w14:textId="0828B78C"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Nėščiųjų edemai, nėščiųjų hipertenzijai ar preeklampsijai gydyti hidrochlorotiazido vartoti negalima, kadangi gresia plazmos tūrio sumažėjimas ir placentos hipoperfuzija, o palankus poveikis ligos eigai nepasireiškia.</w:t>
      </w:r>
    </w:p>
    <w:p w14:paraId="728EEA0A" w14:textId="77777777" w:rsidR="000E5428" w:rsidRPr="009B54A6" w:rsidRDefault="000E5428" w:rsidP="000E5428">
      <w:pPr>
        <w:autoSpaceDE w:val="0"/>
        <w:autoSpaceDN w:val="0"/>
        <w:adjustRightInd w:val="0"/>
        <w:rPr>
          <w:rFonts w:eastAsia="TimesNewRoman"/>
          <w:sz w:val="22"/>
          <w:szCs w:val="22"/>
        </w:rPr>
      </w:pPr>
    </w:p>
    <w:p w14:paraId="6FB580A2" w14:textId="77777777" w:rsidR="000E5428" w:rsidRPr="009B54A6" w:rsidRDefault="000E5428" w:rsidP="000E5428">
      <w:pPr>
        <w:autoSpaceDE w:val="0"/>
        <w:autoSpaceDN w:val="0"/>
        <w:adjustRightInd w:val="0"/>
        <w:rPr>
          <w:sz w:val="22"/>
          <w:szCs w:val="22"/>
          <w:lang w:eastAsia="lt-LT"/>
        </w:rPr>
      </w:pPr>
      <w:r w:rsidRPr="009B54A6">
        <w:rPr>
          <w:rFonts w:eastAsia="TimesNewRoman"/>
          <w:sz w:val="22"/>
          <w:szCs w:val="22"/>
        </w:rPr>
        <w:t>Nėščių moterų pirminę hipertenziją hidrochlorotiazidu gydyti negalima, išskyrus retas aplinkybes, kuriomis kitokio gydymo taikyti negalima.</w:t>
      </w:r>
    </w:p>
    <w:p w14:paraId="2114C28F" w14:textId="77777777" w:rsidR="000E5428" w:rsidRPr="009B54A6" w:rsidRDefault="000E5428" w:rsidP="000E5428">
      <w:pPr>
        <w:autoSpaceDE w:val="0"/>
        <w:autoSpaceDN w:val="0"/>
        <w:adjustRightInd w:val="0"/>
        <w:rPr>
          <w:sz w:val="22"/>
          <w:szCs w:val="22"/>
          <w:lang w:eastAsia="lt-LT"/>
        </w:rPr>
      </w:pPr>
    </w:p>
    <w:p w14:paraId="3478BD98" w14:textId="77777777" w:rsidR="000E5428" w:rsidRPr="009B54A6" w:rsidRDefault="000E5428" w:rsidP="000E5428">
      <w:pPr>
        <w:autoSpaceDE w:val="0"/>
        <w:autoSpaceDN w:val="0"/>
        <w:adjustRightInd w:val="0"/>
        <w:rPr>
          <w:sz w:val="22"/>
          <w:szCs w:val="22"/>
          <w:u w:val="single"/>
          <w:lang w:eastAsia="lt-LT"/>
        </w:rPr>
      </w:pPr>
      <w:r w:rsidRPr="009B54A6">
        <w:rPr>
          <w:sz w:val="22"/>
          <w:szCs w:val="22"/>
          <w:u w:val="single"/>
          <w:lang w:eastAsia="lt-LT"/>
        </w:rPr>
        <w:t>Žindymas</w:t>
      </w:r>
    </w:p>
    <w:p w14:paraId="170E3B4D" w14:textId="77777777" w:rsidR="000E5428" w:rsidRPr="009B54A6" w:rsidRDefault="000E5428" w:rsidP="000E5428">
      <w:pPr>
        <w:autoSpaceDE w:val="0"/>
        <w:autoSpaceDN w:val="0"/>
        <w:adjustRightInd w:val="0"/>
        <w:rPr>
          <w:rFonts w:eastAsia="TimesNewRoman"/>
          <w:i/>
          <w:sz w:val="22"/>
          <w:szCs w:val="22"/>
        </w:rPr>
      </w:pPr>
      <w:r w:rsidRPr="009B54A6">
        <w:rPr>
          <w:rFonts w:eastAsia="TimesNewRoman"/>
          <w:i/>
          <w:sz w:val="22"/>
          <w:szCs w:val="22"/>
        </w:rPr>
        <w:t>Telmisartanas</w:t>
      </w:r>
    </w:p>
    <w:p w14:paraId="1805AC9A" w14:textId="77777777" w:rsidR="000E5428" w:rsidRPr="009B54A6" w:rsidRDefault="000E5428" w:rsidP="000E5428">
      <w:pPr>
        <w:autoSpaceDE w:val="0"/>
        <w:autoSpaceDN w:val="0"/>
        <w:adjustRightInd w:val="0"/>
        <w:rPr>
          <w:rFonts w:eastAsia="TimesNewRoman"/>
          <w:sz w:val="22"/>
          <w:szCs w:val="22"/>
        </w:rPr>
      </w:pPr>
      <w:r w:rsidRPr="009B54A6">
        <w:rPr>
          <w:sz w:val="22"/>
          <w:szCs w:val="22"/>
          <w:lang w:eastAsia="lt-LT"/>
        </w:rPr>
        <w:t>Kadangi informacijos apie Telmisartan/Hydrochlorothiazide Sandoz vartojimą žindymo laikotarpiu nėra, žindyvių Telmisartan/Hydrochlorothiazide Sandoz gydyti nerekomenduojama. Žindymo laikotarpiu verčiau gydyti kitokiu būdu, kurio saugumas geriau ištirtas, ypač moteris, krūtimi maitinančias naujagimius ar neišnešiotus kūdikius.</w:t>
      </w:r>
    </w:p>
    <w:p w14:paraId="2CBB4931" w14:textId="77777777" w:rsidR="000E5428" w:rsidRPr="009B54A6" w:rsidRDefault="000E5428" w:rsidP="000E5428">
      <w:pPr>
        <w:autoSpaceDE w:val="0"/>
        <w:autoSpaceDN w:val="0"/>
        <w:adjustRightInd w:val="0"/>
        <w:rPr>
          <w:rFonts w:eastAsia="TimesNewRoman"/>
          <w:sz w:val="22"/>
          <w:szCs w:val="22"/>
        </w:rPr>
      </w:pPr>
    </w:p>
    <w:p w14:paraId="27F3ADF3" w14:textId="77777777" w:rsidR="000E5428" w:rsidRPr="009B54A6" w:rsidRDefault="000E5428" w:rsidP="000E5428">
      <w:pPr>
        <w:autoSpaceDE w:val="0"/>
        <w:autoSpaceDN w:val="0"/>
        <w:adjustRightInd w:val="0"/>
        <w:rPr>
          <w:rFonts w:eastAsia="TimesNewRoman"/>
          <w:i/>
          <w:sz w:val="22"/>
          <w:szCs w:val="22"/>
        </w:rPr>
      </w:pPr>
      <w:r w:rsidRPr="009B54A6">
        <w:rPr>
          <w:rFonts w:eastAsia="TimesNewRoman"/>
          <w:i/>
          <w:sz w:val="22"/>
          <w:szCs w:val="22"/>
        </w:rPr>
        <w:t>Hidrochlorotiazidas</w:t>
      </w:r>
    </w:p>
    <w:p w14:paraId="4A651240" w14:textId="77777777" w:rsidR="000E5428" w:rsidRPr="009B54A6" w:rsidRDefault="000E5428" w:rsidP="000E5428">
      <w:pPr>
        <w:autoSpaceDE w:val="0"/>
        <w:autoSpaceDN w:val="0"/>
        <w:adjustRightInd w:val="0"/>
        <w:rPr>
          <w:sz w:val="22"/>
          <w:szCs w:val="22"/>
          <w:lang w:eastAsia="lt-LT"/>
        </w:rPr>
      </w:pPr>
      <w:r w:rsidRPr="009B54A6">
        <w:rPr>
          <w:rFonts w:eastAsia="TimesNewRoman"/>
          <w:sz w:val="22"/>
          <w:szCs w:val="22"/>
        </w:rPr>
        <w:t xml:space="preserve">Nedidelis hidrochlorotiazido kiekis išsiskiria su moters pienu. Didelės tiazidų dozės, sukeliančios stiprią diurezę, gali slopinti pieno gamybą. Žindymo laikotarpiu </w:t>
      </w:r>
      <w:r w:rsidRPr="009B54A6">
        <w:rPr>
          <w:sz w:val="22"/>
          <w:szCs w:val="22"/>
          <w:lang w:eastAsia="lt-LT"/>
        </w:rPr>
        <w:t xml:space="preserve">Telmisartan/Hydrochlorothiazide </w:t>
      </w:r>
      <w:r w:rsidRPr="009B54A6">
        <w:rPr>
          <w:sz w:val="22"/>
          <w:szCs w:val="22"/>
          <w:lang w:eastAsia="lt-LT"/>
        </w:rPr>
        <w:lastRenderedPageBreak/>
        <w:t>Sandoz</w:t>
      </w:r>
      <w:r w:rsidRPr="009B54A6">
        <w:rPr>
          <w:rFonts w:eastAsia="TimesNewRoman"/>
          <w:sz w:val="22"/>
          <w:szCs w:val="22"/>
        </w:rPr>
        <w:t xml:space="preserve"> vartoti nerekomenduojama. Jeigu </w:t>
      </w:r>
      <w:r w:rsidRPr="009B54A6">
        <w:rPr>
          <w:sz w:val="22"/>
          <w:szCs w:val="22"/>
          <w:lang w:eastAsia="lt-LT"/>
        </w:rPr>
        <w:t>Telmisartan/Hydrochlorothiazide Sandoz</w:t>
      </w:r>
      <w:r w:rsidRPr="009B54A6">
        <w:rPr>
          <w:rFonts w:eastAsia="TimesNewRoman"/>
          <w:sz w:val="22"/>
          <w:szCs w:val="22"/>
        </w:rPr>
        <w:t xml:space="preserve"> gydoma žindymo laikotarpiu, reikia vartoti kiek galima mažesnę jo dozę</w:t>
      </w:r>
      <w:r w:rsidRPr="009B54A6">
        <w:rPr>
          <w:sz w:val="22"/>
          <w:szCs w:val="22"/>
          <w:lang w:eastAsia="lt-LT"/>
        </w:rPr>
        <w:t>.</w:t>
      </w:r>
    </w:p>
    <w:p w14:paraId="227A0C53" w14:textId="77777777" w:rsidR="000E5428" w:rsidRPr="009B54A6" w:rsidRDefault="000E5428" w:rsidP="000E5428">
      <w:pPr>
        <w:autoSpaceDE w:val="0"/>
        <w:autoSpaceDN w:val="0"/>
        <w:adjustRightInd w:val="0"/>
        <w:rPr>
          <w:sz w:val="22"/>
          <w:szCs w:val="22"/>
          <w:u w:val="single"/>
        </w:rPr>
      </w:pPr>
    </w:p>
    <w:p w14:paraId="3F379548" w14:textId="77777777" w:rsidR="000E5428" w:rsidRPr="009B54A6" w:rsidRDefault="000E5428" w:rsidP="000E5428">
      <w:pPr>
        <w:autoSpaceDE w:val="0"/>
        <w:autoSpaceDN w:val="0"/>
        <w:adjustRightInd w:val="0"/>
        <w:rPr>
          <w:sz w:val="22"/>
          <w:szCs w:val="22"/>
          <w:u w:val="single"/>
          <w:lang w:eastAsia="lt-LT"/>
        </w:rPr>
      </w:pPr>
      <w:r w:rsidRPr="009B54A6">
        <w:rPr>
          <w:sz w:val="22"/>
          <w:szCs w:val="22"/>
          <w:u w:val="single"/>
          <w:lang w:eastAsia="lt-LT"/>
        </w:rPr>
        <w:t>Vaisingumas</w:t>
      </w:r>
    </w:p>
    <w:p w14:paraId="5266CFC9"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Ikiklinikinių tyrimų metu telmisartano poveikio vyriškos ar moteriškos lyties gyvūnų vaisingumui nepastebėta.</w:t>
      </w:r>
    </w:p>
    <w:p w14:paraId="4D3E29AF" w14:textId="77777777" w:rsidR="000E5428" w:rsidRPr="009B54A6" w:rsidRDefault="000E5428" w:rsidP="000E5428">
      <w:pPr>
        <w:tabs>
          <w:tab w:val="left" w:pos="567"/>
        </w:tabs>
        <w:rPr>
          <w:sz w:val="22"/>
          <w:szCs w:val="22"/>
        </w:rPr>
      </w:pPr>
    </w:p>
    <w:p w14:paraId="64D20C58" w14:textId="77777777" w:rsidR="000E5428" w:rsidRPr="009B54A6" w:rsidRDefault="000E5428" w:rsidP="000E5428">
      <w:pPr>
        <w:tabs>
          <w:tab w:val="left" w:pos="567"/>
        </w:tabs>
        <w:rPr>
          <w:b/>
          <w:sz w:val="22"/>
          <w:szCs w:val="22"/>
        </w:rPr>
      </w:pPr>
      <w:r w:rsidRPr="009B54A6">
        <w:rPr>
          <w:b/>
          <w:sz w:val="22"/>
          <w:szCs w:val="22"/>
        </w:rPr>
        <w:t>4.7</w:t>
      </w:r>
      <w:r w:rsidRPr="009B54A6">
        <w:rPr>
          <w:b/>
          <w:sz w:val="22"/>
          <w:szCs w:val="22"/>
        </w:rPr>
        <w:tab/>
        <w:t>Poveikis gebėjimui vairuoti ir valdyti mechanizmus</w:t>
      </w:r>
    </w:p>
    <w:p w14:paraId="693069C7" w14:textId="77777777" w:rsidR="000E5428" w:rsidRPr="009B54A6" w:rsidRDefault="000E5428" w:rsidP="000E5428">
      <w:pPr>
        <w:tabs>
          <w:tab w:val="left" w:pos="567"/>
        </w:tabs>
        <w:rPr>
          <w:sz w:val="22"/>
          <w:szCs w:val="22"/>
        </w:rPr>
      </w:pPr>
    </w:p>
    <w:p w14:paraId="0156E105"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Poveikio gebėjimui vairuoti ir valdyti mechanizmus tyrimų neatlikta, tačiau užsiimant tokia veikla reikia turėti omenyje, kad taikant antihipertenzinį gydymą vaistiniais preparatais, tokiais, kaip Telmisartan/Hydrochlorothiazide Sandoz, retkarčiais gali pasireikšti galvos svaigimas ar apsnūdimas.</w:t>
      </w:r>
    </w:p>
    <w:p w14:paraId="7D033B9A" w14:textId="77777777" w:rsidR="000E5428" w:rsidRPr="009B54A6" w:rsidRDefault="000E5428" w:rsidP="000E5428">
      <w:pPr>
        <w:tabs>
          <w:tab w:val="left" w:pos="567"/>
        </w:tabs>
        <w:rPr>
          <w:sz w:val="22"/>
          <w:szCs w:val="22"/>
        </w:rPr>
      </w:pPr>
    </w:p>
    <w:p w14:paraId="00128B65"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4.8</w:t>
      </w:r>
      <w:r w:rsidRPr="009B54A6">
        <w:rPr>
          <w:b/>
          <w:bCs/>
          <w:sz w:val="22"/>
          <w:szCs w:val="22"/>
          <w:lang w:eastAsia="lt-LT"/>
        </w:rPr>
        <w:tab/>
        <w:t>Nepageidaujamas poveikis</w:t>
      </w:r>
    </w:p>
    <w:p w14:paraId="627A57DD" w14:textId="77777777" w:rsidR="000E5428" w:rsidRPr="009B54A6" w:rsidRDefault="000E5428" w:rsidP="000E5428">
      <w:pPr>
        <w:autoSpaceDE w:val="0"/>
        <w:autoSpaceDN w:val="0"/>
        <w:adjustRightInd w:val="0"/>
        <w:rPr>
          <w:sz w:val="22"/>
          <w:szCs w:val="22"/>
        </w:rPr>
      </w:pPr>
    </w:p>
    <w:p w14:paraId="0A899FA4" w14:textId="77777777" w:rsidR="000E5428" w:rsidRPr="009B54A6" w:rsidRDefault="000E5428" w:rsidP="000E5428">
      <w:pPr>
        <w:autoSpaceDE w:val="0"/>
        <w:autoSpaceDN w:val="0"/>
        <w:adjustRightInd w:val="0"/>
        <w:rPr>
          <w:i/>
          <w:sz w:val="22"/>
          <w:szCs w:val="22"/>
          <w:lang w:eastAsia="lt-LT"/>
        </w:rPr>
      </w:pPr>
      <w:r w:rsidRPr="009B54A6">
        <w:rPr>
          <w:i/>
          <w:sz w:val="22"/>
          <w:szCs w:val="22"/>
          <w:lang w:eastAsia="lt-LT"/>
        </w:rPr>
        <w:t>a. Saugumo duomenų santrauka</w:t>
      </w:r>
    </w:p>
    <w:p w14:paraId="5CBE1C56"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Nepageidaujama reakcija, apie kurią pranešta dažniausiai, yra galvos svaigimas. Retai (nuo ≥1/10000 iki &lt;1/1000) gali pasireikšti angioneurozinė edema.</w:t>
      </w:r>
    </w:p>
    <w:p w14:paraId="0451ED35" w14:textId="77777777" w:rsidR="000E5428" w:rsidRPr="009B54A6" w:rsidRDefault="000E5428" w:rsidP="000E5428">
      <w:pPr>
        <w:autoSpaceDE w:val="0"/>
        <w:autoSpaceDN w:val="0"/>
        <w:adjustRightInd w:val="0"/>
        <w:rPr>
          <w:sz w:val="22"/>
          <w:szCs w:val="22"/>
          <w:lang w:eastAsia="lt-LT"/>
        </w:rPr>
      </w:pPr>
    </w:p>
    <w:p w14:paraId="5605B530" w14:textId="77777777" w:rsidR="000E5428" w:rsidRPr="009B54A6" w:rsidRDefault="000E5428" w:rsidP="000E5428">
      <w:pPr>
        <w:autoSpaceDE w:val="0"/>
        <w:autoSpaceDN w:val="0"/>
        <w:adjustRightInd w:val="0"/>
        <w:rPr>
          <w:sz w:val="22"/>
          <w:szCs w:val="22"/>
          <w:lang w:eastAsia="lt-LT"/>
        </w:rPr>
      </w:pPr>
      <w:r w:rsidRPr="009B54A6">
        <w:rPr>
          <w:rFonts w:eastAsia="TimesNewRoman"/>
          <w:sz w:val="22"/>
          <w:szCs w:val="22"/>
        </w:rPr>
        <w:t>Atsitiktinių imčių kontrolinių klinikinių tyrimų, kuriuose dalyvavo 1471 pacientas (835 tiriamieji vartojo telmisartano kartu su hidroclorotiazidu, 636 tiriamieji − tik telmisartano), metu gautų pranešimų apie bendrą nepageidaujamų reakcijų dažnį telmisartano/hidrochlorotiazido 40 mg/12,5 mg ir 80 mg/12,5 mg deriniui skaičius buvo panašus kaip vien telmisartanui. Nepageidaujamų reakcijų priklausomumas nuo dozės nenustatinėtas. Nuo lyties, amžiaus ir rasės jis nepriklausė.</w:t>
      </w:r>
    </w:p>
    <w:p w14:paraId="3404CF5A" w14:textId="77777777" w:rsidR="000E5428" w:rsidRPr="009B54A6" w:rsidRDefault="000E5428" w:rsidP="000E5428">
      <w:pPr>
        <w:autoSpaceDE w:val="0"/>
        <w:autoSpaceDN w:val="0"/>
        <w:adjustRightInd w:val="0"/>
        <w:rPr>
          <w:sz w:val="22"/>
          <w:szCs w:val="22"/>
          <w:lang w:eastAsia="lt-LT"/>
        </w:rPr>
      </w:pPr>
    </w:p>
    <w:p w14:paraId="37936C2A" w14:textId="77777777" w:rsidR="000E5428" w:rsidRPr="009B54A6" w:rsidRDefault="000E5428" w:rsidP="000E5428">
      <w:pPr>
        <w:autoSpaceDE w:val="0"/>
        <w:autoSpaceDN w:val="0"/>
        <w:adjustRightInd w:val="0"/>
        <w:rPr>
          <w:sz w:val="22"/>
          <w:szCs w:val="22"/>
          <w:lang w:eastAsia="lt-LT"/>
        </w:rPr>
      </w:pPr>
      <w:r w:rsidRPr="009B54A6">
        <w:rPr>
          <w:rFonts w:eastAsia="TimesNewRoman"/>
          <w:sz w:val="22"/>
          <w:szCs w:val="22"/>
        </w:rPr>
        <w:t>Pastebėtas bendras nepageidaujamų reakcijų dažnis ir struktūra telmisartano/hidrochlorotiazido 80 mg/25 mg deriniui ir telmisartano/hidrochlorotiazido 80 mg/12,5 mg deriniui buvo panašūs. Nepageidaujamų reakcijų priklausomumas nuo dozės nenustatinėtas. Nuo lyties, amžiaus ir rasės jis nepriklausė.</w:t>
      </w:r>
    </w:p>
    <w:p w14:paraId="2DA95123" w14:textId="77777777" w:rsidR="000E5428" w:rsidRPr="009B54A6" w:rsidRDefault="000E5428" w:rsidP="000E5428">
      <w:pPr>
        <w:autoSpaceDE w:val="0"/>
        <w:autoSpaceDN w:val="0"/>
        <w:adjustRightInd w:val="0"/>
        <w:rPr>
          <w:sz w:val="22"/>
          <w:szCs w:val="22"/>
          <w:lang w:eastAsia="lt-LT"/>
        </w:rPr>
      </w:pPr>
    </w:p>
    <w:p w14:paraId="539A894D" w14:textId="77777777" w:rsidR="000E5428" w:rsidRPr="009B54A6" w:rsidRDefault="000E5428" w:rsidP="000E5428">
      <w:pPr>
        <w:autoSpaceDE w:val="0"/>
        <w:autoSpaceDN w:val="0"/>
        <w:adjustRightInd w:val="0"/>
        <w:rPr>
          <w:i/>
          <w:sz w:val="22"/>
          <w:szCs w:val="22"/>
          <w:lang w:eastAsia="lt-LT"/>
        </w:rPr>
      </w:pPr>
      <w:r w:rsidRPr="009B54A6">
        <w:rPr>
          <w:i/>
          <w:iCs/>
          <w:sz w:val="22"/>
          <w:szCs w:val="22"/>
          <w:lang w:eastAsia="lt-LT"/>
        </w:rPr>
        <w:t>b. Nepageidaujamų reakcijų santrauka lentelėje</w:t>
      </w:r>
    </w:p>
    <w:p w14:paraId="6A9223CA" w14:textId="77777777" w:rsidR="000E5428" w:rsidRPr="009B54A6" w:rsidRDefault="000E5428" w:rsidP="000E5428">
      <w:pPr>
        <w:autoSpaceDE w:val="0"/>
        <w:autoSpaceDN w:val="0"/>
        <w:adjustRightInd w:val="0"/>
        <w:rPr>
          <w:sz w:val="22"/>
          <w:szCs w:val="22"/>
          <w:lang w:eastAsia="lt-LT"/>
        </w:rPr>
      </w:pPr>
      <w:r w:rsidRPr="009B54A6">
        <w:rPr>
          <w:rFonts w:eastAsia="TimesNewRoman"/>
          <w:sz w:val="22"/>
          <w:szCs w:val="22"/>
        </w:rPr>
        <w:t>Nepageidaujamos reakcijos, kurios telmisartano ir hidrochlorotiazido vartojantiems pacientams pasireiškė dažniau (p ≤ 0,05) negu vartojantiems placebo, išvardytos toliau esančioje lentelėje pagal organų sistemas. Gydant telmisartano/hidrochlorotiazido deriniu gali pasireikšti ir kiekvienos veikliosios šio derinio medžiagos sukeliamos nepageidaujamos reakcijos, nors klinikinių tyrimų metu kompleksinis preparatas jų nesukėlė.</w:t>
      </w:r>
    </w:p>
    <w:p w14:paraId="0373EDE7" w14:textId="77777777" w:rsidR="000E5428" w:rsidRPr="009B54A6" w:rsidRDefault="000E5428" w:rsidP="000E5428">
      <w:pPr>
        <w:autoSpaceDE w:val="0"/>
        <w:autoSpaceDN w:val="0"/>
        <w:adjustRightInd w:val="0"/>
        <w:rPr>
          <w:sz w:val="22"/>
          <w:szCs w:val="22"/>
          <w:lang w:eastAsia="lt-LT"/>
        </w:rPr>
      </w:pPr>
    </w:p>
    <w:p w14:paraId="117A7184"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 xml:space="preserve">Nepageidaujamų reakcijų atvejai suskirstyti pagal dažnį į grupes naudojantis tokiu susitarimu: </w:t>
      </w:r>
    </w:p>
    <w:p w14:paraId="21618A14"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labai dažnas (≥ 1/10); dažni (nuo ≥ 1/100 iki &lt; 1/10); nedažnas (nuo ≥ 1/1 000 iki &lt; 1/100); retas (nuo ≥ 1/10 000 iki &lt; 1/1 000); labai retas (&lt; 1/10 000); dažnis nežinomas (negali būti įvertintas pagal turimus duomenis).</w:t>
      </w:r>
    </w:p>
    <w:p w14:paraId="35FAF2CA" w14:textId="77777777" w:rsidR="000E5428" w:rsidRPr="009B54A6" w:rsidRDefault="000E5428" w:rsidP="000E5428">
      <w:pPr>
        <w:tabs>
          <w:tab w:val="left" w:pos="567"/>
        </w:tabs>
        <w:rPr>
          <w:iCs/>
          <w:sz w:val="22"/>
          <w:szCs w:val="22"/>
        </w:rPr>
      </w:pPr>
      <w:r w:rsidRPr="009B54A6">
        <w:rPr>
          <w:sz w:val="22"/>
          <w:szCs w:val="22"/>
          <w:lang w:eastAsia="lt-LT"/>
        </w:rPr>
        <w:t>Kiekvienoje dažnio grupėje nepageidaujamos reakcijos pateikiamos mažėjančio sunkumo tvarka.</w:t>
      </w:r>
    </w:p>
    <w:p w14:paraId="7740FAD5" w14:textId="77777777" w:rsidR="000E5428" w:rsidRPr="009B54A6" w:rsidRDefault="000E5428" w:rsidP="000E5428">
      <w:pPr>
        <w:tabs>
          <w:tab w:val="left" w:pos="567"/>
        </w:tabs>
        <w:jc w:val="both"/>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4556"/>
      </w:tblGrid>
      <w:tr w:rsidR="000E5428" w:rsidRPr="009B54A6" w14:paraId="26AE122B" w14:textId="77777777" w:rsidTr="00010674">
        <w:trPr>
          <w:tblHeader/>
        </w:trPr>
        <w:tc>
          <w:tcPr>
            <w:tcW w:w="2552" w:type="dxa"/>
            <w:shd w:val="clear" w:color="auto" w:fill="auto"/>
          </w:tcPr>
          <w:p w14:paraId="12E3BA36" w14:textId="77777777" w:rsidR="000E5428" w:rsidRPr="009B54A6" w:rsidRDefault="000E5428" w:rsidP="00010674">
            <w:pPr>
              <w:autoSpaceDE w:val="0"/>
              <w:autoSpaceDN w:val="0"/>
              <w:adjustRightInd w:val="0"/>
              <w:rPr>
                <w:color w:val="008000"/>
                <w:sz w:val="22"/>
                <w:szCs w:val="22"/>
              </w:rPr>
            </w:pPr>
            <w:r w:rsidRPr="009B54A6">
              <w:rPr>
                <w:b/>
                <w:bCs/>
                <w:color w:val="000000"/>
                <w:sz w:val="22"/>
                <w:szCs w:val="22"/>
              </w:rPr>
              <w:t>Organų sistemų klasė</w:t>
            </w:r>
          </w:p>
        </w:tc>
        <w:tc>
          <w:tcPr>
            <w:tcW w:w="1984" w:type="dxa"/>
            <w:shd w:val="clear" w:color="auto" w:fill="auto"/>
          </w:tcPr>
          <w:p w14:paraId="456B74C5" w14:textId="77777777" w:rsidR="000E5428" w:rsidRPr="009B54A6" w:rsidRDefault="000E5428" w:rsidP="00010674">
            <w:pPr>
              <w:autoSpaceDE w:val="0"/>
              <w:autoSpaceDN w:val="0"/>
              <w:adjustRightInd w:val="0"/>
              <w:rPr>
                <w:color w:val="008000"/>
                <w:sz w:val="22"/>
                <w:szCs w:val="22"/>
              </w:rPr>
            </w:pPr>
            <w:r w:rsidRPr="009B54A6">
              <w:rPr>
                <w:b/>
                <w:bCs/>
                <w:color w:val="000000"/>
                <w:sz w:val="22"/>
                <w:szCs w:val="22"/>
              </w:rPr>
              <w:t>Dažnis</w:t>
            </w:r>
          </w:p>
        </w:tc>
        <w:tc>
          <w:tcPr>
            <w:tcW w:w="4556" w:type="dxa"/>
            <w:shd w:val="clear" w:color="auto" w:fill="auto"/>
          </w:tcPr>
          <w:p w14:paraId="466B8A86" w14:textId="77777777" w:rsidR="000E5428" w:rsidRPr="009B54A6" w:rsidRDefault="000E5428" w:rsidP="00010674">
            <w:pPr>
              <w:autoSpaceDE w:val="0"/>
              <w:autoSpaceDN w:val="0"/>
              <w:adjustRightInd w:val="0"/>
              <w:rPr>
                <w:color w:val="008000"/>
                <w:sz w:val="22"/>
                <w:szCs w:val="22"/>
              </w:rPr>
            </w:pPr>
            <w:r w:rsidRPr="009B54A6">
              <w:rPr>
                <w:b/>
                <w:bCs/>
                <w:color w:val="000000"/>
                <w:sz w:val="22"/>
                <w:szCs w:val="22"/>
              </w:rPr>
              <w:t>Nepageidaujamas poveikis</w:t>
            </w:r>
          </w:p>
        </w:tc>
      </w:tr>
      <w:tr w:rsidR="000E5428" w:rsidRPr="009B54A6" w14:paraId="1A0AB045" w14:textId="77777777" w:rsidTr="00010674">
        <w:tc>
          <w:tcPr>
            <w:tcW w:w="2552" w:type="dxa"/>
            <w:shd w:val="clear" w:color="auto" w:fill="auto"/>
          </w:tcPr>
          <w:p w14:paraId="7EFBCD24"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Infekcijos ir infestacijos</w:t>
            </w:r>
          </w:p>
        </w:tc>
        <w:tc>
          <w:tcPr>
            <w:tcW w:w="1984" w:type="dxa"/>
            <w:shd w:val="clear" w:color="auto" w:fill="auto"/>
          </w:tcPr>
          <w:p w14:paraId="1CF9CFE6"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36A95ABC"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Bronchitas, faringitas, sinusitas</w:t>
            </w:r>
          </w:p>
        </w:tc>
      </w:tr>
      <w:tr w:rsidR="000E5428" w:rsidRPr="009B54A6" w14:paraId="59126287" w14:textId="77777777" w:rsidTr="00010674">
        <w:tc>
          <w:tcPr>
            <w:tcW w:w="2552" w:type="dxa"/>
            <w:shd w:val="clear" w:color="auto" w:fill="auto"/>
          </w:tcPr>
          <w:p w14:paraId="271915F8" w14:textId="77777777" w:rsidR="000E5428" w:rsidRPr="009B54A6" w:rsidRDefault="000E5428" w:rsidP="00010674">
            <w:pPr>
              <w:autoSpaceDE w:val="0"/>
              <w:autoSpaceDN w:val="0"/>
              <w:adjustRightInd w:val="0"/>
              <w:rPr>
                <w:sz w:val="22"/>
                <w:szCs w:val="22"/>
                <w:lang w:eastAsia="sl-SI"/>
              </w:rPr>
            </w:pPr>
            <w:r w:rsidRPr="009B54A6">
              <w:rPr>
                <w:bCs/>
                <w:sz w:val="22"/>
                <w:szCs w:val="22"/>
                <w:lang w:eastAsia="lt-LT"/>
              </w:rPr>
              <w:t>Imuninės sistemos sutrikimai</w:t>
            </w:r>
          </w:p>
        </w:tc>
        <w:tc>
          <w:tcPr>
            <w:tcW w:w="1984" w:type="dxa"/>
            <w:shd w:val="clear" w:color="auto" w:fill="auto"/>
          </w:tcPr>
          <w:p w14:paraId="086C88D7"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46CA46FE"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Sisteminės raudonosios vilkligės paūmėjimas ar aktyvacija</w:t>
            </w:r>
            <w:r w:rsidRPr="009B54A6">
              <w:rPr>
                <w:sz w:val="22"/>
                <w:szCs w:val="22"/>
                <w:vertAlign w:val="superscript"/>
                <w:lang w:eastAsia="sl-SI"/>
              </w:rPr>
              <w:t>1</w:t>
            </w:r>
          </w:p>
        </w:tc>
      </w:tr>
      <w:tr w:rsidR="000E5428" w:rsidRPr="009B54A6" w14:paraId="1D36D9BE" w14:textId="77777777" w:rsidTr="00010674">
        <w:tc>
          <w:tcPr>
            <w:tcW w:w="2552" w:type="dxa"/>
            <w:vMerge w:val="restart"/>
            <w:shd w:val="clear" w:color="auto" w:fill="auto"/>
          </w:tcPr>
          <w:p w14:paraId="315AB03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Metabolizmo ir mitybos sutrikimai</w:t>
            </w:r>
          </w:p>
        </w:tc>
        <w:tc>
          <w:tcPr>
            <w:tcW w:w="1984" w:type="dxa"/>
            <w:shd w:val="clear" w:color="auto" w:fill="auto"/>
          </w:tcPr>
          <w:p w14:paraId="7F27A371"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2EB6285A"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Hipokalemija</w:t>
            </w:r>
          </w:p>
        </w:tc>
      </w:tr>
      <w:tr w:rsidR="000E5428" w:rsidRPr="009B54A6" w14:paraId="531343EE" w14:textId="77777777" w:rsidTr="00010674">
        <w:tc>
          <w:tcPr>
            <w:tcW w:w="2552" w:type="dxa"/>
            <w:vMerge/>
            <w:shd w:val="clear" w:color="auto" w:fill="auto"/>
          </w:tcPr>
          <w:p w14:paraId="5C4C07B8"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6BD0F26F"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49F18F4C"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Hiperurikemija, hiponatremija</w:t>
            </w:r>
          </w:p>
        </w:tc>
      </w:tr>
      <w:tr w:rsidR="000E5428" w:rsidRPr="009B54A6" w14:paraId="76B7DD85" w14:textId="77777777" w:rsidTr="00010674">
        <w:tc>
          <w:tcPr>
            <w:tcW w:w="2552" w:type="dxa"/>
            <w:vMerge w:val="restart"/>
            <w:shd w:val="clear" w:color="auto" w:fill="auto"/>
          </w:tcPr>
          <w:p w14:paraId="2521DBD4"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Psichikos sutrikimai</w:t>
            </w:r>
          </w:p>
        </w:tc>
        <w:tc>
          <w:tcPr>
            <w:tcW w:w="1984" w:type="dxa"/>
            <w:shd w:val="clear" w:color="auto" w:fill="auto"/>
          </w:tcPr>
          <w:p w14:paraId="1EFB09BE"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1FB17A91"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Nerimas</w:t>
            </w:r>
          </w:p>
        </w:tc>
      </w:tr>
      <w:tr w:rsidR="000E5428" w:rsidRPr="009B54A6" w14:paraId="3DDE7BF7" w14:textId="77777777" w:rsidTr="00010674">
        <w:tc>
          <w:tcPr>
            <w:tcW w:w="2552" w:type="dxa"/>
            <w:vMerge/>
            <w:shd w:val="clear" w:color="auto" w:fill="auto"/>
          </w:tcPr>
          <w:p w14:paraId="06BA3726"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30E25BC9"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76E80396"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Depresija</w:t>
            </w:r>
          </w:p>
        </w:tc>
      </w:tr>
      <w:tr w:rsidR="000E5428" w:rsidRPr="009B54A6" w14:paraId="70003649" w14:textId="77777777" w:rsidTr="00010674">
        <w:tc>
          <w:tcPr>
            <w:tcW w:w="2552" w:type="dxa"/>
            <w:vMerge w:val="restart"/>
            <w:shd w:val="clear" w:color="auto" w:fill="auto"/>
          </w:tcPr>
          <w:p w14:paraId="1B4690E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Nervų sistemos sutrikimai</w:t>
            </w:r>
          </w:p>
        </w:tc>
        <w:tc>
          <w:tcPr>
            <w:tcW w:w="1984" w:type="dxa"/>
            <w:shd w:val="clear" w:color="auto" w:fill="auto"/>
          </w:tcPr>
          <w:p w14:paraId="7D324735"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Dažnas</w:t>
            </w:r>
          </w:p>
        </w:tc>
        <w:tc>
          <w:tcPr>
            <w:tcW w:w="4556" w:type="dxa"/>
            <w:shd w:val="clear" w:color="auto" w:fill="auto"/>
          </w:tcPr>
          <w:p w14:paraId="0CE2B32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Svaigulys</w:t>
            </w:r>
          </w:p>
        </w:tc>
      </w:tr>
      <w:tr w:rsidR="000E5428" w:rsidRPr="009B54A6" w14:paraId="6BD59C12" w14:textId="77777777" w:rsidTr="00010674">
        <w:tc>
          <w:tcPr>
            <w:tcW w:w="2552" w:type="dxa"/>
            <w:vMerge/>
            <w:shd w:val="clear" w:color="auto" w:fill="auto"/>
          </w:tcPr>
          <w:p w14:paraId="532F7B2A"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5F94E2C8"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6DCCFB67"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Apalpimas, parestezija</w:t>
            </w:r>
          </w:p>
        </w:tc>
      </w:tr>
      <w:tr w:rsidR="000E5428" w:rsidRPr="009B54A6" w14:paraId="3825C6ED" w14:textId="77777777" w:rsidTr="00010674">
        <w:tc>
          <w:tcPr>
            <w:tcW w:w="2552" w:type="dxa"/>
            <w:vMerge/>
            <w:shd w:val="clear" w:color="auto" w:fill="auto"/>
          </w:tcPr>
          <w:p w14:paraId="7CD14FE7"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04F34A61"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04792FA7"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Nemiga, miego sutrikimas</w:t>
            </w:r>
          </w:p>
        </w:tc>
      </w:tr>
      <w:tr w:rsidR="000E5428" w:rsidRPr="009B54A6" w14:paraId="35B4D947" w14:textId="77777777" w:rsidTr="00010674">
        <w:tc>
          <w:tcPr>
            <w:tcW w:w="2552" w:type="dxa"/>
            <w:shd w:val="clear" w:color="auto" w:fill="auto"/>
          </w:tcPr>
          <w:p w14:paraId="1C4D40DA"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Akių sutrikimai</w:t>
            </w:r>
          </w:p>
        </w:tc>
        <w:tc>
          <w:tcPr>
            <w:tcW w:w="1984" w:type="dxa"/>
            <w:shd w:val="clear" w:color="auto" w:fill="auto"/>
          </w:tcPr>
          <w:p w14:paraId="5ABD9B00"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36F0247E"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Regos sutrikimas, vaizdo ryškumo sumažėjimas</w:t>
            </w:r>
          </w:p>
        </w:tc>
      </w:tr>
      <w:tr w:rsidR="000E5428" w:rsidRPr="009B54A6" w14:paraId="09AC3F38" w14:textId="77777777" w:rsidTr="00010674">
        <w:tc>
          <w:tcPr>
            <w:tcW w:w="2552" w:type="dxa"/>
            <w:shd w:val="clear" w:color="auto" w:fill="auto"/>
          </w:tcPr>
          <w:p w14:paraId="76005B05"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Ausų ir labirintų sutrikimai</w:t>
            </w:r>
          </w:p>
        </w:tc>
        <w:tc>
          <w:tcPr>
            <w:tcW w:w="1984" w:type="dxa"/>
            <w:shd w:val="clear" w:color="auto" w:fill="auto"/>
          </w:tcPr>
          <w:p w14:paraId="06B0D40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48C35BF9"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 xml:space="preserve">Galvos sukimasis </w:t>
            </w:r>
            <w:r w:rsidRPr="009B54A6">
              <w:rPr>
                <w:i/>
                <w:sz w:val="22"/>
                <w:szCs w:val="22"/>
                <w:lang w:eastAsia="sl-SI"/>
              </w:rPr>
              <w:t>(vertigo)</w:t>
            </w:r>
          </w:p>
        </w:tc>
      </w:tr>
      <w:tr w:rsidR="000E5428" w:rsidRPr="009B54A6" w14:paraId="4C1F1FE5" w14:textId="77777777" w:rsidTr="00010674">
        <w:tc>
          <w:tcPr>
            <w:tcW w:w="2552" w:type="dxa"/>
            <w:shd w:val="clear" w:color="auto" w:fill="auto"/>
          </w:tcPr>
          <w:p w14:paraId="30020011"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lastRenderedPageBreak/>
              <w:t>Širdies sutrikimai</w:t>
            </w:r>
          </w:p>
        </w:tc>
        <w:tc>
          <w:tcPr>
            <w:tcW w:w="1984" w:type="dxa"/>
            <w:shd w:val="clear" w:color="auto" w:fill="auto"/>
          </w:tcPr>
          <w:p w14:paraId="57C952E8"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617E7A1A"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Tachikardija, širdies ritmo sutrikimai</w:t>
            </w:r>
          </w:p>
        </w:tc>
      </w:tr>
      <w:tr w:rsidR="000E5428" w:rsidRPr="009B54A6" w14:paraId="77C9D73F" w14:textId="77777777" w:rsidTr="00010674">
        <w:tc>
          <w:tcPr>
            <w:tcW w:w="2552" w:type="dxa"/>
            <w:shd w:val="clear" w:color="auto" w:fill="auto"/>
          </w:tcPr>
          <w:p w14:paraId="611775F9"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Kraujagyslių sutrikimai</w:t>
            </w:r>
          </w:p>
        </w:tc>
        <w:tc>
          <w:tcPr>
            <w:tcW w:w="1984" w:type="dxa"/>
            <w:shd w:val="clear" w:color="auto" w:fill="auto"/>
          </w:tcPr>
          <w:p w14:paraId="5C15ACDE"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4695B191" w14:textId="1D161BC7" w:rsidR="000E5428" w:rsidRPr="009B54A6" w:rsidRDefault="000E5428" w:rsidP="00010674">
            <w:pPr>
              <w:autoSpaceDE w:val="0"/>
              <w:autoSpaceDN w:val="0"/>
              <w:adjustRightInd w:val="0"/>
              <w:rPr>
                <w:sz w:val="22"/>
                <w:szCs w:val="22"/>
                <w:lang w:eastAsia="sl-SI"/>
              </w:rPr>
            </w:pPr>
            <w:r w:rsidRPr="009B54A6">
              <w:rPr>
                <w:sz w:val="22"/>
                <w:szCs w:val="22"/>
                <w:lang w:eastAsia="sl-SI"/>
              </w:rPr>
              <w:t>Hipotenzija, ortostatinė hipotenzija</w:t>
            </w:r>
          </w:p>
        </w:tc>
      </w:tr>
      <w:tr w:rsidR="000E5428" w:rsidRPr="009B54A6" w14:paraId="5A94AFCD" w14:textId="77777777" w:rsidTr="00010674">
        <w:tc>
          <w:tcPr>
            <w:tcW w:w="2552" w:type="dxa"/>
            <w:vMerge w:val="restart"/>
            <w:shd w:val="clear" w:color="auto" w:fill="auto"/>
          </w:tcPr>
          <w:p w14:paraId="15538858"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Kvėpavimo sistemos, krūtinės ląstos ir tarpuplaučio sutrikimai</w:t>
            </w:r>
          </w:p>
        </w:tc>
        <w:tc>
          <w:tcPr>
            <w:tcW w:w="1984" w:type="dxa"/>
            <w:shd w:val="clear" w:color="auto" w:fill="auto"/>
          </w:tcPr>
          <w:p w14:paraId="40A26692"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3145B745"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Dusulys</w:t>
            </w:r>
          </w:p>
        </w:tc>
      </w:tr>
      <w:tr w:rsidR="000E5428" w:rsidRPr="009B54A6" w14:paraId="6E8ABE4A" w14:textId="77777777" w:rsidTr="00010674">
        <w:tc>
          <w:tcPr>
            <w:tcW w:w="2552" w:type="dxa"/>
            <w:vMerge/>
            <w:shd w:val="clear" w:color="auto" w:fill="auto"/>
          </w:tcPr>
          <w:p w14:paraId="15292E3B"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67DF5058"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7D1A21AC"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Kvėpavimo distresas (įskaitant pneumonitą ir plaučių edemą)</w:t>
            </w:r>
          </w:p>
        </w:tc>
      </w:tr>
      <w:tr w:rsidR="000E5428" w:rsidRPr="009B54A6" w14:paraId="16B00910" w14:textId="77777777" w:rsidTr="00010674">
        <w:tc>
          <w:tcPr>
            <w:tcW w:w="2552" w:type="dxa"/>
            <w:vMerge w:val="restart"/>
            <w:shd w:val="clear" w:color="auto" w:fill="auto"/>
          </w:tcPr>
          <w:p w14:paraId="5BB311FF"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Virškinimo trakto sutrikimai</w:t>
            </w:r>
          </w:p>
        </w:tc>
        <w:tc>
          <w:tcPr>
            <w:tcW w:w="1984" w:type="dxa"/>
            <w:shd w:val="clear" w:color="auto" w:fill="auto"/>
          </w:tcPr>
          <w:p w14:paraId="7FC639E0"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72A74932"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 xml:space="preserve">Viduriavimas, burnos džiūvimas, </w:t>
            </w:r>
            <w:r w:rsidRPr="009B54A6">
              <w:rPr>
                <w:sz w:val="22"/>
                <w:szCs w:val="22"/>
                <w:lang w:eastAsia="lt-LT"/>
              </w:rPr>
              <w:t>vidurių pūtimas</w:t>
            </w:r>
            <w:r w:rsidRPr="009B54A6">
              <w:rPr>
                <w:sz w:val="22"/>
                <w:szCs w:val="22"/>
                <w:lang w:eastAsia="sl-SI"/>
              </w:rPr>
              <w:t xml:space="preserve"> </w:t>
            </w:r>
          </w:p>
        </w:tc>
      </w:tr>
      <w:tr w:rsidR="000E5428" w:rsidRPr="009B54A6" w14:paraId="5D33E06D" w14:textId="77777777" w:rsidTr="00010674">
        <w:tc>
          <w:tcPr>
            <w:tcW w:w="2552" w:type="dxa"/>
            <w:vMerge/>
            <w:shd w:val="clear" w:color="auto" w:fill="auto"/>
          </w:tcPr>
          <w:p w14:paraId="7A587510"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2E8FE73E"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61A6F5E3" w14:textId="77777777" w:rsidR="000E5428" w:rsidRPr="009B54A6" w:rsidRDefault="000E5428" w:rsidP="00010674">
            <w:pPr>
              <w:autoSpaceDE w:val="0"/>
              <w:autoSpaceDN w:val="0"/>
              <w:adjustRightInd w:val="0"/>
              <w:rPr>
                <w:sz w:val="22"/>
                <w:szCs w:val="22"/>
                <w:lang w:eastAsia="sl-SI"/>
              </w:rPr>
            </w:pPr>
            <w:r w:rsidRPr="009B54A6">
              <w:rPr>
                <w:sz w:val="22"/>
                <w:szCs w:val="22"/>
                <w:lang w:eastAsia="lt-LT"/>
              </w:rPr>
              <w:t>Pilvo skausmas, vidurių užkietėjimas, dispepsija, vėmimas, skrandžio uždegimas</w:t>
            </w:r>
          </w:p>
        </w:tc>
      </w:tr>
      <w:tr w:rsidR="000E5428" w:rsidRPr="009B54A6" w14:paraId="5AB29DE9" w14:textId="77777777" w:rsidTr="00010674">
        <w:tc>
          <w:tcPr>
            <w:tcW w:w="2552" w:type="dxa"/>
            <w:shd w:val="clear" w:color="auto" w:fill="auto"/>
          </w:tcPr>
          <w:p w14:paraId="2A35A312"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Kepenų, tulžies pūslės ir latakų sutrikimai</w:t>
            </w:r>
          </w:p>
        </w:tc>
        <w:tc>
          <w:tcPr>
            <w:tcW w:w="1984" w:type="dxa"/>
            <w:shd w:val="clear" w:color="auto" w:fill="auto"/>
          </w:tcPr>
          <w:p w14:paraId="66BDAB79"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15683B2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Nenormali kepenų funkcija/kepenų sutrikimas</w:t>
            </w:r>
            <w:r w:rsidRPr="009B54A6">
              <w:rPr>
                <w:sz w:val="22"/>
                <w:szCs w:val="22"/>
                <w:vertAlign w:val="superscript"/>
                <w:lang w:eastAsia="sl-SI"/>
              </w:rPr>
              <w:t>2</w:t>
            </w:r>
          </w:p>
        </w:tc>
      </w:tr>
      <w:tr w:rsidR="000E5428" w:rsidRPr="009B54A6" w14:paraId="51A37B72" w14:textId="77777777" w:rsidTr="00010674">
        <w:tc>
          <w:tcPr>
            <w:tcW w:w="2552" w:type="dxa"/>
            <w:shd w:val="clear" w:color="auto" w:fill="auto"/>
          </w:tcPr>
          <w:p w14:paraId="1160E3D1"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Odos ir poodinio audinio sutrikimai</w:t>
            </w:r>
          </w:p>
        </w:tc>
        <w:tc>
          <w:tcPr>
            <w:tcW w:w="1984" w:type="dxa"/>
            <w:shd w:val="clear" w:color="auto" w:fill="auto"/>
          </w:tcPr>
          <w:p w14:paraId="4D10792E"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0C05B2A8" w14:textId="74345152" w:rsidR="000E5428" w:rsidRPr="009B54A6" w:rsidRDefault="000E5428" w:rsidP="00010674">
            <w:pPr>
              <w:autoSpaceDE w:val="0"/>
              <w:autoSpaceDN w:val="0"/>
              <w:adjustRightInd w:val="0"/>
              <w:rPr>
                <w:sz w:val="22"/>
                <w:szCs w:val="22"/>
                <w:lang w:eastAsia="sl-SI"/>
              </w:rPr>
            </w:pPr>
            <w:r w:rsidRPr="009B54A6">
              <w:rPr>
                <w:sz w:val="22"/>
                <w:szCs w:val="22"/>
                <w:lang w:eastAsia="sl-SI"/>
              </w:rPr>
              <w:t>Angioneurozinė edema (taip pat ir mirtina), paraudimas, niežulys, išbėrimas, padidėjęs prakaitavimas, dilgėlinė</w:t>
            </w:r>
          </w:p>
        </w:tc>
      </w:tr>
      <w:tr w:rsidR="000E5428" w:rsidRPr="009B54A6" w14:paraId="208997BD" w14:textId="77777777" w:rsidTr="00010674">
        <w:tc>
          <w:tcPr>
            <w:tcW w:w="2552" w:type="dxa"/>
            <w:vMerge w:val="restart"/>
            <w:shd w:val="clear" w:color="auto" w:fill="auto"/>
          </w:tcPr>
          <w:p w14:paraId="07C3A8E6" w14:textId="77777777" w:rsidR="000E5428" w:rsidRPr="009B54A6" w:rsidRDefault="000E5428" w:rsidP="00010674">
            <w:pPr>
              <w:autoSpaceDE w:val="0"/>
              <w:autoSpaceDN w:val="0"/>
              <w:adjustRightInd w:val="0"/>
              <w:rPr>
                <w:sz w:val="22"/>
                <w:szCs w:val="22"/>
                <w:lang w:eastAsia="sl-SI"/>
              </w:rPr>
            </w:pPr>
            <w:r w:rsidRPr="009B54A6">
              <w:rPr>
                <w:bCs/>
                <w:sz w:val="22"/>
                <w:szCs w:val="22"/>
                <w:lang w:eastAsia="lt-LT"/>
              </w:rPr>
              <w:t>Skeleto, raumenų ir jungiamojo audinio sutrikimai</w:t>
            </w:r>
          </w:p>
        </w:tc>
        <w:tc>
          <w:tcPr>
            <w:tcW w:w="1984" w:type="dxa"/>
            <w:shd w:val="clear" w:color="auto" w:fill="auto"/>
          </w:tcPr>
          <w:p w14:paraId="783322E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5CCF8762" w14:textId="77777777" w:rsidR="000E5428" w:rsidRPr="009B54A6" w:rsidRDefault="000E5428" w:rsidP="00010674">
            <w:pPr>
              <w:autoSpaceDE w:val="0"/>
              <w:autoSpaceDN w:val="0"/>
              <w:adjustRightInd w:val="0"/>
              <w:rPr>
                <w:sz w:val="22"/>
                <w:szCs w:val="22"/>
                <w:lang w:eastAsia="sl-SI"/>
              </w:rPr>
            </w:pPr>
            <w:r w:rsidRPr="009B54A6">
              <w:rPr>
                <w:sz w:val="22"/>
                <w:szCs w:val="22"/>
                <w:lang w:eastAsia="lt-LT"/>
              </w:rPr>
              <w:t>Nugaros skausmas, raumenų spazmas, raumenų skausmas</w:t>
            </w:r>
          </w:p>
        </w:tc>
      </w:tr>
      <w:tr w:rsidR="000E5428" w:rsidRPr="009B54A6" w14:paraId="0DA4FA31" w14:textId="77777777" w:rsidTr="00010674">
        <w:tc>
          <w:tcPr>
            <w:tcW w:w="2552" w:type="dxa"/>
            <w:vMerge/>
            <w:shd w:val="clear" w:color="auto" w:fill="auto"/>
          </w:tcPr>
          <w:p w14:paraId="598EFF08"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5DDAB9C9"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2B1632BB" w14:textId="77777777" w:rsidR="000E5428" w:rsidRPr="009B54A6" w:rsidRDefault="000E5428" w:rsidP="00010674">
            <w:pPr>
              <w:autoSpaceDE w:val="0"/>
              <w:autoSpaceDN w:val="0"/>
              <w:adjustRightInd w:val="0"/>
              <w:rPr>
                <w:sz w:val="22"/>
                <w:szCs w:val="22"/>
                <w:lang w:eastAsia="sl-SI"/>
              </w:rPr>
            </w:pPr>
            <w:r w:rsidRPr="009B54A6">
              <w:rPr>
                <w:sz w:val="22"/>
                <w:szCs w:val="22"/>
                <w:lang w:eastAsia="lt-LT"/>
              </w:rPr>
              <w:t xml:space="preserve">Sąnarių skausmas, raumenų spazmai, galūnių skausmas </w:t>
            </w:r>
          </w:p>
        </w:tc>
      </w:tr>
      <w:tr w:rsidR="000E5428" w:rsidRPr="009B54A6" w14:paraId="7410F698" w14:textId="77777777" w:rsidTr="00010674">
        <w:tc>
          <w:tcPr>
            <w:tcW w:w="2552" w:type="dxa"/>
            <w:shd w:val="clear" w:color="auto" w:fill="auto"/>
          </w:tcPr>
          <w:p w14:paraId="0D1EDD81"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Lytinės sistemos ir krūties sutrikimai</w:t>
            </w:r>
          </w:p>
        </w:tc>
        <w:tc>
          <w:tcPr>
            <w:tcW w:w="1984" w:type="dxa"/>
            <w:shd w:val="clear" w:color="auto" w:fill="auto"/>
          </w:tcPr>
          <w:p w14:paraId="74245E13"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3239F24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Erekcijos disfunkcija</w:t>
            </w:r>
          </w:p>
        </w:tc>
      </w:tr>
      <w:tr w:rsidR="000E5428" w:rsidRPr="009B54A6" w14:paraId="33FD17EE" w14:textId="77777777" w:rsidTr="00010674">
        <w:tc>
          <w:tcPr>
            <w:tcW w:w="2552" w:type="dxa"/>
            <w:vMerge w:val="restart"/>
            <w:shd w:val="clear" w:color="auto" w:fill="auto"/>
          </w:tcPr>
          <w:p w14:paraId="49D10CC5"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Bendrieji sutrikimai ir vartojimo vietos pažeidimai</w:t>
            </w:r>
          </w:p>
        </w:tc>
        <w:tc>
          <w:tcPr>
            <w:tcW w:w="1984" w:type="dxa"/>
            <w:shd w:val="clear" w:color="auto" w:fill="auto"/>
          </w:tcPr>
          <w:p w14:paraId="73E3BC9A"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02C75463"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Krūtinės skausmas</w:t>
            </w:r>
          </w:p>
        </w:tc>
      </w:tr>
      <w:tr w:rsidR="000E5428" w:rsidRPr="009B54A6" w14:paraId="3F5B830C" w14:textId="77777777" w:rsidTr="00010674">
        <w:tc>
          <w:tcPr>
            <w:tcW w:w="2552" w:type="dxa"/>
            <w:vMerge/>
            <w:shd w:val="clear" w:color="auto" w:fill="auto"/>
          </w:tcPr>
          <w:p w14:paraId="0F8BE79F"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0541874C"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3DF01B7E"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Į gripą panaši liga, skausmas</w:t>
            </w:r>
          </w:p>
        </w:tc>
      </w:tr>
      <w:tr w:rsidR="000E5428" w:rsidRPr="009B54A6" w14:paraId="6B80AB9A" w14:textId="77777777" w:rsidTr="00010674">
        <w:tc>
          <w:tcPr>
            <w:tcW w:w="2552" w:type="dxa"/>
            <w:vMerge w:val="restart"/>
            <w:shd w:val="clear" w:color="auto" w:fill="auto"/>
          </w:tcPr>
          <w:p w14:paraId="34BF27C5"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Tyrimai</w:t>
            </w:r>
          </w:p>
        </w:tc>
        <w:tc>
          <w:tcPr>
            <w:tcW w:w="1984" w:type="dxa"/>
            <w:shd w:val="clear" w:color="auto" w:fill="auto"/>
          </w:tcPr>
          <w:p w14:paraId="24658430"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658CF42F" w14:textId="77777777" w:rsidR="000E5428" w:rsidRPr="009B54A6" w:rsidRDefault="000E5428" w:rsidP="00010674">
            <w:pPr>
              <w:autoSpaceDE w:val="0"/>
              <w:autoSpaceDN w:val="0"/>
              <w:adjustRightInd w:val="0"/>
              <w:rPr>
                <w:sz w:val="22"/>
                <w:szCs w:val="22"/>
                <w:lang w:eastAsia="sl-SI"/>
              </w:rPr>
            </w:pPr>
            <w:r w:rsidRPr="009B54A6">
              <w:rPr>
                <w:rFonts w:eastAsia="TimesNewRoman"/>
                <w:sz w:val="22"/>
                <w:szCs w:val="22"/>
                <w:lang w:eastAsia="lt-LT"/>
              </w:rPr>
              <w:t>Šlapimo rūgšties kiekio padidėjimas kraujyje</w:t>
            </w:r>
          </w:p>
        </w:tc>
      </w:tr>
      <w:tr w:rsidR="000E5428" w:rsidRPr="009B54A6" w14:paraId="08C6297A" w14:textId="77777777" w:rsidTr="00010674">
        <w:tc>
          <w:tcPr>
            <w:tcW w:w="2552" w:type="dxa"/>
            <w:vMerge/>
            <w:shd w:val="clear" w:color="auto" w:fill="auto"/>
          </w:tcPr>
          <w:p w14:paraId="42442ECD"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4CC4520D"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228CA5ED" w14:textId="77777777" w:rsidR="000E5428" w:rsidRPr="009B54A6" w:rsidRDefault="000E5428" w:rsidP="00010674">
            <w:pPr>
              <w:autoSpaceDE w:val="0"/>
              <w:autoSpaceDN w:val="0"/>
              <w:adjustRightInd w:val="0"/>
              <w:rPr>
                <w:sz w:val="22"/>
                <w:szCs w:val="22"/>
                <w:lang w:eastAsia="sl-SI"/>
              </w:rPr>
            </w:pPr>
            <w:r w:rsidRPr="009B54A6">
              <w:rPr>
                <w:rFonts w:eastAsia="TimesNewRoman"/>
                <w:sz w:val="22"/>
                <w:szCs w:val="22"/>
                <w:lang w:eastAsia="lt-LT"/>
              </w:rPr>
              <w:t>Kreatinino kiekio padidėjimas kraujyje, kreatinfosfokinazės aktyvumo padidėjimas kraujyje, kepenų fermentų aktyvumo padidėjimas kraujyje</w:t>
            </w:r>
          </w:p>
        </w:tc>
      </w:tr>
    </w:tbl>
    <w:p w14:paraId="3531DF86"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vertAlign w:val="superscript"/>
          <w:lang w:eastAsia="lt-LT"/>
        </w:rPr>
        <w:t xml:space="preserve">1 </w:t>
      </w:r>
      <w:r w:rsidRPr="009B54A6">
        <w:rPr>
          <w:rFonts w:eastAsia="TimesNewRoman"/>
          <w:sz w:val="22"/>
          <w:szCs w:val="22"/>
          <w:lang w:eastAsia="lt-LT"/>
        </w:rPr>
        <w:t>Remiantis rinkos stebėsenos duomenimis</w:t>
      </w:r>
    </w:p>
    <w:p w14:paraId="5558E5FB" w14:textId="77777777" w:rsidR="000E5428" w:rsidRPr="009B54A6" w:rsidRDefault="000E5428" w:rsidP="000E5428">
      <w:pPr>
        <w:tabs>
          <w:tab w:val="left" w:pos="567"/>
        </w:tabs>
        <w:jc w:val="both"/>
        <w:rPr>
          <w:b/>
          <w:bCs/>
          <w:sz w:val="22"/>
          <w:szCs w:val="22"/>
        </w:rPr>
      </w:pPr>
      <w:r w:rsidRPr="009B54A6">
        <w:rPr>
          <w:rFonts w:eastAsia="TimesNewRoman"/>
          <w:sz w:val="22"/>
          <w:szCs w:val="22"/>
          <w:vertAlign w:val="superscript"/>
          <w:lang w:eastAsia="lt-LT"/>
        </w:rPr>
        <w:t xml:space="preserve">2 </w:t>
      </w:r>
      <w:r w:rsidRPr="009B54A6">
        <w:rPr>
          <w:rFonts w:eastAsia="TimesNewRoman"/>
          <w:sz w:val="22"/>
          <w:szCs w:val="22"/>
          <w:lang w:eastAsia="lt-LT"/>
        </w:rPr>
        <w:t xml:space="preserve">Papildomą apibūdinimą žr. poskyrį „ </w:t>
      </w:r>
      <w:r w:rsidRPr="009B54A6">
        <w:rPr>
          <w:rFonts w:eastAsia="TimesNewRoman"/>
          <w:i/>
          <w:iCs/>
          <w:sz w:val="22"/>
          <w:szCs w:val="22"/>
          <w:lang w:eastAsia="lt-LT"/>
        </w:rPr>
        <w:t>Atrinktų nepageidaujamų reakcijų apibūdinimas“</w:t>
      </w:r>
    </w:p>
    <w:p w14:paraId="4E7BA0E7" w14:textId="77777777" w:rsidR="000E5428" w:rsidRPr="009B54A6" w:rsidRDefault="000E5428" w:rsidP="000E5428">
      <w:pPr>
        <w:autoSpaceDE w:val="0"/>
        <w:autoSpaceDN w:val="0"/>
        <w:adjustRightInd w:val="0"/>
        <w:rPr>
          <w:sz w:val="22"/>
          <w:szCs w:val="22"/>
          <w:lang w:eastAsia="lt-LT"/>
        </w:rPr>
      </w:pPr>
    </w:p>
    <w:p w14:paraId="77D8AC22" w14:textId="77777777" w:rsidR="000E5428" w:rsidRPr="009B54A6" w:rsidRDefault="000E5428" w:rsidP="000E5428">
      <w:pPr>
        <w:autoSpaceDE w:val="0"/>
        <w:autoSpaceDN w:val="0"/>
        <w:adjustRightInd w:val="0"/>
        <w:rPr>
          <w:i/>
          <w:iCs/>
          <w:sz w:val="22"/>
          <w:szCs w:val="22"/>
          <w:lang w:eastAsia="lt-LT"/>
        </w:rPr>
      </w:pPr>
      <w:r w:rsidRPr="009B54A6">
        <w:rPr>
          <w:i/>
          <w:iCs/>
          <w:sz w:val="22"/>
          <w:szCs w:val="22"/>
          <w:lang w:eastAsia="lt-LT"/>
        </w:rPr>
        <w:t>Papildoma informacija apie atskirus komponentus</w:t>
      </w:r>
    </w:p>
    <w:p w14:paraId="4E509BF9" w14:textId="1620A131"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 xml:space="preserve">Vartojant </w:t>
      </w:r>
      <w:r w:rsidR="007B69D5">
        <w:rPr>
          <w:rFonts w:eastAsia="TimesNewRoman"/>
          <w:sz w:val="22"/>
          <w:szCs w:val="22"/>
          <w:lang w:eastAsia="lt-LT"/>
        </w:rPr>
        <w:t>t</w:t>
      </w:r>
      <w:r w:rsidRPr="009B54A6">
        <w:rPr>
          <w:rFonts w:eastAsia="TimesNewRoman"/>
          <w:sz w:val="22"/>
          <w:szCs w:val="22"/>
          <w:lang w:eastAsia="lt-LT"/>
        </w:rPr>
        <w:t>elmisartano ir hidrochlorido derinį, galimos kiekvienai veikliajai medžiagai būdingos nepageidaujamos reakcijos, nors klinikinių tyrimų metu jos ir nepasireiškė.</w:t>
      </w:r>
    </w:p>
    <w:p w14:paraId="057C709C" w14:textId="77777777" w:rsidR="000E5428" w:rsidRPr="009B54A6" w:rsidRDefault="000E5428" w:rsidP="000E5428">
      <w:pPr>
        <w:autoSpaceDE w:val="0"/>
        <w:autoSpaceDN w:val="0"/>
        <w:adjustRightInd w:val="0"/>
        <w:rPr>
          <w:rFonts w:eastAsia="TimesNewRoman"/>
          <w:sz w:val="22"/>
          <w:szCs w:val="22"/>
          <w:lang w:eastAsia="lt-LT"/>
        </w:rPr>
      </w:pPr>
    </w:p>
    <w:p w14:paraId="11F8B949" w14:textId="77777777" w:rsidR="000E5428" w:rsidRPr="009B54A6" w:rsidRDefault="000E5428" w:rsidP="000E5428">
      <w:pPr>
        <w:autoSpaceDE w:val="0"/>
        <w:autoSpaceDN w:val="0"/>
        <w:adjustRightInd w:val="0"/>
        <w:rPr>
          <w:rFonts w:eastAsia="TimesNewRoman"/>
          <w:sz w:val="22"/>
          <w:szCs w:val="22"/>
          <w:u w:val="single"/>
          <w:lang w:eastAsia="lt-LT"/>
        </w:rPr>
      </w:pPr>
      <w:r w:rsidRPr="009B54A6">
        <w:rPr>
          <w:rFonts w:eastAsia="TimesNewRoman"/>
          <w:sz w:val="22"/>
          <w:szCs w:val="22"/>
          <w:u w:val="single"/>
          <w:lang w:eastAsia="lt-LT"/>
        </w:rPr>
        <w:t>Telmisartanas</w:t>
      </w:r>
    </w:p>
    <w:p w14:paraId="0DE8EA3B"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Nepageidaujamų telmisartano reakcijų dažnis yra panašus į placebo.</w:t>
      </w:r>
    </w:p>
    <w:p w14:paraId="3B6EA290" w14:textId="77777777" w:rsidR="000E5428" w:rsidRPr="009B54A6" w:rsidRDefault="000E5428" w:rsidP="000E5428">
      <w:pPr>
        <w:autoSpaceDE w:val="0"/>
        <w:autoSpaceDN w:val="0"/>
        <w:adjustRightInd w:val="0"/>
        <w:rPr>
          <w:sz w:val="22"/>
          <w:szCs w:val="22"/>
          <w:lang w:eastAsia="lt-LT"/>
        </w:rPr>
      </w:pPr>
      <w:r w:rsidRPr="009B54A6">
        <w:rPr>
          <w:rFonts w:eastAsia="TimesNewRoman"/>
          <w:sz w:val="22"/>
          <w:szCs w:val="22"/>
          <w:lang w:eastAsia="lt-LT"/>
        </w:rPr>
        <w:t>Kontrolinių tyrimų metu bendras telmisartano sukeliamų nepageidaujamų reakcijų dažnis (41,4%) paprastai buvo panašus į placebo sukeliamą (43,9</w:t>
      </w:r>
      <w:r w:rsidRPr="009B54A6">
        <w:rPr>
          <w:sz w:val="22"/>
          <w:szCs w:val="22"/>
          <w:lang w:eastAsia="lt-LT"/>
        </w:rPr>
        <w:t>%</w:t>
      </w:r>
      <w:r w:rsidRPr="009B54A6">
        <w:rPr>
          <w:rFonts w:eastAsia="TimesNewRoman"/>
          <w:sz w:val="22"/>
          <w:szCs w:val="22"/>
          <w:lang w:eastAsia="lt-LT"/>
        </w:rPr>
        <w:t>). Toliau išvardytos nepageidaujamos reakcijos, visų klinikinių tyrimų metu pasireiškusios telmisartanu gydomiems pacientams, sergantiems hipertenzija, arba 50 metų ar vyresniems pacientams, kuriems buvo didelė širdies ir kraujagyslių reiškinių rizika.</w:t>
      </w:r>
    </w:p>
    <w:p w14:paraId="1E5F52F2" w14:textId="77777777" w:rsidR="000E5428" w:rsidRPr="009B54A6" w:rsidRDefault="000E5428" w:rsidP="000E5428">
      <w:pPr>
        <w:autoSpaceDE w:val="0"/>
        <w:autoSpaceDN w:val="0"/>
        <w:adjustRightInd w:val="0"/>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984"/>
        <w:gridCol w:w="4556"/>
      </w:tblGrid>
      <w:tr w:rsidR="000E5428" w:rsidRPr="009B54A6" w14:paraId="3CFF0CAC" w14:textId="77777777" w:rsidTr="00010674">
        <w:trPr>
          <w:tblHeader/>
        </w:trPr>
        <w:tc>
          <w:tcPr>
            <w:tcW w:w="2552" w:type="dxa"/>
            <w:shd w:val="clear" w:color="auto" w:fill="auto"/>
          </w:tcPr>
          <w:p w14:paraId="49FDBF37" w14:textId="77777777" w:rsidR="000E5428" w:rsidRPr="009B54A6" w:rsidRDefault="000E5428" w:rsidP="00010674">
            <w:pPr>
              <w:autoSpaceDE w:val="0"/>
              <w:autoSpaceDN w:val="0"/>
              <w:adjustRightInd w:val="0"/>
              <w:rPr>
                <w:color w:val="000000"/>
                <w:sz w:val="22"/>
                <w:szCs w:val="22"/>
                <w:lang w:eastAsia="sl-SI"/>
              </w:rPr>
            </w:pPr>
            <w:r w:rsidRPr="009B54A6">
              <w:rPr>
                <w:b/>
                <w:bCs/>
                <w:sz w:val="22"/>
                <w:szCs w:val="22"/>
              </w:rPr>
              <w:t>Organų sistemų klasė</w:t>
            </w:r>
          </w:p>
        </w:tc>
        <w:tc>
          <w:tcPr>
            <w:tcW w:w="1984" w:type="dxa"/>
            <w:shd w:val="clear" w:color="auto" w:fill="auto"/>
          </w:tcPr>
          <w:p w14:paraId="269D8EC1" w14:textId="77777777" w:rsidR="000E5428" w:rsidRPr="009B54A6" w:rsidRDefault="000E5428" w:rsidP="00010674">
            <w:pPr>
              <w:autoSpaceDE w:val="0"/>
              <w:autoSpaceDN w:val="0"/>
              <w:adjustRightInd w:val="0"/>
              <w:rPr>
                <w:color w:val="000000"/>
                <w:sz w:val="22"/>
                <w:szCs w:val="22"/>
                <w:lang w:eastAsia="sl-SI"/>
              </w:rPr>
            </w:pPr>
            <w:r w:rsidRPr="009B54A6">
              <w:rPr>
                <w:b/>
                <w:bCs/>
                <w:sz w:val="22"/>
                <w:szCs w:val="22"/>
              </w:rPr>
              <w:t>Dažnis</w:t>
            </w:r>
          </w:p>
        </w:tc>
        <w:tc>
          <w:tcPr>
            <w:tcW w:w="4556" w:type="dxa"/>
            <w:shd w:val="clear" w:color="auto" w:fill="auto"/>
          </w:tcPr>
          <w:p w14:paraId="057A3990" w14:textId="77777777" w:rsidR="000E5428" w:rsidRPr="009B54A6" w:rsidRDefault="000E5428" w:rsidP="00010674">
            <w:pPr>
              <w:autoSpaceDE w:val="0"/>
              <w:autoSpaceDN w:val="0"/>
              <w:adjustRightInd w:val="0"/>
              <w:rPr>
                <w:color w:val="000000"/>
                <w:sz w:val="22"/>
                <w:szCs w:val="22"/>
                <w:lang w:eastAsia="sl-SI"/>
              </w:rPr>
            </w:pPr>
            <w:r w:rsidRPr="009B54A6">
              <w:rPr>
                <w:b/>
                <w:bCs/>
                <w:sz w:val="22"/>
                <w:szCs w:val="22"/>
              </w:rPr>
              <w:t>Nepageidaujamas poveikis</w:t>
            </w:r>
          </w:p>
        </w:tc>
      </w:tr>
      <w:tr w:rsidR="000E5428" w:rsidRPr="009B54A6" w14:paraId="6FA84FD6" w14:textId="77777777" w:rsidTr="00010674">
        <w:tc>
          <w:tcPr>
            <w:tcW w:w="2552" w:type="dxa"/>
            <w:vMerge w:val="restart"/>
            <w:shd w:val="clear" w:color="auto" w:fill="auto"/>
          </w:tcPr>
          <w:p w14:paraId="1F9607A4"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Infekcijos ir infestacijos</w:t>
            </w:r>
          </w:p>
        </w:tc>
        <w:tc>
          <w:tcPr>
            <w:tcW w:w="1984" w:type="dxa"/>
            <w:shd w:val="clear" w:color="auto" w:fill="auto"/>
          </w:tcPr>
          <w:p w14:paraId="59AFDA4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4A566688" w14:textId="77777777" w:rsidR="000E5428" w:rsidRPr="009B54A6" w:rsidRDefault="000E5428" w:rsidP="00010674">
            <w:pPr>
              <w:autoSpaceDE w:val="0"/>
              <w:autoSpaceDN w:val="0"/>
              <w:adjustRightInd w:val="0"/>
              <w:rPr>
                <w:sz w:val="22"/>
                <w:szCs w:val="22"/>
                <w:lang w:eastAsia="sl-SI"/>
              </w:rPr>
            </w:pPr>
            <w:r w:rsidRPr="009B54A6">
              <w:rPr>
                <w:sz w:val="22"/>
                <w:szCs w:val="22"/>
                <w:lang w:eastAsia="lt-LT"/>
              </w:rPr>
              <w:t>Viršutinių kvėpavimo takų infekcinė liga, įskaitant faringitą ir sinusitą, šlapimo takų infekcinė liga, įskaitant cistitą</w:t>
            </w:r>
          </w:p>
        </w:tc>
      </w:tr>
      <w:tr w:rsidR="000E5428" w:rsidRPr="009B54A6" w14:paraId="51675062" w14:textId="77777777" w:rsidTr="00010674">
        <w:tc>
          <w:tcPr>
            <w:tcW w:w="2552" w:type="dxa"/>
            <w:vMerge/>
            <w:shd w:val="clear" w:color="auto" w:fill="auto"/>
          </w:tcPr>
          <w:p w14:paraId="270BBC2E"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083EF8DF"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72DE336A" w14:textId="77777777" w:rsidR="000E5428" w:rsidRPr="009B54A6" w:rsidRDefault="000E5428" w:rsidP="00010674">
            <w:pPr>
              <w:autoSpaceDE w:val="0"/>
              <w:autoSpaceDN w:val="0"/>
              <w:adjustRightInd w:val="0"/>
              <w:rPr>
                <w:sz w:val="22"/>
                <w:szCs w:val="22"/>
                <w:lang w:eastAsia="sl-SI"/>
              </w:rPr>
            </w:pPr>
            <w:r w:rsidRPr="009B54A6">
              <w:rPr>
                <w:sz w:val="22"/>
                <w:szCs w:val="22"/>
                <w:lang w:eastAsia="lt-LT"/>
              </w:rPr>
              <w:t>Sepsis, įskaitant mirtiną išeitį</w:t>
            </w:r>
            <w:r w:rsidRPr="009B54A6">
              <w:rPr>
                <w:sz w:val="22"/>
                <w:szCs w:val="22"/>
                <w:vertAlign w:val="superscript"/>
                <w:lang w:eastAsia="sl-SI"/>
              </w:rPr>
              <w:t>3</w:t>
            </w:r>
          </w:p>
        </w:tc>
      </w:tr>
      <w:tr w:rsidR="000E5428" w:rsidRPr="009B54A6" w14:paraId="15F9CBD8" w14:textId="77777777" w:rsidTr="00010674">
        <w:tc>
          <w:tcPr>
            <w:tcW w:w="2552" w:type="dxa"/>
            <w:vMerge w:val="restart"/>
            <w:shd w:val="clear" w:color="auto" w:fill="auto"/>
          </w:tcPr>
          <w:p w14:paraId="0383A895"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Kraujo ir limfinės sistemos sutrikimai</w:t>
            </w:r>
          </w:p>
        </w:tc>
        <w:tc>
          <w:tcPr>
            <w:tcW w:w="1984" w:type="dxa"/>
            <w:shd w:val="clear" w:color="auto" w:fill="auto"/>
          </w:tcPr>
          <w:p w14:paraId="6CE6FB99"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744F0182"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Anemija</w:t>
            </w:r>
          </w:p>
        </w:tc>
      </w:tr>
      <w:tr w:rsidR="000E5428" w:rsidRPr="009B54A6" w14:paraId="55E13CB7" w14:textId="77777777" w:rsidTr="00010674">
        <w:tc>
          <w:tcPr>
            <w:tcW w:w="2552" w:type="dxa"/>
            <w:vMerge/>
            <w:shd w:val="clear" w:color="auto" w:fill="auto"/>
          </w:tcPr>
          <w:p w14:paraId="2B0DDB70"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4DA8137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44002D93" w14:textId="7CD48593" w:rsidR="000E5428" w:rsidRPr="009B54A6" w:rsidRDefault="000E5428" w:rsidP="00563355">
            <w:pPr>
              <w:autoSpaceDE w:val="0"/>
              <w:autoSpaceDN w:val="0"/>
              <w:adjustRightInd w:val="0"/>
              <w:rPr>
                <w:sz w:val="22"/>
                <w:szCs w:val="22"/>
                <w:lang w:eastAsia="sl-SI"/>
              </w:rPr>
            </w:pPr>
            <w:r w:rsidRPr="009B54A6">
              <w:rPr>
                <w:sz w:val="22"/>
                <w:szCs w:val="22"/>
                <w:lang w:eastAsia="sl-SI"/>
              </w:rPr>
              <w:t>Eozinofilija, trombocitopenija</w:t>
            </w:r>
          </w:p>
        </w:tc>
      </w:tr>
      <w:tr w:rsidR="000E5428" w:rsidRPr="009B54A6" w14:paraId="6D1F9090" w14:textId="77777777" w:rsidTr="00010674">
        <w:tc>
          <w:tcPr>
            <w:tcW w:w="2552" w:type="dxa"/>
            <w:shd w:val="clear" w:color="auto" w:fill="auto"/>
          </w:tcPr>
          <w:p w14:paraId="3CE309EE" w14:textId="77777777" w:rsidR="000E5428" w:rsidRPr="009B54A6" w:rsidRDefault="000E5428" w:rsidP="00010674">
            <w:pPr>
              <w:autoSpaceDE w:val="0"/>
              <w:autoSpaceDN w:val="0"/>
              <w:adjustRightInd w:val="0"/>
              <w:rPr>
                <w:sz w:val="22"/>
                <w:szCs w:val="22"/>
                <w:lang w:eastAsia="sl-SI"/>
              </w:rPr>
            </w:pPr>
            <w:r w:rsidRPr="009B54A6">
              <w:rPr>
                <w:bCs/>
                <w:sz w:val="22"/>
                <w:szCs w:val="22"/>
                <w:lang w:eastAsia="lt-LT"/>
              </w:rPr>
              <w:t>Imuninės sistemos sutrikimai</w:t>
            </w:r>
          </w:p>
        </w:tc>
        <w:tc>
          <w:tcPr>
            <w:tcW w:w="1984" w:type="dxa"/>
            <w:shd w:val="clear" w:color="auto" w:fill="auto"/>
          </w:tcPr>
          <w:p w14:paraId="6D00B3F1"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4F042580" w14:textId="77777777" w:rsidR="000E5428" w:rsidRPr="009B54A6" w:rsidRDefault="000E5428" w:rsidP="00010674">
            <w:pPr>
              <w:autoSpaceDE w:val="0"/>
              <w:autoSpaceDN w:val="0"/>
              <w:adjustRightInd w:val="0"/>
              <w:rPr>
                <w:sz w:val="22"/>
                <w:szCs w:val="22"/>
                <w:lang w:eastAsia="sl-SI"/>
              </w:rPr>
            </w:pPr>
            <w:r w:rsidRPr="009B54A6">
              <w:rPr>
                <w:sz w:val="22"/>
                <w:szCs w:val="22"/>
                <w:lang w:eastAsia="lt-LT"/>
              </w:rPr>
              <w:t>Anafilaksinės reakcijos, padidėjęs jautrumas</w:t>
            </w:r>
          </w:p>
        </w:tc>
      </w:tr>
      <w:tr w:rsidR="000E5428" w:rsidRPr="009B54A6" w14:paraId="66000BFC" w14:textId="77777777" w:rsidTr="00010674">
        <w:tc>
          <w:tcPr>
            <w:tcW w:w="2552" w:type="dxa"/>
            <w:vMerge w:val="restart"/>
            <w:shd w:val="clear" w:color="auto" w:fill="auto"/>
          </w:tcPr>
          <w:p w14:paraId="6EF9E82F"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Metabolizmo ir mitybos sutrikimai</w:t>
            </w:r>
          </w:p>
        </w:tc>
        <w:tc>
          <w:tcPr>
            <w:tcW w:w="1984" w:type="dxa"/>
            <w:shd w:val="clear" w:color="auto" w:fill="auto"/>
          </w:tcPr>
          <w:p w14:paraId="044D474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23B4B13C"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Hiperkalemija</w:t>
            </w:r>
          </w:p>
        </w:tc>
      </w:tr>
      <w:tr w:rsidR="000E5428" w:rsidRPr="009B54A6" w14:paraId="1E5B0460" w14:textId="77777777" w:rsidTr="00010674">
        <w:tc>
          <w:tcPr>
            <w:tcW w:w="2552" w:type="dxa"/>
            <w:vMerge/>
            <w:shd w:val="clear" w:color="auto" w:fill="auto"/>
          </w:tcPr>
          <w:p w14:paraId="2AD89D70"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531C91D3"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0A133814"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 xml:space="preserve">Hipoglikemija (cukriniu </w:t>
            </w:r>
            <w:r w:rsidRPr="009B54A6">
              <w:rPr>
                <w:sz w:val="22"/>
                <w:szCs w:val="22"/>
                <w:lang w:eastAsia="lt-LT"/>
              </w:rPr>
              <w:t>diabetu sergantiems pacientams</w:t>
            </w:r>
            <w:r w:rsidRPr="009B54A6">
              <w:rPr>
                <w:sz w:val="22"/>
                <w:szCs w:val="22"/>
                <w:lang w:eastAsia="sl-SI"/>
              </w:rPr>
              <w:t>)</w:t>
            </w:r>
          </w:p>
        </w:tc>
      </w:tr>
      <w:tr w:rsidR="000E5428" w:rsidRPr="009B54A6" w14:paraId="5D530386" w14:textId="77777777" w:rsidTr="00010674">
        <w:tc>
          <w:tcPr>
            <w:tcW w:w="2552" w:type="dxa"/>
            <w:shd w:val="clear" w:color="auto" w:fill="auto"/>
          </w:tcPr>
          <w:p w14:paraId="24C397B1"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lastRenderedPageBreak/>
              <w:t>Širdies sutrikimai</w:t>
            </w:r>
          </w:p>
        </w:tc>
        <w:tc>
          <w:tcPr>
            <w:tcW w:w="1984" w:type="dxa"/>
            <w:shd w:val="clear" w:color="auto" w:fill="auto"/>
          </w:tcPr>
          <w:p w14:paraId="7E9F1958"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389C4014"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Bradikardija</w:t>
            </w:r>
          </w:p>
        </w:tc>
      </w:tr>
      <w:tr w:rsidR="000E5428" w:rsidRPr="009B54A6" w14:paraId="04336079" w14:textId="77777777" w:rsidTr="00010674">
        <w:tc>
          <w:tcPr>
            <w:tcW w:w="2552" w:type="dxa"/>
            <w:shd w:val="clear" w:color="auto" w:fill="auto"/>
          </w:tcPr>
          <w:p w14:paraId="54BB17BA"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Nervų sistemos sutrikimai</w:t>
            </w:r>
          </w:p>
        </w:tc>
        <w:tc>
          <w:tcPr>
            <w:tcW w:w="1984" w:type="dxa"/>
            <w:shd w:val="clear" w:color="auto" w:fill="auto"/>
          </w:tcPr>
          <w:p w14:paraId="288A1190"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53D096B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Apsnūdimas</w:t>
            </w:r>
          </w:p>
        </w:tc>
      </w:tr>
      <w:tr w:rsidR="000E5428" w:rsidRPr="009B54A6" w14:paraId="535CD0A1" w14:textId="77777777" w:rsidTr="00010674">
        <w:tc>
          <w:tcPr>
            <w:tcW w:w="2552" w:type="dxa"/>
            <w:vMerge w:val="restart"/>
            <w:shd w:val="clear" w:color="auto" w:fill="auto"/>
          </w:tcPr>
          <w:p w14:paraId="4208C1F2" w14:textId="00156220" w:rsidR="000E5428" w:rsidRPr="009B54A6" w:rsidRDefault="000E5428" w:rsidP="007B69D5">
            <w:pPr>
              <w:autoSpaceDE w:val="0"/>
              <w:autoSpaceDN w:val="0"/>
              <w:adjustRightInd w:val="0"/>
              <w:rPr>
                <w:sz w:val="22"/>
                <w:szCs w:val="22"/>
                <w:lang w:eastAsia="sl-SI"/>
              </w:rPr>
            </w:pPr>
            <w:r w:rsidRPr="009B54A6">
              <w:rPr>
                <w:sz w:val="22"/>
                <w:szCs w:val="22"/>
                <w:lang w:eastAsia="sl-SI"/>
              </w:rPr>
              <w:t>Kvėpavimo sistemos, krūtinės ląstos ir tarpuplaučio sutrikimai</w:t>
            </w:r>
          </w:p>
        </w:tc>
        <w:tc>
          <w:tcPr>
            <w:tcW w:w="1984" w:type="dxa"/>
            <w:shd w:val="clear" w:color="auto" w:fill="auto"/>
          </w:tcPr>
          <w:p w14:paraId="65053F66"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155E07C5"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Kosulys</w:t>
            </w:r>
          </w:p>
        </w:tc>
      </w:tr>
      <w:tr w:rsidR="000E5428" w:rsidRPr="009B54A6" w14:paraId="6A5E1EAB" w14:textId="77777777" w:rsidTr="00010674">
        <w:tc>
          <w:tcPr>
            <w:tcW w:w="2552" w:type="dxa"/>
            <w:vMerge/>
            <w:shd w:val="clear" w:color="auto" w:fill="auto"/>
          </w:tcPr>
          <w:p w14:paraId="2ABC95F1" w14:textId="77777777" w:rsidR="000E5428" w:rsidRPr="009B54A6" w:rsidRDefault="000E5428" w:rsidP="00010674">
            <w:pPr>
              <w:autoSpaceDE w:val="0"/>
              <w:autoSpaceDN w:val="0"/>
              <w:adjustRightInd w:val="0"/>
              <w:rPr>
                <w:sz w:val="22"/>
                <w:szCs w:val="22"/>
                <w:lang w:eastAsia="sl-SI"/>
              </w:rPr>
            </w:pPr>
          </w:p>
        </w:tc>
        <w:tc>
          <w:tcPr>
            <w:tcW w:w="1984" w:type="dxa"/>
            <w:shd w:val="clear" w:color="auto" w:fill="auto"/>
          </w:tcPr>
          <w:p w14:paraId="1FD11625"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Labai retas</w:t>
            </w:r>
          </w:p>
        </w:tc>
        <w:tc>
          <w:tcPr>
            <w:tcW w:w="4556" w:type="dxa"/>
            <w:shd w:val="clear" w:color="auto" w:fill="auto"/>
          </w:tcPr>
          <w:p w14:paraId="334B49E1" w14:textId="77777777" w:rsidR="000E5428" w:rsidRPr="009B54A6" w:rsidRDefault="000E5428" w:rsidP="00010674">
            <w:pPr>
              <w:autoSpaceDE w:val="0"/>
              <w:autoSpaceDN w:val="0"/>
              <w:adjustRightInd w:val="0"/>
              <w:rPr>
                <w:sz w:val="22"/>
                <w:szCs w:val="22"/>
                <w:lang w:eastAsia="sl-SI"/>
              </w:rPr>
            </w:pPr>
            <w:r w:rsidRPr="009B54A6">
              <w:rPr>
                <w:bCs/>
                <w:sz w:val="22"/>
                <w:szCs w:val="22"/>
              </w:rPr>
              <w:t>Intersticinė plaučių liga</w:t>
            </w:r>
            <w:r w:rsidRPr="009B54A6">
              <w:rPr>
                <w:sz w:val="22"/>
                <w:szCs w:val="22"/>
                <w:vertAlign w:val="superscript"/>
                <w:lang w:eastAsia="lt-LT"/>
              </w:rPr>
              <w:t>3</w:t>
            </w:r>
          </w:p>
        </w:tc>
      </w:tr>
      <w:tr w:rsidR="000E5428" w:rsidRPr="009B54A6" w14:paraId="1A952561" w14:textId="77777777" w:rsidTr="00010674">
        <w:tc>
          <w:tcPr>
            <w:tcW w:w="2552" w:type="dxa"/>
            <w:shd w:val="clear" w:color="auto" w:fill="auto"/>
          </w:tcPr>
          <w:p w14:paraId="37CB6F79"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Virškinimo trakto sutrikimai</w:t>
            </w:r>
          </w:p>
        </w:tc>
        <w:tc>
          <w:tcPr>
            <w:tcW w:w="1984" w:type="dxa"/>
            <w:shd w:val="clear" w:color="auto" w:fill="auto"/>
          </w:tcPr>
          <w:p w14:paraId="12803746"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5BD52263" w14:textId="77777777" w:rsidR="000E5428" w:rsidRPr="009B54A6" w:rsidRDefault="000E5428" w:rsidP="00010674">
            <w:pPr>
              <w:autoSpaceDE w:val="0"/>
              <w:autoSpaceDN w:val="0"/>
              <w:adjustRightInd w:val="0"/>
              <w:rPr>
                <w:sz w:val="22"/>
                <w:szCs w:val="22"/>
                <w:lang w:eastAsia="sl-SI"/>
              </w:rPr>
            </w:pPr>
            <w:r w:rsidRPr="009B54A6">
              <w:rPr>
                <w:sz w:val="22"/>
                <w:szCs w:val="22"/>
                <w:lang w:eastAsia="lt-LT"/>
              </w:rPr>
              <w:t>Nemalonus pojūtis skrandyje</w:t>
            </w:r>
          </w:p>
        </w:tc>
      </w:tr>
      <w:tr w:rsidR="000E5428" w:rsidRPr="009B54A6" w14:paraId="42E8C9AB" w14:textId="77777777" w:rsidTr="00010674">
        <w:tc>
          <w:tcPr>
            <w:tcW w:w="2552" w:type="dxa"/>
            <w:shd w:val="clear" w:color="auto" w:fill="auto"/>
          </w:tcPr>
          <w:p w14:paraId="66C7C5EA"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Odos ir poodinio audinio sutrikimai</w:t>
            </w:r>
          </w:p>
        </w:tc>
        <w:tc>
          <w:tcPr>
            <w:tcW w:w="1984" w:type="dxa"/>
            <w:shd w:val="clear" w:color="auto" w:fill="auto"/>
          </w:tcPr>
          <w:p w14:paraId="19008D62"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453CA73E" w14:textId="77777777" w:rsidR="000E5428" w:rsidRPr="009B54A6" w:rsidRDefault="000E5428" w:rsidP="00010674">
            <w:pPr>
              <w:autoSpaceDE w:val="0"/>
              <w:autoSpaceDN w:val="0"/>
              <w:adjustRightInd w:val="0"/>
              <w:rPr>
                <w:sz w:val="22"/>
                <w:szCs w:val="22"/>
                <w:lang w:eastAsia="sl-SI"/>
              </w:rPr>
            </w:pPr>
            <w:r w:rsidRPr="009B54A6">
              <w:rPr>
                <w:sz w:val="22"/>
                <w:szCs w:val="22"/>
                <w:lang w:eastAsia="lt-LT"/>
              </w:rPr>
              <w:t>Egzema, medikamentinis išbėrimas, toksinis odos išbėrimas</w:t>
            </w:r>
          </w:p>
        </w:tc>
      </w:tr>
      <w:tr w:rsidR="000E5428" w:rsidRPr="009B54A6" w14:paraId="4636F473" w14:textId="77777777" w:rsidTr="00010674">
        <w:tc>
          <w:tcPr>
            <w:tcW w:w="2552" w:type="dxa"/>
            <w:shd w:val="clear" w:color="auto" w:fill="auto"/>
          </w:tcPr>
          <w:p w14:paraId="778D7E48" w14:textId="77777777" w:rsidR="000E5428" w:rsidRPr="009B54A6" w:rsidRDefault="000E5428" w:rsidP="00010674">
            <w:pPr>
              <w:autoSpaceDE w:val="0"/>
              <w:autoSpaceDN w:val="0"/>
              <w:adjustRightInd w:val="0"/>
              <w:rPr>
                <w:sz w:val="22"/>
                <w:szCs w:val="22"/>
                <w:lang w:eastAsia="sl-SI"/>
              </w:rPr>
            </w:pPr>
            <w:r w:rsidRPr="009B54A6">
              <w:rPr>
                <w:bCs/>
                <w:sz w:val="22"/>
                <w:szCs w:val="22"/>
                <w:lang w:eastAsia="lt-LT"/>
              </w:rPr>
              <w:t>Skeleto, raumenų ir jungiamojo audinio sutrikimai</w:t>
            </w:r>
          </w:p>
        </w:tc>
        <w:tc>
          <w:tcPr>
            <w:tcW w:w="1984" w:type="dxa"/>
            <w:shd w:val="clear" w:color="auto" w:fill="auto"/>
          </w:tcPr>
          <w:p w14:paraId="0A329635"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51B92115"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Artrozė, sausgyslių skausmas</w:t>
            </w:r>
          </w:p>
        </w:tc>
      </w:tr>
      <w:tr w:rsidR="000E5428" w:rsidRPr="009B54A6" w14:paraId="5892B02F" w14:textId="77777777" w:rsidTr="00010674">
        <w:tc>
          <w:tcPr>
            <w:tcW w:w="2552" w:type="dxa"/>
            <w:shd w:val="clear" w:color="auto" w:fill="auto"/>
          </w:tcPr>
          <w:p w14:paraId="454CC71A"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Inkstų ir šlapimo takų sutrikimai</w:t>
            </w:r>
          </w:p>
        </w:tc>
        <w:tc>
          <w:tcPr>
            <w:tcW w:w="1984" w:type="dxa"/>
            <w:shd w:val="clear" w:color="auto" w:fill="auto"/>
          </w:tcPr>
          <w:p w14:paraId="2D7F1CCB"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00806441" w14:textId="77777777" w:rsidR="000E5428" w:rsidRPr="009B54A6" w:rsidRDefault="000E5428" w:rsidP="00010674">
            <w:pPr>
              <w:autoSpaceDE w:val="0"/>
              <w:autoSpaceDN w:val="0"/>
              <w:adjustRightInd w:val="0"/>
              <w:rPr>
                <w:sz w:val="22"/>
                <w:szCs w:val="22"/>
                <w:lang w:eastAsia="sl-SI"/>
              </w:rPr>
            </w:pPr>
            <w:r w:rsidRPr="009B54A6">
              <w:rPr>
                <w:sz w:val="22"/>
                <w:szCs w:val="22"/>
                <w:lang w:eastAsia="lt-LT"/>
              </w:rPr>
              <w:t>Inkstų funkcijos sutrikimas, įskaitant ūminį inkstų nepakankamumą</w:t>
            </w:r>
          </w:p>
        </w:tc>
      </w:tr>
      <w:tr w:rsidR="000E5428" w:rsidRPr="009B54A6" w14:paraId="029E08CD" w14:textId="77777777" w:rsidTr="00010674">
        <w:tc>
          <w:tcPr>
            <w:tcW w:w="2552" w:type="dxa"/>
            <w:shd w:val="clear" w:color="auto" w:fill="auto"/>
          </w:tcPr>
          <w:p w14:paraId="0E7DD91D"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Bendrieji sutrikimai ir vartojimo vietos pažeidimai</w:t>
            </w:r>
          </w:p>
        </w:tc>
        <w:tc>
          <w:tcPr>
            <w:tcW w:w="1984" w:type="dxa"/>
            <w:shd w:val="clear" w:color="auto" w:fill="auto"/>
          </w:tcPr>
          <w:p w14:paraId="0CFEEAE8"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Nedažnas</w:t>
            </w:r>
          </w:p>
        </w:tc>
        <w:tc>
          <w:tcPr>
            <w:tcW w:w="4556" w:type="dxa"/>
            <w:shd w:val="clear" w:color="auto" w:fill="auto"/>
          </w:tcPr>
          <w:p w14:paraId="2A8670B1" w14:textId="4F6213B5" w:rsidR="000E5428" w:rsidRPr="009B54A6" w:rsidRDefault="000E5428" w:rsidP="00010674">
            <w:pPr>
              <w:autoSpaceDE w:val="0"/>
              <w:autoSpaceDN w:val="0"/>
              <w:adjustRightInd w:val="0"/>
              <w:rPr>
                <w:sz w:val="22"/>
                <w:szCs w:val="22"/>
                <w:lang w:eastAsia="sl-SI"/>
              </w:rPr>
            </w:pPr>
            <w:r w:rsidRPr="009B54A6">
              <w:rPr>
                <w:sz w:val="22"/>
                <w:szCs w:val="22"/>
                <w:lang w:eastAsia="lt-LT"/>
              </w:rPr>
              <w:t>Astenija (silpnumas)</w:t>
            </w:r>
          </w:p>
        </w:tc>
      </w:tr>
      <w:tr w:rsidR="000E5428" w:rsidRPr="009B54A6" w14:paraId="4C3DA240" w14:textId="77777777" w:rsidTr="00010674">
        <w:tc>
          <w:tcPr>
            <w:tcW w:w="2552" w:type="dxa"/>
            <w:shd w:val="clear" w:color="auto" w:fill="auto"/>
          </w:tcPr>
          <w:p w14:paraId="03C4536E"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Tyrimai</w:t>
            </w:r>
          </w:p>
        </w:tc>
        <w:tc>
          <w:tcPr>
            <w:tcW w:w="1984" w:type="dxa"/>
            <w:shd w:val="clear" w:color="auto" w:fill="auto"/>
          </w:tcPr>
          <w:p w14:paraId="1DC143DC" w14:textId="77777777" w:rsidR="000E5428" w:rsidRPr="009B54A6" w:rsidRDefault="000E5428" w:rsidP="00010674">
            <w:pPr>
              <w:autoSpaceDE w:val="0"/>
              <w:autoSpaceDN w:val="0"/>
              <w:adjustRightInd w:val="0"/>
              <w:rPr>
                <w:sz w:val="22"/>
                <w:szCs w:val="22"/>
                <w:lang w:eastAsia="sl-SI"/>
              </w:rPr>
            </w:pPr>
            <w:r w:rsidRPr="009B54A6">
              <w:rPr>
                <w:sz w:val="22"/>
                <w:szCs w:val="22"/>
                <w:lang w:eastAsia="sl-SI"/>
              </w:rPr>
              <w:t>Retas</w:t>
            </w:r>
          </w:p>
        </w:tc>
        <w:tc>
          <w:tcPr>
            <w:tcW w:w="4556" w:type="dxa"/>
            <w:shd w:val="clear" w:color="auto" w:fill="auto"/>
          </w:tcPr>
          <w:p w14:paraId="1A550F6E" w14:textId="77777777" w:rsidR="000E5428" w:rsidRPr="009B54A6" w:rsidRDefault="000E5428" w:rsidP="00010674">
            <w:pPr>
              <w:autoSpaceDE w:val="0"/>
              <w:autoSpaceDN w:val="0"/>
              <w:adjustRightInd w:val="0"/>
              <w:rPr>
                <w:sz w:val="22"/>
                <w:szCs w:val="22"/>
                <w:lang w:eastAsia="sl-SI"/>
              </w:rPr>
            </w:pPr>
            <w:r w:rsidRPr="009B54A6">
              <w:rPr>
                <w:sz w:val="22"/>
                <w:szCs w:val="22"/>
                <w:lang w:eastAsia="lt-LT"/>
              </w:rPr>
              <w:t>Sumažėjęs hemoglobino kiekis</w:t>
            </w:r>
          </w:p>
        </w:tc>
      </w:tr>
    </w:tbl>
    <w:p w14:paraId="738644AE" w14:textId="77777777" w:rsidR="000E5428" w:rsidRPr="009B54A6" w:rsidRDefault="000E5428" w:rsidP="000E5428">
      <w:pPr>
        <w:autoSpaceDE w:val="0"/>
        <w:autoSpaceDN w:val="0"/>
        <w:adjustRightInd w:val="0"/>
        <w:rPr>
          <w:i/>
          <w:iCs/>
          <w:sz w:val="22"/>
          <w:szCs w:val="22"/>
          <w:lang w:eastAsia="lt-LT"/>
        </w:rPr>
      </w:pPr>
      <w:r w:rsidRPr="009B54A6">
        <w:rPr>
          <w:sz w:val="22"/>
          <w:szCs w:val="22"/>
          <w:vertAlign w:val="superscript"/>
          <w:lang w:eastAsia="lt-LT"/>
        </w:rPr>
        <w:t>3</w:t>
      </w:r>
      <w:r w:rsidRPr="009B54A6">
        <w:rPr>
          <w:sz w:val="22"/>
          <w:szCs w:val="22"/>
          <w:lang w:eastAsia="lt-LT"/>
        </w:rPr>
        <w:t xml:space="preserve"> Papildomą apibūdinimą žr. poskyrį „</w:t>
      </w:r>
      <w:r w:rsidRPr="009B54A6">
        <w:rPr>
          <w:i/>
          <w:sz w:val="22"/>
          <w:szCs w:val="22"/>
        </w:rPr>
        <w:t>Atrinktų nepageidaujamų reakcijų apibūdinimas</w:t>
      </w:r>
      <w:r w:rsidRPr="009B54A6">
        <w:rPr>
          <w:iCs/>
          <w:sz w:val="22"/>
          <w:szCs w:val="22"/>
          <w:lang w:eastAsia="lt-LT"/>
        </w:rPr>
        <w:t>“</w:t>
      </w:r>
    </w:p>
    <w:p w14:paraId="0105BE0D" w14:textId="77777777" w:rsidR="000E5428" w:rsidRPr="009B54A6" w:rsidRDefault="000E5428" w:rsidP="000E5428">
      <w:pPr>
        <w:autoSpaceDE w:val="0"/>
        <w:autoSpaceDN w:val="0"/>
        <w:adjustRightInd w:val="0"/>
        <w:rPr>
          <w:sz w:val="22"/>
          <w:szCs w:val="22"/>
          <w:lang w:eastAsia="lt-LT"/>
        </w:rPr>
      </w:pPr>
    </w:p>
    <w:p w14:paraId="5458AF7F" w14:textId="77777777" w:rsidR="000E5428" w:rsidRPr="009B54A6" w:rsidRDefault="000E5428" w:rsidP="000E5428">
      <w:pPr>
        <w:autoSpaceDE w:val="0"/>
        <w:autoSpaceDN w:val="0"/>
        <w:adjustRightInd w:val="0"/>
        <w:rPr>
          <w:rFonts w:eastAsia="TimesNewRoman"/>
          <w:sz w:val="22"/>
          <w:szCs w:val="22"/>
          <w:u w:val="single"/>
          <w:lang w:eastAsia="lt-LT"/>
        </w:rPr>
      </w:pPr>
      <w:r w:rsidRPr="009B54A6">
        <w:rPr>
          <w:rFonts w:eastAsia="TimesNewRoman"/>
          <w:sz w:val="22"/>
          <w:szCs w:val="22"/>
          <w:u w:val="single"/>
          <w:lang w:eastAsia="lt-LT"/>
        </w:rPr>
        <w:t>Hidrochlorotiazidas</w:t>
      </w:r>
    </w:p>
    <w:p w14:paraId="69516C82"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Hidrochlorotiazidas gali sukelti arba padidinti hipovolemiją, todėl galimas elektrolitų pusiausvyros sutrikimas (žr. 4.4 skyrių).</w:t>
      </w:r>
    </w:p>
    <w:p w14:paraId="73BCA691"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Nepageidaujamos reakcijos, kurių dažnis nežinomas ir kurios pasireiškė pacientams, gydomiems vien hidrochlorotiazidu, yra tokios:</w:t>
      </w:r>
    </w:p>
    <w:p w14:paraId="274F05BC" w14:textId="77777777" w:rsidR="000E5428" w:rsidRPr="009B54A6" w:rsidRDefault="000E5428" w:rsidP="000E5428">
      <w:pPr>
        <w:autoSpaceDE w:val="0"/>
        <w:autoSpaceDN w:val="0"/>
        <w:adjustRightInd w:val="0"/>
        <w:rPr>
          <w:rFonts w:eastAsia="TimesNewRoman"/>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984"/>
        <w:gridCol w:w="4556"/>
      </w:tblGrid>
      <w:tr w:rsidR="000E5428" w:rsidRPr="009B54A6" w14:paraId="15F6102C" w14:textId="77777777" w:rsidTr="00010674">
        <w:trPr>
          <w:tblHeader/>
        </w:trPr>
        <w:tc>
          <w:tcPr>
            <w:tcW w:w="2552" w:type="dxa"/>
            <w:shd w:val="clear" w:color="auto" w:fill="auto"/>
          </w:tcPr>
          <w:p w14:paraId="1D9BB6EB" w14:textId="77777777" w:rsidR="000E5428" w:rsidRPr="009B54A6" w:rsidRDefault="000E5428" w:rsidP="00010674">
            <w:pPr>
              <w:autoSpaceDE w:val="0"/>
              <w:autoSpaceDN w:val="0"/>
              <w:adjustRightInd w:val="0"/>
              <w:rPr>
                <w:color w:val="000000"/>
                <w:sz w:val="22"/>
                <w:szCs w:val="22"/>
                <w:lang w:eastAsia="sl-SI"/>
              </w:rPr>
            </w:pPr>
            <w:r w:rsidRPr="009B54A6">
              <w:rPr>
                <w:b/>
                <w:bCs/>
                <w:sz w:val="22"/>
                <w:szCs w:val="22"/>
              </w:rPr>
              <w:t>Organų sistemų klasė</w:t>
            </w:r>
          </w:p>
        </w:tc>
        <w:tc>
          <w:tcPr>
            <w:tcW w:w="1984" w:type="dxa"/>
            <w:shd w:val="clear" w:color="auto" w:fill="auto"/>
          </w:tcPr>
          <w:p w14:paraId="79C522FE" w14:textId="77777777" w:rsidR="000E5428" w:rsidRPr="009B54A6" w:rsidRDefault="000E5428" w:rsidP="00010674">
            <w:pPr>
              <w:autoSpaceDE w:val="0"/>
              <w:autoSpaceDN w:val="0"/>
              <w:adjustRightInd w:val="0"/>
              <w:rPr>
                <w:color w:val="000000"/>
                <w:sz w:val="22"/>
                <w:szCs w:val="22"/>
                <w:lang w:eastAsia="sl-SI"/>
              </w:rPr>
            </w:pPr>
            <w:r w:rsidRPr="009B54A6">
              <w:rPr>
                <w:b/>
                <w:bCs/>
                <w:sz w:val="22"/>
                <w:szCs w:val="22"/>
              </w:rPr>
              <w:t>Dažnis</w:t>
            </w:r>
          </w:p>
        </w:tc>
        <w:tc>
          <w:tcPr>
            <w:tcW w:w="4556" w:type="dxa"/>
            <w:shd w:val="clear" w:color="auto" w:fill="auto"/>
          </w:tcPr>
          <w:p w14:paraId="1ADC715F" w14:textId="77777777" w:rsidR="000E5428" w:rsidRPr="009B54A6" w:rsidRDefault="000E5428" w:rsidP="00010674">
            <w:pPr>
              <w:autoSpaceDE w:val="0"/>
              <w:autoSpaceDN w:val="0"/>
              <w:adjustRightInd w:val="0"/>
              <w:rPr>
                <w:color w:val="000000"/>
                <w:sz w:val="22"/>
                <w:szCs w:val="22"/>
                <w:lang w:eastAsia="sl-SI"/>
              </w:rPr>
            </w:pPr>
            <w:r w:rsidRPr="009B54A6">
              <w:rPr>
                <w:b/>
                <w:bCs/>
                <w:sz w:val="22"/>
                <w:szCs w:val="22"/>
              </w:rPr>
              <w:t>Nepageidaujamas poveikis</w:t>
            </w:r>
          </w:p>
        </w:tc>
      </w:tr>
      <w:tr w:rsidR="000E5428" w:rsidRPr="009B54A6" w14:paraId="7DE902B5" w14:textId="77777777" w:rsidTr="00010674">
        <w:tc>
          <w:tcPr>
            <w:tcW w:w="2552" w:type="dxa"/>
            <w:shd w:val="clear" w:color="auto" w:fill="auto"/>
          </w:tcPr>
          <w:p w14:paraId="1BD7267A"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Infekcijos ir infestacijos</w:t>
            </w:r>
          </w:p>
        </w:tc>
        <w:tc>
          <w:tcPr>
            <w:tcW w:w="1984" w:type="dxa"/>
            <w:shd w:val="clear" w:color="auto" w:fill="auto"/>
          </w:tcPr>
          <w:p w14:paraId="27EBDC88"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1E780874"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Sialadenitas</w:t>
            </w:r>
          </w:p>
        </w:tc>
      </w:tr>
      <w:tr w:rsidR="000E5428" w:rsidRPr="009B54A6" w14:paraId="1B9ED770" w14:textId="77777777" w:rsidTr="00010674">
        <w:tc>
          <w:tcPr>
            <w:tcW w:w="2552" w:type="dxa"/>
            <w:shd w:val="clear" w:color="auto" w:fill="auto"/>
          </w:tcPr>
          <w:p w14:paraId="6F19DF46" w14:textId="77777777" w:rsidR="000E5428" w:rsidRPr="009B54A6" w:rsidRDefault="000E5428" w:rsidP="00010674">
            <w:pPr>
              <w:autoSpaceDE w:val="0"/>
              <w:autoSpaceDN w:val="0"/>
              <w:adjustRightInd w:val="0"/>
              <w:rPr>
                <w:sz w:val="22"/>
                <w:szCs w:val="22"/>
                <w:lang w:eastAsia="sl-SI"/>
              </w:rPr>
            </w:pPr>
            <w:r w:rsidRPr="009B54A6">
              <w:rPr>
                <w:rFonts w:eastAsia="TimesNewRoman"/>
                <w:sz w:val="22"/>
                <w:szCs w:val="22"/>
                <w:lang w:eastAsia="lt-LT"/>
              </w:rPr>
              <w:t>Kraujo ir limfinės sistemos sutrikimai</w:t>
            </w:r>
          </w:p>
        </w:tc>
        <w:tc>
          <w:tcPr>
            <w:tcW w:w="1984" w:type="dxa"/>
            <w:shd w:val="clear" w:color="auto" w:fill="auto"/>
          </w:tcPr>
          <w:p w14:paraId="4E9774A5"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2362AD4B"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Aplazinė anemija, hemolizinė anemija, kaulų čiulpų funkcijos nepakankamumas, leukopenija, neutropenija, agranulocitozė, trombocitopenija</w:t>
            </w:r>
            <w:r w:rsidRPr="009B54A6">
              <w:rPr>
                <w:sz w:val="22"/>
                <w:szCs w:val="22"/>
                <w:lang w:eastAsia="sl-SI"/>
              </w:rPr>
              <w:t xml:space="preserve"> </w:t>
            </w:r>
          </w:p>
        </w:tc>
      </w:tr>
      <w:tr w:rsidR="000E5428" w:rsidRPr="009B54A6" w14:paraId="38BA6243" w14:textId="77777777" w:rsidTr="00010674">
        <w:tc>
          <w:tcPr>
            <w:tcW w:w="2552" w:type="dxa"/>
            <w:shd w:val="clear" w:color="auto" w:fill="auto"/>
          </w:tcPr>
          <w:p w14:paraId="37BB9837"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Imuninės sistemos sutrikimai</w:t>
            </w:r>
          </w:p>
        </w:tc>
        <w:tc>
          <w:tcPr>
            <w:tcW w:w="1984" w:type="dxa"/>
            <w:shd w:val="clear" w:color="auto" w:fill="auto"/>
          </w:tcPr>
          <w:p w14:paraId="32CB361F"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38E80952"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Anafilaksinė reakcija, jautrumo padidėjimas</w:t>
            </w:r>
            <w:r w:rsidRPr="009B54A6">
              <w:rPr>
                <w:sz w:val="22"/>
                <w:szCs w:val="22"/>
                <w:lang w:eastAsia="sl-SI"/>
              </w:rPr>
              <w:t xml:space="preserve"> </w:t>
            </w:r>
          </w:p>
        </w:tc>
      </w:tr>
      <w:tr w:rsidR="000E5428" w:rsidRPr="009B54A6" w14:paraId="3B3ED702" w14:textId="77777777" w:rsidTr="00010674">
        <w:tc>
          <w:tcPr>
            <w:tcW w:w="2552" w:type="dxa"/>
            <w:shd w:val="clear" w:color="auto" w:fill="auto"/>
          </w:tcPr>
          <w:p w14:paraId="61586527" w14:textId="77777777" w:rsidR="000E5428" w:rsidRPr="009B54A6" w:rsidRDefault="000E5428" w:rsidP="00010674">
            <w:pPr>
              <w:autoSpaceDE w:val="0"/>
              <w:autoSpaceDN w:val="0"/>
              <w:adjustRightInd w:val="0"/>
              <w:rPr>
                <w:rFonts w:eastAsia="TimesNewRoman"/>
                <w:sz w:val="22"/>
                <w:szCs w:val="22"/>
                <w:lang w:eastAsia="lt-LT"/>
              </w:rPr>
            </w:pPr>
            <w:r w:rsidRPr="009B54A6">
              <w:rPr>
                <w:rFonts w:eastAsia="TimesNewRoman"/>
                <w:sz w:val="22"/>
                <w:szCs w:val="22"/>
                <w:lang w:eastAsia="lt-LT"/>
              </w:rPr>
              <w:t>Endokrininiai sutrikimai</w:t>
            </w:r>
          </w:p>
          <w:p w14:paraId="172D6795" w14:textId="77777777" w:rsidR="000E5428" w:rsidRPr="009B54A6" w:rsidRDefault="000E5428" w:rsidP="00010674">
            <w:pPr>
              <w:autoSpaceDE w:val="0"/>
              <w:autoSpaceDN w:val="0"/>
              <w:adjustRightInd w:val="0"/>
              <w:rPr>
                <w:color w:val="008000"/>
                <w:sz w:val="22"/>
                <w:szCs w:val="22"/>
              </w:rPr>
            </w:pPr>
          </w:p>
        </w:tc>
        <w:tc>
          <w:tcPr>
            <w:tcW w:w="1984" w:type="dxa"/>
            <w:shd w:val="clear" w:color="auto" w:fill="auto"/>
          </w:tcPr>
          <w:p w14:paraId="43EB6D82"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39D4FEC6"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Nepakankama cukrinio diabeto kontrolė</w:t>
            </w:r>
            <w:r w:rsidRPr="009B54A6">
              <w:rPr>
                <w:sz w:val="22"/>
                <w:szCs w:val="22"/>
                <w:lang w:eastAsia="sl-SI"/>
              </w:rPr>
              <w:t xml:space="preserve"> </w:t>
            </w:r>
          </w:p>
        </w:tc>
      </w:tr>
      <w:tr w:rsidR="000E5428" w:rsidRPr="009B54A6" w14:paraId="333AE43E" w14:textId="77777777" w:rsidTr="00010674">
        <w:tc>
          <w:tcPr>
            <w:tcW w:w="2552" w:type="dxa"/>
            <w:shd w:val="clear" w:color="auto" w:fill="auto"/>
          </w:tcPr>
          <w:p w14:paraId="74CB42D6" w14:textId="77777777" w:rsidR="000E5428" w:rsidRPr="009B54A6" w:rsidRDefault="000E5428" w:rsidP="00010674">
            <w:pPr>
              <w:autoSpaceDE w:val="0"/>
              <w:autoSpaceDN w:val="0"/>
              <w:adjustRightInd w:val="0"/>
              <w:rPr>
                <w:rFonts w:eastAsia="TimesNewRoman"/>
                <w:sz w:val="22"/>
                <w:szCs w:val="22"/>
                <w:lang w:eastAsia="lt-LT"/>
              </w:rPr>
            </w:pPr>
            <w:r w:rsidRPr="009B54A6">
              <w:rPr>
                <w:rFonts w:eastAsia="TimesNewRoman"/>
                <w:sz w:val="22"/>
                <w:szCs w:val="22"/>
                <w:lang w:eastAsia="lt-LT"/>
              </w:rPr>
              <w:t>Metabolizmo ir mitybos sutrikimai</w:t>
            </w:r>
          </w:p>
          <w:p w14:paraId="34D00726" w14:textId="77777777" w:rsidR="000E5428" w:rsidRPr="009B54A6" w:rsidRDefault="000E5428" w:rsidP="00010674">
            <w:pPr>
              <w:autoSpaceDE w:val="0"/>
              <w:autoSpaceDN w:val="0"/>
              <w:adjustRightInd w:val="0"/>
              <w:rPr>
                <w:color w:val="008000"/>
                <w:sz w:val="22"/>
                <w:szCs w:val="22"/>
              </w:rPr>
            </w:pPr>
          </w:p>
        </w:tc>
        <w:tc>
          <w:tcPr>
            <w:tcW w:w="1984" w:type="dxa"/>
            <w:shd w:val="clear" w:color="auto" w:fill="auto"/>
          </w:tcPr>
          <w:p w14:paraId="2BAF1CF0"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77F5FEBF"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Anoreksija, apetito sumažėjimas, elektrolitų pusiausvyros sutrikimas, hipercholesterolemija, hiperglikemija, hipovolemija.</w:t>
            </w:r>
            <w:r w:rsidRPr="009B54A6">
              <w:rPr>
                <w:sz w:val="22"/>
                <w:szCs w:val="22"/>
                <w:lang w:eastAsia="sl-SI"/>
              </w:rPr>
              <w:t xml:space="preserve"> </w:t>
            </w:r>
          </w:p>
        </w:tc>
      </w:tr>
      <w:tr w:rsidR="000E5428" w:rsidRPr="009B54A6" w14:paraId="5E8F88D9" w14:textId="77777777" w:rsidTr="00010674">
        <w:tc>
          <w:tcPr>
            <w:tcW w:w="2552" w:type="dxa"/>
            <w:shd w:val="clear" w:color="auto" w:fill="auto"/>
          </w:tcPr>
          <w:p w14:paraId="7552E5ED" w14:textId="77777777" w:rsidR="000E5428" w:rsidRPr="009B54A6" w:rsidRDefault="000E5428" w:rsidP="00010674">
            <w:pPr>
              <w:autoSpaceDE w:val="0"/>
              <w:autoSpaceDN w:val="0"/>
              <w:adjustRightInd w:val="0"/>
              <w:rPr>
                <w:rFonts w:eastAsia="TimesNewRoman"/>
                <w:sz w:val="22"/>
                <w:szCs w:val="22"/>
                <w:lang w:eastAsia="lt-LT"/>
              </w:rPr>
            </w:pPr>
            <w:r w:rsidRPr="009B54A6">
              <w:rPr>
                <w:rFonts w:eastAsia="TimesNewRoman"/>
                <w:sz w:val="22"/>
                <w:szCs w:val="22"/>
                <w:lang w:eastAsia="lt-LT"/>
              </w:rPr>
              <w:t>Psichikos sutrikimai</w:t>
            </w:r>
          </w:p>
          <w:p w14:paraId="084BB946" w14:textId="77777777" w:rsidR="000E5428" w:rsidRPr="009B54A6" w:rsidRDefault="000E5428" w:rsidP="00010674">
            <w:pPr>
              <w:autoSpaceDE w:val="0"/>
              <w:autoSpaceDN w:val="0"/>
              <w:adjustRightInd w:val="0"/>
              <w:rPr>
                <w:color w:val="008000"/>
                <w:sz w:val="22"/>
                <w:szCs w:val="22"/>
              </w:rPr>
            </w:pPr>
          </w:p>
        </w:tc>
        <w:tc>
          <w:tcPr>
            <w:tcW w:w="1984" w:type="dxa"/>
            <w:shd w:val="clear" w:color="auto" w:fill="auto"/>
          </w:tcPr>
          <w:p w14:paraId="5C0F75CA"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5826AB89"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Nerimavimas</w:t>
            </w:r>
            <w:r w:rsidRPr="009B54A6">
              <w:rPr>
                <w:sz w:val="22"/>
                <w:szCs w:val="22"/>
                <w:lang w:eastAsia="sl-SI"/>
              </w:rPr>
              <w:t xml:space="preserve"> </w:t>
            </w:r>
          </w:p>
        </w:tc>
      </w:tr>
      <w:tr w:rsidR="000E5428" w:rsidRPr="009B54A6" w14:paraId="6CA15522" w14:textId="77777777" w:rsidTr="00010674">
        <w:tc>
          <w:tcPr>
            <w:tcW w:w="2552" w:type="dxa"/>
            <w:shd w:val="clear" w:color="auto" w:fill="auto"/>
          </w:tcPr>
          <w:p w14:paraId="4381E41E" w14:textId="77777777" w:rsidR="000E5428" w:rsidRPr="009B54A6" w:rsidRDefault="000E5428" w:rsidP="00010674">
            <w:pPr>
              <w:autoSpaceDE w:val="0"/>
              <w:autoSpaceDN w:val="0"/>
              <w:adjustRightInd w:val="0"/>
              <w:rPr>
                <w:rFonts w:eastAsia="TimesNewRoman"/>
                <w:sz w:val="22"/>
                <w:szCs w:val="22"/>
                <w:lang w:eastAsia="lt-LT"/>
              </w:rPr>
            </w:pPr>
            <w:r w:rsidRPr="009B54A6">
              <w:rPr>
                <w:rFonts w:eastAsia="TimesNewRoman"/>
                <w:sz w:val="22"/>
                <w:szCs w:val="22"/>
                <w:lang w:eastAsia="lt-LT"/>
              </w:rPr>
              <w:t>Nervų sistemos sutrikimai</w:t>
            </w:r>
          </w:p>
          <w:p w14:paraId="69193354" w14:textId="77777777" w:rsidR="000E5428" w:rsidRPr="009B54A6" w:rsidRDefault="000E5428" w:rsidP="00010674">
            <w:pPr>
              <w:autoSpaceDE w:val="0"/>
              <w:autoSpaceDN w:val="0"/>
              <w:adjustRightInd w:val="0"/>
              <w:rPr>
                <w:color w:val="008000"/>
                <w:sz w:val="22"/>
                <w:szCs w:val="22"/>
              </w:rPr>
            </w:pPr>
          </w:p>
        </w:tc>
        <w:tc>
          <w:tcPr>
            <w:tcW w:w="1984" w:type="dxa"/>
            <w:shd w:val="clear" w:color="auto" w:fill="auto"/>
          </w:tcPr>
          <w:p w14:paraId="06D314F5"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6AD79CA5"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Apsvaigimas</w:t>
            </w:r>
            <w:r w:rsidRPr="009B54A6">
              <w:rPr>
                <w:sz w:val="22"/>
                <w:szCs w:val="22"/>
                <w:lang w:eastAsia="sl-SI"/>
              </w:rPr>
              <w:t xml:space="preserve"> </w:t>
            </w:r>
          </w:p>
        </w:tc>
      </w:tr>
      <w:tr w:rsidR="000E5428" w:rsidRPr="009B54A6" w14:paraId="18956D71" w14:textId="77777777" w:rsidTr="00010674">
        <w:tc>
          <w:tcPr>
            <w:tcW w:w="2552" w:type="dxa"/>
            <w:shd w:val="clear" w:color="auto" w:fill="auto"/>
          </w:tcPr>
          <w:p w14:paraId="044BE879" w14:textId="77777777" w:rsidR="000E5428" w:rsidRPr="009B54A6" w:rsidRDefault="000E5428" w:rsidP="00010674">
            <w:pPr>
              <w:autoSpaceDE w:val="0"/>
              <w:autoSpaceDN w:val="0"/>
              <w:adjustRightInd w:val="0"/>
              <w:rPr>
                <w:rFonts w:eastAsia="TimesNewRoman"/>
                <w:sz w:val="22"/>
                <w:szCs w:val="22"/>
                <w:lang w:eastAsia="lt-LT"/>
              </w:rPr>
            </w:pPr>
            <w:r w:rsidRPr="009B54A6">
              <w:rPr>
                <w:rFonts w:eastAsia="TimesNewRoman"/>
                <w:sz w:val="22"/>
                <w:szCs w:val="22"/>
                <w:lang w:eastAsia="lt-LT"/>
              </w:rPr>
              <w:t>Akių sutrikimai</w:t>
            </w:r>
          </w:p>
          <w:p w14:paraId="6F222BD1" w14:textId="77777777" w:rsidR="000E5428" w:rsidRPr="009B54A6" w:rsidRDefault="000E5428" w:rsidP="00010674">
            <w:pPr>
              <w:autoSpaceDE w:val="0"/>
              <w:autoSpaceDN w:val="0"/>
              <w:adjustRightInd w:val="0"/>
              <w:rPr>
                <w:color w:val="008000"/>
                <w:sz w:val="22"/>
                <w:szCs w:val="22"/>
              </w:rPr>
            </w:pPr>
          </w:p>
        </w:tc>
        <w:tc>
          <w:tcPr>
            <w:tcW w:w="1984" w:type="dxa"/>
            <w:shd w:val="clear" w:color="auto" w:fill="auto"/>
          </w:tcPr>
          <w:p w14:paraId="0CF7E42B"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1CF90730"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Ksantopsija, ūminė miopija, ūminė uždaro kampo glaukoma</w:t>
            </w:r>
            <w:r w:rsidRPr="009B54A6">
              <w:rPr>
                <w:sz w:val="22"/>
                <w:szCs w:val="22"/>
                <w:lang w:eastAsia="sl-SI"/>
              </w:rPr>
              <w:t xml:space="preserve"> </w:t>
            </w:r>
          </w:p>
        </w:tc>
      </w:tr>
      <w:tr w:rsidR="000E5428" w:rsidRPr="009B54A6" w14:paraId="03C1C8BB" w14:textId="77777777" w:rsidTr="00010674">
        <w:tc>
          <w:tcPr>
            <w:tcW w:w="2552" w:type="dxa"/>
            <w:shd w:val="clear" w:color="auto" w:fill="auto"/>
          </w:tcPr>
          <w:p w14:paraId="379459F3" w14:textId="77777777" w:rsidR="000E5428" w:rsidRPr="009B54A6" w:rsidRDefault="000E5428" w:rsidP="00010674">
            <w:pPr>
              <w:autoSpaceDE w:val="0"/>
              <w:autoSpaceDN w:val="0"/>
              <w:adjustRightInd w:val="0"/>
              <w:rPr>
                <w:rFonts w:eastAsia="TimesNewRoman"/>
                <w:sz w:val="22"/>
                <w:szCs w:val="22"/>
                <w:lang w:eastAsia="lt-LT"/>
              </w:rPr>
            </w:pPr>
            <w:r w:rsidRPr="009B54A6">
              <w:rPr>
                <w:rFonts w:eastAsia="TimesNewRoman"/>
                <w:sz w:val="22"/>
                <w:szCs w:val="22"/>
                <w:lang w:eastAsia="lt-LT"/>
              </w:rPr>
              <w:t>Kraujagyslių sutrikimai</w:t>
            </w:r>
          </w:p>
          <w:p w14:paraId="514B8735" w14:textId="77777777" w:rsidR="000E5428" w:rsidRPr="009B54A6" w:rsidRDefault="000E5428" w:rsidP="00010674">
            <w:pPr>
              <w:autoSpaceDE w:val="0"/>
              <w:autoSpaceDN w:val="0"/>
              <w:adjustRightInd w:val="0"/>
              <w:rPr>
                <w:color w:val="008000"/>
                <w:sz w:val="22"/>
                <w:szCs w:val="22"/>
              </w:rPr>
            </w:pPr>
          </w:p>
        </w:tc>
        <w:tc>
          <w:tcPr>
            <w:tcW w:w="1984" w:type="dxa"/>
            <w:shd w:val="clear" w:color="auto" w:fill="auto"/>
          </w:tcPr>
          <w:p w14:paraId="598EE47A"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59E00F8F"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Nekrozinis vaskulitas</w:t>
            </w:r>
            <w:r w:rsidRPr="009B54A6">
              <w:rPr>
                <w:sz w:val="22"/>
                <w:szCs w:val="22"/>
                <w:lang w:eastAsia="sl-SI"/>
              </w:rPr>
              <w:t xml:space="preserve"> </w:t>
            </w:r>
          </w:p>
        </w:tc>
      </w:tr>
      <w:tr w:rsidR="000E5428" w:rsidRPr="009B54A6" w14:paraId="22C18E3F" w14:textId="77777777" w:rsidTr="00010674">
        <w:tc>
          <w:tcPr>
            <w:tcW w:w="2552" w:type="dxa"/>
            <w:shd w:val="clear" w:color="auto" w:fill="auto"/>
          </w:tcPr>
          <w:p w14:paraId="3C3E5100"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Virškinimo trakto sutrikimai</w:t>
            </w:r>
            <w:r w:rsidRPr="009B54A6">
              <w:rPr>
                <w:sz w:val="22"/>
                <w:szCs w:val="22"/>
                <w:lang w:eastAsia="sl-SI"/>
              </w:rPr>
              <w:t xml:space="preserve"> </w:t>
            </w:r>
          </w:p>
        </w:tc>
        <w:tc>
          <w:tcPr>
            <w:tcW w:w="1984" w:type="dxa"/>
            <w:shd w:val="clear" w:color="auto" w:fill="auto"/>
          </w:tcPr>
          <w:p w14:paraId="3DB64724"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14D3F743"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Pankreatitas, nemalonus pojūtis skrandyje</w:t>
            </w:r>
            <w:r w:rsidRPr="009B54A6">
              <w:rPr>
                <w:sz w:val="22"/>
                <w:szCs w:val="22"/>
                <w:lang w:eastAsia="sl-SI"/>
              </w:rPr>
              <w:t xml:space="preserve"> </w:t>
            </w:r>
          </w:p>
        </w:tc>
      </w:tr>
      <w:tr w:rsidR="000E5428" w:rsidRPr="009B54A6" w14:paraId="5A3783BB" w14:textId="77777777" w:rsidTr="00010674">
        <w:tc>
          <w:tcPr>
            <w:tcW w:w="2552" w:type="dxa"/>
            <w:shd w:val="clear" w:color="auto" w:fill="auto"/>
          </w:tcPr>
          <w:p w14:paraId="767AD69C"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Kepenų, tulžies pūslės ir latakų sutrikimai</w:t>
            </w:r>
          </w:p>
        </w:tc>
        <w:tc>
          <w:tcPr>
            <w:tcW w:w="1984" w:type="dxa"/>
            <w:shd w:val="clear" w:color="auto" w:fill="auto"/>
          </w:tcPr>
          <w:p w14:paraId="618802B3"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39DC79C0"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Hepatoceliulinė gelta, cholestazinė gelta</w:t>
            </w:r>
            <w:r w:rsidRPr="009B54A6">
              <w:rPr>
                <w:sz w:val="22"/>
                <w:szCs w:val="22"/>
                <w:lang w:eastAsia="sl-SI"/>
              </w:rPr>
              <w:t xml:space="preserve"> </w:t>
            </w:r>
          </w:p>
        </w:tc>
      </w:tr>
      <w:tr w:rsidR="000E5428" w:rsidRPr="009B54A6" w14:paraId="578014F3" w14:textId="77777777" w:rsidTr="00010674">
        <w:tc>
          <w:tcPr>
            <w:tcW w:w="2552" w:type="dxa"/>
            <w:shd w:val="clear" w:color="auto" w:fill="auto"/>
          </w:tcPr>
          <w:p w14:paraId="1EC573A1"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Odos ir poodinio audinio sutrikimai</w:t>
            </w:r>
          </w:p>
        </w:tc>
        <w:tc>
          <w:tcPr>
            <w:tcW w:w="1984" w:type="dxa"/>
            <w:shd w:val="clear" w:color="auto" w:fill="auto"/>
          </w:tcPr>
          <w:p w14:paraId="17F1A109"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2BBB9CEE" w14:textId="77777777" w:rsidR="000E5428" w:rsidRPr="009B54A6" w:rsidRDefault="000E5428" w:rsidP="00010674">
            <w:pPr>
              <w:autoSpaceDE w:val="0"/>
              <w:autoSpaceDN w:val="0"/>
              <w:adjustRightInd w:val="0"/>
              <w:rPr>
                <w:sz w:val="22"/>
                <w:szCs w:val="22"/>
                <w:lang w:eastAsia="sl-SI"/>
              </w:rPr>
            </w:pPr>
            <w:r w:rsidRPr="009B54A6">
              <w:rPr>
                <w:rFonts w:eastAsia="TimesNewRoman"/>
                <w:sz w:val="22"/>
                <w:szCs w:val="22"/>
                <w:lang w:eastAsia="lt-LT"/>
              </w:rPr>
              <w:t>Į vilkligę panašus sindromas, padidėjusio jautrumo šviesai reakcijos, odos kraujagyslių uždegimas, toksinė epidermio</w:t>
            </w:r>
            <w:r w:rsidRPr="009B54A6">
              <w:rPr>
                <w:sz w:val="22"/>
                <w:szCs w:val="22"/>
                <w:lang w:eastAsia="sl-SI"/>
              </w:rPr>
              <w:t xml:space="preserve"> nekrolizė</w:t>
            </w:r>
          </w:p>
        </w:tc>
      </w:tr>
      <w:tr w:rsidR="000E5428" w:rsidRPr="009B54A6" w14:paraId="1837A6F5" w14:textId="77777777" w:rsidTr="00010674">
        <w:tc>
          <w:tcPr>
            <w:tcW w:w="2552" w:type="dxa"/>
            <w:shd w:val="clear" w:color="auto" w:fill="auto"/>
          </w:tcPr>
          <w:p w14:paraId="67B09AD9"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 xml:space="preserve">Skeleto, raumenų ir jungiamojo audinio </w:t>
            </w:r>
            <w:r w:rsidRPr="009B54A6">
              <w:rPr>
                <w:rFonts w:eastAsia="TimesNewRoman"/>
                <w:sz w:val="22"/>
                <w:szCs w:val="22"/>
                <w:lang w:eastAsia="lt-LT"/>
              </w:rPr>
              <w:lastRenderedPageBreak/>
              <w:t>sutrikimai</w:t>
            </w:r>
          </w:p>
        </w:tc>
        <w:tc>
          <w:tcPr>
            <w:tcW w:w="1984" w:type="dxa"/>
            <w:shd w:val="clear" w:color="auto" w:fill="auto"/>
          </w:tcPr>
          <w:p w14:paraId="7D31583C"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lastRenderedPageBreak/>
              <w:t>Dažnis nežinomas</w:t>
            </w:r>
          </w:p>
        </w:tc>
        <w:tc>
          <w:tcPr>
            <w:tcW w:w="4556" w:type="dxa"/>
            <w:shd w:val="clear" w:color="auto" w:fill="auto"/>
          </w:tcPr>
          <w:p w14:paraId="6912FB18" w14:textId="77777777" w:rsidR="000E5428" w:rsidRPr="009B54A6" w:rsidRDefault="000E5428" w:rsidP="00010674">
            <w:pPr>
              <w:autoSpaceDE w:val="0"/>
              <w:autoSpaceDN w:val="0"/>
              <w:adjustRightInd w:val="0"/>
              <w:rPr>
                <w:sz w:val="22"/>
                <w:szCs w:val="22"/>
              </w:rPr>
            </w:pPr>
            <w:r w:rsidRPr="009B54A6">
              <w:rPr>
                <w:rFonts w:eastAsia="TimesNewRoman"/>
                <w:sz w:val="22"/>
                <w:szCs w:val="22"/>
                <w:lang w:eastAsia="lt-LT"/>
              </w:rPr>
              <w:t>Silpnumas</w:t>
            </w:r>
          </w:p>
        </w:tc>
      </w:tr>
      <w:tr w:rsidR="000E5428" w:rsidRPr="009B54A6" w14:paraId="065C5004" w14:textId="77777777" w:rsidTr="00010674">
        <w:tc>
          <w:tcPr>
            <w:tcW w:w="2552" w:type="dxa"/>
            <w:shd w:val="clear" w:color="auto" w:fill="auto"/>
          </w:tcPr>
          <w:p w14:paraId="2A0CB350"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lastRenderedPageBreak/>
              <w:t>Inkstų ir šlapimo takų sutrikimai</w:t>
            </w:r>
          </w:p>
        </w:tc>
        <w:tc>
          <w:tcPr>
            <w:tcW w:w="1984" w:type="dxa"/>
            <w:shd w:val="clear" w:color="auto" w:fill="auto"/>
          </w:tcPr>
          <w:p w14:paraId="4447C147"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0FCEA9FF"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Intersticinis nefritas, inkstų funkcijos sutrikimas, glikozurija</w:t>
            </w:r>
            <w:r w:rsidRPr="009B54A6">
              <w:rPr>
                <w:sz w:val="22"/>
                <w:szCs w:val="22"/>
                <w:lang w:eastAsia="sl-SI"/>
              </w:rPr>
              <w:t xml:space="preserve"> </w:t>
            </w:r>
          </w:p>
        </w:tc>
      </w:tr>
      <w:tr w:rsidR="000E5428" w:rsidRPr="009B54A6" w14:paraId="6F2FA8CD" w14:textId="77777777" w:rsidTr="00010674">
        <w:tc>
          <w:tcPr>
            <w:tcW w:w="2552" w:type="dxa"/>
            <w:shd w:val="clear" w:color="auto" w:fill="auto"/>
          </w:tcPr>
          <w:p w14:paraId="1E765BA8"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Bendrieji sutrikimai ir vartojimo vietos pažeidimai</w:t>
            </w:r>
          </w:p>
        </w:tc>
        <w:tc>
          <w:tcPr>
            <w:tcW w:w="1984" w:type="dxa"/>
            <w:shd w:val="clear" w:color="auto" w:fill="auto"/>
          </w:tcPr>
          <w:p w14:paraId="3DA70A55"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4C443199" w14:textId="77777777" w:rsidR="000E5428" w:rsidRPr="009B54A6" w:rsidRDefault="000E5428" w:rsidP="00010674">
            <w:pPr>
              <w:autoSpaceDE w:val="0"/>
              <w:autoSpaceDN w:val="0"/>
              <w:adjustRightInd w:val="0"/>
              <w:rPr>
                <w:sz w:val="22"/>
                <w:szCs w:val="22"/>
              </w:rPr>
            </w:pPr>
            <w:r w:rsidRPr="009B54A6">
              <w:rPr>
                <w:sz w:val="22"/>
                <w:szCs w:val="22"/>
                <w:lang w:eastAsia="sl-SI"/>
              </w:rPr>
              <w:t>Karščiavimas</w:t>
            </w:r>
          </w:p>
        </w:tc>
      </w:tr>
      <w:tr w:rsidR="000E5428" w:rsidRPr="009B54A6" w14:paraId="55D59704" w14:textId="77777777" w:rsidTr="00010674">
        <w:tc>
          <w:tcPr>
            <w:tcW w:w="2552" w:type="dxa"/>
            <w:shd w:val="clear" w:color="auto" w:fill="auto"/>
          </w:tcPr>
          <w:p w14:paraId="126BA1BC"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Tyrimai</w:t>
            </w:r>
          </w:p>
        </w:tc>
        <w:tc>
          <w:tcPr>
            <w:tcW w:w="1984" w:type="dxa"/>
            <w:shd w:val="clear" w:color="auto" w:fill="auto"/>
          </w:tcPr>
          <w:p w14:paraId="46285415" w14:textId="77777777" w:rsidR="000E5428" w:rsidRPr="009B54A6" w:rsidRDefault="000E5428" w:rsidP="00010674">
            <w:pPr>
              <w:autoSpaceDE w:val="0"/>
              <w:autoSpaceDN w:val="0"/>
              <w:adjustRightInd w:val="0"/>
              <w:rPr>
                <w:color w:val="008000"/>
                <w:sz w:val="22"/>
                <w:szCs w:val="22"/>
              </w:rPr>
            </w:pPr>
            <w:r w:rsidRPr="009B54A6">
              <w:rPr>
                <w:sz w:val="22"/>
                <w:szCs w:val="22"/>
                <w:lang w:eastAsia="sl-SI"/>
              </w:rPr>
              <w:t>Dažnis nežinomas</w:t>
            </w:r>
          </w:p>
        </w:tc>
        <w:tc>
          <w:tcPr>
            <w:tcW w:w="4556" w:type="dxa"/>
            <w:shd w:val="clear" w:color="auto" w:fill="auto"/>
          </w:tcPr>
          <w:p w14:paraId="142E789B" w14:textId="77777777" w:rsidR="000E5428" w:rsidRPr="009B54A6" w:rsidRDefault="000E5428" w:rsidP="00010674">
            <w:pPr>
              <w:autoSpaceDE w:val="0"/>
              <w:autoSpaceDN w:val="0"/>
              <w:adjustRightInd w:val="0"/>
              <w:rPr>
                <w:color w:val="008000"/>
                <w:sz w:val="22"/>
                <w:szCs w:val="22"/>
              </w:rPr>
            </w:pPr>
            <w:r w:rsidRPr="009B54A6">
              <w:rPr>
                <w:rFonts w:eastAsia="TimesNewRoman"/>
                <w:sz w:val="22"/>
                <w:szCs w:val="22"/>
                <w:lang w:eastAsia="lt-LT"/>
              </w:rPr>
              <w:t>Trigliceridų kiekio padidėjimas kraujyje</w:t>
            </w:r>
            <w:r w:rsidRPr="009B54A6">
              <w:rPr>
                <w:sz w:val="22"/>
                <w:szCs w:val="22"/>
                <w:lang w:eastAsia="sl-SI"/>
              </w:rPr>
              <w:t xml:space="preserve"> </w:t>
            </w:r>
          </w:p>
        </w:tc>
      </w:tr>
    </w:tbl>
    <w:p w14:paraId="7E0F63F1" w14:textId="77777777" w:rsidR="000E5428" w:rsidRPr="009B54A6" w:rsidRDefault="000E5428" w:rsidP="000E5428">
      <w:pPr>
        <w:autoSpaceDE w:val="0"/>
        <w:autoSpaceDN w:val="0"/>
        <w:adjustRightInd w:val="0"/>
        <w:rPr>
          <w:rFonts w:eastAsia="TimesNewRoman"/>
          <w:sz w:val="22"/>
          <w:szCs w:val="22"/>
          <w:lang w:eastAsia="lt-LT"/>
        </w:rPr>
      </w:pPr>
    </w:p>
    <w:p w14:paraId="2F7A1F8B" w14:textId="77777777" w:rsidR="000E5428" w:rsidRPr="009B54A6" w:rsidRDefault="000E5428" w:rsidP="000E5428">
      <w:pPr>
        <w:autoSpaceDE w:val="0"/>
        <w:autoSpaceDN w:val="0"/>
        <w:adjustRightInd w:val="0"/>
        <w:rPr>
          <w:rFonts w:eastAsia="TimesNewRoman"/>
          <w:i/>
          <w:sz w:val="22"/>
          <w:szCs w:val="22"/>
          <w:lang w:eastAsia="lt-LT"/>
        </w:rPr>
      </w:pPr>
      <w:r w:rsidRPr="009B54A6">
        <w:rPr>
          <w:rFonts w:eastAsia="TimesNewRoman"/>
          <w:i/>
          <w:sz w:val="22"/>
          <w:szCs w:val="22"/>
          <w:lang w:eastAsia="lt-LT"/>
        </w:rPr>
        <w:t>c. Atrinktų nepageidaujamų reakcijų apibūdinimas</w:t>
      </w:r>
    </w:p>
    <w:p w14:paraId="7B18EF3C" w14:textId="77777777" w:rsidR="000E5428" w:rsidRPr="009B54A6" w:rsidRDefault="000E5428" w:rsidP="000E5428">
      <w:pPr>
        <w:autoSpaceDE w:val="0"/>
        <w:autoSpaceDN w:val="0"/>
        <w:adjustRightInd w:val="0"/>
        <w:rPr>
          <w:rFonts w:eastAsia="TimesNewRoman"/>
          <w:sz w:val="22"/>
          <w:szCs w:val="22"/>
          <w:u w:val="single"/>
          <w:lang w:eastAsia="lt-LT"/>
        </w:rPr>
      </w:pPr>
      <w:r w:rsidRPr="009B54A6">
        <w:rPr>
          <w:sz w:val="22"/>
          <w:szCs w:val="22"/>
          <w:u w:val="single"/>
          <w:vertAlign w:val="superscript"/>
          <w:lang w:val="sl-SI" w:eastAsia="sl-SI"/>
        </w:rPr>
        <w:t>1</w:t>
      </w:r>
      <w:r w:rsidRPr="009B54A6">
        <w:rPr>
          <w:rFonts w:eastAsia="TimesNewRoman"/>
          <w:sz w:val="22"/>
          <w:szCs w:val="22"/>
          <w:u w:val="single"/>
          <w:lang w:eastAsia="lt-LT"/>
        </w:rPr>
        <w:t>Nenormali kepenų funkcija (kepenų sutrikimas)</w:t>
      </w:r>
    </w:p>
    <w:p w14:paraId="069EC58A"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Telmisartanu gydant po to, kai jis pateko į rinką, daugumas nenormalios kepenų funkcijos (kepenų sutrikimo) atvejų pasireiškė pacientams japonams. Pacientams japonams šios nepageidaujamos reakcijos yra labiau tikėtinos.</w:t>
      </w:r>
    </w:p>
    <w:p w14:paraId="140CF29D" w14:textId="77777777" w:rsidR="000E5428" w:rsidRPr="009B54A6" w:rsidRDefault="000E5428" w:rsidP="000E5428">
      <w:pPr>
        <w:autoSpaceDE w:val="0"/>
        <w:autoSpaceDN w:val="0"/>
        <w:adjustRightInd w:val="0"/>
        <w:rPr>
          <w:rFonts w:eastAsia="TimesNewRoman"/>
          <w:sz w:val="22"/>
          <w:szCs w:val="22"/>
          <w:lang w:eastAsia="lt-LT"/>
        </w:rPr>
      </w:pPr>
    </w:p>
    <w:p w14:paraId="4FC41C58" w14:textId="77777777" w:rsidR="000E5428" w:rsidRPr="009B54A6" w:rsidRDefault="000E5428" w:rsidP="000E5428">
      <w:pPr>
        <w:autoSpaceDE w:val="0"/>
        <w:autoSpaceDN w:val="0"/>
        <w:adjustRightInd w:val="0"/>
        <w:rPr>
          <w:rFonts w:eastAsia="TimesNewRoman"/>
          <w:sz w:val="22"/>
          <w:szCs w:val="22"/>
          <w:u w:val="single"/>
          <w:lang w:eastAsia="lt-LT"/>
        </w:rPr>
      </w:pPr>
      <w:r w:rsidRPr="009B54A6">
        <w:rPr>
          <w:sz w:val="22"/>
          <w:szCs w:val="22"/>
          <w:u w:val="single"/>
          <w:vertAlign w:val="superscript"/>
          <w:lang w:val="sl-SI" w:eastAsia="sl-SI"/>
        </w:rPr>
        <w:t>2</w:t>
      </w:r>
      <w:r w:rsidRPr="009B54A6">
        <w:rPr>
          <w:rFonts w:eastAsia="TimesNewRoman"/>
          <w:sz w:val="22"/>
          <w:szCs w:val="22"/>
          <w:u w:val="single"/>
          <w:lang w:eastAsia="lt-LT"/>
        </w:rPr>
        <w:t>Sepsis</w:t>
      </w:r>
    </w:p>
    <w:p w14:paraId="3180355C"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PRoFE</w:t>
      </w:r>
      <w:r w:rsidRPr="009B54A6">
        <w:rPr>
          <w:rFonts w:eastAsia="TimesNewRoman"/>
          <w:bCs/>
          <w:sz w:val="22"/>
          <w:szCs w:val="22"/>
          <w:lang w:eastAsia="lt-LT"/>
        </w:rPr>
        <w:t>SS</w:t>
      </w:r>
      <w:r w:rsidRPr="009B54A6">
        <w:rPr>
          <w:rFonts w:eastAsia="TimesNewRoman"/>
          <w:b/>
          <w:bCs/>
          <w:sz w:val="22"/>
          <w:szCs w:val="22"/>
          <w:lang w:eastAsia="lt-LT"/>
        </w:rPr>
        <w:t xml:space="preserve"> </w:t>
      </w:r>
      <w:r w:rsidRPr="009B54A6">
        <w:rPr>
          <w:rFonts w:eastAsia="TimesNewRoman"/>
          <w:sz w:val="22"/>
          <w:szCs w:val="22"/>
          <w:lang w:eastAsia="lt-LT"/>
        </w:rPr>
        <w:t>tyrimo metu telmisartanu, palyginti su placebu, gydytiems pacientams sepsio dažnis buvo didesnis. Reiškinys gali būti atsitiktinis arba priklausomas nuo šiuo metu nežinomo mechanizmo (žr.</w:t>
      </w:r>
    </w:p>
    <w:p w14:paraId="1E8BD8A6"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5.1 skyrių).</w:t>
      </w:r>
    </w:p>
    <w:p w14:paraId="7603240E" w14:textId="77777777" w:rsidR="000E5428" w:rsidRPr="009B54A6" w:rsidRDefault="000E5428" w:rsidP="000E5428">
      <w:pPr>
        <w:autoSpaceDE w:val="0"/>
        <w:autoSpaceDN w:val="0"/>
        <w:adjustRightInd w:val="0"/>
        <w:rPr>
          <w:rFonts w:eastAsia="TimesNewRoman"/>
          <w:sz w:val="22"/>
          <w:szCs w:val="22"/>
          <w:lang w:eastAsia="lt-LT"/>
        </w:rPr>
      </w:pPr>
    </w:p>
    <w:p w14:paraId="718B1F6C" w14:textId="77777777" w:rsidR="000E5428" w:rsidRPr="009B54A6" w:rsidRDefault="000E5428" w:rsidP="000E5428">
      <w:pPr>
        <w:autoSpaceDE w:val="0"/>
        <w:autoSpaceDN w:val="0"/>
        <w:adjustRightInd w:val="0"/>
        <w:rPr>
          <w:rFonts w:eastAsia="TimesNewRoman"/>
          <w:sz w:val="22"/>
          <w:szCs w:val="22"/>
          <w:u w:val="single"/>
          <w:lang w:eastAsia="lt-LT"/>
        </w:rPr>
      </w:pPr>
      <w:r w:rsidRPr="009B54A6">
        <w:rPr>
          <w:sz w:val="22"/>
          <w:szCs w:val="22"/>
          <w:u w:val="single"/>
          <w:vertAlign w:val="superscript"/>
          <w:lang w:val="sl-SI" w:eastAsia="sl-SI"/>
        </w:rPr>
        <w:t>3</w:t>
      </w:r>
      <w:r w:rsidRPr="009B54A6">
        <w:rPr>
          <w:rFonts w:eastAsia="TimesNewRoman"/>
          <w:sz w:val="22"/>
          <w:szCs w:val="22"/>
          <w:u w:val="single"/>
          <w:lang w:eastAsia="lt-LT"/>
        </w:rPr>
        <w:t>Intersticinė plaučių liga</w:t>
      </w:r>
    </w:p>
    <w:p w14:paraId="014179A2" w14:textId="77777777" w:rsidR="000E5428" w:rsidRPr="009B54A6" w:rsidRDefault="000E5428" w:rsidP="000E5428">
      <w:pPr>
        <w:autoSpaceDE w:val="0"/>
        <w:autoSpaceDN w:val="0"/>
        <w:adjustRightInd w:val="0"/>
        <w:rPr>
          <w:sz w:val="22"/>
          <w:szCs w:val="22"/>
          <w:lang w:eastAsia="lt-LT"/>
        </w:rPr>
      </w:pPr>
      <w:r w:rsidRPr="009B54A6">
        <w:rPr>
          <w:rFonts w:eastAsia="TimesNewRoman"/>
          <w:sz w:val="22"/>
          <w:szCs w:val="22"/>
          <w:lang w:eastAsia="lt-LT"/>
        </w:rPr>
        <w:t>Vaistiniu preparatu gydant po to, kai jis pateko į rinką, buvo intersticinės plaučių ligos, laiko atžvilgiu susijusios su telmisartano vartojimu, atvejų, tačiau priežastinis ryšys nebuvo nustatytas.</w:t>
      </w:r>
    </w:p>
    <w:p w14:paraId="47E3F805" w14:textId="77777777" w:rsidR="000E5428" w:rsidRPr="009B54A6" w:rsidRDefault="000E5428" w:rsidP="000E5428">
      <w:pPr>
        <w:autoSpaceDE w:val="0"/>
        <w:autoSpaceDN w:val="0"/>
        <w:adjustRightInd w:val="0"/>
        <w:rPr>
          <w:sz w:val="22"/>
          <w:szCs w:val="22"/>
          <w:lang w:eastAsia="lt-LT"/>
        </w:rPr>
      </w:pPr>
    </w:p>
    <w:p w14:paraId="0FAEAC31" w14:textId="77777777" w:rsidR="000E5428" w:rsidRPr="009B54A6" w:rsidRDefault="000E5428" w:rsidP="000E5428">
      <w:pPr>
        <w:autoSpaceDE w:val="0"/>
        <w:autoSpaceDN w:val="0"/>
        <w:adjustRightInd w:val="0"/>
        <w:rPr>
          <w:sz w:val="22"/>
          <w:szCs w:val="22"/>
          <w:u w:val="single"/>
        </w:rPr>
      </w:pPr>
      <w:r w:rsidRPr="009B54A6">
        <w:rPr>
          <w:noProof/>
          <w:sz w:val="22"/>
          <w:szCs w:val="22"/>
          <w:u w:val="single"/>
        </w:rPr>
        <w:t>Pranešimas apie įtariamas nepageidaujamas reakcijas</w:t>
      </w:r>
    </w:p>
    <w:p w14:paraId="3B10809C" w14:textId="2EA22012" w:rsidR="00010674" w:rsidRPr="00606821" w:rsidRDefault="00010674" w:rsidP="00606821">
      <w:pPr>
        <w:autoSpaceDE w:val="0"/>
        <w:autoSpaceDN w:val="0"/>
        <w:adjustRightInd w:val="0"/>
        <w:rPr>
          <w:rFonts w:eastAsia="TimesNewRoman"/>
          <w:sz w:val="22"/>
          <w:szCs w:val="22"/>
          <w:lang w:eastAsia="lt-LT"/>
        </w:rPr>
      </w:pPr>
      <w:r w:rsidRPr="00606821">
        <w:rPr>
          <w:rFonts w:eastAsia="TimesNewRoman"/>
          <w:sz w:val="22"/>
          <w:szCs w:val="22"/>
          <w:lang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B84FE7">
          <w:rPr>
            <w:rFonts w:eastAsia="TimesNewRoman"/>
            <w:sz w:val="22"/>
          </w:rPr>
          <w:t>www.vvkt.lt</w:t>
        </w:r>
      </w:hyperlink>
      <w:r w:rsidRPr="00606821">
        <w:rPr>
          <w:rFonts w:eastAsia="TimesNewRoman"/>
          <w:sz w:val="22"/>
          <w:szCs w:val="22"/>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B84FE7">
          <w:rPr>
            <w:rFonts w:eastAsia="TimesNewRoman"/>
            <w:sz w:val="22"/>
          </w:rPr>
          <w:t>NepageidaujamaR@vvkt.lt</w:t>
        </w:r>
      </w:hyperlink>
      <w:r w:rsidRPr="00606821">
        <w:rPr>
          <w:rFonts w:eastAsia="TimesNewRoman"/>
          <w:sz w:val="22"/>
          <w:szCs w:val="22"/>
          <w:lang w:eastAsia="lt-LT"/>
        </w:rPr>
        <w:t>), per interneto svetainę (adresu http://www.vvkt.lt).</w:t>
      </w:r>
    </w:p>
    <w:p w14:paraId="0322ABFB" w14:textId="77777777" w:rsidR="00010674" w:rsidRPr="00B84FE7" w:rsidRDefault="00010674" w:rsidP="00B84FE7"/>
    <w:p w14:paraId="152C75F2" w14:textId="77777777" w:rsidR="000E5428" w:rsidRPr="009B54A6" w:rsidRDefault="000E5428" w:rsidP="000E5428">
      <w:pPr>
        <w:tabs>
          <w:tab w:val="left" w:pos="567"/>
        </w:tabs>
        <w:rPr>
          <w:sz w:val="22"/>
          <w:szCs w:val="22"/>
        </w:rPr>
      </w:pPr>
    </w:p>
    <w:p w14:paraId="65B587D3" w14:textId="77777777" w:rsidR="000E5428" w:rsidRPr="009B54A6" w:rsidRDefault="000E5428" w:rsidP="000E5428">
      <w:pPr>
        <w:tabs>
          <w:tab w:val="left" w:pos="567"/>
        </w:tabs>
        <w:rPr>
          <w:b/>
          <w:bCs/>
          <w:sz w:val="22"/>
          <w:szCs w:val="22"/>
        </w:rPr>
      </w:pPr>
      <w:r w:rsidRPr="009B54A6">
        <w:rPr>
          <w:b/>
          <w:bCs/>
          <w:sz w:val="22"/>
          <w:szCs w:val="22"/>
        </w:rPr>
        <w:t>4.9</w:t>
      </w:r>
      <w:r w:rsidRPr="009B54A6">
        <w:rPr>
          <w:b/>
          <w:bCs/>
          <w:sz w:val="22"/>
          <w:szCs w:val="22"/>
        </w:rPr>
        <w:tab/>
        <w:t>Perdozavimas</w:t>
      </w:r>
    </w:p>
    <w:p w14:paraId="00288B5D" w14:textId="77777777" w:rsidR="000E5428" w:rsidRPr="009B54A6" w:rsidRDefault="000E5428" w:rsidP="000E5428">
      <w:pPr>
        <w:tabs>
          <w:tab w:val="left" w:pos="567"/>
        </w:tabs>
        <w:rPr>
          <w:b/>
          <w:bCs/>
          <w:sz w:val="22"/>
          <w:szCs w:val="22"/>
        </w:rPr>
      </w:pPr>
    </w:p>
    <w:p w14:paraId="2E771CDE" w14:textId="77777777" w:rsidR="000E5428" w:rsidRPr="009B54A6" w:rsidRDefault="000E5428" w:rsidP="000E5428">
      <w:pPr>
        <w:autoSpaceDE w:val="0"/>
        <w:autoSpaceDN w:val="0"/>
        <w:adjustRightInd w:val="0"/>
        <w:rPr>
          <w:sz w:val="22"/>
          <w:szCs w:val="22"/>
          <w:lang w:eastAsia="lt-LT"/>
        </w:rPr>
      </w:pPr>
      <w:r w:rsidRPr="009B54A6">
        <w:rPr>
          <w:sz w:val="22"/>
          <w:szCs w:val="22"/>
        </w:rPr>
        <w:t>Informacijos apie telmisartano perdozavimą žmonėms yra mažai. Kiek hemodialize galima iš organizmo pašalinti hidrochlorotiazido, neištirta</w:t>
      </w:r>
      <w:r w:rsidRPr="009B54A6">
        <w:rPr>
          <w:sz w:val="22"/>
          <w:szCs w:val="22"/>
          <w:lang w:eastAsia="lt-LT"/>
        </w:rPr>
        <w:t>.</w:t>
      </w:r>
    </w:p>
    <w:p w14:paraId="2A9B3F54" w14:textId="77777777" w:rsidR="000E5428" w:rsidRPr="009B54A6" w:rsidRDefault="000E5428" w:rsidP="000E5428">
      <w:pPr>
        <w:autoSpaceDE w:val="0"/>
        <w:autoSpaceDN w:val="0"/>
        <w:adjustRightInd w:val="0"/>
        <w:rPr>
          <w:sz w:val="22"/>
          <w:szCs w:val="22"/>
          <w:lang w:eastAsia="lt-LT"/>
        </w:rPr>
      </w:pPr>
    </w:p>
    <w:p w14:paraId="20D930BD" w14:textId="77777777" w:rsidR="000E5428" w:rsidRPr="009B54A6" w:rsidRDefault="000E5428" w:rsidP="000E5428">
      <w:pPr>
        <w:autoSpaceDE w:val="0"/>
        <w:autoSpaceDN w:val="0"/>
        <w:adjustRightInd w:val="0"/>
        <w:rPr>
          <w:sz w:val="22"/>
          <w:szCs w:val="22"/>
          <w:lang w:eastAsia="lt-LT"/>
        </w:rPr>
      </w:pPr>
      <w:r w:rsidRPr="009B54A6">
        <w:rPr>
          <w:sz w:val="22"/>
          <w:szCs w:val="22"/>
          <w:u w:val="single"/>
          <w:lang w:eastAsia="lt-LT"/>
        </w:rPr>
        <w:t>Simptomai</w:t>
      </w:r>
      <w:r w:rsidRPr="009B54A6">
        <w:rPr>
          <w:sz w:val="22"/>
          <w:szCs w:val="22"/>
          <w:lang w:eastAsia="lt-LT"/>
        </w:rPr>
        <w:t xml:space="preserve"> </w:t>
      </w:r>
    </w:p>
    <w:p w14:paraId="472F977B"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 xml:space="preserve">Labiausiai pastebimi telmisartano perdozavimo simptomai buvo hipotenzija ir tachikardija. </w:t>
      </w:r>
      <w:r w:rsidRPr="009B54A6">
        <w:rPr>
          <w:sz w:val="22"/>
          <w:szCs w:val="22"/>
          <w:lang w:eastAsia="lt-LT"/>
        </w:rPr>
        <w:t>Taip pat buvo pranešimų apie bradikardijos, galvos svaigimo, kreatinino kiekio padidėjimo kraujo serume bei ūminio inkstų nepakankamumo, atvejus.</w:t>
      </w:r>
      <w:r w:rsidRPr="009B54A6">
        <w:rPr>
          <w:rFonts w:eastAsia="TimesNewRoman"/>
          <w:sz w:val="22"/>
          <w:szCs w:val="22"/>
          <w:lang w:eastAsia="lt-LT"/>
        </w:rPr>
        <w:t xml:space="preserve"> Hidrochlorotiazido perdozavimas būna susijęs su elektrolitų kiekio sumažėjimu (hipokalemija, hipochloremija) ir hipovolemija, kadangi labai sustiprėja diurezė. Dažniausi perdozavimo simptomai yra pykinimas ir apsnūdimas. Dėl hipokalemijos gali pasireikšti raumenų spazmai ir (arba) pasunkėti kartu vartojamų rusmenės glikozidų ar tam tikrų antiaritminių vaistinių preparatų sukeliama aritmija.</w:t>
      </w:r>
    </w:p>
    <w:p w14:paraId="07D314D7" w14:textId="77777777" w:rsidR="000E5428" w:rsidRPr="009B54A6" w:rsidRDefault="000E5428" w:rsidP="000E5428">
      <w:pPr>
        <w:autoSpaceDE w:val="0"/>
        <w:autoSpaceDN w:val="0"/>
        <w:adjustRightInd w:val="0"/>
        <w:rPr>
          <w:rFonts w:eastAsia="TimesNewRoman"/>
          <w:sz w:val="22"/>
          <w:szCs w:val="22"/>
          <w:lang w:eastAsia="lt-LT"/>
        </w:rPr>
      </w:pPr>
    </w:p>
    <w:p w14:paraId="47D336B3" w14:textId="77777777" w:rsidR="000E5428" w:rsidRPr="009B54A6" w:rsidRDefault="000E5428" w:rsidP="000E5428">
      <w:pPr>
        <w:autoSpaceDE w:val="0"/>
        <w:autoSpaceDN w:val="0"/>
        <w:adjustRightInd w:val="0"/>
        <w:rPr>
          <w:rFonts w:eastAsia="TimesNewRoman"/>
          <w:sz w:val="22"/>
          <w:szCs w:val="22"/>
          <w:u w:val="single"/>
          <w:lang w:eastAsia="lt-LT"/>
        </w:rPr>
      </w:pPr>
      <w:r w:rsidRPr="009B54A6">
        <w:rPr>
          <w:rFonts w:eastAsia="TimesNewRoman"/>
          <w:sz w:val="22"/>
          <w:szCs w:val="22"/>
          <w:u w:val="single"/>
          <w:lang w:eastAsia="lt-LT"/>
        </w:rPr>
        <w:t>Gydymas</w:t>
      </w:r>
    </w:p>
    <w:p w14:paraId="0CE64C85" w14:textId="77777777" w:rsidR="000E5428" w:rsidRPr="009B54A6" w:rsidRDefault="000E5428" w:rsidP="000E5428">
      <w:pPr>
        <w:autoSpaceDE w:val="0"/>
        <w:autoSpaceDN w:val="0"/>
        <w:adjustRightInd w:val="0"/>
        <w:rPr>
          <w:sz w:val="22"/>
          <w:szCs w:val="22"/>
          <w:lang w:eastAsia="lt-LT"/>
        </w:rPr>
      </w:pPr>
      <w:r w:rsidRPr="009B54A6">
        <w:rPr>
          <w:rFonts w:eastAsia="TimesNewRoman"/>
          <w:sz w:val="22"/>
          <w:szCs w:val="22"/>
          <w:lang w:eastAsia="lt-LT"/>
        </w:rPr>
        <w:t xml:space="preserve">Hemodialize telmisartano iš organizmo pašalinti neįmanoma. Apsinuodijusį pacientą būtina atidžiai prižiūrėti. Reikalingas simptominis ir palaikomasis gydymas. Jis priklauso nuo apsinuodijimo laiko ir pasireiškusių simptomų sunkumo. </w:t>
      </w:r>
      <w:r w:rsidRPr="009B54A6">
        <w:rPr>
          <w:sz w:val="22"/>
          <w:szCs w:val="22"/>
          <w:lang w:eastAsia="lt-LT"/>
        </w:rPr>
        <w:t>Pradžioje patariama išplauti skrandį arba (ir) sukelti vėmimą. Gali būti naudinga duoti gerti aktyvuotos anglies. Būtina dažnai nustatinėti elektrolitų ir kreatinino kiekį kraujo serume. Jeigu pasireiškia hipotenzija, pacientą reikia paguldyti ant nugaros ir nedelsiant skirti druskų bei kraujo tūrį didinančių skysčių.</w:t>
      </w:r>
    </w:p>
    <w:p w14:paraId="7A123579" w14:textId="77777777" w:rsidR="000E5428" w:rsidRPr="009B54A6" w:rsidRDefault="000E5428" w:rsidP="000E5428">
      <w:pPr>
        <w:tabs>
          <w:tab w:val="left" w:pos="567"/>
        </w:tabs>
        <w:rPr>
          <w:sz w:val="22"/>
          <w:szCs w:val="22"/>
          <w:lang w:eastAsia="lt-LT"/>
        </w:rPr>
      </w:pPr>
    </w:p>
    <w:p w14:paraId="279A54C6" w14:textId="77777777" w:rsidR="000E5428" w:rsidRPr="009B54A6" w:rsidRDefault="000E5428" w:rsidP="000E5428">
      <w:pPr>
        <w:tabs>
          <w:tab w:val="left" w:pos="567"/>
        </w:tabs>
        <w:rPr>
          <w:sz w:val="22"/>
          <w:szCs w:val="22"/>
        </w:rPr>
      </w:pPr>
    </w:p>
    <w:p w14:paraId="66B30678" w14:textId="77777777" w:rsidR="000E5428" w:rsidRPr="009B54A6" w:rsidRDefault="000E5428" w:rsidP="000E5428">
      <w:pPr>
        <w:tabs>
          <w:tab w:val="left" w:pos="567"/>
        </w:tabs>
        <w:rPr>
          <w:b/>
          <w:bCs/>
          <w:sz w:val="22"/>
          <w:szCs w:val="22"/>
        </w:rPr>
      </w:pPr>
      <w:r w:rsidRPr="009B54A6">
        <w:rPr>
          <w:b/>
          <w:bCs/>
          <w:sz w:val="22"/>
          <w:szCs w:val="22"/>
        </w:rPr>
        <w:lastRenderedPageBreak/>
        <w:t>5.</w:t>
      </w:r>
      <w:r w:rsidRPr="009B54A6">
        <w:rPr>
          <w:b/>
          <w:bCs/>
          <w:sz w:val="22"/>
          <w:szCs w:val="22"/>
        </w:rPr>
        <w:tab/>
        <w:t>FARMAKOLOGINĖS SAVYBĖS</w:t>
      </w:r>
    </w:p>
    <w:p w14:paraId="7D0C21ED" w14:textId="77777777" w:rsidR="000E5428" w:rsidRPr="009B54A6" w:rsidRDefault="000E5428" w:rsidP="000E5428">
      <w:pPr>
        <w:tabs>
          <w:tab w:val="left" w:pos="567"/>
        </w:tabs>
        <w:rPr>
          <w:sz w:val="22"/>
          <w:szCs w:val="22"/>
        </w:rPr>
      </w:pPr>
    </w:p>
    <w:p w14:paraId="557E765C" w14:textId="77777777" w:rsidR="000E5428" w:rsidRPr="009B54A6" w:rsidRDefault="000E5428" w:rsidP="000E5428">
      <w:pPr>
        <w:tabs>
          <w:tab w:val="left" w:pos="567"/>
        </w:tabs>
        <w:rPr>
          <w:b/>
          <w:bCs/>
          <w:sz w:val="22"/>
          <w:szCs w:val="22"/>
        </w:rPr>
      </w:pPr>
      <w:r w:rsidRPr="009B54A6">
        <w:rPr>
          <w:b/>
          <w:bCs/>
          <w:sz w:val="22"/>
          <w:szCs w:val="22"/>
        </w:rPr>
        <w:t>5.1</w:t>
      </w:r>
      <w:r w:rsidRPr="009B54A6">
        <w:rPr>
          <w:b/>
          <w:bCs/>
          <w:sz w:val="22"/>
          <w:szCs w:val="22"/>
        </w:rPr>
        <w:tab/>
        <w:t>Farmakodinaminės savybės</w:t>
      </w:r>
    </w:p>
    <w:p w14:paraId="6F8F8B99" w14:textId="77777777" w:rsidR="000E5428" w:rsidRPr="009B54A6" w:rsidRDefault="000E5428" w:rsidP="000E5428">
      <w:pPr>
        <w:tabs>
          <w:tab w:val="left" w:pos="567"/>
        </w:tabs>
        <w:rPr>
          <w:b/>
          <w:bCs/>
          <w:sz w:val="22"/>
          <w:szCs w:val="22"/>
        </w:rPr>
      </w:pPr>
    </w:p>
    <w:p w14:paraId="11E19665" w14:textId="1CB52FE7" w:rsidR="000E5428" w:rsidRPr="009B54A6" w:rsidRDefault="000E5428" w:rsidP="000E5428">
      <w:pPr>
        <w:autoSpaceDE w:val="0"/>
        <w:autoSpaceDN w:val="0"/>
        <w:adjustRightInd w:val="0"/>
        <w:rPr>
          <w:sz w:val="22"/>
          <w:szCs w:val="22"/>
          <w:lang w:eastAsia="lt-LT"/>
        </w:rPr>
      </w:pPr>
      <w:r w:rsidRPr="009B54A6">
        <w:rPr>
          <w:sz w:val="22"/>
          <w:szCs w:val="22"/>
          <w:lang w:eastAsia="lt-LT"/>
        </w:rPr>
        <w:t>Farmakoterapinė grupė − angiotenzino II blokatoriai ir diuretikai</w:t>
      </w:r>
      <w:r w:rsidR="00563355">
        <w:rPr>
          <w:sz w:val="22"/>
          <w:szCs w:val="22"/>
          <w:lang w:eastAsia="lt-LT"/>
        </w:rPr>
        <w:t xml:space="preserve">, </w:t>
      </w:r>
      <w:r w:rsidRPr="009B54A6">
        <w:rPr>
          <w:sz w:val="22"/>
          <w:szCs w:val="22"/>
          <w:lang w:eastAsia="lt-LT"/>
        </w:rPr>
        <w:t>ATC kodas − C09DA07</w:t>
      </w:r>
      <w:r w:rsidR="00563355">
        <w:rPr>
          <w:sz w:val="22"/>
          <w:szCs w:val="22"/>
          <w:lang w:eastAsia="lt-LT"/>
        </w:rPr>
        <w:t>.</w:t>
      </w:r>
    </w:p>
    <w:p w14:paraId="165355F8" w14:textId="77777777" w:rsidR="000E5428" w:rsidRPr="009B54A6" w:rsidRDefault="000E5428" w:rsidP="000E5428">
      <w:pPr>
        <w:autoSpaceDE w:val="0"/>
        <w:autoSpaceDN w:val="0"/>
        <w:adjustRightInd w:val="0"/>
        <w:rPr>
          <w:sz w:val="22"/>
          <w:szCs w:val="22"/>
          <w:lang w:eastAsia="lt-LT"/>
        </w:rPr>
      </w:pPr>
    </w:p>
    <w:p w14:paraId="1615C431"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Telmisartan/Hydrochlorothiazide Sandoz yra angiotenzinui II jautrių receptorių blokatoriaus telmisartano ir tiazidinio diuretiko hidrochlorotiazido derinys. Vartojamos kartu minėtos medžiagos sukelia adityvų antihipertenzinį poveikį: kraujospūdis mažėja daugiau negu vartojant atskirai. Geriant terapinę telmisartano ir hidrochlorotiazido derinio dozę 1 kartą per parą, kraujospūdis mažėja veiksmingai ir vienodai.</w:t>
      </w:r>
    </w:p>
    <w:p w14:paraId="5C144F03" w14:textId="77777777" w:rsidR="000E5428" w:rsidRPr="009B54A6" w:rsidRDefault="000E5428" w:rsidP="000E5428">
      <w:pPr>
        <w:autoSpaceDE w:val="0"/>
        <w:autoSpaceDN w:val="0"/>
        <w:adjustRightInd w:val="0"/>
        <w:rPr>
          <w:rFonts w:eastAsia="TimesNewRoman"/>
          <w:sz w:val="22"/>
          <w:szCs w:val="22"/>
          <w:lang w:eastAsia="lt-LT"/>
        </w:rPr>
      </w:pPr>
    </w:p>
    <w:p w14:paraId="1227FD4F"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Telmisartanas yra specifinis angiotenzinui II jautrių AT1 receptorių antagonistas. Jis veiklus išgertas. Preparatas, konkuruodamas su angiotenzinu II, neleidžia jam prisijungti daugiausiai prie AT1 receptorių. Nuo jų dirginimo priklauso angiotenzino II sukeliamas poveikis. Dalinio agonistinio poveikio AT1 receptoriams telmisartanas nesukelia. Prie šių receptorių jis jungiasi selektyviai ir ilgam. Kitos rūšies receptorių, įskaitant ir AT2 bei kitokius mažiau identifikuotus angiotenzininius receptorius, preparatas neblokuoja. Kokia minėtų receptorių funkcija ir koks galimas poveikis, jeigu juos per daug stimuliuoja angiotenzinas II (jo kiekis veikiant telmisartanui padidėja), nežinoma.</w:t>
      </w:r>
    </w:p>
    <w:p w14:paraId="232D83A9"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Telmisartanas mažina aldosterono koncentraciją kraujo plazmoje. Plazmoje esančio renino aktyvumo vaistas neslopina, jonų srovės kanalų neblokuoja. Kadangi angiotenziną konvertuojančio fermento (kininazės II), ardančios ir bradikininą, telmisartanas neslopina, todėl bradikinino sukeliamo nepageidaujamo poveikio neturėtų stiprinti.</w:t>
      </w:r>
    </w:p>
    <w:p w14:paraId="2420BA92"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 xml:space="preserve">Sveikiems savanoriams 80 mg telmisartano dozė beveik visiškai blokavo angiotenzino II sukeliamą kraujospūdžio padidėjimą. Šis poveikis išsilaikė ilgiau negu 24 val., o pastebimas buvo net 48 val. </w:t>
      </w:r>
    </w:p>
    <w:p w14:paraId="16A23428" w14:textId="77777777" w:rsidR="000E5428" w:rsidRPr="009B54A6" w:rsidRDefault="000E5428" w:rsidP="000E5428">
      <w:pPr>
        <w:autoSpaceDE w:val="0"/>
        <w:autoSpaceDN w:val="0"/>
        <w:adjustRightInd w:val="0"/>
        <w:rPr>
          <w:rFonts w:eastAsia="TimesNewRoman"/>
          <w:sz w:val="22"/>
          <w:szCs w:val="22"/>
          <w:lang w:eastAsia="lt-LT"/>
        </w:rPr>
      </w:pPr>
    </w:p>
    <w:p w14:paraId="67B79016"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Išgėrus pirmą telmisartano dozę, antihipertenzinis poveikis palaipsniui pasireiškia per 3 val. Labiausiai kraujospūdis sumažėja po 4 - 8 gydymo savaičių. Preparato vartojant ilgai, poveikis išlieka. Matuojant kraujospūdį ambulatoriškai gydomiems pacientams, nustatyta, jog vienkartinės dozės sukeltas antihipertenzinis poveikis visuomet išlieka ilgiau negu 24 val., įskaitant ir paskutines 4 val. prieš kitos dozės vartojimą. Tai patvirtina ir kontrolinių tyrimų (vaisto poveikis lygintas su placebo poveikiu, kraujospūdis matuotas prieš kitos dozės vartojimą ir tada, kai poveikis jam būna stipriausias), rezultatai: vartojant tiek 40 mg, tiek 80 mg telmisartano dozę, mažiausia koncentracija kraujo plazmoje buvo didesnė negu 80 % didžiausios.</w:t>
      </w:r>
    </w:p>
    <w:p w14:paraId="081F869E" w14:textId="77777777" w:rsidR="000E5428" w:rsidRPr="009B54A6" w:rsidRDefault="000E5428" w:rsidP="000E5428">
      <w:pPr>
        <w:autoSpaceDE w:val="0"/>
        <w:autoSpaceDN w:val="0"/>
        <w:adjustRightInd w:val="0"/>
        <w:rPr>
          <w:rFonts w:eastAsia="TimesNewRoman"/>
          <w:sz w:val="22"/>
          <w:szCs w:val="22"/>
          <w:lang w:eastAsia="lt-LT"/>
        </w:rPr>
      </w:pPr>
    </w:p>
    <w:p w14:paraId="3C7C2115"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Telmisartanas mažina ir sistolinį, ir diastolinį hipertenzija sergančių ligonių kraujospūdį, tačiau pulso dažnio nekeičia. Klinikiniais tyrimais, kurių metu vaistinio preparato poveikis lygintas su amlodipino, atenololio, enalaprilio, hidrochlorotiazido ir lizinoprilio, nustatyta, jog telmisartano veiksmingumas yra toks pat, kaip ir kitų grupių antihipertenzinių preparatų.</w:t>
      </w:r>
    </w:p>
    <w:p w14:paraId="010DF9A0" w14:textId="77777777" w:rsidR="000E5428" w:rsidRPr="009B54A6" w:rsidRDefault="000E5428" w:rsidP="000E5428">
      <w:pPr>
        <w:autoSpaceDE w:val="0"/>
        <w:autoSpaceDN w:val="0"/>
        <w:adjustRightInd w:val="0"/>
        <w:rPr>
          <w:rFonts w:eastAsia="TimesNewRoman"/>
          <w:sz w:val="22"/>
          <w:szCs w:val="22"/>
          <w:lang w:eastAsia="lt-LT"/>
        </w:rPr>
      </w:pPr>
    </w:p>
    <w:p w14:paraId="102E1E2F" w14:textId="2B589B07" w:rsidR="000E5428" w:rsidRPr="009B54A6" w:rsidRDefault="000E5428" w:rsidP="000E5428">
      <w:pPr>
        <w:autoSpaceDE w:val="0"/>
        <w:autoSpaceDN w:val="0"/>
        <w:adjustRightInd w:val="0"/>
        <w:rPr>
          <w:color w:val="000000"/>
          <w:sz w:val="22"/>
          <w:szCs w:val="22"/>
        </w:rPr>
      </w:pPr>
      <w:r w:rsidRPr="009B54A6">
        <w:rPr>
          <w:color w:val="000000"/>
          <w:sz w:val="22"/>
          <w:szCs w:val="22"/>
        </w:rPr>
        <w:t>Dvigubai aklo klinikinio tyrimo metu (n=687 pacientai, vertintas veiksmingumas) gydymui 80 mg/12,5 mg deriniu atspariems pacientams, gydytiems 80 mg/25 mg deriniu, pastebėtas 2,7/1,6 mm Hg (SKS/DKS [sistolinis kraujo spaudimas/diastolinis kraujo spaudimas</w:t>
      </w:r>
      <w:r w:rsidR="00563355">
        <w:rPr>
          <w:color w:val="000000"/>
          <w:sz w:val="22"/>
          <w:szCs w:val="22"/>
        </w:rPr>
        <w:t>]</w:t>
      </w:r>
      <w:r w:rsidRPr="009B54A6">
        <w:rPr>
          <w:color w:val="000000"/>
          <w:sz w:val="22"/>
          <w:szCs w:val="22"/>
        </w:rPr>
        <w:t>) didesnis kraujospūdį mažinantis poveikis lyginant su gydymu, kai buvo toliau vartojamas 80 mg/12,5 mg derinys (skirtumas tarp patikslintų vidutinių ir pradinių reikšmių). Tolesnio tyrimo metu vartojant 80 mg/12,5 mg derinį, kraujospūdis ir toliau mažėjo (galutinis vidutinis sumažėjimas 11,5/9</w:t>
      </w:r>
      <w:r w:rsidR="00563355">
        <w:rPr>
          <w:color w:val="000000"/>
          <w:sz w:val="22"/>
          <w:szCs w:val="22"/>
        </w:rPr>
        <w:t>,</w:t>
      </w:r>
      <w:r w:rsidRPr="009B54A6">
        <w:rPr>
          <w:color w:val="000000"/>
          <w:sz w:val="22"/>
          <w:szCs w:val="22"/>
        </w:rPr>
        <w:t xml:space="preserve">9 mm Hg (SKS/DKS). </w:t>
      </w:r>
    </w:p>
    <w:p w14:paraId="5448A73F" w14:textId="77777777" w:rsidR="000E5428" w:rsidRPr="009B54A6" w:rsidRDefault="000E5428" w:rsidP="000E5428">
      <w:pPr>
        <w:autoSpaceDE w:val="0"/>
        <w:autoSpaceDN w:val="0"/>
        <w:adjustRightInd w:val="0"/>
        <w:rPr>
          <w:color w:val="000000"/>
          <w:sz w:val="22"/>
          <w:szCs w:val="22"/>
        </w:rPr>
      </w:pPr>
    </w:p>
    <w:p w14:paraId="02450DBF" w14:textId="13618F69" w:rsidR="000E5428" w:rsidRPr="009B54A6" w:rsidRDefault="000E5428" w:rsidP="000E5428">
      <w:pPr>
        <w:autoSpaceDE w:val="0"/>
        <w:autoSpaceDN w:val="0"/>
        <w:adjustRightInd w:val="0"/>
        <w:rPr>
          <w:color w:val="000000"/>
          <w:sz w:val="22"/>
          <w:szCs w:val="22"/>
        </w:rPr>
      </w:pPr>
      <w:r w:rsidRPr="009B54A6">
        <w:rPr>
          <w:color w:val="000000"/>
          <w:sz w:val="22"/>
          <w:szCs w:val="22"/>
        </w:rPr>
        <w:t>Apibendrinus du panašių 8 savaičių dvigubai aklus placebo kontroliuojamus klinikinių tyrimų (n=2121 pacientas, vertintas veiksmingumas) duomenis, past</w:t>
      </w:r>
      <w:r w:rsidR="00563355">
        <w:rPr>
          <w:color w:val="000000"/>
          <w:sz w:val="22"/>
          <w:szCs w:val="22"/>
        </w:rPr>
        <w:t>e</w:t>
      </w:r>
      <w:r w:rsidRPr="009B54A6">
        <w:rPr>
          <w:color w:val="000000"/>
          <w:sz w:val="22"/>
          <w:szCs w:val="22"/>
        </w:rPr>
        <w:t xml:space="preserve">bėtas didesnis telmisartano/hidrochlorotiazido 80 mg/25 mg derinio kraujospūdį mažinantis poveikis (2,2/1,2 mm Hg (SKS/DKS), palyginti su valsartano/hidrochlorotiazido 160 mg/25 mg deriniu. </w:t>
      </w:r>
    </w:p>
    <w:p w14:paraId="2E2CF8C2" w14:textId="77777777" w:rsidR="000E5428" w:rsidRPr="009B54A6" w:rsidRDefault="000E5428" w:rsidP="000E5428">
      <w:pPr>
        <w:autoSpaceDE w:val="0"/>
        <w:autoSpaceDN w:val="0"/>
        <w:adjustRightInd w:val="0"/>
        <w:rPr>
          <w:color w:val="000000"/>
          <w:sz w:val="22"/>
          <w:szCs w:val="22"/>
        </w:rPr>
      </w:pPr>
    </w:p>
    <w:p w14:paraId="0E4FEFF1"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Staigiai nutraukus telmisartano vartojimą, kraujospūdis palaipsniui per kelias dienas tampa toks, koks buvo prieš gydymą, atoveiksmio hipertenzija nepasireiškia. </w:t>
      </w:r>
    </w:p>
    <w:p w14:paraId="2BB4A347"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lastRenderedPageBreak/>
        <w:t xml:space="preserve">Klinikinių tyrimų metu telmisartano vartojantiems pacientams sausas kosulys pasireikšdavo daug rečiau negu pacientams, vartojantiems angiotenziną konvertuojančių fermentų inhibitorių (minėtų vaistų poveikis lygintas tiesiogiai). </w:t>
      </w:r>
    </w:p>
    <w:p w14:paraId="4BE8B382" w14:textId="77777777" w:rsidR="000E5428" w:rsidRDefault="000E5428" w:rsidP="000E5428">
      <w:pPr>
        <w:autoSpaceDE w:val="0"/>
        <w:autoSpaceDN w:val="0"/>
        <w:adjustRightInd w:val="0"/>
        <w:rPr>
          <w:color w:val="000000"/>
          <w:sz w:val="22"/>
          <w:szCs w:val="22"/>
        </w:rPr>
      </w:pPr>
    </w:p>
    <w:p w14:paraId="393B5E77" w14:textId="77777777" w:rsidR="0033509B" w:rsidRDefault="0033509B" w:rsidP="00606821">
      <w:pPr>
        <w:ind w:right="-20"/>
      </w:pPr>
      <w:r>
        <w:rPr>
          <w:sz w:val="22"/>
          <w:szCs w:val="22"/>
          <w:u w:val="single" w:color="000000"/>
        </w:rPr>
        <w:t>Š</w:t>
      </w:r>
      <w:r>
        <w:rPr>
          <w:spacing w:val="1"/>
          <w:sz w:val="22"/>
          <w:szCs w:val="22"/>
          <w:u w:val="single" w:color="000000"/>
        </w:rPr>
        <w:t>ir</w:t>
      </w:r>
      <w:r>
        <w:rPr>
          <w:spacing w:val="-2"/>
          <w:sz w:val="22"/>
          <w:szCs w:val="22"/>
          <w:u w:val="single" w:color="000000"/>
        </w:rPr>
        <w:t>d</w:t>
      </w:r>
      <w:r>
        <w:rPr>
          <w:spacing w:val="1"/>
          <w:sz w:val="22"/>
          <w:szCs w:val="22"/>
          <w:u w:val="single" w:color="000000"/>
        </w:rPr>
        <w:t>i</w:t>
      </w:r>
      <w:r>
        <w:rPr>
          <w:sz w:val="22"/>
          <w:szCs w:val="22"/>
          <w:u w:val="single" w:color="000000"/>
        </w:rPr>
        <w:t>es</w:t>
      </w:r>
      <w:r>
        <w:rPr>
          <w:spacing w:val="-2"/>
          <w:sz w:val="22"/>
          <w:szCs w:val="22"/>
          <w:u w:val="single" w:color="000000"/>
        </w:rPr>
        <w:t xml:space="preserve"> </w:t>
      </w:r>
      <w:r>
        <w:rPr>
          <w:spacing w:val="1"/>
          <w:sz w:val="22"/>
          <w:szCs w:val="22"/>
          <w:u w:val="single" w:color="000000"/>
        </w:rPr>
        <w:t>i</w:t>
      </w:r>
      <w:r>
        <w:rPr>
          <w:sz w:val="22"/>
          <w:szCs w:val="22"/>
          <w:u w:val="single" w:color="000000"/>
        </w:rPr>
        <w:t>r</w:t>
      </w:r>
      <w:r>
        <w:rPr>
          <w:spacing w:val="-2"/>
          <w:sz w:val="22"/>
          <w:szCs w:val="22"/>
          <w:u w:val="single" w:color="000000"/>
        </w:rPr>
        <w:t xml:space="preserve"> k</w:t>
      </w:r>
      <w:r>
        <w:rPr>
          <w:spacing w:val="1"/>
          <w:sz w:val="22"/>
          <w:szCs w:val="22"/>
          <w:u w:val="single" w:color="000000"/>
        </w:rPr>
        <w:t>r</w:t>
      </w:r>
      <w:r>
        <w:rPr>
          <w:sz w:val="22"/>
          <w:szCs w:val="22"/>
          <w:u w:val="single" w:color="000000"/>
        </w:rPr>
        <w:t>a</w:t>
      </w:r>
      <w:r>
        <w:rPr>
          <w:spacing w:val="-2"/>
          <w:sz w:val="22"/>
          <w:szCs w:val="22"/>
          <w:u w:val="single" w:color="000000"/>
        </w:rPr>
        <w:t>u</w:t>
      </w:r>
      <w:r>
        <w:rPr>
          <w:spacing w:val="3"/>
          <w:sz w:val="22"/>
          <w:szCs w:val="22"/>
          <w:u w:val="single" w:color="000000"/>
        </w:rPr>
        <w:t>j</w:t>
      </w:r>
      <w:r>
        <w:rPr>
          <w:sz w:val="22"/>
          <w:szCs w:val="22"/>
          <w:u w:val="single" w:color="000000"/>
        </w:rPr>
        <w:t>a</w:t>
      </w:r>
      <w:r>
        <w:rPr>
          <w:spacing w:val="-2"/>
          <w:sz w:val="22"/>
          <w:szCs w:val="22"/>
          <w:u w:val="single" w:color="000000"/>
        </w:rPr>
        <w:t>gy</w:t>
      </w:r>
      <w:r>
        <w:rPr>
          <w:sz w:val="22"/>
          <w:szCs w:val="22"/>
          <w:u w:val="single" w:color="000000"/>
        </w:rPr>
        <w:t>s</w:t>
      </w:r>
      <w:r>
        <w:rPr>
          <w:spacing w:val="1"/>
          <w:sz w:val="22"/>
          <w:szCs w:val="22"/>
          <w:u w:val="single" w:color="000000"/>
        </w:rPr>
        <w:t>li</w:t>
      </w:r>
      <w:r>
        <w:rPr>
          <w:sz w:val="22"/>
          <w:szCs w:val="22"/>
          <w:u w:val="single" w:color="000000"/>
        </w:rPr>
        <w:t>ų</w:t>
      </w:r>
      <w:r>
        <w:rPr>
          <w:spacing w:val="-3"/>
          <w:sz w:val="22"/>
          <w:szCs w:val="22"/>
          <w:u w:val="single" w:color="000000"/>
        </w:rPr>
        <w:t xml:space="preserve"> </w:t>
      </w:r>
      <w:r>
        <w:rPr>
          <w:sz w:val="22"/>
          <w:szCs w:val="22"/>
          <w:u w:val="single" w:color="000000"/>
        </w:rPr>
        <w:t>su</w:t>
      </w:r>
      <w:r>
        <w:rPr>
          <w:spacing w:val="-1"/>
          <w:sz w:val="22"/>
          <w:szCs w:val="22"/>
          <w:u w:val="single" w:color="000000"/>
        </w:rPr>
        <w:t>t</w:t>
      </w:r>
      <w:r>
        <w:rPr>
          <w:spacing w:val="1"/>
          <w:sz w:val="22"/>
          <w:szCs w:val="22"/>
          <w:u w:val="single" w:color="000000"/>
        </w:rPr>
        <w:t>r</w:t>
      </w:r>
      <w:r>
        <w:rPr>
          <w:spacing w:val="-1"/>
          <w:sz w:val="22"/>
          <w:szCs w:val="22"/>
          <w:u w:val="single" w:color="000000"/>
        </w:rPr>
        <w:t>i</w:t>
      </w:r>
      <w:r>
        <w:rPr>
          <w:spacing w:val="-2"/>
          <w:sz w:val="22"/>
          <w:szCs w:val="22"/>
          <w:u w:val="single" w:color="000000"/>
        </w:rPr>
        <w:t>k</w:t>
      </w:r>
      <w:r>
        <w:rPr>
          <w:spacing w:val="3"/>
          <w:sz w:val="22"/>
          <w:szCs w:val="22"/>
          <w:u w:val="single" w:color="000000"/>
        </w:rPr>
        <w:t>i</w:t>
      </w:r>
      <w:r>
        <w:rPr>
          <w:spacing w:val="-4"/>
          <w:sz w:val="22"/>
          <w:szCs w:val="22"/>
          <w:u w:val="single" w:color="000000"/>
        </w:rPr>
        <w:t>m</w:t>
      </w:r>
      <w:r>
        <w:rPr>
          <w:sz w:val="22"/>
          <w:szCs w:val="22"/>
          <w:u w:val="single" w:color="000000"/>
        </w:rPr>
        <w:t>ų p</w:t>
      </w:r>
      <w:r>
        <w:rPr>
          <w:spacing w:val="1"/>
          <w:sz w:val="22"/>
          <w:szCs w:val="22"/>
          <w:u w:val="single" w:color="000000"/>
        </w:rPr>
        <w:t>r</w:t>
      </w:r>
      <w:r>
        <w:rPr>
          <w:sz w:val="22"/>
          <w:szCs w:val="22"/>
          <w:u w:val="single" w:color="000000"/>
        </w:rPr>
        <w:t>o</w:t>
      </w:r>
      <w:r>
        <w:rPr>
          <w:spacing w:val="1"/>
          <w:sz w:val="22"/>
          <w:szCs w:val="22"/>
          <w:u w:val="single" w:color="000000"/>
        </w:rPr>
        <w:t>f</w:t>
      </w:r>
      <w:r>
        <w:rPr>
          <w:spacing w:val="-1"/>
          <w:sz w:val="22"/>
          <w:szCs w:val="22"/>
          <w:u w:val="single" w:color="000000"/>
        </w:rPr>
        <w:t>i</w:t>
      </w:r>
      <w:r>
        <w:rPr>
          <w:spacing w:val="1"/>
          <w:sz w:val="22"/>
          <w:szCs w:val="22"/>
          <w:u w:val="single" w:color="000000"/>
        </w:rPr>
        <w:t>l</w:t>
      </w:r>
      <w:r>
        <w:rPr>
          <w:sz w:val="22"/>
          <w:szCs w:val="22"/>
          <w:u w:val="single" w:color="000000"/>
        </w:rPr>
        <w:t>a</w:t>
      </w:r>
      <w:r>
        <w:rPr>
          <w:spacing w:val="-2"/>
          <w:sz w:val="22"/>
          <w:szCs w:val="22"/>
          <w:u w:val="single" w:color="000000"/>
        </w:rPr>
        <w:t>k</w:t>
      </w:r>
      <w:r>
        <w:rPr>
          <w:spacing w:val="1"/>
          <w:sz w:val="22"/>
          <w:szCs w:val="22"/>
          <w:u w:val="single" w:color="000000"/>
        </w:rPr>
        <w:t>ti</w:t>
      </w:r>
      <w:r>
        <w:rPr>
          <w:spacing w:val="-2"/>
          <w:sz w:val="22"/>
          <w:szCs w:val="22"/>
          <w:u w:val="single" w:color="000000"/>
        </w:rPr>
        <w:t>ka</w:t>
      </w:r>
    </w:p>
    <w:p w14:paraId="66E49FB8" w14:textId="264FD9A8" w:rsidR="0033509B" w:rsidRPr="00DA5C68" w:rsidRDefault="0033509B" w:rsidP="00606821">
      <w:pPr>
        <w:autoSpaceDE w:val="0"/>
        <w:autoSpaceDN w:val="0"/>
        <w:adjustRightInd w:val="0"/>
        <w:rPr>
          <w:color w:val="000000"/>
          <w:sz w:val="22"/>
          <w:szCs w:val="22"/>
        </w:rPr>
      </w:pPr>
      <w:r>
        <w:rPr>
          <w:spacing w:val="2"/>
          <w:sz w:val="22"/>
          <w:szCs w:val="22"/>
        </w:rPr>
        <w:t>T</w:t>
      </w:r>
      <w:r>
        <w:rPr>
          <w:spacing w:val="-2"/>
          <w:sz w:val="22"/>
          <w:szCs w:val="22"/>
        </w:rPr>
        <w:t>y</w:t>
      </w:r>
      <w:r>
        <w:rPr>
          <w:spacing w:val="1"/>
          <w:sz w:val="22"/>
          <w:szCs w:val="22"/>
        </w:rPr>
        <w:t>ri</w:t>
      </w:r>
      <w:r>
        <w:rPr>
          <w:spacing w:val="-4"/>
          <w:sz w:val="22"/>
          <w:szCs w:val="22"/>
        </w:rPr>
        <w:t>m</w:t>
      </w:r>
      <w:r>
        <w:rPr>
          <w:sz w:val="22"/>
          <w:szCs w:val="22"/>
        </w:rPr>
        <w:t xml:space="preserve">o </w:t>
      </w:r>
      <w:r>
        <w:rPr>
          <w:spacing w:val="-1"/>
          <w:sz w:val="22"/>
          <w:szCs w:val="22"/>
        </w:rPr>
        <w:t>ON</w:t>
      </w:r>
      <w:r>
        <w:rPr>
          <w:spacing w:val="2"/>
          <w:sz w:val="22"/>
          <w:szCs w:val="22"/>
        </w:rPr>
        <w:t>T</w:t>
      </w:r>
      <w:r>
        <w:rPr>
          <w:spacing w:val="-1"/>
          <w:sz w:val="22"/>
          <w:szCs w:val="22"/>
        </w:rPr>
        <w:t>ARG</w:t>
      </w:r>
      <w:r>
        <w:rPr>
          <w:sz w:val="22"/>
          <w:szCs w:val="22"/>
        </w:rPr>
        <w:t xml:space="preserve">ET </w:t>
      </w:r>
      <w:r>
        <w:rPr>
          <w:spacing w:val="1"/>
          <w:sz w:val="22"/>
          <w:szCs w:val="22"/>
        </w:rPr>
        <w:t>(</w:t>
      </w:r>
      <w:r>
        <w:rPr>
          <w:i/>
          <w:spacing w:val="-1"/>
          <w:sz w:val="22"/>
          <w:szCs w:val="22"/>
        </w:rPr>
        <w:t>ON</w:t>
      </w:r>
      <w:r>
        <w:rPr>
          <w:i/>
          <w:spacing w:val="-2"/>
          <w:sz w:val="22"/>
          <w:szCs w:val="22"/>
        </w:rPr>
        <w:t>g</w:t>
      </w:r>
      <w:r>
        <w:rPr>
          <w:i/>
          <w:sz w:val="22"/>
          <w:szCs w:val="22"/>
        </w:rPr>
        <w:t>o</w:t>
      </w:r>
      <w:r>
        <w:rPr>
          <w:i/>
          <w:spacing w:val="1"/>
          <w:sz w:val="22"/>
          <w:szCs w:val="22"/>
        </w:rPr>
        <w:t>i</w:t>
      </w:r>
      <w:r>
        <w:rPr>
          <w:i/>
          <w:sz w:val="22"/>
          <w:szCs w:val="22"/>
        </w:rPr>
        <w:t>ng T</w:t>
      </w:r>
      <w:r>
        <w:rPr>
          <w:i/>
          <w:spacing w:val="-2"/>
          <w:sz w:val="22"/>
          <w:szCs w:val="22"/>
        </w:rPr>
        <w:t>e</w:t>
      </w:r>
      <w:r>
        <w:rPr>
          <w:i/>
          <w:spacing w:val="1"/>
          <w:sz w:val="22"/>
          <w:szCs w:val="22"/>
        </w:rPr>
        <w:t>l</w:t>
      </w:r>
      <w:r>
        <w:rPr>
          <w:i/>
          <w:spacing w:val="-1"/>
          <w:sz w:val="22"/>
          <w:szCs w:val="22"/>
        </w:rPr>
        <w:t>mi</w:t>
      </w:r>
      <w:r>
        <w:rPr>
          <w:i/>
          <w:sz w:val="22"/>
          <w:szCs w:val="22"/>
        </w:rPr>
        <w:t>sa</w:t>
      </w:r>
      <w:r>
        <w:rPr>
          <w:i/>
          <w:spacing w:val="-2"/>
          <w:sz w:val="22"/>
          <w:szCs w:val="22"/>
        </w:rPr>
        <w:t>r</w:t>
      </w:r>
      <w:r>
        <w:rPr>
          <w:i/>
          <w:spacing w:val="1"/>
          <w:sz w:val="22"/>
          <w:szCs w:val="22"/>
        </w:rPr>
        <w:t>t</w:t>
      </w:r>
      <w:r>
        <w:rPr>
          <w:i/>
          <w:sz w:val="22"/>
          <w:szCs w:val="22"/>
        </w:rPr>
        <w:t xml:space="preserve">an </w:t>
      </w:r>
      <w:r>
        <w:rPr>
          <w:i/>
          <w:spacing w:val="-3"/>
          <w:sz w:val="22"/>
          <w:szCs w:val="22"/>
        </w:rPr>
        <w:t>A</w:t>
      </w:r>
      <w:r>
        <w:rPr>
          <w:i/>
          <w:spacing w:val="1"/>
          <w:sz w:val="22"/>
          <w:szCs w:val="22"/>
        </w:rPr>
        <w:t>l</w:t>
      </w:r>
      <w:r>
        <w:rPr>
          <w:i/>
          <w:sz w:val="22"/>
          <w:szCs w:val="22"/>
        </w:rPr>
        <w:t>one</w:t>
      </w:r>
      <w:r>
        <w:rPr>
          <w:i/>
          <w:spacing w:val="1"/>
          <w:sz w:val="22"/>
          <w:szCs w:val="22"/>
        </w:rPr>
        <w:t xml:space="preserve"> </w:t>
      </w:r>
      <w:r>
        <w:rPr>
          <w:i/>
          <w:spacing w:val="-2"/>
          <w:sz w:val="22"/>
          <w:szCs w:val="22"/>
        </w:rPr>
        <w:t>an</w:t>
      </w:r>
      <w:r>
        <w:rPr>
          <w:i/>
          <w:sz w:val="22"/>
          <w:szCs w:val="22"/>
        </w:rPr>
        <w:t xml:space="preserve">d </w:t>
      </w:r>
      <w:r>
        <w:rPr>
          <w:i/>
          <w:spacing w:val="1"/>
          <w:sz w:val="22"/>
          <w:szCs w:val="22"/>
        </w:rPr>
        <w:t>i</w:t>
      </w:r>
      <w:r>
        <w:rPr>
          <w:i/>
          <w:sz w:val="22"/>
          <w:szCs w:val="22"/>
        </w:rPr>
        <w:t xml:space="preserve">n </w:t>
      </w:r>
      <w:r>
        <w:rPr>
          <w:i/>
          <w:spacing w:val="-1"/>
          <w:sz w:val="22"/>
          <w:szCs w:val="22"/>
        </w:rPr>
        <w:t>C</w:t>
      </w:r>
      <w:r>
        <w:rPr>
          <w:i/>
          <w:sz w:val="22"/>
          <w:szCs w:val="22"/>
        </w:rPr>
        <w:t>o</w:t>
      </w:r>
      <w:r>
        <w:rPr>
          <w:i/>
          <w:spacing w:val="-1"/>
          <w:sz w:val="22"/>
          <w:szCs w:val="22"/>
        </w:rPr>
        <w:t>m</w:t>
      </w:r>
      <w:r>
        <w:rPr>
          <w:i/>
          <w:spacing w:val="-2"/>
          <w:sz w:val="22"/>
          <w:szCs w:val="22"/>
        </w:rPr>
        <w:t>b</w:t>
      </w:r>
      <w:r>
        <w:rPr>
          <w:i/>
          <w:spacing w:val="1"/>
          <w:sz w:val="22"/>
          <w:szCs w:val="22"/>
        </w:rPr>
        <w:t>i</w:t>
      </w:r>
      <w:r>
        <w:rPr>
          <w:i/>
          <w:sz w:val="22"/>
          <w:szCs w:val="22"/>
        </w:rPr>
        <w:t>na</w:t>
      </w:r>
      <w:r>
        <w:rPr>
          <w:i/>
          <w:spacing w:val="-1"/>
          <w:sz w:val="22"/>
          <w:szCs w:val="22"/>
        </w:rPr>
        <w:t>t</w:t>
      </w:r>
      <w:r>
        <w:rPr>
          <w:i/>
          <w:spacing w:val="1"/>
          <w:sz w:val="22"/>
          <w:szCs w:val="22"/>
        </w:rPr>
        <w:t>i</w:t>
      </w:r>
      <w:r>
        <w:rPr>
          <w:i/>
          <w:sz w:val="22"/>
          <w:szCs w:val="22"/>
        </w:rPr>
        <w:t xml:space="preserve">on </w:t>
      </w:r>
      <w:r>
        <w:rPr>
          <w:i/>
          <w:spacing w:val="-3"/>
          <w:sz w:val="22"/>
          <w:szCs w:val="22"/>
        </w:rPr>
        <w:t>w</w:t>
      </w:r>
      <w:r>
        <w:rPr>
          <w:i/>
          <w:spacing w:val="1"/>
          <w:sz w:val="22"/>
          <w:szCs w:val="22"/>
        </w:rPr>
        <w:t>it</w:t>
      </w:r>
      <w:r>
        <w:rPr>
          <w:i/>
          <w:sz w:val="22"/>
          <w:szCs w:val="22"/>
        </w:rPr>
        <w:t xml:space="preserve">h </w:t>
      </w:r>
      <w:r>
        <w:rPr>
          <w:i/>
          <w:spacing w:val="-3"/>
          <w:sz w:val="22"/>
          <w:szCs w:val="22"/>
        </w:rPr>
        <w:t>R</w:t>
      </w:r>
      <w:r>
        <w:rPr>
          <w:i/>
          <w:sz w:val="22"/>
          <w:szCs w:val="22"/>
        </w:rPr>
        <w:t>a</w:t>
      </w:r>
      <w:r>
        <w:rPr>
          <w:i/>
          <w:spacing w:val="-1"/>
          <w:sz w:val="22"/>
          <w:szCs w:val="22"/>
        </w:rPr>
        <w:t>m</w:t>
      </w:r>
      <w:r>
        <w:rPr>
          <w:i/>
          <w:spacing w:val="1"/>
          <w:sz w:val="22"/>
          <w:szCs w:val="22"/>
        </w:rPr>
        <w:t>i</w:t>
      </w:r>
      <w:r>
        <w:rPr>
          <w:i/>
          <w:sz w:val="22"/>
          <w:szCs w:val="22"/>
        </w:rPr>
        <w:t>p</w:t>
      </w:r>
      <w:r>
        <w:rPr>
          <w:i/>
          <w:spacing w:val="-2"/>
          <w:sz w:val="22"/>
          <w:szCs w:val="22"/>
        </w:rPr>
        <w:t>r</w:t>
      </w:r>
      <w:r>
        <w:rPr>
          <w:i/>
          <w:spacing w:val="1"/>
          <w:sz w:val="22"/>
          <w:szCs w:val="22"/>
        </w:rPr>
        <w:t>i</w:t>
      </w:r>
      <w:r>
        <w:rPr>
          <w:i/>
          <w:sz w:val="22"/>
          <w:szCs w:val="22"/>
        </w:rPr>
        <w:t>l</w:t>
      </w:r>
      <w:r>
        <w:rPr>
          <w:i/>
          <w:spacing w:val="1"/>
          <w:sz w:val="22"/>
          <w:szCs w:val="22"/>
        </w:rPr>
        <w:t xml:space="preserve"> </w:t>
      </w:r>
      <w:r>
        <w:rPr>
          <w:i/>
          <w:spacing w:val="-1"/>
          <w:sz w:val="22"/>
          <w:szCs w:val="22"/>
        </w:rPr>
        <w:t>Gl</w:t>
      </w:r>
      <w:r>
        <w:rPr>
          <w:i/>
          <w:sz w:val="22"/>
          <w:szCs w:val="22"/>
        </w:rPr>
        <w:t>ob</w:t>
      </w:r>
      <w:r>
        <w:rPr>
          <w:i/>
          <w:spacing w:val="-2"/>
          <w:sz w:val="22"/>
          <w:szCs w:val="22"/>
        </w:rPr>
        <w:t>a</w:t>
      </w:r>
      <w:r>
        <w:rPr>
          <w:i/>
          <w:sz w:val="22"/>
          <w:szCs w:val="22"/>
        </w:rPr>
        <w:t>l</w:t>
      </w:r>
      <w:r w:rsidR="00DA5C68">
        <w:rPr>
          <w:b/>
          <w:bCs/>
          <w:i/>
          <w:spacing w:val="-1"/>
          <w:sz w:val="22"/>
          <w:szCs w:val="22"/>
        </w:rPr>
        <w:t xml:space="preserve"> </w:t>
      </w:r>
      <w:r>
        <w:rPr>
          <w:b/>
          <w:bCs/>
          <w:i/>
          <w:spacing w:val="-1"/>
          <w:sz w:val="22"/>
          <w:szCs w:val="22"/>
        </w:rPr>
        <w:t>E</w:t>
      </w:r>
      <w:r>
        <w:rPr>
          <w:i/>
          <w:sz w:val="22"/>
          <w:szCs w:val="22"/>
        </w:rPr>
        <w:t>ndpo</w:t>
      </w:r>
      <w:r>
        <w:rPr>
          <w:i/>
          <w:spacing w:val="1"/>
          <w:sz w:val="22"/>
          <w:szCs w:val="22"/>
        </w:rPr>
        <w:t>i</w:t>
      </w:r>
      <w:r>
        <w:rPr>
          <w:i/>
          <w:spacing w:val="-2"/>
          <w:sz w:val="22"/>
          <w:szCs w:val="22"/>
        </w:rPr>
        <w:t>n</w:t>
      </w:r>
      <w:r>
        <w:rPr>
          <w:i/>
          <w:sz w:val="22"/>
          <w:szCs w:val="22"/>
        </w:rPr>
        <w:t>t</w:t>
      </w:r>
      <w:r>
        <w:rPr>
          <w:i/>
          <w:spacing w:val="1"/>
          <w:sz w:val="22"/>
          <w:szCs w:val="22"/>
        </w:rPr>
        <w:t xml:space="preserve"> </w:t>
      </w:r>
      <w:r>
        <w:rPr>
          <w:i/>
          <w:sz w:val="22"/>
          <w:szCs w:val="22"/>
        </w:rPr>
        <w:t>T</w:t>
      </w:r>
      <w:r>
        <w:rPr>
          <w:i/>
          <w:spacing w:val="-2"/>
          <w:sz w:val="22"/>
          <w:szCs w:val="22"/>
        </w:rPr>
        <w:t>r</w:t>
      </w:r>
      <w:r>
        <w:rPr>
          <w:i/>
          <w:spacing w:val="1"/>
          <w:sz w:val="22"/>
          <w:szCs w:val="22"/>
        </w:rPr>
        <w:t>i</w:t>
      </w:r>
      <w:r>
        <w:rPr>
          <w:i/>
          <w:sz w:val="22"/>
          <w:szCs w:val="22"/>
        </w:rPr>
        <w:t>a</w:t>
      </w:r>
      <w:r>
        <w:rPr>
          <w:i/>
          <w:spacing w:val="-2"/>
          <w:sz w:val="22"/>
          <w:szCs w:val="22"/>
        </w:rPr>
        <w:t>l</w:t>
      </w:r>
      <w:r>
        <w:rPr>
          <w:sz w:val="22"/>
          <w:szCs w:val="22"/>
        </w:rPr>
        <w:t>)</w:t>
      </w:r>
      <w:r>
        <w:rPr>
          <w:spacing w:val="1"/>
          <w:sz w:val="22"/>
          <w:szCs w:val="22"/>
        </w:rPr>
        <w:t xml:space="preserve"> </w:t>
      </w:r>
      <w:r>
        <w:rPr>
          <w:spacing w:val="-4"/>
          <w:sz w:val="22"/>
          <w:szCs w:val="22"/>
        </w:rPr>
        <w:t>m</w:t>
      </w:r>
      <w:r>
        <w:rPr>
          <w:sz w:val="22"/>
          <w:szCs w:val="22"/>
        </w:rPr>
        <w:t>e</w:t>
      </w:r>
      <w:r>
        <w:rPr>
          <w:spacing w:val="1"/>
          <w:sz w:val="22"/>
          <w:szCs w:val="22"/>
        </w:rPr>
        <w:t>t</w:t>
      </w:r>
      <w:r>
        <w:rPr>
          <w:sz w:val="22"/>
          <w:szCs w:val="22"/>
        </w:rPr>
        <w:t>u bu</w:t>
      </w:r>
      <w:r>
        <w:rPr>
          <w:spacing w:val="-2"/>
          <w:sz w:val="22"/>
          <w:szCs w:val="22"/>
        </w:rPr>
        <w:t>v</w:t>
      </w:r>
      <w:r>
        <w:rPr>
          <w:sz w:val="22"/>
          <w:szCs w:val="22"/>
        </w:rPr>
        <w:t xml:space="preserve">o </w:t>
      </w:r>
      <w:r>
        <w:rPr>
          <w:spacing w:val="1"/>
          <w:sz w:val="22"/>
          <w:szCs w:val="22"/>
        </w:rPr>
        <w:t>l</w:t>
      </w:r>
      <w:r>
        <w:rPr>
          <w:spacing w:val="-2"/>
          <w:sz w:val="22"/>
          <w:szCs w:val="22"/>
        </w:rPr>
        <w:t>yg</w:t>
      </w:r>
      <w:r>
        <w:rPr>
          <w:spacing w:val="1"/>
          <w:sz w:val="22"/>
          <w:szCs w:val="22"/>
        </w:rPr>
        <w:t>i</w:t>
      </w:r>
      <w:r>
        <w:rPr>
          <w:sz w:val="22"/>
          <w:szCs w:val="22"/>
        </w:rPr>
        <w:t>n</w:t>
      </w:r>
      <w:r>
        <w:rPr>
          <w:spacing w:val="1"/>
          <w:sz w:val="22"/>
          <w:szCs w:val="22"/>
        </w:rPr>
        <w:t>t</w:t>
      </w:r>
      <w:r>
        <w:rPr>
          <w:sz w:val="22"/>
          <w:szCs w:val="22"/>
        </w:rPr>
        <w:t>as</w:t>
      </w:r>
      <w:r>
        <w:rPr>
          <w:spacing w:val="1"/>
          <w:sz w:val="22"/>
          <w:szCs w:val="22"/>
        </w:rPr>
        <w:t xml:space="preserve"> </w:t>
      </w:r>
      <w:r>
        <w:rPr>
          <w:spacing w:val="-1"/>
          <w:sz w:val="22"/>
          <w:szCs w:val="22"/>
        </w:rPr>
        <w:t>t</w:t>
      </w:r>
      <w:r>
        <w:rPr>
          <w:sz w:val="22"/>
          <w:szCs w:val="22"/>
        </w:rPr>
        <w:t>e</w:t>
      </w:r>
      <w:r>
        <w:rPr>
          <w:spacing w:val="1"/>
          <w:sz w:val="22"/>
          <w:szCs w:val="22"/>
        </w:rPr>
        <w:t>l</w:t>
      </w:r>
      <w:r>
        <w:rPr>
          <w:spacing w:val="-4"/>
          <w:sz w:val="22"/>
          <w:szCs w:val="22"/>
        </w:rPr>
        <w:t>m</w:t>
      </w:r>
      <w:r>
        <w:rPr>
          <w:spacing w:val="1"/>
          <w:sz w:val="22"/>
          <w:szCs w:val="22"/>
        </w:rPr>
        <w:t>i</w:t>
      </w:r>
      <w:r>
        <w:rPr>
          <w:sz w:val="22"/>
          <w:szCs w:val="22"/>
        </w:rPr>
        <w:t>sa</w:t>
      </w:r>
      <w:r>
        <w:rPr>
          <w:spacing w:val="-2"/>
          <w:sz w:val="22"/>
          <w:szCs w:val="22"/>
        </w:rPr>
        <w:t>r</w:t>
      </w:r>
      <w:r>
        <w:rPr>
          <w:spacing w:val="1"/>
          <w:sz w:val="22"/>
          <w:szCs w:val="22"/>
        </w:rPr>
        <w:t>t</w:t>
      </w:r>
      <w:r>
        <w:rPr>
          <w:spacing w:val="-2"/>
          <w:sz w:val="22"/>
          <w:szCs w:val="22"/>
        </w:rPr>
        <w:t>a</w:t>
      </w:r>
      <w:r>
        <w:rPr>
          <w:sz w:val="22"/>
          <w:szCs w:val="22"/>
        </w:rPr>
        <w:t xml:space="preserve">no, </w:t>
      </w:r>
      <w:r>
        <w:rPr>
          <w:spacing w:val="-2"/>
          <w:sz w:val="22"/>
          <w:szCs w:val="22"/>
        </w:rPr>
        <w:t>r</w:t>
      </w:r>
      <w:r>
        <w:rPr>
          <w:sz w:val="22"/>
          <w:szCs w:val="22"/>
        </w:rPr>
        <w:t>a</w:t>
      </w:r>
      <w:r>
        <w:rPr>
          <w:spacing w:val="-4"/>
          <w:sz w:val="22"/>
          <w:szCs w:val="22"/>
        </w:rPr>
        <w:t>m</w:t>
      </w:r>
      <w:r>
        <w:rPr>
          <w:spacing w:val="1"/>
          <w:sz w:val="22"/>
          <w:szCs w:val="22"/>
        </w:rPr>
        <w:t>i</w:t>
      </w:r>
      <w:r>
        <w:rPr>
          <w:sz w:val="22"/>
          <w:szCs w:val="22"/>
        </w:rPr>
        <w:t>p</w:t>
      </w:r>
      <w:r>
        <w:rPr>
          <w:spacing w:val="1"/>
          <w:sz w:val="22"/>
          <w:szCs w:val="22"/>
        </w:rPr>
        <w:t>r</w:t>
      </w:r>
      <w:r>
        <w:rPr>
          <w:spacing w:val="-1"/>
          <w:sz w:val="22"/>
          <w:szCs w:val="22"/>
        </w:rPr>
        <w:t>i</w:t>
      </w:r>
      <w:r>
        <w:rPr>
          <w:spacing w:val="1"/>
          <w:sz w:val="22"/>
          <w:szCs w:val="22"/>
        </w:rPr>
        <w:t>li</w:t>
      </w:r>
      <w:r>
        <w:rPr>
          <w:sz w:val="22"/>
          <w:szCs w:val="22"/>
        </w:rPr>
        <w:t>o</w:t>
      </w:r>
      <w:r>
        <w:rPr>
          <w:spacing w:val="-2"/>
          <w:sz w:val="22"/>
          <w:szCs w:val="22"/>
        </w:rPr>
        <w:t xml:space="preserve"> </w:t>
      </w:r>
      <w:r>
        <w:rPr>
          <w:sz w:val="22"/>
          <w:szCs w:val="22"/>
        </w:rPr>
        <w:t>bei</w:t>
      </w:r>
      <w:r>
        <w:rPr>
          <w:spacing w:val="-1"/>
          <w:sz w:val="22"/>
          <w:szCs w:val="22"/>
        </w:rPr>
        <w:t xml:space="preserve"> </w:t>
      </w:r>
      <w:r>
        <w:rPr>
          <w:spacing w:val="1"/>
          <w:sz w:val="22"/>
          <w:szCs w:val="22"/>
        </w:rPr>
        <w:t>t</w:t>
      </w:r>
      <w:r>
        <w:rPr>
          <w:spacing w:val="-2"/>
          <w:sz w:val="22"/>
          <w:szCs w:val="22"/>
        </w:rPr>
        <w:t>e</w:t>
      </w:r>
      <w:r>
        <w:rPr>
          <w:spacing w:val="1"/>
          <w:sz w:val="22"/>
          <w:szCs w:val="22"/>
        </w:rPr>
        <w:t>l</w:t>
      </w:r>
      <w:r>
        <w:rPr>
          <w:spacing w:val="-4"/>
          <w:sz w:val="22"/>
          <w:szCs w:val="22"/>
        </w:rPr>
        <w:t>m</w:t>
      </w:r>
      <w:r>
        <w:rPr>
          <w:spacing w:val="1"/>
          <w:sz w:val="22"/>
          <w:szCs w:val="22"/>
        </w:rPr>
        <w:t>i</w:t>
      </w:r>
      <w:r>
        <w:rPr>
          <w:sz w:val="22"/>
          <w:szCs w:val="22"/>
        </w:rPr>
        <w:t>sa</w:t>
      </w:r>
      <w:r>
        <w:rPr>
          <w:spacing w:val="-2"/>
          <w:sz w:val="22"/>
          <w:szCs w:val="22"/>
        </w:rPr>
        <w:t>r</w:t>
      </w:r>
      <w:r>
        <w:rPr>
          <w:spacing w:val="1"/>
          <w:sz w:val="22"/>
          <w:szCs w:val="22"/>
        </w:rPr>
        <w:t>t</w:t>
      </w:r>
      <w:r>
        <w:rPr>
          <w:sz w:val="22"/>
          <w:szCs w:val="22"/>
        </w:rPr>
        <w:t>ano</w:t>
      </w:r>
      <w:r>
        <w:rPr>
          <w:spacing w:val="-2"/>
          <w:sz w:val="22"/>
          <w:szCs w:val="22"/>
        </w:rPr>
        <w:t xml:space="preserve"> </w:t>
      </w:r>
      <w:r>
        <w:rPr>
          <w:spacing w:val="-1"/>
          <w:sz w:val="22"/>
          <w:szCs w:val="22"/>
        </w:rPr>
        <w:t>i</w:t>
      </w:r>
      <w:r>
        <w:rPr>
          <w:sz w:val="22"/>
          <w:szCs w:val="22"/>
        </w:rPr>
        <w:t>r</w:t>
      </w:r>
      <w:r>
        <w:rPr>
          <w:spacing w:val="1"/>
          <w:sz w:val="22"/>
          <w:szCs w:val="22"/>
        </w:rPr>
        <w:t xml:space="preserve"> r</w:t>
      </w:r>
      <w:r>
        <w:rPr>
          <w:spacing w:val="-2"/>
          <w:sz w:val="22"/>
          <w:szCs w:val="22"/>
        </w:rPr>
        <w:t>a</w:t>
      </w:r>
      <w:r>
        <w:rPr>
          <w:spacing w:val="-4"/>
          <w:sz w:val="22"/>
          <w:szCs w:val="22"/>
        </w:rPr>
        <w:t>m</w:t>
      </w:r>
      <w:r>
        <w:rPr>
          <w:spacing w:val="1"/>
          <w:sz w:val="22"/>
          <w:szCs w:val="22"/>
        </w:rPr>
        <w:t>i</w:t>
      </w:r>
      <w:r>
        <w:rPr>
          <w:sz w:val="22"/>
          <w:szCs w:val="22"/>
        </w:rPr>
        <w:t>p</w:t>
      </w:r>
      <w:r>
        <w:rPr>
          <w:spacing w:val="1"/>
          <w:sz w:val="22"/>
          <w:szCs w:val="22"/>
        </w:rPr>
        <w:t>ril</w:t>
      </w:r>
      <w:r>
        <w:rPr>
          <w:spacing w:val="-1"/>
          <w:sz w:val="22"/>
          <w:szCs w:val="22"/>
        </w:rPr>
        <w:t>i</w:t>
      </w:r>
      <w:r>
        <w:rPr>
          <w:sz w:val="22"/>
          <w:szCs w:val="22"/>
        </w:rPr>
        <w:t>o d</w:t>
      </w:r>
      <w:r>
        <w:rPr>
          <w:spacing w:val="-2"/>
          <w:sz w:val="22"/>
          <w:szCs w:val="22"/>
        </w:rPr>
        <w:t>e</w:t>
      </w:r>
      <w:r>
        <w:rPr>
          <w:spacing w:val="1"/>
          <w:sz w:val="22"/>
          <w:szCs w:val="22"/>
        </w:rPr>
        <w:t>ri</w:t>
      </w:r>
      <w:r>
        <w:rPr>
          <w:spacing w:val="-2"/>
          <w:sz w:val="22"/>
          <w:szCs w:val="22"/>
        </w:rPr>
        <w:t>n</w:t>
      </w:r>
      <w:r>
        <w:rPr>
          <w:spacing w:val="1"/>
          <w:sz w:val="22"/>
          <w:szCs w:val="22"/>
        </w:rPr>
        <w:t xml:space="preserve">io </w:t>
      </w:r>
      <w:r>
        <w:rPr>
          <w:sz w:val="22"/>
          <w:szCs w:val="22"/>
        </w:rPr>
        <w:t>po</w:t>
      </w:r>
      <w:r>
        <w:rPr>
          <w:spacing w:val="-2"/>
          <w:sz w:val="22"/>
          <w:szCs w:val="22"/>
        </w:rPr>
        <w:t>v</w:t>
      </w:r>
      <w:r>
        <w:rPr>
          <w:sz w:val="22"/>
          <w:szCs w:val="22"/>
        </w:rPr>
        <w:t>e</w:t>
      </w:r>
      <w:r>
        <w:rPr>
          <w:spacing w:val="1"/>
          <w:sz w:val="22"/>
          <w:szCs w:val="22"/>
        </w:rPr>
        <w:t>i</w:t>
      </w:r>
      <w:r>
        <w:rPr>
          <w:spacing w:val="-2"/>
          <w:sz w:val="22"/>
          <w:szCs w:val="22"/>
        </w:rPr>
        <w:t>k</w:t>
      </w:r>
      <w:r>
        <w:rPr>
          <w:spacing w:val="1"/>
          <w:sz w:val="22"/>
          <w:szCs w:val="22"/>
        </w:rPr>
        <w:t>i</w:t>
      </w:r>
      <w:r>
        <w:rPr>
          <w:sz w:val="22"/>
          <w:szCs w:val="22"/>
        </w:rPr>
        <w:t>s</w:t>
      </w:r>
      <w:r>
        <w:rPr>
          <w:spacing w:val="1"/>
          <w:sz w:val="22"/>
          <w:szCs w:val="22"/>
        </w:rPr>
        <w:t xml:space="preserve"> </w:t>
      </w:r>
      <w:r>
        <w:rPr>
          <w:sz w:val="22"/>
          <w:szCs w:val="22"/>
        </w:rPr>
        <w:t>š</w:t>
      </w:r>
      <w:r>
        <w:rPr>
          <w:spacing w:val="-1"/>
          <w:sz w:val="22"/>
          <w:szCs w:val="22"/>
        </w:rPr>
        <w:t>i</w:t>
      </w:r>
      <w:r>
        <w:rPr>
          <w:spacing w:val="1"/>
          <w:sz w:val="22"/>
          <w:szCs w:val="22"/>
        </w:rPr>
        <w:t>r</w:t>
      </w:r>
      <w:r>
        <w:rPr>
          <w:sz w:val="22"/>
          <w:szCs w:val="22"/>
        </w:rPr>
        <w:t>d</w:t>
      </w:r>
      <w:r>
        <w:rPr>
          <w:spacing w:val="-1"/>
          <w:sz w:val="22"/>
          <w:szCs w:val="22"/>
        </w:rPr>
        <w:t>i</w:t>
      </w:r>
      <w:r>
        <w:rPr>
          <w:sz w:val="22"/>
          <w:szCs w:val="22"/>
        </w:rPr>
        <w:t>es</w:t>
      </w:r>
      <w:r>
        <w:rPr>
          <w:spacing w:val="-2"/>
          <w:sz w:val="22"/>
          <w:szCs w:val="22"/>
        </w:rPr>
        <w:t xml:space="preserve"> </w:t>
      </w:r>
      <w:r>
        <w:rPr>
          <w:spacing w:val="1"/>
          <w:sz w:val="22"/>
          <w:szCs w:val="22"/>
        </w:rPr>
        <w:t>i</w:t>
      </w:r>
      <w:r>
        <w:rPr>
          <w:sz w:val="22"/>
          <w:szCs w:val="22"/>
        </w:rPr>
        <w:t>r</w:t>
      </w:r>
      <w:r>
        <w:rPr>
          <w:spacing w:val="1"/>
          <w:sz w:val="22"/>
          <w:szCs w:val="22"/>
        </w:rPr>
        <w:t xml:space="preserve"> </w:t>
      </w:r>
      <w:r>
        <w:rPr>
          <w:spacing w:val="-2"/>
          <w:sz w:val="22"/>
          <w:szCs w:val="22"/>
        </w:rPr>
        <w:t>k</w:t>
      </w:r>
      <w:r>
        <w:rPr>
          <w:spacing w:val="1"/>
          <w:sz w:val="22"/>
          <w:szCs w:val="22"/>
        </w:rPr>
        <w:t>r</w:t>
      </w:r>
      <w:r>
        <w:rPr>
          <w:sz w:val="22"/>
          <w:szCs w:val="22"/>
        </w:rPr>
        <w:t>a</w:t>
      </w:r>
      <w:r>
        <w:rPr>
          <w:spacing w:val="-2"/>
          <w:sz w:val="22"/>
          <w:szCs w:val="22"/>
        </w:rPr>
        <w:t>u</w:t>
      </w:r>
      <w:r>
        <w:rPr>
          <w:spacing w:val="1"/>
          <w:sz w:val="22"/>
          <w:szCs w:val="22"/>
        </w:rPr>
        <w:t>j</w:t>
      </w:r>
      <w:r>
        <w:rPr>
          <w:sz w:val="22"/>
          <w:szCs w:val="22"/>
        </w:rPr>
        <w:t>a</w:t>
      </w:r>
      <w:r>
        <w:rPr>
          <w:spacing w:val="-2"/>
          <w:sz w:val="22"/>
          <w:szCs w:val="22"/>
        </w:rPr>
        <w:t>gy</w:t>
      </w:r>
      <w:r>
        <w:rPr>
          <w:sz w:val="22"/>
          <w:szCs w:val="22"/>
        </w:rPr>
        <w:t>s</w:t>
      </w:r>
      <w:r>
        <w:rPr>
          <w:spacing w:val="1"/>
          <w:sz w:val="22"/>
          <w:szCs w:val="22"/>
        </w:rPr>
        <w:t>l</w:t>
      </w:r>
      <w:r>
        <w:rPr>
          <w:spacing w:val="-1"/>
          <w:sz w:val="22"/>
          <w:szCs w:val="22"/>
        </w:rPr>
        <w:t>i</w:t>
      </w:r>
      <w:r>
        <w:rPr>
          <w:sz w:val="22"/>
          <w:szCs w:val="22"/>
        </w:rPr>
        <w:t>ų pa</w:t>
      </w:r>
      <w:r>
        <w:rPr>
          <w:spacing w:val="-2"/>
          <w:sz w:val="22"/>
          <w:szCs w:val="22"/>
        </w:rPr>
        <w:t>s</w:t>
      </w:r>
      <w:r>
        <w:rPr>
          <w:sz w:val="22"/>
          <w:szCs w:val="22"/>
        </w:rPr>
        <w:t>e</w:t>
      </w:r>
      <w:r>
        <w:rPr>
          <w:spacing w:val="-2"/>
          <w:sz w:val="22"/>
          <w:szCs w:val="22"/>
        </w:rPr>
        <w:t>k</w:t>
      </w:r>
      <w:r>
        <w:rPr>
          <w:spacing w:val="-4"/>
          <w:sz w:val="22"/>
          <w:szCs w:val="22"/>
        </w:rPr>
        <w:t>m</w:t>
      </w:r>
      <w:r>
        <w:rPr>
          <w:spacing w:val="3"/>
          <w:sz w:val="22"/>
          <w:szCs w:val="22"/>
        </w:rPr>
        <w:t>ė</w:t>
      </w:r>
      <w:r>
        <w:rPr>
          <w:spacing w:val="-4"/>
          <w:sz w:val="22"/>
          <w:szCs w:val="22"/>
        </w:rPr>
        <w:t>m</w:t>
      </w:r>
      <w:r>
        <w:rPr>
          <w:sz w:val="22"/>
          <w:szCs w:val="22"/>
        </w:rPr>
        <w:t>s</w:t>
      </w:r>
      <w:r>
        <w:rPr>
          <w:spacing w:val="1"/>
          <w:sz w:val="22"/>
          <w:szCs w:val="22"/>
        </w:rPr>
        <w:t xml:space="preserve"> </w:t>
      </w:r>
      <w:r>
        <w:rPr>
          <w:sz w:val="22"/>
          <w:szCs w:val="22"/>
        </w:rPr>
        <w:t>25620 pac</w:t>
      </w:r>
      <w:r>
        <w:rPr>
          <w:spacing w:val="-1"/>
          <w:sz w:val="22"/>
          <w:szCs w:val="22"/>
        </w:rPr>
        <w:t>i</w:t>
      </w:r>
      <w:r>
        <w:rPr>
          <w:sz w:val="22"/>
          <w:szCs w:val="22"/>
        </w:rPr>
        <w:t>en</w:t>
      </w:r>
      <w:r>
        <w:rPr>
          <w:spacing w:val="1"/>
          <w:sz w:val="22"/>
          <w:szCs w:val="22"/>
        </w:rPr>
        <w:t>t</w:t>
      </w:r>
      <w:r>
        <w:rPr>
          <w:sz w:val="22"/>
          <w:szCs w:val="22"/>
        </w:rPr>
        <w:t>ų</w:t>
      </w:r>
      <w:r>
        <w:rPr>
          <w:spacing w:val="-2"/>
          <w:sz w:val="22"/>
          <w:szCs w:val="22"/>
        </w:rPr>
        <w:t xml:space="preserve"> </w:t>
      </w:r>
      <w:r>
        <w:rPr>
          <w:spacing w:val="1"/>
          <w:sz w:val="22"/>
          <w:szCs w:val="22"/>
        </w:rPr>
        <w:t>(</w:t>
      </w:r>
      <w:r>
        <w:rPr>
          <w:sz w:val="22"/>
          <w:szCs w:val="22"/>
        </w:rPr>
        <w:t xml:space="preserve">55 </w:t>
      </w:r>
      <w:r>
        <w:rPr>
          <w:spacing w:val="-4"/>
          <w:sz w:val="22"/>
          <w:szCs w:val="22"/>
        </w:rPr>
        <w:t>m</w:t>
      </w:r>
      <w:r>
        <w:rPr>
          <w:sz w:val="22"/>
          <w:szCs w:val="22"/>
        </w:rPr>
        <w:t>e</w:t>
      </w:r>
      <w:r>
        <w:rPr>
          <w:spacing w:val="1"/>
          <w:sz w:val="22"/>
          <w:szCs w:val="22"/>
        </w:rPr>
        <w:t>t</w:t>
      </w:r>
      <w:r>
        <w:rPr>
          <w:sz w:val="22"/>
          <w:szCs w:val="22"/>
        </w:rPr>
        <w:t xml:space="preserve">ų </w:t>
      </w:r>
      <w:r>
        <w:rPr>
          <w:spacing w:val="-2"/>
          <w:sz w:val="22"/>
          <w:szCs w:val="22"/>
        </w:rPr>
        <w:t>a</w:t>
      </w:r>
      <w:r>
        <w:rPr>
          <w:spacing w:val="1"/>
          <w:sz w:val="22"/>
          <w:szCs w:val="22"/>
        </w:rPr>
        <w:t>r</w:t>
      </w:r>
      <w:r>
        <w:rPr>
          <w:sz w:val="22"/>
          <w:szCs w:val="22"/>
        </w:rPr>
        <w:t>ba</w:t>
      </w:r>
      <w:r>
        <w:rPr>
          <w:spacing w:val="1"/>
          <w:sz w:val="22"/>
          <w:szCs w:val="22"/>
        </w:rPr>
        <w:t xml:space="preserve"> </w:t>
      </w:r>
      <w:r>
        <w:rPr>
          <w:spacing w:val="-2"/>
          <w:sz w:val="22"/>
          <w:szCs w:val="22"/>
        </w:rPr>
        <w:t>vy</w:t>
      </w:r>
      <w:r>
        <w:rPr>
          <w:spacing w:val="1"/>
          <w:sz w:val="22"/>
          <w:szCs w:val="22"/>
        </w:rPr>
        <w:t>r</w:t>
      </w:r>
      <w:r>
        <w:rPr>
          <w:sz w:val="22"/>
          <w:szCs w:val="22"/>
        </w:rPr>
        <w:t>esn</w:t>
      </w:r>
      <w:r>
        <w:rPr>
          <w:spacing w:val="-1"/>
          <w:sz w:val="22"/>
          <w:szCs w:val="22"/>
        </w:rPr>
        <w:t>i</w:t>
      </w:r>
      <w:r>
        <w:rPr>
          <w:sz w:val="22"/>
          <w:szCs w:val="22"/>
        </w:rPr>
        <w:t>ų</w:t>
      </w:r>
      <w:r>
        <w:rPr>
          <w:spacing w:val="1"/>
          <w:sz w:val="22"/>
          <w:szCs w:val="22"/>
        </w:rPr>
        <w:t>)</w:t>
      </w:r>
      <w:r>
        <w:rPr>
          <w:sz w:val="22"/>
          <w:szCs w:val="22"/>
        </w:rPr>
        <w:t xml:space="preserve">, </w:t>
      </w:r>
      <w:r>
        <w:rPr>
          <w:spacing w:val="-2"/>
          <w:sz w:val="22"/>
          <w:szCs w:val="22"/>
        </w:rPr>
        <w:t>k</w:t>
      </w:r>
      <w:r>
        <w:rPr>
          <w:sz w:val="22"/>
          <w:szCs w:val="22"/>
        </w:rPr>
        <w:t>u</w:t>
      </w:r>
      <w:r>
        <w:rPr>
          <w:spacing w:val="1"/>
          <w:sz w:val="22"/>
          <w:szCs w:val="22"/>
        </w:rPr>
        <w:t>ri</w:t>
      </w:r>
      <w:r>
        <w:rPr>
          <w:spacing w:val="-1"/>
          <w:sz w:val="22"/>
          <w:szCs w:val="22"/>
        </w:rPr>
        <w:t>e</w:t>
      </w:r>
      <w:r>
        <w:rPr>
          <w:spacing w:val="-4"/>
          <w:sz w:val="22"/>
          <w:szCs w:val="22"/>
        </w:rPr>
        <w:t>m</w:t>
      </w:r>
      <w:r>
        <w:rPr>
          <w:sz w:val="22"/>
          <w:szCs w:val="22"/>
        </w:rPr>
        <w:t>s</w:t>
      </w:r>
      <w:r>
        <w:rPr>
          <w:spacing w:val="1"/>
          <w:sz w:val="22"/>
          <w:szCs w:val="22"/>
        </w:rPr>
        <w:t xml:space="preserve"> </w:t>
      </w:r>
      <w:r>
        <w:rPr>
          <w:sz w:val="22"/>
          <w:szCs w:val="22"/>
        </w:rPr>
        <w:t>an</w:t>
      </w:r>
      <w:r>
        <w:rPr>
          <w:spacing w:val="-2"/>
          <w:sz w:val="22"/>
          <w:szCs w:val="22"/>
        </w:rPr>
        <w:t>k</w:t>
      </w:r>
      <w:r>
        <w:rPr>
          <w:sz w:val="22"/>
          <w:szCs w:val="22"/>
        </w:rPr>
        <w:t>sč</w:t>
      </w:r>
      <w:r>
        <w:rPr>
          <w:spacing w:val="-1"/>
          <w:sz w:val="22"/>
          <w:szCs w:val="22"/>
        </w:rPr>
        <w:t>i</w:t>
      </w:r>
      <w:r>
        <w:rPr>
          <w:sz w:val="22"/>
          <w:szCs w:val="22"/>
        </w:rPr>
        <w:t>au d</w:t>
      </w:r>
      <w:r>
        <w:rPr>
          <w:spacing w:val="1"/>
          <w:sz w:val="22"/>
          <w:szCs w:val="22"/>
        </w:rPr>
        <w:t>i</w:t>
      </w:r>
      <w:r>
        <w:rPr>
          <w:sz w:val="22"/>
          <w:szCs w:val="22"/>
        </w:rPr>
        <w:t>a</w:t>
      </w:r>
      <w:r>
        <w:rPr>
          <w:spacing w:val="-2"/>
          <w:sz w:val="22"/>
          <w:szCs w:val="22"/>
        </w:rPr>
        <w:t>g</w:t>
      </w:r>
      <w:r>
        <w:rPr>
          <w:sz w:val="22"/>
          <w:szCs w:val="22"/>
        </w:rPr>
        <w:t>no</w:t>
      </w:r>
      <w:r>
        <w:rPr>
          <w:spacing w:val="-2"/>
          <w:sz w:val="22"/>
          <w:szCs w:val="22"/>
        </w:rPr>
        <w:t>z</w:t>
      </w:r>
      <w:r>
        <w:rPr>
          <w:sz w:val="22"/>
          <w:szCs w:val="22"/>
        </w:rPr>
        <w:t>uo</w:t>
      </w:r>
      <w:r>
        <w:rPr>
          <w:spacing w:val="1"/>
          <w:sz w:val="22"/>
          <w:szCs w:val="22"/>
        </w:rPr>
        <w:t>t</w:t>
      </w:r>
      <w:r>
        <w:rPr>
          <w:sz w:val="22"/>
          <w:szCs w:val="22"/>
        </w:rPr>
        <w:t>a</w:t>
      </w:r>
      <w:r>
        <w:rPr>
          <w:spacing w:val="-2"/>
          <w:sz w:val="22"/>
          <w:szCs w:val="22"/>
        </w:rPr>
        <w:t xml:space="preserve"> </w:t>
      </w:r>
      <w:r>
        <w:rPr>
          <w:spacing w:val="1"/>
          <w:sz w:val="22"/>
          <w:szCs w:val="22"/>
        </w:rPr>
        <w:t>i</w:t>
      </w:r>
      <w:r>
        <w:rPr>
          <w:sz w:val="22"/>
          <w:szCs w:val="22"/>
        </w:rPr>
        <w:t>še</w:t>
      </w:r>
      <w:r>
        <w:rPr>
          <w:spacing w:val="-4"/>
          <w:sz w:val="22"/>
          <w:szCs w:val="22"/>
        </w:rPr>
        <w:t>m</w:t>
      </w:r>
      <w:r>
        <w:rPr>
          <w:spacing w:val="1"/>
          <w:sz w:val="22"/>
          <w:szCs w:val="22"/>
        </w:rPr>
        <w:t>i</w:t>
      </w:r>
      <w:r>
        <w:rPr>
          <w:sz w:val="22"/>
          <w:szCs w:val="22"/>
        </w:rPr>
        <w:t>nė</w:t>
      </w:r>
      <w:r>
        <w:rPr>
          <w:spacing w:val="1"/>
          <w:sz w:val="22"/>
          <w:szCs w:val="22"/>
        </w:rPr>
        <w:t xml:space="preserve"> </w:t>
      </w:r>
      <w:r>
        <w:rPr>
          <w:spacing w:val="-2"/>
          <w:sz w:val="22"/>
          <w:szCs w:val="22"/>
        </w:rPr>
        <w:t>š</w:t>
      </w:r>
      <w:r>
        <w:rPr>
          <w:spacing w:val="1"/>
          <w:sz w:val="22"/>
          <w:szCs w:val="22"/>
        </w:rPr>
        <w:t>ir</w:t>
      </w:r>
      <w:r>
        <w:rPr>
          <w:spacing w:val="-2"/>
          <w:sz w:val="22"/>
          <w:szCs w:val="22"/>
        </w:rPr>
        <w:t>d</w:t>
      </w:r>
      <w:r>
        <w:rPr>
          <w:spacing w:val="1"/>
          <w:sz w:val="22"/>
          <w:szCs w:val="22"/>
        </w:rPr>
        <w:t>i</w:t>
      </w:r>
      <w:r>
        <w:rPr>
          <w:spacing w:val="-2"/>
          <w:sz w:val="22"/>
          <w:szCs w:val="22"/>
        </w:rPr>
        <w:t>e</w:t>
      </w:r>
      <w:r>
        <w:rPr>
          <w:sz w:val="22"/>
          <w:szCs w:val="22"/>
        </w:rPr>
        <w:t>s</w:t>
      </w:r>
      <w:r>
        <w:rPr>
          <w:spacing w:val="-2"/>
          <w:sz w:val="22"/>
          <w:szCs w:val="22"/>
        </w:rPr>
        <w:t xml:space="preserve"> </w:t>
      </w:r>
      <w:r>
        <w:rPr>
          <w:spacing w:val="1"/>
          <w:sz w:val="22"/>
          <w:szCs w:val="22"/>
        </w:rPr>
        <w:t>li</w:t>
      </w:r>
      <w:r>
        <w:rPr>
          <w:spacing w:val="-2"/>
          <w:sz w:val="22"/>
          <w:szCs w:val="22"/>
        </w:rPr>
        <w:t>g</w:t>
      </w:r>
      <w:r>
        <w:rPr>
          <w:sz w:val="22"/>
          <w:szCs w:val="22"/>
        </w:rPr>
        <w:t>a, s</w:t>
      </w:r>
      <w:r>
        <w:rPr>
          <w:spacing w:val="-4"/>
          <w:sz w:val="22"/>
          <w:szCs w:val="22"/>
        </w:rPr>
        <w:t>m</w:t>
      </w:r>
      <w:r>
        <w:rPr>
          <w:sz w:val="22"/>
          <w:szCs w:val="22"/>
        </w:rPr>
        <w:t>e</w:t>
      </w:r>
      <w:r>
        <w:rPr>
          <w:spacing w:val="-2"/>
          <w:sz w:val="22"/>
          <w:szCs w:val="22"/>
        </w:rPr>
        <w:t>g</w:t>
      </w:r>
      <w:r>
        <w:rPr>
          <w:sz w:val="22"/>
          <w:szCs w:val="22"/>
        </w:rPr>
        <w:t xml:space="preserve">enų </w:t>
      </w:r>
      <w:r>
        <w:rPr>
          <w:spacing w:val="1"/>
          <w:sz w:val="22"/>
          <w:szCs w:val="22"/>
        </w:rPr>
        <w:t>i</w:t>
      </w:r>
      <w:r>
        <w:rPr>
          <w:sz w:val="22"/>
          <w:szCs w:val="22"/>
        </w:rPr>
        <w:t>ns</w:t>
      </w:r>
      <w:r>
        <w:rPr>
          <w:spacing w:val="-2"/>
          <w:sz w:val="22"/>
          <w:szCs w:val="22"/>
        </w:rPr>
        <w:t>u</w:t>
      </w:r>
      <w:r>
        <w:rPr>
          <w:spacing w:val="1"/>
          <w:sz w:val="22"/>
          <w:szCs w:val="22"/>
        </w:rPr>
        <w:t>l</w:t>
      </w:r>
      <w:r>
        <w:rPr>
          <w:spacing w:val="-1"/>
          <w:sz w:val="22"/>
          <w:szCs w:val="22"/>
        </w:rPr>
        <w:t>t</w:t>
      </w:r>
      <w:r>
        <w:rPr>
          <w:sz w:val="22"/>
          <w:szCs w:val="22"/>
        </w:rPr>
        <w:t xml:space="preserve">as, </w:t>
      </w:r>
      <w:r>
        <w:rPr>
          <w:spacing w:val="-2"/>
          <w:sz w:val="22"/>
          <w:szCs w:val="22"/>
        </w:rPr>
        <w:t>p</w:t>
      </w:r>
      <w:r>
        <w:rPr>
          <w:spacing w:val="1"/>
          <w:sz w:val="22"/>
          <w:szCs w:val="22"/>
        </w:rPr>
        <w:t>r</w:t>
      </w:r>
      <w:r>
        <w:rPr>
          <w:spacing w:val="-2"/>
          <w:sz w:val="22"/>
          <w:szCs w:val="22"/>
        </w:rPr>
        <w:t>a</w:t>
      </w:r>
      <w:r>
        <w:rPr>
          <w:sz w:val="22"/>
          <w:szCs w:val="22"/>
        </w:rPr>
        <w:t>e</w:t>
      </w:r>
      <w:r>
        <w:rPr>
          <w:spacing w:val="1"/>
          <w:sz w:val="22"/>
          <w:szCs w:val="22"/>
        </w:rPr>
        <w:t>i</w:t>
      </w:r>
      <w:r>
        <w:rPr>
          <w:sz w:val="22"/>
          <w:szCs w:val="22"/>
        </w:rPr>
        <w:t>na</w:t>
      </w:r>
      <w:r>
        <w:rPr>
          <w:spacing w:val="-2"/>
          <w:sz w:val="22"/>
          <w:szCs w:val="22"/>
        </w:rPr>
        <w:t>n</w:t>
      </w:r>
      <w:r>
        <w:rPr>
          <w:spacing w:val="1"/>
          <w:sz w:val="22"/>
          <w:szCs w:val="22"/>
        </w:rPr>
        <w:t>t</w:t>
      </w:r>
      <w:r>
        <w:rPr>
          <w:spacing w:val="-2"/>
          <w:sz w:val="22"/>
          <w:szCs w:val="22"/>
        </w:rPr>
        <w:t>y</w:t>
      </w:r>
      <w:r>
        <w:rPr>
          <w:sz w:val="22"/>
          <w:szCs w:val="22"/>
        </w:rPr>
        <w:t>s</w:t>
      </w:r>
      <w:r>
        <w:rPr>
          <w:spacing w:val="1"/>
          <w:sz w:val="22"/>
          <w:szCs w:val="22"/>
        </w:rPr>
        <w:t>i</w:t>
      </w:r>
      <w:r>
        <w:rPr>
          <w:sz w:val="22"/>
          <w:szCs w:val="22"/>
        </w:rPr>
        <w:t>s</w:t>
      </w:r>
      <w:r>
        <w:rPr>
          <w:spacing w:val="-2"/>
          <w:sz w:val="22"/>
          <w:szCs w:val="22"/>
        </w:rPr>
        <w:t xml:space="preserve"> </w:t>
      </w:r>
      <w:r>
        <w:rPr>
          <w:sz w:val="22"/>
          <w:szCs w:val="22"/>
        </w:rPr>
        <w:t>s</w:t>
      </w:r>
      <w:r>
        <w:rPr>
          <w:spacing w:val="-4"/>
          <w:sz w:val="22"/>
          <w:szCs w:val="22"/>
        </w:rPr>
        <w:t>m</w:t>
      </w:r>
      <w:r>
        <w:rPr>
          <w:sz w:val="22"/>
          <w:szCs w:val="22"/>
        </w:rPr>
        <w:t>e</w:t>
      </w:r>
      <w:r>
        <w:rPr>
          <w:spacing w:val="-2"/>
          <w:sz w:val="22"/>
          <w:szCs w:val="22"/>
        </w:rPr>
        <w:t>g</w:t>
      </w:r>
      <w:r>
        <w:rPr>
          <w:sz w:val="22"/>
          <w:szCs w:val="22"/>
        </w:rPr>
        <w:t xml:space="preserve">enų </w:t>
      </w:r>
      <w:r>
        <w:rPr>
          <w:spacing w:val="1"/>
          <w:sz w:val="22"/>
          <w:szCs w:val="22"/>
        </w:rPr>
        <w:t>i</w:t>
      </w:r>
      <w:r>
        <w:rPr>
          <w:sz w:val="22"/>
          <w:szCs w:val="22"/>
        </w:rPr>
        <w:t>še</w:t>
      </w:r>
      <w:r>
        <w:rPr>
          <w:spacing w:val="-4"/>
          <w:sz w:val="22"/>
          <w:szCs w:val="22"/>
        </w:rPr>
        <w:t>m</w:t>
      </w:r>
      <w:r>
        <w:rPr>
          <w:spacing w:val="-1"/>
          <w:sz w:val="22"/>
          <w:szCs w:val="22"/>
        </w:rPr>
        <w:t>i</w:t>
      </w:r>
      <w:r>
        <w:rPr>
          <w:spacing w:val="3"/>
          <w:sz w:val="22"/>
          <w:szCs w:val="22"/>
        </w:rPr>
        <w:t>j</w:t>
      </w:r>
      <w:r>
        <w:rPr>
          <w:spacing w:val="-2"/>
          <w:sz w:val="22"/>
          <w:szCs w:val="22"/>
        </w:rPr>
        <w:t>o</w:t>
      </w:r>
      <w:r>
        <w:rPr>
          <w:sz w:val="22"/>
          <w:szCs w:val="22"/>
        </w:rPr>
        <w:t>s</w:t>
      </w:r>
      <w:r>
        <w:rPr>
          <w:spacing w:val="1"/>
          <w:sz w:val="22"/>
          <w:szCs w:val="22"/>
        </w:rPr>
        <w:t xml:space="preserve"> </w:t>
      </w:r>
      <w:r>
        <w:rPr>
          <w:sz w:val="22"/>
          <w:szCs w:val="22"/>
        </w:rPr>
        <w:t>p</w:t>
      </w:r>
      <w:r>
        <w:rPr>
          <w:spacing w:val="-2"/>
          <w:sz w:val="22"/>
          <w:szCs w:val="22"/>
        </w:rPr>
        <w:t>r</w:t>
      </w:r>
      <w:r>
        <w:rPr>
          <w:spacing w:val="1"/>
          <w:sz w:val="22"/>
          <w:szCs w:val="22"/>
        </w:rPr>
        <w:t>i</w:t>
      </w:r>
      <w:r>
        <w:rPr>
          <w:sz w:val="22"/>
          <w:szCs w:val="22"/>
        </w:rPr>
        <w:t>epu</w:t>
      </w:r>
      <w:r>
        <w:rPr>
          <w:spacing w:val="-2"/>
          <w:sz w:val="22"/>
          <w:szCs w:val="22"/>
        </w:rPr>
        <w:t>o</w:t>
      </w:r>
      <w:r>
        <w:rPr>
          <w:spacing w:val="1"/>
          <w:sz w:val="22"/>
          <w:szCs w:val="22"/>
        </w:rPr>
        <w:t>l</w:t>
      </w:r>
      <w:r>
        <w:rPr>
          <w:spacing w:val="-1"/>
          <w:sz w:val="22"/>
          <w:szCs w:val="22"/>
        </w:rPr>
        <w:t>i</w:t>
      </w:r>
      <w:r>
        <w:rPr>
          <w:sz w:val="22"/>
          <w:szCs w:val="22"/>
        </w:rPr>
        <w:t>s, pe</w:t>
      </w:r>
      <w:r>
        <w:rPr>
          <w:spacing w:val="1"/>
          <w:sz w:val="22"/>
          <w:szCs w:val="22"/>
        </w:rPr>
        <w:t>r</w:t>
      </w:r>
      <w:r>
        <w:rPr>
          <w:spacing w:val="-1"/>
          <w:sz w:val="22"/>
          <w:szCs w:val="22"/>
        </w:rPr>
        <w:t>i</w:t>
      </w:r>
      <w:r>
        <w:rPr>
          <w:spacing w:val="1"/>
          <w:sz w:val="22"/>
          <w:szCs w:val="22"/>
        </w:rPr>
        <w:t>f</w:t>
      </w:r>
      <w:r>
        <w:rPr>
          <w:spacing w:val="-2"/>
          <w:sz w:val="22"/>
          <w:szCs w:val="22"/>
        </w:rPr>
        <w:t>e</w:t>
      </w:r>
      <w:r>
        <w:rPr>
          <w:spacing w:val="1"/>
          <w:sz w:val="22"/>
          <w:szCs w:val="22"/>
        </w:rPr>
        <w:t>ri</w:t>
      </w:r>
      <w:r>
        <w:rPr>
          <w:spacing w:val="-2"/>
          <w:sz w:val="22"/>
          <w:szCs w:val="22"/>
        </w:rPr>
        <w:t>n</w:t>
      </w:r>
      <w:r>
        <w:rPr>
          <w:spacing w:val="1"/>
          <w:sz w:val="22"/>
          <w:szCs w:val="22"/>
        </w:rPr>
        <w:t>i</w:t>
      </w:r>
      <w:r>
        <w:rPr>
          <w:sz w:val="22"/>
          <w:szCs w:val="22"/>
        </w:rPr>
        <w:t>ų</w:t>
      </w:r>
      <w:r>
        <w:rPr>
          <w:spacing w:val="-2"/>
          <w:sz w:val="22"/>
          <w:szCs w:val="22"/>
        </w:rPr>
        <w:t xml:space="preserve"> </w:t>
      </w:r>
      <w:r>
        <w:rPr>
          <w:sz w:val="22"/>
          <w:szCs w:val="22"/>
        </w:rPr>
        <w:t>a</w:t>
      </w:r>
      <w:r>
        <w:rPr>
          <w:spacing w:val="-2"/>
          <w:sz w:val="22"/>
          <w:szCs w:val="22"/>
        </w:rPr>
        <w:t>r</w:t>
      </w:r>
      <w:r>
        <w:rPr>
          <w:spacing w:val="1"/>
          <w:sz w:val="22"/>
          <w:szCs w:val="22"/>
        </w:rPr>
        <w:t>t</w:t>
      </w:r>
      <w:r>
        <w:rPr>
          <w:sz w:val="22"/>
          <w:szCs w:val="22"/>
        </w:rPr>
        <w:t>e</w:t>
      </w:r>
      <w:r>
        <w:rPr>
          <w:spacing w:val="-2"/>
          <w:sz w:val="22"/>
          <w:szCs w:val="22"/>
        </w:rPr>
        <w:t>r</w:t>
      </w:r>
      <w:r>
        <w:rPr>
          <w:spacing w:val="-1"/>
          <w:sz w:val="22"/>
          <w:szCs w:val="22"/>
        </w:rPr>
        <w:t>i</w:t>
      </w:r>
      <w:r>
        <w:rPr>
          <w:spacing w:val="1"/>
          <w:sz w:val="22"/>
          <w:szCs w:val="22"/>
        </w:rPr>
        <w:t>j</w:t>
      </w:r>
      <w:r>
        <w:rPr>
          <w:sz w:val="22"/>
          <w:szCs w:val="22"/>
        </w:rPr>
        <w:t xml:space="preserve">ų </w:t>
      </w:r>
      <w:r>
        <w:rPr>
          <w:spacing w:val="-1"/>
          <w:sz w:val="22"/>
          <w:szCs w:val="22"/>
        </w:rPr>
        <w:t>l</w:t>
      </w:r>
      <w:r>
        <w:rPr>
          <w:spacing w:val="1"/>
          <w:sz w:val="22"/>
          <w:szCs w:val="22"/>
        </w:rPr>
        <w:t>i</w:t>
      </w:r>
      <w:r>
        <w:rPr>
          <w:spacing w:val="-2"/>
          <w:sz w:val="22"/>
          <w:szCs w:val="22"/>
        </w:rPr>
        <w:t>g</w:t>
      </w:r>
      <w:r>
        <w:rPr>
          <w:sz w:val="22"/>
          <w:szCs w:val="22"/>
        </w:rPr>
        <w:t>a</w:t>
      </w:r>
      <w:r>
        <w:rPr>
          <w:spacing w:val="1"/>
          <w:sz w:val="22"/>
          <w:szCs w:val="22"/>
        </w:rPr>
        <w:t xml:space="preserve"> </w:t>
      </w:r>
      <w:r>
        <w:rPr>
          <w:sz w:val="22"/>
          <w:szCs w:val="22"/>
        </w:rPr>
        <w:t>a</w:t>
      </w:r>
      <w:r>
        <w:rPr>
          <w:spacing w:val="1"/>
          <w:sz w:val="22"/>
          <w:szCs w:val="22"/>
        </w:rPr>
        <w:t>r</w:t>
      </w:r>
      <w:r>
        <w:rPr>
          <w:sz w:val="22"/>
          <w:szCs w:val="22"/>
        </w:rPr>
        <w:t>ba</w:t>
      </w:r>
      <w:r>
        <w:rPr>
          <w:spacing w:val="-2"/>
          <w:sz w:val="22"/>
          <w:szCs w:val="22"/>
        </w:rPr>
        <w:t xml:space="preserve"> </w:t>
      </w:r>
      <w:r>
        <w:rPr>
          <w:sz w:val="22"/>
          <w:szCs w:val="22"/>
        </w:rPr>
        <w:t xml:space="preserve">2 </w:t>
      </w:r>
      <w:r>
        <w:rPr>
          <w:spacing w:val="1"/>
          <w:sz w:val="22"/>
          <w:szCs w:val="22"/>
        </w:rPr>
        <w:t>t</w:t>
      </w:r>
      <w:r>
        <w:rPr>
          <w:spacing w:val="-1"/>
          <w:sz w:val="22"/>
          <w:szCs w:val="22"/>
        </w:rPr>
        <w:t>i</w:t>
      </w:r>
      <w:r>
        <w:rPr>
          <w:sz w:val="22"/>
          <w:szCs w:val="22"/>
        </w:rPr>
        <w:t>po cu</w:t>
      </w:r>
      <w:r>
        <w:rPr>
          <w:spacing w:val="-2"/>
          <w:sz w:val="22"/>
          <w:szCs w:val="22"/>
        </w:rPr>
        <w:t>k</w:t>
      </w:r>
      <w:r>
        <w:rPr>
          <w:spacing w:val="1"/>
          <w:sz w:val="22"/>
          <w:szCs w:val="22"/>
        </w:rPr>
        <w:t>r</w:t>
      </w:r>
      <w:r>
        <w:rPr>
          <w:spacing w:val="-1"/>
          <w:sz w:val="22"/>
          <w:szCs w:val="22"/>
        </w:rPr>
        <w:t>i</w:t>
      </w:r>
      <w:r>
        <w:rPr>
          <w:sz w:val="22"/>
          <w:szCs w:val="22"/>
        </w:rPr>
        <w:t>n</w:t>
      </w:r>
      <w:r>
        <w:rPr>
          <w:spacing w:val="1"/>
          <w:sz w:val="22"/>
          <w:szCs w:val="22"/>
        </w:rPr>
        <w:t>i</w:t>
      </w:r>
      <w:r>
        <w:rPr>
          <w:sz w:val="22"/>
          <w:szCs w:val="22"/>
        </w:rPr>
        <w:t>s</w:t>
      </w:r>
      <w:r>
        <w:rPr>
          <w:spacing w:val="-2"/>
          <w:sz w:val="22"/>
          <w:szCs w:val="22"/>
        </w:rPr>
        <w:t xml:space="preserve"> </w:t>
      </w:r>
      <w:r>
        <w:rPr>
          <w:sz w:val="22"/>
          <w:szCs w:val="22"/>
        </w:rPr>
        <w:t>d</w:t>
      </w:r>
      <w:r>
        <w:rPr>
          <w:spacing w:val="-1"/>
          <w:sz w:val="22"/>
          <w:szCs w:val="22"/>
        </w:rPr>
        <w:t>i</w:t>
      </w:r>
      <w:r>
        <w:rPr>
          <w:sz w:val="22"/>
          <w:szCs w:val="22"/>
        </w:rPr>
        <w:t>ab</w:t>
      </w:r>
      <w:r>
        <w:rPr>
          <w:spacing w:val="-2"/>
          <w:sz w:val="22"/>
          <w:szCs w:val="22"/>
        </w:rPr>
        <w:t>e</w:t>
      </w:r>
      <w:r>
        <w:rPr>
          <w:spacing w:val="1"/>
          <w:sz w:val="22"/>
          <w:szCs w:val="22"/>
        </w:rPr>
        <w:t>t</w:t>
      </w:r>
      <w:r>
        <w:rPr>
          <w:sz w:val="22"/>
          <w:szCs w:val="22"/>
        </w:rPr>
        <w:t>as,</w:t>
      </w:r>
      <w:r>
        <w:rPr>
          <w:spacing w:val="-2"/>
          <w:sz w:val="22"/>
          <w:szCs w:val="22"/>
        </w:rPr>
        <w:t xml:space="preserve"> </w:t>
      </w:r>
      <w:r>
        <w:rPr>
          <w:sz w:val="22"/>
          <w:szCs w:val="22"/>
        </w:rPr>
        <w:t>s</w:t>
      </w:r>
      <w:r>
        <w:rPr>
          <w:spacing w:val="-2"/>
          <w:sz w:val="22"/>
          <w:szCs w:val="22"/>
        </w:rPr>
        <w:t>u</w:t>
      </w:r>
      <w:r>
        <w:rPr>
          <w:sz w:val="22"/>
          <w:szCs w:val="22"/>
        </w:rPr>
        <w:t>s</w:t>
      </w:r>
      <w:r>
        <w:rPr>
          <w:spacing w:val="-1"/>
          <w:sz w:val="22"/>
          <w:szCs w:val="22"/>
        </w:rPr>
        <w:t>i</w:t>
      </w:r>
      <w:r>
        <w:rPr>
          <w:spacing w:val="1"/>
          <w:sz w:val="22"/>
          <w:szCs w:val="22"/>
        </w:rPr>
        <w:t>j</w:t>
      </w:r>
      <w:r>
        <w:rPr>
          <w:sz w:val="22"/>
          <w:szCs w:val="22"/>
        </w:rPr>
        <w:t>ęs</w:t>
      </w:r>
      <w:r>
        <w:rPr>
          <w:spacing w:val="1"/>
          <w:sz w:val="22"/>
          <w:szCs w:val="22"/>
        </w:rPr>
        <w:t xml:space="preserve"> </w:t>
      </w:r>
      <w:r>
        <w:rPr>
          <w:spacing w:val="-2"/>
          <w:sz w:val="22"/>
          <w:szCs w:val="22"/>
        </w:rPr>
        <w:t>s</w:t>
      </w:r>
      <w:r>
        <w:rPr>
          <w:sz w:val="22"/>
          <w:szCs w:val="22"/>
        </w:rPr>
        <w:t xml:space="preserve">u </w:t>
      </w:r>
      <w:r>
        <w:rPr>
          <w:spacing w:val="-2"/>
          <w:sz w:val="22"/>
          <w:szCs w:val="22"/>
        </w:rPr>
        <w:t>g</w:t>
      </w:r>
      <w:r>
        <w:rPr>
          <w:sz w:val="22"/>
          <w:szCs w:val="22"/>
        </w:rPr>
        <w:t>a</w:t>
      </w:r>
      <w:r>
        <w:rPr>
          <w:spacing w:val="1"/>
          <w:sz w:val="22"/>
          <w:szCs w:val="22"/>
        </w:rPr>
        <w:t>l</w:t>
      </w:r>
      <w:r>
        <w:rPr>
          <w:sz w:val="22"/>
          <w:szCs w:val="22"/>
        </w:rPr>
        <w:t>u</w:t>
      </w:r>
      <w:r>
        <w:rPr>
          <w:spacing w:val="-1"/>
          <w:sz w:val="22"/>
          <w:szCs w:val="22"/>
        </w:rPr>
        <w:t>t</w:t>
      </w:r>
      <w:r>
        <w:rPr>
          <w:spacing w:val="1"/>
          <w:sz w:val="22"/>
          <w:szCs w:val="22"/>
        </w:rPr>
        <w:t>i</w:t>
      </w:r>
      <w:r>
        <w:rPr>
          <w:sz w:val="22"/>
          <w:szCs w:val="22"/>
        </w:rPr>
        <w:t>n</w:t>
      </w:r>
      <w:r>
        <w:rPr>
          <w:spacing w:val="-2"/>
          <w:sz w:val="22"/>
          <w:szCs w:val="22"/>
        </w:rPr>
        <w:t>ė</w:t>
      </w:r>
      <w:r>
        <w:rPr>
          <w:sz w:val="22"/>
          <w:szCs w:val="22"/>
        </w:rPr>
        <w:t>s</w:t>
      </w:r>
      <w:r>
        <w:rPr>
          <w:spacing w:val="1"/>
          <w:sz w:val="22"/>
          <w:szCs w:val="22"/>
        </w:rPr>
        <w:t xml:space="preserve"> </w:t>
      </w:r>
      <w:r>
        <w:rPr>
          <w:sz w:val="22"/>
          <w:szCs w:val="22"/>
        </w:rPr>
        <w:t>o</w:t>
      </w:r>
      <w:r>
        <w:rPr>
          <w:spacing w:val="1"/>
          <w:sz w:val="22"/>
          <w:szCs w:val="22"/>
        </w:rPr>
        <w:t>r</w:t>
      </w:r>
      <w:r>
        <w:rPr>
          <w:spacing w:val="-2"/>
          <w:sz w:val="22"/>
          <w:szCs w:val="22"/>
        </w:rPr>
        <w:t>g</w:t>
      </w:r>
      <w:r>
        <w:rPr>
          <w:sz w:val="22"/>
          <w:szCs w:val="22"/>
        </w:rPr>
        <w:t xml:space="preserve">anų </w:t>
      </w:r>
      <w:r>
        <w:rPr>
          <w:spacing w:val="-2"/>
          <w:sz w:val="22"/>
          <w:szCs w:val="22"/>
        </w:rPr>
        <w:t>paž</w:t>
      </w:r>
      <w:r>
        <w:rPr>
          <w:sz w:val="22"/>
          <w:szCs w:val="22"/>
        </w:rPr>
        <w:t>a</w:t>
      </w:r>
      <w:r>
        <w:rPr>
          <w:spacing w:val="1"/>
          <w:sz w:val="22"/>
          <w:szCs w:val="22"/>
        </w:rPr>
        <w:t>i</w:t>
      </w:r>
      <w:r>
        <w:rPr>
          <w:sz w:val="22"/>
          <w:szCs w:val="22"/>
        </w:rPr>
        <w:t>dos</w:t>
      </w:r>
      <w:r>
        <w:rPr>
          <w:spacing w:val="1"/>
          <w:sz w:val="22"/>
          <w:szCs w:val="22"/>
        </w:rPr>
        <w:t xml:space="preserve"> </w:t>
      </w:r>
      <w:r>
        <w:rPr>
          <w:sz w:val="22"/>
          <w:szCs w:val="22"/>
        </w:rPr>
        <w:t>po</w:t>
      </w:r>
      <w:r>
        <w:rPr>
          <w:spacing w:val="-2"/>
          <w:sz w:val="22"/>
          <w:szCs w:val="22"/>
        </w:rPr>
        <w:t>ž</w:t>
      </w:r>
      <w:r>
        <w:rPr>
          <w:sz w:val="22"/>
          <w:szCs w:val="22"/>
        </w:rPr>
        <w:t>y</w:t>
      </w:r>
      <w:r>
        <w:rPr>
          <w:spacing w:val="-4"/>
          <w:sz w:val="22"/>
          <w:szCs w:val="22"/>
        </w:rPr>
        <w:t>m</w:t>
      </w:r>
      <w:r>
        <w:rPr>
          <w:spacing w:val="1"/>
          <w:sz w:val="22"/>
          <w:szCs w:val="22"/>
        </w:rPr>
        <w:t>i</w:t>
      </w:r>
      <w:r>
        <w:rPr>
          <w:sz w:val="22"/>
          <w:szCs w:val="22"/>
        </w:rPr>
        <w:t>a</w:t>
      </w:r>
      <w:r>
        <w:rPr>
          <w:spacing w:val="1"/>
          <w:sz w:val="22"/>
          <w:szCs w:val="22"/>
        </w:rPr>
        <w:t>i</w:t>
      </w:r>
      <w:r>
        <w:rPr>
          <w:sz w:val="22"/>
          <w:szCs w:val="22"/>
        </w:rPr>
        <w:t xml:space="preserve">s </w:t>
      </w:r>
      <w:r>
        <w:rPr>
          <w:spacing w:val="1"/>
          <w:sz w:val="22"/>
          <w:szCs w:val="22"/>
        </w:rPr>
        <w:t>(</w:t>
      </w:r>
      <w:r w:rsidRPr="00DA5C68">
        <w:rPr>
          <w:color w:val="000000"/>
          <w:sz w:val="22"/>
          <w:szCs w:val="22"/>
        </w:rPr>
        <w:t>pvz., retinopatija, kairiojo širdies skilvelio hipertrofija, makroalbuminurija arba mikroalbuminurija), ir kurie priklauso populiacijai, kuriai yra širdies ir kraujagyslių reiškinių rizika.</w:t>
      </w:r>
    </w:p>
    <w:p w14:paraId="6BD0566B" w14:textId="77777777" w:rsidR="0033509B" w:rsidRPr="00DA5C68" w:rsidRDefault="0033509B" w:rsidP="00DA5C68">
      <w:pPr>
        <w:autoSpaceDE w:val="0"/>
        <w:autoSpaceDN w:val="0"/>
        <w:adjustRightInd w:val="0"/>
        <w:rPr>
          <w:color w:val="000000"/>
          <w:sz w:val="22"/>
          <w:szCs w:val="22"/>
        </w:rPr>
      </w:pPr>
      <w:r w:rsidRPr="00DA5C68">
        <w:rPr>
          <w:color w:val="000000"/>
          <w:sz w:val="22"/>
          <w:szCs w:val="22"/>
        </w:rPr>
        <w:t>Pacientai atsitiktinių imčių būdu buvo suskirstyti į 3 grupes, kurios buvo gydytos arba 80 mg telmisartano doze (n = 8542), arba 10 mg ramiprilio doze (n = 8576), arba 80 mg telmisartano ir 10 mg ramiprilio dozių deriniu (n = 8502). Vidutinis tiriamųjų stebėjimo laikas buvo 4,5 metų.</w:t>
      </w:r>
    </w:p>
    <w:p w14:paraId="32903B63" w14:textId="77777777" w:rsidR="0033509B" w:rsidRPr="00DA5C68" w:rsidRDefault="0033509B" w:rsidP="00DA5C68">
      <w:pPr>
        <w:autoSpaceDE w:val="0"/>
        <w:autoSpaceDN w:val="0"/>
        <w:adjustRightInd w:val="0"/>
        <w:rPr>
          <w:color w:val="000000"/>
          <w:sz w:val="22"/>
          <w:szCs w:val="22"/>
        </w:rPr>
      </w:pPr>
    </w:p>
    <w:p w14:paraId="2E4993EA" w14:textId="082E2EC8" w:rsidR="0033509B" w:rsidRPr="00DA5C68" w:rsidRDefault="0033509B" w:rsidP="00606821">
      <w:pPr>
        <w:autoSpaceDE w:val="0"/>
        <w:autoSpaceDN w:val="0"/>
        <w:adjustRightInd w:val="0"/>
        <w:rPr>
          <w:color w:val="000000"/>
          <w:sz w:val="22"/>
          <w:szCs w:val="22"/>
        </w:rPr>
      </w:pPr>
      <w:r w:rsidRPr="00DA5C68">
        <w:rPr>
          <w:color w:val="000000"/>
          <w:sz w:val="22"/>
          <w:szCs w:val="22"/>
        </w:rPr>
        <w:t>Telmisartano poveikis sudėtinės pirminės vertinamosios baigties − mirties nuo širdies ir kraujagyslių</w:t>
      </w:r>
      <w:r w:rsidR="00DA5C68" w:rsidRPr="00DA5C68">
        <w:rPr>
          <w:color w:val="000000"/>
          <w:sz w:val="22"/>
          <w:szCs w:val="22"/>
        </w:rPr>
        <w:t xml:space="preserve"> </w:t>
      </w:r>
      <w:r w:rsidRPr="00DA5C68">
        <w:rPr>
          <w:color w:val="000000"/>
          <w:sz w:val="22"/>
          <w:szCs w:val="22"/>
        </w:rPr>
        <w:t>sutrikimų, nemirtino miokardo infarkto, nemirtino insulto ar guldymo į ligoninę dėl širdies</w:t>
      </w:r>
      <w:r w:rsidR="00DA5C68" w:rsidRPr="00DA5C68">
        <w:rPr>
          <w:color w:val="000000"/>
          <w:sz w:val="22"/>
          <w:szCs w:val="22"/>
        </w:rPr>
        <w:t xml:space="preserve"> </w:t>
      </w:r>
      <w:r w:rsidRPr="00DA5C68">
        <w:rPr>
          <w:color w:val="000000"/>
          <w:sz w:val="22"/>
          <w:szCs w:val="22"/>
        </w:rPr>
        <w:t>nepakankamumo − dažnio mažinimui buvo panašus į ramiprilio. Pirminės vertinamosios baigties</w:t>
      </w:r>
      <w:r w:rsidR="00DA5C68" w:rsidRPr="00DA5C68">
        <w:rPr>
          <w:color w:val="000000"/>
          <w:sz w:val="22"/>
          <w:szCs w:val="22"/>
        </w:rPr>
        <w:t xml:space="preserve"> </w:t>
      </w:r>
      <w:r w:rsidRPr="00DA5C68">
        <w:rPr>
          <w:color w:val="000000"/>
          <w:sz w:val="22"/>
          <w:szCs w:val="22"/>
        </w:rPr>
        <w:t>dažnis pacientams, gydytiems telmisartanu (16,7%) ar ramipriliu (16,5%) buvo panašus. Telmisartano,</w:t>
      </w:r>
      <w:r w:rsidR="00DA5C68" w:rsidRPr="00DA5C68">
        <w:rPr>
          <w:color w:val="000000"/>
          <w:sz w:val="22"/>
          <w:szCs w:val="22"/>
        </w:rPr>
        <w:t xml:space="preserve"> </w:t>
      </w:r>
      <w:r w:rsidRPr="00DA5C68">
        <w:rPr>
          <w:color w:val="000000"/>
          <w:sz w:val="22"/>
          <w:szCs w:val="22"/>
        </w:rPr>
        <w:t>palyginti su ramipriliu, rizikos santykis buvo 1,01 (97,5% PI: 0,93-1,1; p (</w:t>
      </w:r>
      <w:r w:rsidRPr="00DA5C68">
        <w:rPr>
          <w:i/>
          <w:color w:val="000000"/>
          <w:sz w:val="22"/>
          <w:szCs w:val="22"/>
        </w:rPr>
        <w:t>non-inferiority</w:t>
      </w:r>
      <w:r w:rsidRPr="00DA5C68">
        <w:rPr>
          <w:color w:val="000000"/>
          <w:sz w:val="22"/>
          <w:szCs w:val="22"/>
        </w:rPr>
        <w:t>) = 0,0019,</w:t>
      </w:r>
      <w:r w:rsidR="00DA5C68" w:rsidRPr="00DA5C68">
        <w:rPr>
          <w:color w:val="000000"/>
          <w:sz w:val="22"/>
          <w:szCs w:val="22"/>
        </w:rPr>
        <w:t xml:space="preserve"> </w:t>
      </w:r>
      <w:r w:rsidRPr="00DA5C68">
        <w:rPr>
          <w:color w:val="000000"/>
          <w:sz w:val="22"/>
          <w:szCs w:val="22"/>
        </w:rPr>
        <w:t>kai riba 1,13). Telmisartanu ar ramipriliu gydytų pacientų mirtingumo nuo visų priežasčių dažnis buvo atitinkamai 11,6% ir 11,8%.</w:t>
      </w:r>
    </w:p>
    <w:p w14:paraId="57BC3F1D" w14:textId="77777777" w:rsidR="0033509B" w:rsidRPr="00DA5C68" w:rsidRDefault="0033509B" w:rsidP="00DA5C68">
      <w:pPr>
        <w:autoSpaceDE w:val="0"/>
        <w:autoSpaceDN w:val="0"/>
        <w:adjustRightInd w:val="0"/>
        <w:rPr>
          <w:color w:val="000000"/>
          <w:sz w:val="22"/>
          <w:szCs w:val="22"/>
        </w:rPr>
      </w:pPr>
    </w:p>
    <w:p w14:paraId="0C91FD7C" w14:textId="6D4E5EAA" w:rsidR="0033509B" w:rsidRPr="00DA5C68" w:rsidRDefault="0033509B" w:rsidP="00606821">
      <w:pPr>
        <w:autoSpaceDE w:val="0"/>
        <w:autoSpaceDN w:val="0"/>
        <w:adjustRightInd w:val="0"/>
        <w:rPr>
          <w:color w:val="000000"/>
          <w:sz w:val="22"/>
          <w:szCs w:val="22"/>
        </w:rPr>
      </w:pPr>
      <w:r w:rsidRPr="00DA5C68">
        <w:rPr>
          <w:color w:val="000000"/>
          <w:sz w:val="22"/>
          <w:szCs w:val="22"/>
        </w:rPr>
        <w:t>Nustatyta, kad telmisartano veiksmingumas yra panašus į ramiprilio, atsižvelgiant į iš anksto tiksliai apibrėžtą antrinę vertinamąją baigtį, t. y. mirties dėl širdies ir kraujagyslių sutrikimų, nemirtino</w:t>
      </w:r>
      <w:r w:rsidR="00DA5C68" w:rsidRPr="00DA5C68">
        <w:rPr>
          <w:color w:val="000000"/>
          <w:sz w:val="22"/>
          <w:szCs w:val="22"/>
        </w:rPr>
        <w:t xml:space="preserve"> </w:t>
      </w:r>
      <w:r w:rsidRPr="00DA5C68">
        <w:rPr>
          <w:color w:val="000000"/>
          <w:sz w:val="22"/>
          <w:szCs w:val="22"/>
        </w:rPr>
        <w:t>miokardo infarkto ir nemirtino insulto dažnį [0,99 (97,5% PI: 0,9-1,08; p (</w:t>
      </w:r>
      <w:r w:rsidRPr="00DA5C68">
        <w:rPr>
          <w:i/>
          <w:color w:val="000000"/>
          <w:sz w:val="22"/>
          <w:szCs w:val="22"/>
        </w:rPr>
        <w:t>non-inferiority</w:t>
      </w:r>
      <w:r w:rsidRPr="00DA5C68">
        <w:rPr>
          <w:color w:val="000000"/>
          <w:sz w:val="22"/>
          <w:szCs w:val="22"/>
        </w:rPr>
        <w:t>) = 0,0004),</w:t>
      </w:r>
      <w:r w:rsidR="00DA5C68" w:rsidRPr="00DA5C68">
        <w:rPr>
          <w:color w:val="000000"/>
          <w:sz w:val="22"/>
          <w:szCs w:val="22"/>
        </w:rPr>
        <w:t xml:space="preserve"> </w:t>
      </w:r>
      <w:r w:rsidRPr="00DA5C68">
        <w:rPr>
          <w:color w:val="000000"/>
          <w:sz w:val="22"/>
          <w:szCs w:val="22"/>
        </w:rPr>
        <w:t>kuri lyginamojo tyrimo HOPE (</w:t>
      </w:r>
      <w:r w:rsidRPr="00DA5C68">
        <w:rPr>
          <w:i/>
          <w:color w:val="000000"/>
          <w:sz w:val="22"/>
          <w:szCs w:val="22"/>
        </w:rPr>
        <w:t>The Heart Outcomes Prevention Evaluation Study</w:t>
      </w:r>
      <w:r w:rsidRPr="00DA5C68">
        <w:rPr>
          <w:color w:val="000000"/>
          <w:sz w:val="22"/>
          <w:szCs w:val="22"/>
        </w:rPr>
        <w:t>), kuriuo buvo</w:t>
      </w:r>
      <w:r w:rsidR="00DA5C68" w:rsidRPr="00DA5C68">
        <w:rPr>
          <w:color w:val="000000"/>
          <w:sz w:val="22"/>
          <w:szCs w:val="22"/>
        </w:rPr>
        <w:t xml:space="preserve"> </w:t>
      </w:r>
      <w:r w:rsidRPr="00DA5C68">
        <w:rPr>
          <w:color w:val="000000"/>
          <w:sz w:val="22"/>
          <w:szCs w:val="22"/>
        </w:rPr>
        <w:t>lygintas ramiprilio ir placebo poveikis, metu buvo pirminė vertinamoji baigtis.</w:t>
      </w:r>
    </w:p>
    <w:p w14:paraId="57B62A2E" w14:textId="77777777" w:rsidR="0033509B" w:rsidRPr="00DA5C68" w:rsidRDefault="0033509B" w:rsidP="00DA5C68">
      <w:pPr>
        <w:autoSpaceDE w:val="0"/>
        <w:autoSpaceDN w:val="0"/>
        <w:adjustRightInd w:val="0"/>
        <w:rPr>
          <w:color w:val="000000"/>
          <w:sz w:val="22"/>
          <w:szCs w:val="22"/>
        </w:rPr>
      </w:pPr>
    </w:p>
    <w:p w14:paraId="58C71186" w14:textId="31CA9DD3" w:rsidR="0033509B" w:rsidRPr="00DA5C68" w:rsidRDefault="0033509B" w:rsidP="00DA5C68">
      <w:pPr>
        <w:autoSpaceDE w:val="0"/>
        <w:autoSpaceDN w:val="0"/>
        <w:adjustRightInd w:val="0"/>
        <w:rPr>
          <w:color w:val="000000"/>
          <w:sz w:val="22"/>
          <w:szCs w:val="22"/>
        </w:rPr>
      </w:pPr>
      <w:r w:rsidRPr="00DA5C68">
        <w:rPr>
          <w:color w:val="000000"/>
          <w:sz w:val="22"/>
          <w:szCs w:val="22"/>
        </w:rPr>
        <w:t>Atsitiktinių imčių tyrimo TRANSCEND, kuriame dalyvavo AKF inhibitorių netoleruojantys pacientai, kurių įtraukimo į tyrimą kriterijai kitais atžvilgiais buvo panašūs į įtraukimo į tyrimą ONTARGET</w:t>
      </w:r>
      <w:r w:rsidR="00DA5C68" w:rsidRPr="00DA5C68">
        <w:rPr>
          <w:color w:val="000000"/>
          <w:sz w:val="22"/>
          <w:szCs w:val="22"/>
        </w:rPr>
        <w:t xml:space="preserve"> </w:t>
      </w:r>
      <w:r w:rsidRPr="00DA5C68">
        <w:rPr>
          <w:color w:val="000000"/>
          <w:sz w:val="22"/>
          <w:szCs w:val="22"/>
        </w:rPr>
        <w:t>kriterijus, metu 80 mg telmisartano dozės (n = 2954) poveikis buvo lygintas su placebo poveikiu</w:t>
      </w:r>
      <w:r w:rsidR="00DA5C68" w:rsidRPr="00DA5C68">
        <w:rPr>
          <w:color w:val="000000"/>
          <w:sz w:val="22"/>
          <w:szCs w:val="22"/>
        </w:rPr>
        <w:t xml:space="preserve"> </w:t>
      </w:r>
      <w:r w:rsidRPr="00DA5C68">
        <w:rPr>
          <w:color w:val="000000"/>
          <w:sz w:val="22"/>
          <w:szCs w:val="22"/>
        </w:rPr>
        <w:t>(n = 2972), kai vienu ar kitu vaistiniu preparatu buvo papildytas jau taikomas įprastinis gydymas.</w:t>
      </w:r>
    </w:p>
    <w:p w14:paraId="112A299E" w14:textId="15434336" w:rsidR="0033509B" w:rsidRPr="00DA5C68" w:rsidRDefault="0033509B" w:rsidP="00606821">
      <w:pPr>
        <w:autoSpaceDE w:val="0"/>
        <w:autoSpaceDN w:val="0"/>
        <w:adjustRightInd w:val="0"/>
        <w:rPr>
          <w:color w:val="000000"/>
          <w:sz w:val="22"/>
          <w:szCs w:val="22"/>
        </w:rPr>
      </w:pPr>
      <w:r w:rsidRPr="00DA5C68">
        <w:rPr>
          <w:color w:val="000000"/>
          <w:sz w:val="22"/>
          <w:szCs w:val="22"/>
        </w:rPr>
        <w:t>Vidutinė tiriamųjų stebėjimo trukmė buvo 4 metai ir 8 mėnesiai. Sudėtinės pirminės vertinamosios</w:t>
      </w:r>
      <w:r w:rsidR="00DA5C68" w:rsidRPr="00DA5C68">
        <w:rPr>
          <w:color w:val="000000"/>
          <w:sz w:val="22"/>
          <w:szCs w:val="22"/>
        </w:rPr>
        <w:t xml:space="preserve"> </w:t>
      </w:r>
      <w:r w:rsidRPr="00DA5C68">
        <w:rPr>
          <w:color w:val="000000"/>
          <w:sz w:val="22"/>
          <w:szCs w:val="22"/>
        </w:rPr>
        <w:t>baigties (mirties dėl širdies ir kraujagyslių sutrikimų, nemirtino miokardo infarkto, nemirtino insulto ar guldymo į ligoninę dėl širdies nepakankamumo) dažnis statistiškai reikšmingai nesiskyrė (telmisartanu</w:t>
      </w:r>
      <w:r w:rsidR="00DA5C68" w:rsidRPr="00DA5C68">
        <w:rPr>
          <w:color w:val="000000"/>
          <w:sz w:val="22"/>
          <w:szCs w:val="22"/>
        </w:rPr>
        <w:t xml:space="preserve"> </w:t>
      </w:r>
      <w:r w:rsidRPr="00DA5C68">
        <w:rPr>
          <w:color w:val="000000"/>
          <w:sz w:val="22"/>
          <w:szCs w:val="22"/>
        </w:rPr>
        <w:t>gydytiems pacientams jis buvo 15,7%, vartojusiems placebo − 17%, rizikos santykis: 0,92 (95% PI:</w:t>
      </w:r>
      <w:r w:rsidR="00DA5C68" w:rsidRPr="00DA5C68">
        <w:rPr>
          <w:color w:val="000000"/>
          <w:sz w:val="22"/>
          <w:szCs w:val="22"/>
        </w:rPr>
        <w:t xml:space="preserve"> </w:t>
      </w:r>
      <w:r w:rsidRPr="00DA5C68">
        <w:rPr>
          <w:color w:val="000000"/>
          <w:sz w:val="22"/>
          <w:szCs w:val="22"/>
        </w:rPr>
        <w:t>0,81–1,05; p = 0,22). Įrodyta gydymo telmisartanu, palyginti su placebu, nauda, atsižvelgiant į iš</w:t>
      </w:r>
      <w:r w:rsidR="00DA5C68" w:rsidRPr="00DA5C68">
        <w:rPr>
          <w:color w:val="000000"/>
          <w:sz w:val="22"/>
          <w:szCs w:val="22"/>
        </w:rPr>
        <w:t xml:space="preserve"> </w:t>
      </w:r>
      <w:r w:rsidRPr="00DA5C68">
        <w:rPr>
          <w:color w:val="000000"/>
          <w:sz w:val="22"/>
          <w:szCs w:val="22"/>
        </w:rPr>
        <w:t>anksto tiksliai apibrėžtą sudėtinę antrinę vertinamąją baigtį, t. y. mirties dėl širdies ir kraujagyslių sutrikimų, nemirtino miokardo infarkto ir nemirtino insulto dažnį [0,87 (95% PI: 0,76–1; p = 0,048).</w:t>
      </w:r>
    </w:p>
    <w:p w14:paraId="0FF02972" w14:textId="50762D7B" w:rsidR="0033509B" w:rsidRPr="00DA5C68" w:rsidRDefault="0033509B" w:rsidP="00606821">
      <w:pPr>
        <w:autoSpaceDE w:val="0"/>
        <w:autoSpaceDN w:val="0"/>
        <w:adjustRightInd w:val="0"/>
        <w:rPr>
          <w:color w:val="000000"/>
          <w:sz w:val="22"/>
          <w:szCs w:val="22"/>
        </w:rPr>
      </w:pPr>
      <w:r w:rsidRPr="00DA5C68">
        <w:rPr>
          <w:color w:val="000000"/>
          <w:sz w:val="22"/>
          <w:szCs w:val="22"/>
        </w:rPr>
        <w:t>Naudos mirštamumui dėl širdies ir kraujagyslių sutrikimų įrodymų negauta (rizikos santykis: 1,03;</w:t>
      </w:r>
      <w:r w:rsidR="00DA5C68" w:rsidRPr="00DA5C68">
        <w:rPr>
          <w:color w:val="000000"/>
          <w:sz w:val="22"/>
          <w:szCs w:val="22"/>
        </w:rPr>
        <w:t xml:space="preserve"> </w:t>
      </w:r>
      <w:r w:rsidRPr="00DA5C68">
        <w:rPr>
          <w:color w:val="000000"/>
          <w:sz w:val="22"/>
          <w:szCs w:val="22"/>
        </w:rPr>
        <w:t>95% PI: 0,85–1,24).</w:t>
      </w:r>
    </w:p>
    <w:p w14:paraId="0B72B4C9" w14:textId="77777777" w:rsidR="0033509B" w:rsidRPr="00DA5C68" w:rsidRDefault="0033509B" w:rsidP="00DA5C68">
      <w:pPr>
        <w:autoSpaceDE w:val="0"/>
        <w:autoSpaceDN w:val="0"/>
        <w:adjustRightInd w:val="0"/>
        <w:rPr>
          <w:color w:val="000000"/>
          <w:sz w:val="22"/>
          <w:szCs w:val="22"/>
        </w:rPr>
      </w:pPr>
    </w:p>
    <w:p w14:paraId="4A8E499A" w14:textId="77777777" w:rsidR="0033509B" w:rsidRPr="00DA5C68" w:rsidRDefault="0033509B" w:rsidP="00DA5C68">
      <w:pPr>
        <w:autoSpaceDE w:val="0"/>
        <w:autoSpaceDN w:val="0"/>
        <w:adjustRightInd w:val="0"/>
        <w:rPr>
          <w:color w:val="000000"/>
          <w:sz w:val="22"/>
          <w:szCs w:val="22"/>
        </w:rPr>
      </w:pPr>
      <w:r w:rsidRPr="00DA5C68">
        <w:rPr>
          <w:color w:val="000000"/>
          <w:sz w:val="22"/>
          <w:szCs w:val="22"/>
        </w:rPr>
        <w:t>Telmisartanu, palyginti ramipriliu, gydytiems pacientams kosulys ir angioneurozinė edema pasireiškė rečiau, o hipotenzija dažniau.</w:t>
      </w:r>
    </w:p>
    <w:p w14:paraId="4FAA76D4" w14:textId="77777777" w:rsidR="0033509B" w:rsidRPr="00DA5C68" w:rsidRDefault="0033509B" w:rsidP="00DA5C68">
      <w:pPr>
        <w:autoSpaceDE w:val="0"/>
        <w:autoSpaceDN w:val="0"/>
        <w:adjustRightInd w:val="0"/>
        <w:rPr>
          <w:color w:val="000000"/>
          <w:sz w:val="22"/>
          <w:szCs w:val="22"/>
        </w:rPr>
      </w:pPr>
    </w:p>
    <w:p w14:paraId="599D93B5" w14:textId="77777777" w:rsidR="0033509B" w:rsidRPr="00DA5C68" w:rsidRDefault="0033509B" w:rsidP="00DA5C68">
      <w:pPr>
        <w:autoSpaceDE w:val="0"/>
        <w:autoSpaceDN w:val="0"/>
        <w:adjustRightInd w:val="0"/>
        <w:rPr>
          <w:color w:val="000000"/>
          <w:sz w:val="22"/>
          <w:szCs w:val="22"/>
        </w:rPr>
      </w:pPr>
      <w:r w:rsidRPr="00DA5C68">
        <w:rPr>
          <w:color w:val="000000"/>
          <w:sz w:val="22"/>
          <w:szCs w:val="22"/>
        </w:rPr>
        <w:t>Gydymas telmisartano ir ramiprilio deriniu nebuvo naudingesnis už gydymą vien telmisartanu arba vien ramipriliu. Gydant deriniu, mirtingumas dėl širdies ir kraujagyslių sutrikimų bei mirtingumas nuo visų priežasčių kiekio atžvilgiu buvo didesni, be to, reikšmingai didesnis buvo hiperkalemijos, inkstų nepakankamumo, hipotenzijos ir apalpimo (sinkopės) dažnis. Vadinasi, minėtos populiacijos pacientus gydyti telmisartano ir ramiprilio deriniu nerekomenduojama.</w:t>
      </w:r>
    </w:p>
    <w:p w14:paraId="0D3867CA" w14:textId="77777777" w:rsidR="00DC0095" w:rsidRPr="009B54A6" w:rsidRDefault="00DC0095" w:rsidP="000E5428">
      <w:pPr>
        <w:autoSpaceDE w:val="0"/>
        <w:autoSpaceDN w:val="0"/>
        <w:adjustRightInd w:val="0"/>
        <w:rPr>
          <w:color w:val="000000"/>
          <w:sz w:val="22"/>
          <w:szCs w:val="22"/>
        </w:rPr>
      </w:pPr>
    </w:p>
    <w:p w14:paraId="47F26C7A"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Tyrimo </w:t>
      </w:r>
      <w:r w:rsidRPr="009B54A6">
        <w:rPr>
          <w:i/>
          <w:iCs/>
          <w:color w:val="000000"/>
          <w:sz w:val="22"/>
          <w:szCs w:val="22"/>
        </w:rPr>
        <w:t>„Prevention Regimen For Effectively avoiding Second Strokes</w:t>
      </w:r>
      <w:r w:rsidRPr="009B54A6">
        <w:rPr>
          <w:color w:val="000000"/>
          <w:sz w:val="22"/>
          <w:szCs w:val="22"/>
        </w:rPr>
        <w:t xml:space="preserve">“ (PRoFESS), kuriame dalyvavo 50 metų ir vyresni pacientai, neseniai patyrę smegenų insultą, metu telmisartanu gydomiems tiriamiesiems sepsis pasireiškė dažniau, negu vartojusiems placebą, atitinkamai 0,7 % ir 0,49 % [RS: 1,43 (95 % PI: 1- 2,06)]. Mirtino sepsio dažnis telmisartanu gydomiems pacientams buvo didesnis, </w:t>
      </w:r>
      <w:r w:rsidRPr="009B54A6">
        <w:rPr>
          <w:color w:val="000000"/>
          <w:sz w:val="22"/>
          <w:szCs w:val="22"/>
        </w:rPr>
        <w:lastRenderedPageBreak/>
        <w:t xml:space="preserve">negu vartojantiems placebą, atitinkamai 0,33 % ir 0,16 % [RS:2,07 (95 % PI: 1,14- 3,76)]. Pastebėtas sepsio pasireiškimo dažnio padidėjimas, susijęs su telmisartano vartojimu, galėjo būti arba atsitiktinis, arba priklausomas nuo kol kas nežinomų mechanizmų. </w:t>
      </w:r>
    </w:p>
    <w:p w14:paraId="3A3851B9"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Ar telmisartanas mažina širdies ir kraujagyslių ligomis sergančių pacientų sergamumą ir mirštamumą, kol kas nežinoma. </w:t>
      </w:r>
    </w:p>
    <w:p w14:paraId="1DA3F209" w14:textId="77777777" w:rsidR="00034886" w:rsidRDefault="00034886" w:rsidP="00B84FE7">
      <w:pPr>
        <w:spacing w:line="239" w:lineRule="auto"/>
        <w:ind w:right="393"/>
        <w:rPr>
          <w:color w:val="000000"/>
          <w:sz w:val="22"/>
          <w:szCs w:val="22"/>
        </w:rPr>
      </w:pPr>
    </w:p>
    <w:p w14:paraId="35891637" w14:textId="77777777" w:rsidR="0033509B" w:rsidRPr="00606821" w:rsidRDefault="0033509B" w:rsidP="00606821">
      <w:pPr>
        <w:spacing w:line="239" w:lineRule="auto"/>
        <w:ind w:right="393"/>
        <w:rPr>
          <w:color w:val="000000"/>
          <w:sz w:val="22"/>
          <w:szCs w:val="22"/>
        </w:rPr>
      </w:pPr>
      <w:r w:rsidRPr="00606821">
        <w:rPr>
          <w:color w:val="000000"/>
          <w:sz w:val="22"/>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672618BD" w14:textId="77777777" w:rsidR="0033509B" w:rsidRPr="00606821" w:rsidRDefault="0033509B" w:rsidP="00606821">
      <w:pPr>
        <w:spacing w:before="1"/>
        <w:ind w:right="361"/>
        <w:jc w:val="both"/>
        <w:rPr>
          <w:color w:val="000000"/>
          <w:sz w:val="22"/>
          <w:szCs w:val="22"/>
        </w:rPr>
      </w:pPr>
      <w:r w:rsidRPr="00606821">
        <w:rPr>
          <w:color w:val="000000"/>
          <w:sz w:val="22"/>
          <w:szCs w:val="22"/>
        </w:rPr>
        <w:t>ONTARGET tyrime dalyvavo pacientai, kurių anamnezėje buvo širdies ir kraujagyslių ar smegenų kraujagyslių liga arba 2 tipo cukrinis diabetas ir susijusi akivaizdi organų-taikinių pažaida. Daugiau informacijos žr. aukščiau poskyryje „Širdies ir kraujagyslių sutrikimų profilaktika</w:t>
      </w:r>
      <w:r w:rsidR="00B63A45" w:rsidRPr="00B63A45">
        <w:rPr>
          <w:color w:val="000000"/>
          <w:sz w:val="22"/>
          <w:szCs w:val="22"/>
        </w:rPr>
        <w:t>“</w:t>
      </w:r>
      <w:r w:rsidR="00EF6ED0">
        <w:rPr>
          <w:color w:val="000000"/>
          <w:sz w:val="22"/>
          <w:szCs w:val="22"/>
        </w:rPr>
        <w:t>.</w:t>
      </w:r>
      <w:r w:rsidR="00B63A45">
        <w:rPr>
          <w:color w:val="000000"/>
          <w:sz w:val="22"/>
          <w:szCs w:val="22"/>
        </w:rPr>
        <w:t xml:space="preserve"> </w:t>
      </w:r>
      <w:r w:rsidRPr="00606821">
        <w:rPr>
          <w:color w:val="000000"/>
          <w:sz w:val="22"/>
          <w:szCs w:val="22"/>
        </w:rPr>
        <w:t>VA NEPHRON-D tyrimas buvo atliekamas su pacientais, sergančiais 2 tipo cukriniu diabetu ir</w:t>
      </w:r>
      <w:r w:rsidR="00B63A45">
        <w:rPr>
          <w:color w:val="000000"/>
          <w:sz w:val="22"/>
          <w:szCs w:val="22"/>
        </w:rPr>
        <w:t xml:space="preserve"> </w:t>
      </w:r>
      <w:r w:rsidRPr="00606821">
        <w:rPr>
          <w:color w:val="000000"/>
          <w:sz w:val="22"/>
          <w:szCs w:val="22"/>
        </w:rPr>
        <w:t>diabetine nefropatija.</w:t>
      </w:r>
    </w:p>
    <w:p w14:paraId="3B9005EB" w14:textId="77777777" w:rsidR="0033509B" w:rsidRPr="00606821" w:rsidRDefault="0033509B" w:rsidP="00606821">
      <w:pPr>
        <w:spacing w:before="1" w:line="239" w:lineRule="auto"/>
        <w:ind w:right="68"/>
        <w:rPr>
          <w:color w:val="000000"/>
          <w:sz w:val="22"/>
          <w:szCs w:val="22"/>
        </w:rPr>
      </w:pPr>
      <w:r w:rsidRPr="00606821">
        <w:rPr>
          <w:color w:val="000000"/>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r w:rsidR="00B63A45">
        <w:rPr>
          <w:color w:val="000000"/>
          <w:sz w:val="22"/>
          <w:szCs w:val="22"/>
        </w:rPr>
        <w:t xml:space="preserve"> </w:t>
      </w:r>
      <w:r w:rsidRPr="00606821">
        <w:rPr>
          <w:color w:val="000000"/>
          <w:sz w:val="22"/>
          <w:szCs w:val="22"/>
        </w:rPr>
        <w:t>Todėl pacientams, sergantiems diabetine nefropatija, negalima kartu vartoti AKF inhibitorių ir angiotenzino II receptorių blokatorių.</w:t>
      </w:r>
    </w:p>
    <w:p w14:paraId="1F3FDA7F" w14:textId="77777777" w:rsidR="0033509B" w:rsidRPr="00606821" w:rsidRDefault="0033509B" w:rsidP="00606821">
      <w:pPr>
        <w:spacing w:line="239" w:lineRule="auto"/>
        <w:ind w:right="234"/>
        <w:rPr>
          <w:color w:val="000000"/>
          <w:sz w:val="22"/>
          <w:szCs w:val="22"/>
        </w:rPr>
      </w:pPr>
      <w:r w:rsidRPr="00606821">
        <w:rPr>
          <w:color w:val="000000"/>
          <w:sz w:val="22"/>
          <w:szCs w:val="22"/>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w:t>
      </w:r>
      <w:r w:rsidR="00B63A45">
        <w:rPr>
          <w:color w:val="000000"/>
          <w:sz w:val="22"/>
          <w:szCs w:val="22"/>
        </w:rPr>
        <w:t xml:space="preserve"> </w:t>
      </w:r>
      <w:r w:rsidRPr="00606821">
        <w:rPr>
          <w:color w:val="000000"/>
          <w:sz w:val="22"/>
          <w:szCs w:val="22"/>
        </w:rPr>
        <w:t>nutrauktas pirma laiko, nes padidėjo nepageidaujamų baigčių rizika. Mirčių nuo širdies ir kraujagyslių ligų ir insulto atvejų skaičius aliskireno grupėje buvo didesnis nei placebo grupėje, o nepageidaujami</w:t>
      </w:r>
      <w:r w:rsidR="00B63A45">
        <w:rPr>
          <w:color w:val="000000"/>
          <w:sz w:val="22"/>
          <w:szCs w:val="22"/>
        </w:rPr>
        <w:t xml:space="preserve"> </w:t>
      </w:r>
      <w:r w:rsidRPr="00606821">
        <w:rPr>
          <w:color w:val="000000"/>
          <w:sz w:val="22"/>
          <w:szCs w:val="22"/>
        </w:rPr>
        <w:t>reiškiniai ir sunkūs nepageidaujami reiškiniai (hiperkalemija, hipotenzija ir inkstų funkcijos</w:t>
      </w:r>
      <w:r w:rsidR="00B63A45">
        <w:rPr>
          <w:color w:val="000000"/>
          <w:sz w:val="22"/>
          <w:szCs w:val="22"/>
        </w:rPr>
        <w:t xml:space="preserve"> </w:t>
      </w:r>
      <w:r w:rsidRPr="00606821">
        <w:rPr>
          <w:color w:val="000000"/>
          <w:sz w:val="22"/>
          <w:szCs w:val="22"/>
        </w:rPr>
        <w:t>sutrikimai) aliskireno grupėje taip pat pasireiškė dažniau nei placebo grupėje.</w:t>
      </w:r>
    </w:p>
    <w:p w14:paraId="6FADF09B" w14:textId="77777777" w:rsidR="000E5428" w:rsidRPr="00B63A45" w:rsidRDefault="000E5428" w:rsidP="000E5428">
      <w:pPr>
        <w:autoSpaceDE w:val="0"/>
        <w:autoSpaceDN w:val="0"/>
        <w:adjustRightInd w:val="0"/>
        <w:rPr>
          <w:color w:val="000000"/>
          <w:sz w:val="22"/>
          <w:szCs w:val="22"/>
        </w:rPr>
      </w:pPr>
    </w:p>
    <w:p w14:paraId="7EF46C88"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Hidrochlorotiazidas yra tiazidinis diuretikas. Kokiu būdu jis mažina kraujospūdį, galutinai neištirta. Tiazidai veikia inkstų kanalėliuose elektrolitų reabsorbciją, tiesiogiai didindami maždaug vienodu kiekiu natrio ir chlorido išsiskyrimą iš organizmo. Dėl diurezinio hidrochlorotiazido poveikio sumažėja kraujo plazmos tūris, padidėja renino aktyvumas ir aldosterono sekrecija, vadinasi, ir kalio bei vandenilio karbonato išsiskyrimas iš organizmo. Dėl to kalio kiekis kraujo serume sumažėja. Kartu su hidrochlorotiazidu vartojamas telmisartanas blokuoja renino, angiotenzino ir aldosterono sistemą, todėl mažėja diuretiko sukeliamas kalio išsiskyrimas iš organizmo. Hidrochlorotiazido išgėrus, diurezinis poveikis pasireiškia per 2 val., stipriausias būna po 4 val., trunka 6-12 val. </w:t>
      </w:r>
    </w:p>
    <w:p w14:paraId="01F491ED"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Epidemiologinių tyrimų duomenys rodo, jog ilgai vartojamas hidrochlorotiazidas sumažina širdies ir kraujagyslių sistemos ligomis sergančių žmonių sergamumo ir mirštamumo riziką.</w:t>
      </w:r>
    </w:p>
    <w:p w14:paraId="1E8ECF99"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 </w:t>
      </w:r>
    </w:p>
    <w:p w14:paraId="67BED149"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Kokį poveikį širdies ir kraujagyslių sistemos ligomis sergančių ligonių sergamumui ir mirštamumui daro telmisartano ir hidrochlorotiazido fiksuotų dozių derinys, nežinoma.</w:t>
      </w:r>
    </w:p>
    <w:p w14:paraId="1E6FD0E9" w14:textId="77777777" w:rsidR="000E5428" w:rsidRPr="009B54A6" w:rsidRDefault="000E5428" w:rsidP="000E5428">
      <w:pPr>
        <w:autoSpaceDE w:val="0"/>
        <w:autoSpaceDN w:val="0"/>
        <w:adjustRightInd w:val="0"/>
        <w:rPr>
          <w:color w:val="000000"/>
          <w:sz w:val="22"/>
          <w:szCs w:val="22"/>
        </w:rPr>
      </w:pPr>
    </w:p>
    <w:p w14:paraId="0C068316" w14:textId="77777777" w:rsidR="000E5428" w:rsidRPr="009B54A6" w:rsidRDefault="000E5428" w:rsidP="000E5428">
      <w:pPr>
        <w:autoSpaceDE w:val="0"/>
        <w:autoSpaceDN w:val="0"/>
        <w:adjustRightInd w:val="0"/>
        <w:rPr>
          <w:color w:val="000000"/>
          <w:sz w:val="22"/>
          <w:szCs w:val="22"/>
        </w:rPr>
      </w:pPr>
      <w:r w:rsidRPr="009B54A6">
        <w:rPr>
          <w:b/>
          <w:bCs/>
          <w:color w:val="000000"/>
          <w:sz w:val="22"/>
          <w:szCs w:val="22"/>
        </w:rPr>
        <w:t>5.2</w:t>
      </w:r>
      <w:r w:rsidRPr="009B54A6">
        <w:rPr>
          <w:b/>
          <w:bCs/>
          <w:color w:val="000000"/>
          <w:sz w:val="22"/>
          <w:szCs w:val="22"/>
        </w:rPr>
        <w:tab/>
        <w:t xml:space="preserve">Farmakokinetinės savybės </w:t>
      </w:r>
    </w:p>
    <w:p w14:paraId="70DFA05B" w14:textId="77777777" w:rsidR="000E5428" w:rsidRPr="009B54A6" w:rsidRDefault="000E5428" w:rsidP="000E5428">
      <w:pPr>
        <w:autoSpaceDE w:val="0"/>
        <w:autoSpaceDN w:val="0"/>
        <w:adjustRightInd w:val="0"/>
        <w:rPr>
          <w:color w:val="000000"/>
          <w:sz w:val="22"/>
          <w:szCs w:val="22"/>
        </w:rPr>
      </w:pPr>
    </w:p>
    <w:p w14:paraId="4E17BA32"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Telmisartanas ir hidrochlorotiazidas sveikų žmonių organizme vienas kito farmakokinetikai įtakos nedaro. </w:t>
      </w:r>
    </w:p>
    <w:p w14:paraId="7F4EE2CE" w14:textId="77777777" w:rsidR="000E5428" w:rsidRPr="009B54A6" w:rsidRDefault="000E5428" w:rsidP="000E5428">
      <w:pPr>
        <w:autoSpaceDE w:val="0"/>
        <w:autoSpaceDN w:val="0"/>
        <w:adjustRightInd w:val="0"/>
        <w:rPr>
          <w:sz w:val="22"/>
          <w:szCs w:val="22"/>
        </w:rPr>
      </w:pPr>
    </w:p>
    <w:p w14:paraId="10600674" w14:textId="77777777" w:rsidR="000E5428" w:rsidRPr="009B54A6" w:rsidRDefault="000E5428" w:rsidP="000E5428">
      <w:pPr>
        <w:autoSpaceDE w:val="0"/>
        <w:autoSpaceDN w:val="0"/>
        <w:adjustRightInd w:val="0"/>
        <w:rPr>
          <w:sz w:val="22"/>
          <w:szCs w:val="22"/>
          <w:u w:val="single"/>
          <w:lang w:eastAsia="lt-LT"/>
        </w:rPr>
      </w:pPr>
      <w:r w:rsidRPr="009B54A6">
        <w:rPr>
          <w:sz w:val="22"/>
          <w:szCs w:val="22"/>
          <w:u w:val="single"/>
          <w:lang w:eastAsia="lt-LT"/>
        </w:rPr>
        <w:t>Absorbcija</w:t>
      </w:r>
    </w:p>
    <w:p w14:paraId="4EE44F4E"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 xml:space="preserve">Telmisartanas: išgerto telmisartano didžiausia koncentracija kraujo plazmoje (Cmax) atsiranda po 0,5 - 1,5 val. Absoliutus biologinis 40 mg arba 160 mg dozės prieinamumas yra atitinkamai 42% ir 58 %. Maistas biologinį prieinamumą šiek tiek mažina: 40 mg dozės plotas po koncentracijos kreive (AUC) sumažėja maždaug 6 %, 160 mg dozės − maždaug 19 %. Praėjus 3 val. po telmisartano pavartojimo, koncentracija kraujo plazmoje būna vienoda ir tuo atveju, kai jo geriama valgio metu, ir tuo atveju, kai geriama nevalgius. Manoma, kad dėl nedidelio AUC sumažėjimo preparato veiksmingumas neturėtų mažėti. Išgertų didesnių negu 20 – 160 mg dozių koncentracijos kraujo plazmoje priklausomumas nuo </w:t>
      </w:r>
      <w:r w:rsidRPr="009B54A6">
        <w:rPr>
          <w:rFonts w:eastAsia="TimesNewRoman"/>
          <w:sz w:val="22"/>
          <w:szCs w:val="22"/>
        </w:rPr>
        <w:lastRenderedPageBreak/>
        <w:t>dozės dydžio nėra linijinis: didinant dozę, Cmax ir AUC didėja daugiau negu proporcingai dozei. Vartojant kartotines dozes, pastebimai telmisartano kraujo plazmoje nesikaupia.</w:t>
      </w:r>
    </w:p>
    <w:p w14:paraId="27C341E6"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Hidrochlorotiazidas: išgėrus telmisartano/hidrochlorotiazido derinio, hidrochlorotiazido Cmax atsiranda maždaug po 1 – 3 val. Remiantis pro inkstus išsiskiriančiu vaistinio preparato kiekiu, galima daryti išvadą, jog absoliutus biologinis jo prieinamumas yra maždaug 60 %.</w:t>
      </w:r>
    </w:p>
    <w:p w14:paraId="08C3D0E0" w14:textId="77777777" w:rsidR="000E5428" w:rsidRPr="009B54A6" w:rsidRDefault="000E5428" w:rsidP="000E5428">
      <w:pPr>
        <w:autoSpaceDE w:val="0"/>
        <w:autoSpaceDN w:val="0"/>
        <w:adjustRightInd w:val="0"/>
        <w:rPr>
          <w:rFonts w:eastAsia="TimesNewRoman"/>
          <w:sz w:val="22"/>
          <w:szCs w:val="22"/>
        </w:rPr>
      </w:pPr>
    </w:p>
    <w:p w14:paraId="5B30DD51"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Pasiskirstymas</w:t>
      </w:r>
    </w:p>
    <w:p w14:paraId="7CA75240"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Telmisartanas: daugiau nei 99,5 % telmisartano jungiasi prie kraujo plazmos baltymų, daugiausia prie albumino ir alfa-1 rūgščiųjų glikoproteinų. Tariamasis pasiskirstymo tūris yra apie 500 l, vadinasi, vaistas jungiasi ir prie organizmo audinių.</w:t>
      </w:r>
    </w:p>
    <w:p w14:paraId="3A0B5BAF"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Hidrochlorotiazido prie kraujo plazmos baltymų jungiasi 68 %, jo pasiskirstymo tūris yra 0,83 - 1,14 l/kg.</w:t>
      </w:r>
    </w:p>
    <w:p w14:paraId="60C91AEB" w14:textId="77777777" w:rsidR="000E5428" w:rsidRPr="009B54A6" w:rsidRDefault="000E5428" w:rsidP="000E5428">
      <w:pPr>
        <w:autoSpaceDE w:val="0"/>
        <w:autoSpaceDN w:val="0"/>
        <w:adjustRightInd w:val="0"/>
        <w:rPr>
          <w:rFonts w:eastAsia="TimesNewRoman"/>
          <w:sz w:val="22"/>
          <w:szCs w:val="22"/>
        </w:rPr>
      </w:pPr>
    </w:p>
    <w:p w14:paraId="1E1A9B1D"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Biotransformacija</w:t>
      </w:r>
    </w:p>
    <w:p w14:paraId="7DBD7708"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Telmisartanas metabolizuojamas konjugacijos būdu į neveiklų metabolitą acilgliukuronidą, kuris yra vienintelis žmogaus organizme identifikuotas metabolitas. Po vienos žymėto (</w:t>
      </w:r>
      <w:r w:rsidRPr="009B54A6">
        <w:rPr>
          <w:rFonts w:eastAsia="TimesNewRoman"/>
          <w:sz w:val="22"/>
          <w:szCs w:val="22"/>
          <w:vertAlign w:val="superscript"/>
        </w:rPr>
        <w:t>14</w:t>
      </w:r>
      <w:r w:rsidRPr="009B54A6">
        <w:rPr>
          <w:rFonts w:eastAsia="TimesNewRoman"/>
          <w:sz w:val="22"/>
          <w:szCs w:val="22"/>
        </w:rPr>
        <w:t>C) telmisartano dozės pavartojimo su gliukuronidu būna susiję maždaug 11 % viso kraujo plazmoje esančio radioaktyvumo. Citochromo P 450 izofermentai telmisartano metabolizme nedalyvauja.</w:t>
      </w:r>
    </w:p>
    <w:p w14:paraId="688C6364"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Hidrochlorotiazidas žmogaus organizme nemetabolizuojamas.</w:t>
      </w:r>
    </w:p>
    <w:p w14:paraId="6CCDEC56" w14:textId="77777777" w:rsidR="000E5428" w:rsidRPr="009B54A6" w:rsidRDefault="000E5428" w:rsidP="000E5428">
      <w:pPr>
        <w:autoSpaceDE w:val="0"/>
        <w:autoSpaceDN w:val="0"/>
        <w:adjustRightInd w:val="0"/>
        <w:rPr>
          <w:rFonts w:eastAsia="TimesNewRoman"/>
          <w:sz w:val="22"/>
          <w:szCs w:val="22"/>
        </w:rPr>
      </w:pPr>
    </w:p>
    <w:p w14:paraId="32F0867F"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Eliminacija</w:t>
      </w:r>
    </w:p>
    <w:p w14:paraId="5064754D"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Telmisartanas: didžioji išgertos arba į veną suleistos žymėto (</w:t>
      </w:r>
      <w:r w:rsidRPr="009B54A6">
        <w:rPr>
          <w:rFonts w:eastAsia="TimesNewRoman"/>
          <w:sz w:val="22"/>
          <w:szCs w:val="22"/>
          <w:vertAlign w:val="superscript"/>
        </w:rPr>
        <w:t>14</w:t>
      </w:r>
      <w:r w:rsidRPr="009B54A6">
        <w:rPr>
          <w:rFonts w:eastAsia="TimesNewRoman"/>
          <w:sz w:val="22"/>
          <w:szCs w:val="22"/>
        </w:rPr>
        <w:t>C) Telmisartano dozės dalis (&gt;97%) šalinama su tulžimi ir išmatomis. Su šlapimu šalinama labai maža dozės dalis. Bendras išgerto telmisartano klirensas kraujo plazmoje yra &gt;1500 ml/min., pusinės eliminacijos laikas − &gt; 20 val.</w:t>
      </w:r>
    </w:p>
    <w:p w14:paraId="38F4E988" w14:textId="77777777" w:rsidR="000E5428" w:rsidRPr="009B54A6" w:rsidRDefault="000E5428" w:rsidP="000E5428">
      <w:pPr>
        <w:autoSpaceDE w:val="0"/>
        <w:autoSpaceDN w:val="0"/>
        <w:adjustRightInd w:val="0"/>
        <w:rPr>
          <w:rFonts w:eastAsia="TimesNewRoman"/>
          <w:sz w:val="22"/>
          <w:szCs w:val="22"/>
        </w:rPr>
      </w:pPr>
    </w:p>
    <w:p w14:paraId="26AFE917"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Hidrochlorotiazidas beveik visas iš organizmo šalinamas nepakitęs su šlapimu. Per 48 valandas pašalinama maždaug 60% išgertos dozės. Vaistinio preparato klirensas inkstuose yra apie 250 – 300 ml/min. Hidrochlorotiazido galutinės pusinės eliminacijos laikas yra 10 – 15 val.</w:t>
      </w:r>
    </w:p>
    <w:p w14:paraId="458DD34C" w14:textId="77777777" w:rsidR="000E5428" w:rsidRPr="009B54A6" w:rsidRDefault="000E5428" w:rsidP="000E5428">
      <w:pPr>
        <w:autoSpaceDE w:val="0"/>
        <w:autoSpaceDN w:val="0"/>
        <w:adjustRightInd w:val="0"/>
        <w:rPr>
          <w:rFonts w:eastAsia="TimesNewRoman"/>
          <w:i/>
          <w:iCs/>
          <w:sz w:val="22"/>
          <w:szCs w:val="22"/>
        </w:rPr>
      </w:pPr>
    </w:p>
    <w:p w14:paraId="6CEFF06F" w14:textId="77777777" w:rsidR="000E5428" w:rsidRPr="009B54A6" w:rsidRDefault="000E5428" w:rsidP="000E5428">
      <w:pPr>
        <w:autoSpaceDE w:val="0"/>
        <w:autoSpaceDN w:val="0"/>
        <w:adjustRightInd w:val="0"/>
        <w:rPr>
          <w:rFonts w:eastAsia="TimesNewRoman"/>
          <w:i/>
          <w:iCs/>
          <w:sz w:val="22"/>
          <w:szCs w:val="22"/>
        </w:rPr>
      </w:pPr>
      <w:r w:rsidRPr="009B54A6">
        <w:rPr>
          <w:rFonts w:eastAsia="TimesNewRoman"/>
          <w:i/>
          <w:iCs/>
          <w:sz w:val="22"/>
          <w:szCs w:val="22"/>
        </w:rPr>
        <w:t>Ypatingos populiacijos</w:t>
      </w:r>
    </w:p>
    <w:p w14:paraId="4BE7CCC2" w14:textId="774348CB" w:rsidR="000E5428" w:rsidRPr="009B54A6" w:rsidRDefault="00E32C3A" w:rsidP="000E5428">
      <w:pPr>
        <w:autoSpaceDE w:val="0"/>
        <w:autoSpaceDN w:val="0"/>
        <w:adjustRightInd w:val="0"/>
        <w:rPr>
          <w:rFonts w:eastAsia="TimesNewRoman"/>
          <w:sz w:val="22"/>
          <w:szCs w:val="22"/>
          <w:u w:val="single"/>
        </w:rPr>
      </w:pPr>
      <w:r>
        <w:rPr>
          <w:rFonts w:eastAsia="TimesNewRoman"/>
          <w:sz w:val="22"/>
          <w:szCs w:val="22"/>
          <w:u w:val="single"/>
        </w:rPr>
        <w:t xml:space="preserve">Vyresnio amžiaus </w:t>
      </w:r>
      <w:r w:rsidR="000E5428" w:rsidRPr="009B54A6">
        <w:rPr>
          <w:rFonts w:eastAsia="TimesNewRoman"/>
          <w:sz w:val="22"/>
          <w:szCs w:val="22"/>
          <w:u w:val="single"/>
        </w:rPr>
        <w:t>žmonės</w:t>
      </w:r>
    </w:p>
    <w:p w14:paraId="16A700D3"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Senyvų žmonių organizme vaisto farmakokinetika yra tokia pat kaip jaunesnių nei 65 metų.</w:t>
      </w:r>
    </w:p>
    <w:p w14:paraId="1FD76A08" w14:textId="77777777" w:rsidR="000E5428" w:rsidRPr="009B54A6" w:rsidRDefault="000E5428" w:rsidP="000E5428">
      <w:pPr>
        <w:autoSpaceDE w:val="0"/>
        <w:autoSpaceDN w:val="0"/>
        <w:adjustRightInd w:val="0"/>
        <w:rPr>
          <w:rFonts w:eastAsia="TimesNewRoman"/>
          <w:sz w:val="22"/>
          <w:szCs w:val="22"/>
        </w:rPr>
      </w:pPr>
    </w:p>
    <w:p w14:paraId="260B8468"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Lytis</w:t>
      </w:r>
    </w:p>
    <w:p w14:paraId="22E358E8"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Moterų kraujo plazmoje telmisartano koncentracija paprastai būna 2 - 3 kartus didesnė negu vyrų. Klinikinių tyrimų metu moterims padidėjusio kraujospūdžio stipriau vaistinis preparatas nemažino, ortostatinės hipotenzijos joms dažniau nesukėlė. Moterims dozės keisti nereikia. Hidrochlorotiazido koncentracija moterų kraujo plazmoje rodė tendenciją būti didesnė negu vyrų. Manoma, jog tai klinikai nėra reikšminga.</w:t>
      </w:r>
    </w:p>
    <w:p w14:paraId="06D68EEE" w14:textId="77777777" w:rsidR="000E5428" w:rsidRPr="009B54A6" w:rsidRDefault="000E5428" w:rsidP="000E5428">
      <w:pPr>
        <w:autoSpaceDE w:val="0"/>
        <w:autoSpaceDN w:val="0"/>
        <w:adjustRightInd w:val="0"/>
        <w:rPr>
          <w:iCs/>
          <w:sz w:val="22"/>
          <w:szCs w:val="22"/>
          <w:u w:val="single"/>
        </w:rPr>
      </w:pPr>
    </w:p>
    <w:p w14:paraId="70360159" w14:textId="77777777" w:rsidR="000E5428" w:rsidRPr="009B54A6" w:rsidRDefault="000E5428" w:rsidP="000E5428">
      <w:pPr>
        <w:autoSpaceDE w:val="0"/>
        <w:autoSpaceDN w:val="0"/>
        <w:adjustRightInd w:val="0"/>
        <w:rPr>
          <w:iCs/>
          <w:sz w:val="22"/>
          <w:szCs w:val="22"/>
          <w:u w:val="single"/>
        </w:rPr>
      </w:pPr>
      <w:r w:rsidRPr="009B54A6">
        <w:rPr>
          <w:iCs/>
          <w:sz w:val="22"/>
          <w:szCs w:val="22"/>
          <w:u w:val="single"/>
        </w:rPr>
        <w:t>Sutrikusi inkstų funkcija</w:t>
      </w:r>
    </w:p>
    <w:p w14:paraId="62DE98B5"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Išsiskyrimas pro inkstus telmisartano klirensui įtakos nedaro. Tyrimų su pacientais, kuriems yra lengvas arba vidutinio sunkumo inkstų funkcijos sutrikimas (kreatinino klirensas yra 30 – 60 ml/min., vidutinis − maždaug 50 ml/min.), rezultatai rodo, jog žmonėms, kurių inkstų funkcija susilpnėjusi, telmisartano dozės keisti nereikia. Dialize šio vaistinio preparato iš kraujo pašalinti neįmanoma. Ligonių, kurių inkstų funkcija sutrikusi, organizme hidrochortiazido eliminacija yra lėtesnė. Tyrimų metu pacientų, kurių vidutinis kreatinino klirensas buvo 90 ml/min., organizme pusinė hidrochlorotiazido eliminacija truko ilgiau. Jeigu inkstai nefunkcionuoja, pusinės eliminacijos laikas yra maždaug 34 val.</w:t>
      </w:r>
    </w:p>
    <w:p w14:paraId="10954ED1" w14:textId="77777777" w:rsidR="000E5428" w:rsidRPr="009B54A6" w:rsidRDefault="000E5428" w:rsidP="000E5428">
      <w:pPr>
        <w:autoSpaceDE w:val="0"/>
        <w:autoSpaceDN w:val="0"/>
        <w:adjustRightInd w:val="0"/>
        <w:rPr>
          <w:rFonts w:eastAsia="TimesNewRoman"/>
          <w:sz w:val="22"/>
          <w:szCs w:val="22"/>
        </w:rPr>
      </w:pPr>
    </w:p>
    <w:p w14:paraId="4AFD7374" w14:textId="77777777" w:rsidR="000E5428" w:rsidRPr="009B54A6" w:rsidRDefault="000E5428" w:rsidP="000E5428">
      <w:pPr>
        <w:autoSpaceDE w:val="0"/>
        <w:autoSpaceDN w:val="0"/>
        <w:adjustRightInd w:val="0"/>
        <w:rPr>
          <w:rFonts w:eastAsia="TimesNewRoman"/>
          <w:sz w:val="22"/>
          <w:szCs w:val="22"/>
          <w:u w:val="single"/>
        </w:rPr>
      </w:pPr>
      <w:r w:rsidRPr="009B54A6">
        <w:rPr>
          <w:rFonts w:eastAsia="TimesNewRoman"/>
          <w:sz w:val="22"/>
          <w:szCs w:val="22"/>
          <w:u w:val="single"/>
        </w:rPr>
        <w:t>Sutrikusi kepenų funkcija</w:t>
      </w:r>
    </w:p>
    <w:p w14:paraId="78430693"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Tyrimais nustatyta, jog ligonių, kurių kepenų funkcija sutrikusi, organizme absoliutus biologinis telmisartano prieinamumas padidėja ir būna beveik 100 %, tačiau pusinės eliminacijos laikas nekinta.</w:t>
      </w:r>
    </w:p>
    <w:p w14:paraId="3E6022A6" w14:textId="77777777" w:rsidR="000E5428" w:rsidRPr="009B54A6" w:rsidRDefault="000E5428" w:rsidP="000E5428">
      <w:pPr>
        <w:autoSpaceDE w:val="0"/>
        <w:autoSpaceDN w:val="0"/>
        <w:adjustRightInd w:val="0"/>
        <w:rPr>
          <w:sz w:val="22"/>
          <w:szCs w:val="22"/>
        </w:rPr>
      </w:pPr>
    </w:p>
    <w:p w14:paraId="091E0DDA" w14:textId="77777777" w:rsidR="000E5428" w:rsidRPr="009B54A6" w:rsidRDefault="000E5428" w:rsidP="000E5428">
      <w:pPr>
        <w:autoSpaceDE w:val="0"/>
        <w:autoSpaceDN w:val="0"/>
        <w:adjustRightInd w:val="0"/>
        <w:rPr>
          <w:rFonts w:eastAsia="Times New Roman,Bold"/>
          <w:b/>
          <w:bCs/>
          <w:sz w:val="22"/>
          <w:szCs w:val="22"/>
        </w:rPr>
      </w:pPr>
      <w:r w:rsidRPr="009B54A6">
        <w:rPr>
          <w:b/>
          <w:bCs/>
          <w:sz w:val="22"/>
          <w:szCs w:val="22"/>
        </w:rPr>
        <w:t>5.3</w:t>
      </w:r>
      <w:r w:rsidRPr="009B54A6">
        <w:rPr>
          <w:b/>
          <w:bCs/>
          <w:sz w:val="22"/>
          <w:szCs w:val="22"/>
        </w:rPr>
        <w:tab/>
      </w:r>
      <w:r w:rsidRPr="009B54A6">
        <w:rPr>
          <w:rFonts w:eastAsia="Times New Roman,Bold"/>
          <w:b/>
          <w:bCs/>
          <w:sz w:val="22"/>
          <w:szCs w:val="22"/>
        </w:rPr>
        <w:t>Ikiklinikinių saugumo tyrimų duomenys</w:t>
      </w:r>
    </w:p>
    <w:p w14:paraId="61062BFA" w14:textId="77777777" w:rsidR="000E5428" w:rsidRPr="009B54A6" w:rsidRDefault="000E5428" w:rsidP="000E5428">
      <w:pPr>
        <w:autoSpaceDE w:val="0"/>
        <w:autoSpaceDN w:val="0"/>
        <w:adjustRightInd w:val="0"/>
        <w:rPr>
          <w:sz w:val="22"/>
          <w:szCs w:val="22"/>
        </w:rPr>
      </w:pPr>
    </w:p>
    <w:p w14:paraId="44D1F01C"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lastRenderedPageBreak/>
        <w:t>Ikiklinikinių tyrimų metu žiurkėms ir šunims, kurių kraujospūdis buvo normalus, kartu vartojamos telmisartano ir hidrochlorotiazido dozės, nuo kurių veikliųjų medžiagų ekspozicija gyvūnų organizme buvo maždaug tokia pat kaip žmonių, vartojančių terapinę dozę, kitokio poveikio, nei būdingo kiekvienai veikliajai medžiagai, nepasireiškė. Toksinio poveikio tyrimų duomenys žmogui, vartojančiam terapinę dozę, nėra reikšmingi.</w:t>
      </w:r>
    </w:p>
    <w:p w14:paraId="44F5374A" w14:textId="77777777" w:rsidR="000E5428" w:rsidRPr="009B54A6" w:rsidRDefault="000E5428" w:rsidP="000E5428">
      <w:pPr>
        <w:autoSpaceDE w:val="0"/>
        <w:autoSpaceDN w:val="0"/>
        <w:adjustRightInd w:val="0"/>
        <w:rPr>
          <w:rFonts w:eastAsia="TimesNewRoman"/>
          <w:sz w:val="22"/>
          <w:szCs w:val="22"/>
        </w:rPr>
      </w:pPr>
    </w:p>
    <w:p w14:paraId="0E56F8EA"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Toksinio poveikio simptomai buvo tokie pat, kokius ikiklinikinių tyrimų metu sukeldavo angiotenziną konvertuojančių fermentų inhibitoriai ir angiotenzinui jautrių receptorių blokatoriai: atsirado eritrocitų parametrų pokyčių (sumažėjo jų kiekis, hemoglobino koncentracija bei hematokrito rodmenys), pakito inkstų kraujotaka (kraujyje padidėjo šlapalo ir kreatinino kiekis), padidėjo renino aktyvumas kraujo plazmoje, atsirado arti glomerulų esančių (jukstaglomerulinių) ląstelių hipertrofija (hiperplazija) ir skrandžio gleivinės pažeidimas. Skrandis mažiau pažeidžiamas arba visai nepažeidžiamas, jeigu gyvūnai laikomi grupėmis ir jiems duodama gerti izotoninio natrio chlorido tirpalo. Vaistinis preparatas išplėtė šunų inkstų kanalėlius, sukėlė jų atrofiją. Manoma, jog toks poveikis priklauso nuo farmakologinio telmisartano aktyvumo.</w:t>
      </w:r>
    </w:p>
    <w:p w14:paraId="3997D31E" w14:textId="77777777" w:rsidR="000E5428" w:rsidRPr="009B54A6" w:rsidRDefault="000E5428" w:rsidP="000E5428">
      <w:pPr>
        <w:autoSpaceDE w:val="0"/>
        <w:autoSpaceDN w:val="0"/>
        <w:adjustRightInd w:val="0"/>
        <w:rPr>
          <w:rFonts w:eastAsia="TimesNewRoman"/>
          <w:sz w:val="22"/>
          <w:szCs w:val="22"/>
        </w:rPr>
      </w:pPr>
    </w:p>
    <w:p w14:paraId="108B02E3"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 xml:space="preserve">Aiškių teratogeninio poveikio įrodymų nėra, tačiau toksinės telmisartano dozės darė poveikį postnataliniam jauniklių vystymuisi, pavyzdžiui, mažino jų kūno svorį ir uždelsė atsimerkimą. </w:t>
      </w:r>
    </w:p>
    <w:p w14:paraId="3FFA81E7"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 xml:space="preserve">Tyrimų </w:t>
      </w:r>
      <w:r w:rsidRPr="009B54A6">
        <w:rPr>
          <w:rFonts w:eastAsia="TimesNewRoman"/>
          <w:i/>
          <w:iCs/>
          <w:sz w:val="22"/>
          <w:szCs w:val="22"/>
        </w:rPr>
        <w:t xml:space="preserve">in vitro </w:t>
      </w:r>
      <w:r w:rsidRPr="009B54A6">
        <w:rPr>
          <w:rFonts w:eastAsia="TimesNewRoman"/>
          <w:sz w:val="22"/>
          <w:szCs w:val="22"/>
        </w:rPr>
        <w:t>metu mutageninio ar reikšmingo klastogeninio telmisartano poveikio nepastebėta. Žiurkėms ir pelėms kancerogeninio poveikio vaistas nesukėlė. Kai kurių genotoksinio ir kancerogeninio hidrochlorotiazido tyrimų rezultatai yra dviprasmiški, tačiau didelė gydymo šiuo vaistiniu preparatu patirtis rodo, jog jo vartojimo su auglių atsiradimu sieti negalima.</w:t>
      </w:r>
    </w:p>
    <w:p w14:paraId="085640AE"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Apie toksinį telmisartano/hidrochlorotiazido derinio poveikį vaisiui žr. 4.6 skyrių.</w:t>
      </w:r>
    </w:p>
    <w:p w14:paraId="6FFC0ACE" w14:textId="77777777" w:rsidR="000E5428" w:rsidRPr="009B54A6" w:rsidRDefault="000E5428" w:rsidP="000E5428">
      <w:pPr>
        <w:autoSpaceDE w:val="0"/>
        <w:autoSpaceDN w:val="0"/>
        <w:adjustRightInd w:val="0"/>
        <w:rPr>
          <w:sz w:val="22"/>
          <w:szCs w:val="22"/>
          <w:lang w:eastAsia="lt-LT"/>
        </w:rPr>
      </w:pPr>
    </w:p>
    <w:p w14:paraId="3337787F" w14:textId="77777777" w:rsidR="000E5428" w:rsidRPr="009B54A6" w:rsidRDefault="000E5428" w:rsidP="000E5428">
      <w:pPr>
        <w:autoSpaceDE w:val="0"/>
        <w:autoSpaceDN w:val="0"/>
        <w:adjustRightInd w:val="0"/>
        <w:rPr>
          <w:sz w:val="22"/>
          <w:szCs w:val="22"/>
          <w:lang w:eastAsia="lt-LT"/>
        </w:rPr>
      </w:pPr>
    </w:p>
    <w:p w14:paraId="72167D1F"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6.</w:t>
      </w:r>
      <w:r w:rsidRPr="009B54A6">
        <w:rPr>
          <w:b/>
          <w:bCs/>
          <w:sz w:val="22"/>
          <w:szCs w:val="22"/>
          <w:lang w:eastAsia="lt-LT"/>
        </w:rPr>
        <w:tab/>
        <w:t>FARMACINĖ INFORMACIJA</w:t>
      </w:r>
    </w:p>
    <w:p w14:paraId="63CAF80F" w14:textId="77777777" w:rsidR="000E5428" w:rsidRPr="009B54A6" w:rsidRDefault="000E5428" w:rsidP="000E5428">
      <w:pPr>
        <w:autoSpaceDE w:val="0"/>
        <w:autoSpaceDN w:val="0"/>
        <w:adjustRightInd w:val="0"/>
        <w:rPr>
          <w:b/>
          <w:bCs/>
          <w:sz w:val="22"/>
          <w:szCs w:val="22"/>
          <w:lang w:eastAsia="lt-LT"/>
        </w:rPr>
      </w:pPr>
    </w:p>
    <w:p w14:paraId="7C9B4391"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6.1</w:t>
      </w:r>
      <w:r w:rsidRPr="009B54A6">
        <w:rPr>
          <w:b/>
          <w:bCs/>
          <w:sz w:val="22"/>
          <w:szCs w:val="22"/>
          <w:lang w:eastAsia="lt-LT"/>
        </w:rPr>
        <w:tab/>
        <w:t>Pagalbinių medžiagų sąrašas</w:t>
      </w:r>
    </w:p>
    <w:p w14:paraId="6B7C15FF" w14:textId="77777777" w:rsidR="000E5428" w:rsidRPr="009B54A6" w:rsidRDefault="000E5428" w:rsidP="000E5428">
      <w:pPr>
        <w:autoSpaceDE w:val="0"/>
        <w:autoSpaceDN w:val="0"/>
        <w:adjustRightInd w:val="0"/>
        <w:rPr>
          <w:sz w:val="22"/>
          <w:szCs w:val="22"/>
          <w:lang w:eastAsia="lt-LT"/>
        </w:rPr>
      </w:pPr>
    </w:p>
    <w:p w14:paraId="1264CF73"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Telmisartan/Hydrochlorothiazide Sandoz 40 mg/12,5 mg dengtos tabletės</w:t>
      </w:r>
    </w:p>
    <w:p w14:paraId="40773356" w14:textId="77777777" w:rsidR="000E5428" w:rsidRPr="009B54A6" w:rsidRDefault="000E5428" w:rsidP="000E5428">
      <w:pPr>
        <w:autoSpaceDE w:val="0"/>
        <w:autoSpaceDN w:val="0"/>
        <w:adjustRightInd w:val="0"/>
        <w:rPr>
          <w:rFonts w:eastAsia="TimesNewRoman"/>
          <w:b/>
          <w:sz w:val="22"/>
          <w:szCs w:val="22"/>
          <w:u w:val="single"/>
        </w:rPr>
      </w:pPr>
      <w:r w:rsidRPr="009B54A6">
        <w:rPr>
          <w:rFonts w:eastAsia="TimesNewRoman"/>
          <w:b/>
          <w:sz w:val="22"/>
          <w:szCs w:val="22"/>
          <w:u w:val="single"/>
        </w:rPr>
        <w:t>Tabletės šerdis</w:t>
      </w:r>
    </w:p>
    <w:p w14:paraId="37F94BCD"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Natrio hidroksidas</w:t>
      </w:r>
    </w:p>
    <w:p w14:paraId="71DDBDFA"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Megliuminas</w:t>
      </w:r>
    </w:p>
    <w:p w14:paraId="62CE1D19"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Povidonas K 25 (E1201)</w:t>
      </w:r>
    </w:p>
    <w:p w14:paraId="183F3CE6"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Laktozė monohidratas</w:t>
      </w:r>
    </w:p>
    <w:p w14:paraId="4D0FFDD9"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Povidonas K 30 (E1201)</w:t>
      </w:r>
    </w:p>
    <w:p w14:paraId="798A53CE"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Krospovidonas (A tipo) (E1202)</w:t>
      </w:r>
    </w:p>
    <w:p w14:paraId="4ABE0E35"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Bevandenė laktozė</w:t>
      </w:r>
    </w:p>
    <w:p w14:paraId="7833D134"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Magnio stearatas (E 572)</w:t>
      </w:r>
    </w:p>
    <w:p w14:paraId="76EDC2CE" w14:textId="77777777" w:rsidR="000E5428" w:rsidRPr="009B54A6" w:rsidRDefault="000E5428" w:rsidP="000E5428">
      <w:pPr>
        <w:autoSpaceDE w:val="0"/>
        <w:autoSpaceDN w:val="0"/>
        <w:adjustRightInd w:val="0"/>
        <w:rPr>
          <w:rFonts w:eastAsia="TimesNewRoman"/>
          <w:b/>
          <w:sz w:val="22"/>
          <w:szCs w:val="22"/>
          <w:u w:val="single"/>
        </w:rPr>
      </w:pPr>
      <w:r w:rsidRPr="009B54A6">
        <w:rPr>
          <w:rFonts w:eastAsia="TimesNewRoman"/>
          <w:b/>
          <w:sz w:val="22"/>
          <w:szCs w:val="22"/>
          <w:u w:val="single"/>
        </w:rPr>
        <w:t>Dangalas</w:t>
      </w:r>
    </w:p>
    <w:p w14:paraId="1A57500D"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Polivinilo alkoholis (E1203)</w:t>
      </w:r>
    </w:p>
    <w:p w14:paraId="22A6B5E7"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Polietilenglikolis (E1521)</w:t>
      </w:r>
    </w:p>
    <w:p w14:paraId="709D14B7"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Bevandenis koloidinis silicio dioksidas (E551)</w:t>
      </w:r>
    </w:p>
    <w:p w14:paraId="55309A5A"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Citrinų rūgštis monohidratas (E330)</w:t>
      </w:r>
    </w:p>
    <w:p w14:paraId="449E61DC"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Geltonasis geležies oksidas (E172)</w:t>
      </w:r>
    </w:p>
    <w:p w14:paraId="0B1D15BC"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rPr>
        <w:t>Raudonasis geležies oksidas (E172)</w:t>
      </w:r>
    </w:p>
    <w:p w14:paraId="75D7747B" w14:textId="77777777" w:rsidR="000E5428" w:rsidRPr="009B54A6" w:rsidRDefault="000E5428" w:rsidP="000E5428">
      <w:pPr>
        <w:autoSpaceDE w:val="0"/>
        <w:autoSpaceDN w:val="0"/>
        <w:adjustRightInd w:val="0"/>
        <w:rPr>
          <w:rFonts w:eastAsia="TimesNewRoman"/>
          <w:sz w:val="22"/>
          <w:szCs w:val="22"/>
        </w:rPr>
      </w:pPr>
    </w:p>
    <w:p w14:paraId="659C92CF"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Telmisartan/Hydrochlorothiazide Sandoz 80 mg/12,5 mg dengtos tabletės</w:t>
      </w:r>
    </w:p>
    <w:p w14:paraId="42B9006B" w14:textId="77777777" w:rsidR="000E5428" w:rsidRPr="009B54A6" w:rsidRDefault="000E5428" w:rsidP="000E5428">
      <w:pPr>
        <w:autoSpaceDE w:val="0"/>
        <w:autoSpaceDN w:val="0"/>
        <w:adjustRightInd w:val="0"/>
        <w:rPr>
          <w:rFonts w:eastAsia="TimesNewRoman"/>
          <w:b/>
          <w:sz w:val="22"/>
          <w:szCs w:val="22"/>
          <w:highlight w:val="lightGray"/>
          <w:u w:val="single"/>
        </w:rPr>
      </w:pPr>
      <w:r w:rsidRPr="009B54A6">
        <w:rPr>
          <w:rFonts w:eastAsia="TimesNewRoman"/>
          <w:b/>
          <w:sz w:val="22"/>
          <w:szCs w:val="22"/>
          <w:highlight w:val="lightGray"/>
          <w:u w:val="single"/>
        </w:rPr>
        <w:t>Tabletės šerdis</w:t>
      </w:r>
    </w:p>
    <w:p w14:paraId="4E51CDF4"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Natrio hidroksidas</w:t>
      </w:r>
    </w:p>
    <w:p w14:paraId="3356F59D"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Megliuminas</w:t>
      </w:r>
    </w:p>
    <w:p w14:paraId="2A19580F"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Povidonas K 25 (E1201)</w:t>
      </w:r>
    </w:p>
    <w:p w14:paraId="295410FE"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Laktozė monohidratas</w:t>
      </w:r>
    </w:p>
    <w:p w14:paraId="191C9613"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Povidonas K 30 (E1201)</w:t>
      </w:r>
    </w:p>
    <w:p w14:paraId="78B61A69"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Krospovidonas (A tipo) (E1202)</w:t>
      </w:r>
    </w:p>
    <w:p w14:paraId="7D20213B"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Bevandenė laktozė</w:t>
      </w:r>
    </w:p>
    <w:p w14:paraId="54A7D4A3"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Magnio stearatas (E 572)</w:t>
      </w:r>
    </w:p>
    <w:p w14:paraId="459542F6" w14:textId="77777777" w:rsidR="000E5428" w:rsidRPr="009B54A6" w:rsidRDefault="000E5428" w:rsidP="000E5428">
      <w:pPr>
        <w:autoSpaceDE w:val="0"/>
        <w:autoSpaceDN w:val="0"/>
        <w:adjustRightInd w:val="0"/>
        <w:rPr>
          <w:rFonts w:eastAsia="TimesNewRoman"/>
          <w:b/>
          <w:sz w:val="22"/>
          <w:szCs w:val="22"/>
          <w:highlight w:val="lightGray"/>
          <w:u w:val="single"/>
        </w:rPr>
      </w:pPr>
      <w:r w:rsidRPr="009B54A6">
        <w:rPr>
          <w:rFonts w:eastAsia="TimesNewRoman"/>
          <w:b/>
          <w:sz w:val="22"/>
          <w:szCs w:val="22"/>
          <w:highlight w:val="lightGray"/>
          <w:u w:val="single"/>
        </w:rPr>
        <w:lastRenderedPageBreak/>
        <w:t>Dangalas</w:t>
      </w:r>
    </w:p>
    <w:p w14:paraId="0A36B7BB"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Polivinilo alkoholis (E1203)</w:t>
      </w:r>
    </w:p>
    <w:p w14:paraId="703324AC"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Polietilenglikolis (E1521)</w:t>
      </w:r>
    </w:p>
    <w:p w14:paraId="7512CCF9"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Bevandenis koloidinis silicio dioksidas (E551)</w:t>
      </w:r>
    </w:p>
    <w:p w14:paraId="6D4E5B46"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Citrinų rūgštis monohidratas (E330)</w:t>
      </w:r>
    </w:p>
    <w:p w14:paraId="72107F24" w14:textId="77777777" w:rsidR="000E5428" w:rsidRPr="009B54A6" w:rsidRDefault="000E5428" w:rsidP="000E5428">
      <w:pPr>
        <w:autoSpaceDE w:val="0"/>
        <w:autoSpaceDN w:val="0"/>
        <w:adjustRightInd w:val="0"/>
        <w:rPr>
          <w:rFonts w:eastAsia="TimesNewRoman"/>
          <w:sz w:val="22"/>
          <w:szCs w:val="22"/>
          <w:highlight w:val="lightGray"/>
        </w:rPr>
      </w:pPr>
    </w:p>
    <w:p w14:paraId="7DEA8BE0"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Telmisartan/Hydrochlorothiazide Sandoz 80 mg/25 mg dengtos tabletės</w:t>
      </w:r>
    </w:p>
    <w:p w14:paraId="2A04FDB2" w14:textId="77777777" w:rsidR="000E5428" w:rsidRPr="009B54A6" w:rsidRDefault="000E5428" w:rsidP="000E5428">
      <w:pPr>
        <w:autoSpaceDE w:val="0"/>
        <w:autoSpaceDN w:val="0"/>
        <w:adjustRightInd w:val="0"/>
        <w:rPr>
          <w:rFonts w:eastAsia="TimesNewRoman"/>
          <w:b/>
          <w:sz w:val="22"/>
          <w:szCs w:val="22"/>
          <w:highlight w:val="lightGray"/>
          <w:u w:val="single"/>
        </w:rPr>
      </w:pPr>
      <w:r w:rsidRPr="009B54A6">
        <w:rPr>
          <w:rFonts w:eastAsia="TimesNewRoman"/>
          <w:b/>
          <w:sz w:val="22"/>
          <w:szCs w:val="22"/>
          <w:highlight w:val="lightGray"/>
          <w:u w:val="single"/>
        </w:rPr>
        <w:t>Tabletės šerdis</w:t>
      </w:r>
    </w:p>
    <w:p w14:paraId="1C85701B"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Natrio hidroksidas</w:t>
      </w:r>
    </w:p>
    <w:p w14:paraId="462A7880"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Megliuminas</w:t>
      </w:r>
    </w:p>
    <w:p w14:paraId="665DA548"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Povidonas K 25 (E1201)</w:t>
      </w:r>
    </w:p>
    <w:p w14:paraId="319AB2BE"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Laktozė monohidratas</w:t>
      </w:r>
    </w:p>
    <w:p w14:paraId="16C7F8F8"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Povidonas K 30 (E1201)</w:t>
      </w:r>
    </w:p>
    <w:p w14:paraId="10A702AF"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Krospovidonas (A tipo) (E1202)</w:t>
      </w:r>
    </w:p>
    <w:p w14:paraId="721EBD13"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Bevandenė laktozė</w:t>
      </w:r>
    </w:p>
    <w:p w14:paraId="20488960"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Magnio stearatas (E 572)</w:t>
      </w:r>
    </w:p>
    <w:p w14:paraId="19CAEAF0" w14:textId="77777777" w:rsidR="000E5428" w:rsidRPr="009B54A6" w:rsidRDefault="000E5428" w:rsidP="000E5428">
      <w:pPr>
        <w:autoSpaceDE w:val="0"/>
        <w:autoSpaceDN w:val="0"/>
        <w:adjustRightInd w:val="0"/>
        <w:rPr>
          <w:rFonts w:eastAsia="TimesNewRoman"/>
          <w:b/>
          <w:sz w:val="22"/>
          <w:szCs w:val="22"/>
          <w:highlight w:val="lightGray"/>
          <w:u w:val="single"/>
        </w:rPr>
      </w:pPr>
      <w:r w:rsidRPr="009B54A6">
        <w:rPr>
          <w:rFonts w:eastAsia="TimesNewRoman"/>
          <w:b/>
          <w:sz w:val="22"/>
          <w:szCs w:val="22"/>
          <w:highlight w:val="lightGray"/>
          <w:u w:val="single"/>
        </w:rPr>
        <w:t>Dangalas</w:t>
      </w:r>
    </w:p>
    <w:p w14:paraId="18A3C278"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Polivinilo alkoholis (E1203)</w:t>
      </w:r>
    </w:p>
    <w:p w14:paraId="5D6841CB"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Polietilenglikolis (E1521)</w:t>
      </w:r>
    </w:p>
    <w:p w14:paraId="03B0FE8A"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Bevandenis koloidinis silicio dioksidas (E551)</w:t>
      </w:r>
    </w:p>
    <w:p w14:paraId="382195ED"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sz w:val="22"/>
          <w:szCs w:val="22"/>
          <w:highlight w:val="lightGray"/>
        </w:rPr>
        <w:t>Citrinų rūgštis monohidratas (E330)</w:t>
      </w:r>
    </w:p>
    <w:p w14:paraId="7B817BDC"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sz w:val="22"/>
          <w:szCs w:val="22"/>
          <w:highlight w:val="lightGray"/>
        </w:rPr>
        <w:t>Geltonasis geležies oksidas (E172)</w:t>
      </w:r>
    </w:p>
    <w:p w14:paraId="3179B42A" w14:textId="77777777" w:rsidR="000E5428" w:rsidRPr="009B54A6" w:rsidRDefault="000E5428" w:rsidP="000E5428">
      <w:pPr>
        <w:autoSpaceDE w:val="0"/>
        <w:autoSpaceDN w:val="0"/>
        <w:adjustRightInd w:val="0"/>
        <w:rPr>
          <w:sz w:val="22"/>
          <w:szCs w:val="22"/>
          <w:lang w:eastAsia="lt-LT"/>
        </w:rPr>
      </w:pPr>
    </w:p>
    <w:p w14:paraId="250171DF"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6.2</w:t>
      </w:r>
      <w:r w:rsidRPr="009B54A6">
        <w:rPr>
          <w:b/>
          <w:bCs/>
          <w:sz w:val="22"/>
          <w:szCs w:val="22"/>
          <w:lang w:eastAsia="lt-LT"/>
        </w:rPr>
        <w:tab/>
        <w:t>Nesuderinamumas</w:t>
      </w:r>
    </w:p>
    <w:p w14:paraId="437A3DD8" w14:textId="77777777" w:rsidR="000E5428" w:rsidRPr="009B54A6" w:rsidRDefault="000E5428" w:rsidP="000E5428">
      <w:pPr>
        <w:autoSpaceDE w:val="0"/>
        <w:autoSpaceDN w:val="0"/>
        <w:adjustRightInd w:val="0"/>
        <w:rPr>
          <w:sz w:val="22"/>
          <w:szCs w:val="22"/>
          <w:lang w:eastAsia="lt-LT"/>
        </w:rPr>
      </w:pPr>
    </w:p>
    <w:p w14:paraId="43A36C66"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Duomenys nebūtini.</w:t>
      </w:r>
    </w:p>
    <w:p w14:paraId="6F82523A" w14:textId="77777777" w:rsidR="000E5428" w:rsidRPr="009B54A6" w:rsidRDefault="000E5428" w:rsidP="000E5428">
      <w:pPr>
        <w:autoSpaceDE w:val="0"/>
        <w:autoSpaceDN w:val="0"/>
        <w:adjustRightInd w:val="0"/>
        <w:rPr>
          <w:sz w:val="22"/>
          <w:szCs w:val="22"/>
          <w:lang w:eastAsia="lt-LT"/>
        </w:rPr>
      </w:pPr>
    </w:p>
    <w:p w14:paraId="75997EB7"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6.3</w:t>
      </w:r>
      <w:r w:rsidRPr="009B54A6">
        <w:rPr>
          <w:b/>
          <w:bCs/>
          <w:sz w:val="22"/>
          <w:szCs w:val="22"/>
          <w:lang w:eastAsia="lt-LT"/>
        </w:rPr>
        <w:tab/>
        <w:t>Tinkamumo laikas</w:t>
      </w:r>
    </w:p>
    <w:p w14:paraId="1C9F383B" w14:textId="77777777" w:rsidR="000E5428" w:rsidRPr="009B54A6" w:rsidRDefault="000E5428" w:rsidP="000E5428">
      <w:pPr>
        <w:autoSpaceDE w:val="0"/>
        <w:autoSpaceDN w:val="0"/>
        <w:adjustRightInd w:val="0"/>
        <w:rPr>
          <w:b/>
          <w:bCs/>
          <w:sz w:val="22"/>
          <w:szCs w:val="22"/>
          <w:lang w:eastAsia="lt-LT"/>
        </w:rPr>
      </w:pPr>
    </w:p>
    <w:p w14:paraId="233CEBC1"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2 metai.</w:t>
      </w:r>
    </w:p>
    <w:p w14:paraId="732D070E" w14:textId="77777777" w:rsidR="000E5428" w:rsidRPr="009B54A6" w:rsidRDefault="000E5428" w:rsidP="000E5428">
      <w:pPr>
        <w:autoSpaceDE w:val="0"/>
        <w:autoSpaceDN w:val="0"/>
        <w:adjustRightInd w:val="0"/>
        <w:rPr>
          <w:sz w:val="22"/>
          <w:szCs w:val="22"/>
          <w:lang w:eastAsia="lt-LT"/>
        </w:rPr>
      </w:pPr>
    </w:p>
    <w:p w14:paraId="217489EA"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6.4</w:t>
      </w:r>
      <w:r w:rsidRPr="009B54A6">
        <w:rPr>
          <w:b/>
          <w:bCs/>
          <w:sz w:val="22"/>
          <w:szCs w:val="22"/>
          <w:lang w:eastAsia="lt-LT"/>
        </w:rPr>
        <w:tab/>
        <w:t>Specialios laikymo sąlygos</w:t>
      </w:r>
    </w:p>
    <w:p w14:paraId="0EDBAA28" w14:textId="77777777" w:rsidR="000E5428" w:rsidRPr="009B54A6" w:rsidRDefault="000E5428" w:rsidP="000E5428">
      <w:pPr>
        <w:autoSpaceDE w:val="0"/>
        <w:autoSpaceDN w:val="0"/>
        <w:adjustRightInd w:val="0"/>
        <w:rPr>
          <w:sz w:val="22"/>
          <w:szCs w:val="22"/>
          <w:lang w:eastAsia="lt-LT"/>
        </w:rPr>
      </w:pPr>
    </w:p>
    <w:p w14:paraId="1C1B7356"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Laikyti ne aukštesnėje kaip 30 °C temperatūroje.</w:t>
      </w:r>
    </w:p>
    <w:p w14:paraId="6424638F"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Laikyti gamintojo lizdinėje plokštelėje, kad preparatas būtų apsaugotas nuo drėgmės.</w:t>
      </w:r>
    </w:p>
    <w:p w14:paraId="630C636D" w14:textId="77777777" w:rsidR="000E5428" w:rsidRPr="009B54A6" w:rsidRDefault="000E5428" w:rsidP="000E5428">
      <w:pPr>
        <w:autoSpaceDE w:val="0"/>
        <w:autoSpaceDN w:val="0"/>
        <w:adjustRightInd w:val="0"/>
        <w:rPr>
          <w:sz w:val="22"/>
          <w:szCs w:val="22"/>
          <w:lang w:eastAsia="lt-LT"/>
        </w:rPr>
      </w:pPr>
    </w:p>
    <w:p w14:paraId="6D4F3DD0" w14:textId="77777777" w:rsidR="000E5428" w:rsidRPr="009B54A6" w:rsidRDefault="000E5428" w:rsidP="000E5428">
      <w:pPr>
        <w:numPr>
          <w:ilvl w:val="1"/>
          <w:numId w:val="7"/>
        </w:numPr>
        <w:autoSpaceDE w:val="0"/>
        <w:autoSpaceDN w:val="0"/>
        <w:adjustRightInd w:val="0"/>
        <w:rPr>
          <w:b/>
          <w:bCs/>
          <w:sz w:val="22"/>
          <w:szCs w:val="22"/>
          <w:lang w:eastAsia="lt-LT"/>
        </w:rPr>
      </w:pPr>
      <w:r w:rsidRPr="009B54A6">
        <w:rPr>
          <w:b/>
          <w:bCs/>
          <w:sz w:val="22"/>
          <w:szCs w:val="22"/>
          <w:lang w:eastAsia="lt-LT"/>
        </w:rPr>
        <w:t>Talpyklės pobūdis ir jos turinys</w:t>
      </w:r>
    </w:p>
    <w:p w14:paraId="14034003" w14:textId="77777777" w:rsidR="000E5428" w:rsidRPr="009B54A6" w:rsidRDefault="000E5428" w:rsidP="000E5428">
      <w:pPr>
        <w:autoSpaceDE w:val="0"/>
        <w:autoSpaceDN w:val="0"/>
        <w:adjustRightInd w:val="0"/>
        <w:rPr>
          <w:sz w:val="22"/>
          <w:szCs w:val="22"/>
          <w:lang w:eastAsia="lt-LT"/>
        </w:rPr>
      </w:pPr>
    </w:p>
    <w:p w14:paraId="5BBB78D9"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Aliuminio/aliuminio lizdinės plokštelės, kuriose yra 7, 14, 28, 30, 50, 56, 60, 84, 90, 98 ar 100 dengtų tablečių.</w:t>
      </w:r>
    </w:p>
    <w:p w14:paraId="4217FACB" w14:textId="77777777" w:rsidR="000E5428" w:rsidRPr="009B54A6" w:rsidRDefault="000E5428" w:rsidP="000E5428">
      <w:pPr>
        <w:autoSpaceDE w:val="0"/>
        <w:autoSpaceDN w:val="0"/>
        <w:adjustRightInd w:val="0"/>
        <w:rPr>
          <w:sz w:val="22"/>
          <w:szCs w:val="22"/>
          <w:lang w:eastAsia="lt-LT"/>
        </w:rPr>
      </w:pPr>
    </w:p>
    <w:p w14:paraId="2CFD0F0B"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Gali būti tiekiamos ne visų dydžių pakuotės.</w:t>
      </w:r>
    </w:p>
    <w:p w14:paraId="0336F5E9" w14:textId="77777777" w:rsidR="000E5428" w:rsidRPr="009B54A6" w:rsidRDefault="000E5428" w:rsidP="000E5428">
      <w:pPr>
        <w:autoSpaceDE w:val="0"/>
        <w:autoSpaceDN w:val="0"/>
        <w:adjustRightInd w:val="0"/>
        <w:rPr>
          <w:sz w:val="22"/>
          <w:szCs w:val="22"/>
          <w:lang w:eastAsia="lt-LT"/>
        </w:rPr>
      </w:pPr>
    </w:p>
    <w:p w14:paraId="6E84A81C"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6.6</w:t>
      </w:r>
      <w:r w:rsidRPr="009B54A6">
        <w:rPr>
          <w:b/>
          <w:bCs/>
          <w:sz w:val="22"/>
          <w:szCs w:val="22"/>
          <w:lang w:eastAsia="lt-LT"/>
        </w:rPr>
        <w:tab/>
        <w:t>Specialūs reikalavimai atliekoms tvarkyti</w:t>
      </w:r>
    </w:p>
    <w:p w14:paraId="72322A6A" w14:textId="77777777" w:rsidR="000E5428" w:rsidRPr="009B54A6" w:rsidRDefault="000E5428" w:rsidP="000E5428">
      <w:pPr>
        <w:autoSpaceDE w:val="0"/>
        <w:autoSpaceDN w:val="0"/>
        <w:adjustRightInd w:val="0"/>
        <w:rPr>
          <w:sz w:val="22"/>
          <w:szCs w:val="22"/>
          <w:lang w:eastAsia="lt-LT"/>
        </w:rPr>
      </w:pPr>
    </w:p>
    <w:p w14:paraId="0992192D"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Specialių reikalavimų nėra.</w:t>
      </w:r>
    </w:p>
    <w:p w14:paraId="44DC7FC8" w14:textId="77777777" w:rsidR="000E5428" w:rsidRPr="009B54A6" w:rsidRDefault="000E5428" w:rsidP="000E5428">
      <w:pPr>
        <w:autoSpaceDE w:val="0"/>
        <w:autoSpaceDN w:val="0"/>
        <w:adjustRightInd w:val="0"/>
        <w:rPr>
          <w:sz w:val="22"/>
          <w:szCs w:val="22"/>
          <w:lang w:eastAsia="lt-LT"/>
        </w:rPr>
      </w:pPr>
    </w:p>
    <w:p w14:paraId="5A1EEA7B" w14:textId="77777777" w:rsidR="000E5428" w:rsidRPr="009B54A6" w:rsidRDefault="000E5428" w:rsidP="000E5428">
      <w:pPr>
        <w:autoSpaceDE w:val="0"/>
        <w:autoSpaceDN w:val="0"/>
        <w:adjustRightInd w:val="0"/>
        <w:rPr>
          <w:sz w:val="22"/>
          <w:szCs w:val="22"/>
          <w:lang w:eastAsia="lt-LT"/>
        </w:rPr>
      </w:pPr>
    </w:p>
    <w:p w14:paraId="6F164DD1" w14:textId="1F5546AF" w:rsidR="000E5428" w:rsidRPr="009B54A6" w:rsidRDefault="000E5428" w:rsidP="000E5428">
      <w:pPr>
        <w:autoSpaceDE w:val="0"/>
        <w:autoSpaceDN w:val="0"/>
        <w:adjustRightInd w:val="0"/>
        <w:rPr>
          <w:b/>
          <w:bCs/>
          <w:color w:val="000000"/>
          <w:sz w:val="22"/>
          <w:szCs w:val="22"/>
          <w:lang w:eastAsia="lt-LT"/>
        </w:rPr>
      </w:pPr>
      <w:r w:rsidRPr="009B54A6">
        <w:rPr>
          <w:b/>
          <w:bCs/>
          <w:color w:val="000000"/>
          <w:sz w:val="22"/>
          <w:szCs w:val="22"/>
          <w:lang w:eastAsia="lt-LT"/>
        </w:rPr>
        <w:t>7.</w:t>
      </w:r>
      <w:r w:rsidRPr="009B54A6">
        <w:rPr>
          <w:b/>
          <w:bCs/>
          <w:color w:val="000000"/>
          <w:sz w:val="22"/>
          <w:szCs w:val="22"/>
          <w:lang w:eastAsia="lt-LT"/>
        </w:rPr>
        <w:tab/>
        <w:t>R</w:t>
      </w:r>
      <w:r w:rsidR="00B63A45">
        <w:rPr>
          <w:b/>
          <w:bCs/>
          <w:color w:val="000000"/>
          <w:sz w:val="22"/>
          <w:szCs w:val="22"/>
          <w:lang w:eastAsia="lt-LT"/>
        </w:rPr>
        <w:t xml:space="preserve">EGISTRUOTOJAS </w:t>
      </w:r>
    </w:p>
    <w:p w14:paraId="45B442A9" w14:textId="77777777" w:rsidR="000E5428" w:rsidRPr="009B54A6" w:rsidRDefault="000E5428" w:rsidP="000E5428">
      <w:pPr>
        <w:tabs>
          <w:tab w:val="left" w:pos="567"/>
        </w:tabs>
        <w:rPr>
          <w:sz w:val="22"/>
          <w:szCs w:val="22"/>
        </w:rPr>
      </w:pPr>
    </w:p>
    <w:p w14:paraId="2F6E316D" w14:textId="77777777" w:rsidR="000E5428" w:rsidRPr="009B54A6" w:rsidRDefault="000E5428" w:rsidP="000E5428">
      <w:pPr>
        <w:tabs>
          <w:tab w:val="left" w:pos="567"/>
        </w:tabs>
        <w:rPr>
          <w:sz w:val="22"/>
          <w:szCs w:val="22"/>
        </w:rPr>
      </w:pPr>
      <w:r w:rsidRPr="009B54A6">
        <w:rPr>
          <w:sz w:val="22"/>
          <w:szCs w:val="22"/>
        </w:rPr>
        <w:t>Sandoz d.d.</w:t>
      </w:r>
    </w:p>
    <w:p w14:paraId="316AE8E2" w14:textId="77777777" w:rsidR="000E5428" w:rsidRPr="009B54A6" w:rsidRDefault="000E5428" w:rsidP="000E5428">
      <w:pPr>
        <w:tabs>
          <w:tab w:val="left" w:pos="567"/>
        </w:tabs>
        <w:rPr>
          <w:sz w:val="22"/>
          <w:szCs w:val="22"/>
        </w:rPr>
      </w:pPr>
      <w:r w:rsidRPr="009B54A6">
        <w:rPr>
          <w:sz w:val="22"/>
          <w:szCs w:val="22"/>
        </w:rPr>
        <w:t>Verovškova 57</w:t>
      </w:r>
    </w:p>
    <w:p w14:paraId="6D74E81C" w14:textId="77777777" w:rsidR="000E5428" w:rsidRPr="009B54A6" w:rsidRDefault="000E5428" w:rsidP="000E5428">
      <w:pPr>
        <w:tabs>
          <w:tab w:val="left" w:pos="567"/>
        </w:tabs>
        <w:rPr>
          <w:sz w:val="22"/>
          <w:szCs w:val="22"/>
        </w:rPr>
      </w:pPr>
      <w:r w:rsidRPr="009B54A6">
        <w:rPr>
          <w:sz w:val="22"/>
          <w:szCs w:val="22"/>
        </w:rPr>
        <w:t>SI-1000 Ljubljana</w:t>
      </w:r>
    </w:p>
    <w:p w14:paraId="38F97B59" w14:textId="77777777" w:rsidR="000E5428" w:rsidRPr="009B54A6" w:rsidRDefault="000E5428" w:rsidP="000E5428">
      <w:pPr>
        <w:tabs>
          <w:tab w:val="left" w:pos="567"/>
        </w:tabs>
        <w:rPr>
          <w:sz w:val="22"/>
          <w:szCs w:val="22"/>
        </w:rPr>
      </w:pPr>
      <w:r w:rsidRPr="009B54A6">
        <w:rPr>
          <w:sz w:val="22"/>
          <w:szCs w:val="22"/>
        </w:rPr>
        <w:t>Slovėnija</w:t>
      </w:r>
      <w:r w:rsidRPr="009B54A6" w:rsidDel="00F22949">
        <w:rPr>
          <w:sz w:val="22"/>
          <w:szCs w:val="22"/>
        </w:rPr>
        <w:t xml:space="preserve"> </w:t>
      </w:r>
    </w:p>
    <w:p w14:paraId="55FDE4DD" w14:textId="77777777" w:rsidR="000E5428" w:rsidRPr="009B54A6" w:rsidRDefault="000E5428" w:rsidP="000E5428">
      <w:pPr>
        <w:autoSpaceDE w:val="0"/>
        <w:autoSpaceDN w:val="0"/>
        <w:adjustRightInd w:val="0"/>
        <w:rPr>
          <w:color w:val="000000"/>
          <w:sz w:val="22"/>
          <w:szCs w:val="22"/>
          <w:lang w:eastAsia="lt-LT"/>
        </w:rPr>
      </w:pPr>
    </w:p>
    <w:p w14:paraId="0841E2D5" w14:textId="77777777" w:rsidR="000E5428" w:rsidRPr="009B54A6" w:rsidRDefault="000E5428" w:rsidP="000E5428">
      <w:pPr>
        <w:autoSpaceDE w:val="0"/>
        <w:autoSpaceDN w:val="0"/>
        <w:adjustRightInd w:val="0"/>
        <w:rPr>
          <w:color w:val="000000"/>
          <w:sz w:val="22"/>
          <w:szCs w:val="22"/>
          <w:lang w:eastAsia="lt-LT"/>
        </w:rPr>
      </w:pPr>
    </w:p>
    <w:p w14:paraId="62A7B21C" w14:textId="74A399B6" w:rsidR="000E5428" w:rsidRPr="009B54A6" w:rsidRDefault="000E5428" w:rsidP="000E5428">
      <w:pPr>
        <w:autoSpaceDE w:val="0"/>
        <w:autoSpaceDN w:val="0"/>
        <w:adjustRightInd w:val="0"/>
        <w:rPr>
          <w:b/>
          <w:bCs/>
          <w:color w:val="000000"/>
          <w:sz w:val="22"/>
          <w:szCs w:val="22"/>
          <w:lang w:eastAsia="lt-LT"/>
        </w:rPr>
      </w:pPr>
      <w:r w:rsidRPr="009B54A6">
        <w:rPr>
          <w:b/>
          <w:bCs/>
          <w:color w:val="000000"/>
          <w:sz w:val="22"/>
          <w:szCs w:val="22"/>
          <w:lang w:eastAsia="lt-LT"/>
        </w:rPr>
        <w:t>8.</w:t>
      </w:r>
      <w:r w:rsidRPr="009B54A6">
        <w:rPr>
          <w:b/>
          <w:bCs/>
          <w:color w:val="000000"/>
          <w:sz w:val="22"/>
          <w:szCs w:val="22"/>
          <w:lang w:eastAsia="lt-LT"/>
        </w:rPr>
        <w:tab/>
        <w:t>R</w:t>
      </w:r>
      <w:r w:rsidR="00B63A45">
        <w:rPr>
          <w:b/>
          <w:bCs/>
          <w:color w:val="000000"/>
          <w:sz w:val="22"/>
          <w:szCs w:val="22"/>
          <w:lang w:eastAsia="lt-LT"/>
        </w:rPr>
        <w:t xml:space="preserve">EGISTRACIJOS </w:t>
      </w:r>
      <w:r w:rsidRPr="009B54A6">
        <w:rPr>
          <w:b/>
          <w:bCs/>
          <w:color w:val="000000"/>
          <w:sz w:val="22"/>
          <w:szCs w:val="22"/>
          <w:lang w:eastAsia="lt-LT"/>
        </w:rPr>
        <w:t>PAŽYMĖJIMO NUMERIS</w:t>
      </w:r>
    </w:p>
    <w:p w14:paraId="5668C6DE" w14:textId="77777777" w:rsidR="000E5428" w:rsidRPr="009B54A6" w:rsidRDefault="000E5428" w:rsidP="000E5428">
      <w:pPr>
        <w:autoSpaceDE w:val="0"/>
        <w:autoSpaceDN w:val="0"/>
        <w:adjustRightInd w:val="0"/>
        <w:rPr>
          <w:color w:val="000000"/>
          <w:sz w:val="22"/>
          <w:szCs w:val="22"/>
          <w:lang w:eastAsia="lt-LT"/>
        </w:rPr>
      </w:pPr>
    </w:p>
    <w:p w14:paraId="0CA225AB"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 xml:space="preserve">Telmisartan/Hydrochlorothiazide Sandoz 40 mg/12,5 mg </w:t>
      </w:r>
    </w:p>
    <w:p w14:paraId="438BBDA1" w14:textId="77777777" w:rsidR="000E5428" w:rsidRPr="009B54A6" w:rsidRDefault="000E5428" w:rsidP="000E5428">
      <w:pPr>
        <w:rPr>
          <w:bCs/>
          <w:sz w:val="22"/>
          <w:szCs w:val="22"/>
        </w:rPr>
      </w:pPr>
      <w:r w:rsidRPr="009B54A6">
        <w:rPr>
          <w:bCs/>
          <w:sz w:val="22"/>
          <w:szCs w:val="22"/>
        </w:rPr>
        <w:t xml:space="preserve">N7 - LT/1/13/3337/001 </w:t>
      </w:r>
    </w:p>
    <w:p w14:paraId="62F69F48" w14:textId="77777777" w:rsidR="000E5428" w:rsidRPr="009B54A6" w:rsidRDefault="000E5428" w:rsidP="000E5428">
      <w:pPr>
        <w:rPr>
          <w:bCs/>
          <w:sz w:val="22"/>
          <w:szCs w:val="22"/>
        </w:rPr>
      </w:pPr>
      <w:r w:rsidRPr="009B54A6">
        <w:rPr>
          <w:bCs/>
          <w:sz w:val="22"/>
          <w:szCs w:val="22"/>
        </w:rPr>
        <w:t xml:space="preserve">N14 - LT/1/13/3337/002 </w:t>
      </w:r>
    </w:p>
    <w:p w14:paraId="2A49662C" w14:textId="77777777" w:rsidR="000E5428" w:rsidRPr="009B54A6" w:rsidRDefault="000E5428" w:rsidP="000E5428">
      <w:pPr>
        <w:rPr>
          <w:bCs/>
          <w:sz w:val="22"/>
          <w:szCs w:val="22"/>
        </w:rPr>
      </w:pPr>
      <w:r w:rsidRPr="009B54A6">
        <w:rPr>
          <w:bCs/>
          <w:sz w:val="22"/>
          <w:szCs w:val="22"/>
        </w:rPr>
        <w:t xml:space="preserve">N28 - LT/1/13/3337/003 </w:t>
      </w:r>
    </w:p>
    <w:p w14:paraId="5CE177BB" w14:textId="77777777" w:rsidR="000E5428" w:rsidRPr="009B54A6" w:rsidRDefault="000E5428" w:rsidP="000E5428">
      <w:pPr>
        <w:rPr>
          <w:bCs/>
          <w:sz w:val="22"/>
          <w:szCs w:val="22"/>
        </w:rPr>
      </w:pPr>
      <w:r w:rsidRPr="009B54A6">
        <w:rPr>
          <w:bCs/>
          <w:sz w:val="22"/>
          <w:szCs w:val="22"/>
        </w:rPr>
        <w:t xml:space="preserve">N30 - LT/1/13/3337/004 </w:t>
      </w:r>
    </w:p>
    <w:p w14:paraId="50BB214A" w14:textId="77777777" w:rsidR="000E5428" w:rsidRPr="009B54A6" w:rsidRDefault="000E5428" w:rsidP="000E5428">
      <w:pPr>
        <w:rPr>
          <w:bCs/>
          <w:sz w:val="22"/>
          <w:szCs w:val="22"/>
        </w:rPr>
      </w:pPr>
      <w:r w:rsidRPr="009B54A6">
        <w:rPr>
          <w:bCs/>
          <w:sz w:val="22"/>
          <w:szCs w:val="22"/>
        </w:rPr>
        <w:t xml:space="preserve">N50 - LT/1/13/3337/005 </w:t>
      </w:r>
    </w:p>
    <w:p w14:paraId="35F9045A" w14:textId="77777777" w:rsidR="000E5428" w:rsidRPr="009B54A6" w:rsidRDefault="000E5428" w:rsidP="000E5428">
      <w:pPr>
        <w:rPr>
          <w:bCs/>
          <w:sz w:val="22"/>
          <w:szCs w:val="22"/>
        </w:rPr>
      </w:pPr>
      <w:r w:rsidRPr="009B54A6">
        <w:rPr>
          <w:bCs/>
          <w:sz w:val="22"/>
          <w:szCs w:val="22"/>
        </w:rPr>
        <w:t xml:space="preserve">N56 - LT/1/13/3337/006 </w:t>
      </w:r>
    </w:p>
    <w:p w14:paraId="2D28BCD3" w14:textId="77777777" w:rsidR="000E5428" w:rsidRPr="009B54A6" w:rsidRDefault="000E5428" w:rsidP="000E5428">
      <w:pPr>
        <w:rPr>
          <w:bCs/>
          <w:sz w:val="22"/>
          <w:szCs w:val="22"/>
        </w:rPr>
      </w:pPr>
      <w:r w:rsidRPr="009B54A6">
        <w:rPr>
          <w:bCs/>
          <w:sz w:val="22"/>
          <w:szCs w:val="22"/>
        </w:rPr>
        <w:t xml:space="preserve">N60 - LT/1/13/3337/007 </w:t>
      </w:r>
    </w:p>
    <w:p w14:paraId="0EE0B31C" w14:textId="77777777" w:rsidR="000E5428" w:rsidRPr="009B54A6" w:rsidRDefault="000E5428" w:rsidP="000E5428">
      <w:pPr>
        <w:rPr>
          <w:bCs/>
          <w:sz w:val="22"/>
          <w:szCs w:val="22"/>
        </w:rPr>
      </w:pPr>
      <w:r w:rsidRPr="009B54A6">
        <w:rPr>
          <w:bCs/>
          <w:sz w:val="22"/>
          <w:szCs w:val="22"/>
        </w:rPr>
        <w:t xml:space="preserve">N84 - LT/1/13/3337/008 </w:t>
      </w:r>
    </w:p>
    <w:p w14:paraId="5D440573" w14:textId="77777777" w:rsidR="000E5428" w:rsidRPr="009B54A6" w:rsidRDefault="000E5428" w:rsidP="000E5428">
      <w:pPr>
        <w:rPr>
          <w:bCs/>
          <w:sz w:val="22"/>
          <w:szCs w:val="22"/>
        </w:rPr>
      </w:pPr>
      <w:r w:rsidRPr="009B54A6">
        <w:rPr>
          <w:bCs/>
          <w:sz w:val="22"/>
          <w:szCs w:val="22"/>
        </w:rPr>
        <w:t xml:space="preserve">N90 - LT/1/13/3337/009 </w:t>
      </w:r>
    </w:p>
    <w:p w14:paraId="1591E32C" w14:textId="77777777" w:rsidR="000E5428" w:rsidRPr="009B54A6" w:rsidRDefault="000E5428" w:rsidP="000E5428">
      <w:pPr>
        <w:rPr>
          <w:bCs/>
          <w:sz w:val="22"/>
          <w:szCs w:val="22"/>
        </w:rPr>
      </w:pPr>
      <w:r w:rsidRPr="009B54A6">
        <w:rPr>
          <w:bCs/>
          <w:sz w:val="22"/>
          <w:szCs w:val="22"/>
        </w:rPr>
        <w:t xml:space="preserve">N98 - LT/1/13/3337/010 </w:t>
      </w:r>
    </w:p>
    <w:p w14:paraId="18C4D306" w14:textId="77777777" w:rsidR="000E5428" w:rsidRPr="009B54A6" w:rsidRDefault="000E5428" w:rsidP="000E5428">
      <w:pPr>
        <w:rPr>
          <w:bCs/>
          <w:sz w:val="22"/>
          <w:szCs w:val="22"/>
        </w:rPr>
      </w:pPr>
      <w:r w:rsidRPr="009B54A6">
        <w:rPr>
          <w:bCs/>
          <w:sz w:val="22"/>
          <w:szCs w:val="22"/>
        </w:rPr>
        <w:t xml:space="preserve">N100 - LT/1/13/3337/011 </w:t>
      </w:r>
    </w:p>
    <w:p w14:paraId="51E03DF5" w14:textId="77777777" w:rsidR="000E5428" w:rsidRPr="009B54A6" w:rsidRDefault="000E5428" w:rsidP="000E5428">
      <w:pPr>
        <w:tabs>
          <w:tab w:val="left" w:pos="3060"/>
        </w:tabs>
        <w:autoSpaceDE w:val="0"/>
        <w:autoSpaceDN w:val="0"/>
        <w:adjustRightInd w:val="0"/>
        <w:rPr>
          <w:sz w:val="22"/>
          <w:szCs w:val="22"/>
        </w:rPr>
      </w:pPr>
    </w:p>
    <w:p w14:paraId="22B5C35C"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 xml:space="preserve">Telmisartan/Hydrochlorothiazide Sandoz 80 mg/12,5 mg </w:t>
      </w:r>
    </w:p>
    <w:p w14:paraId="321474B8" w14:textId="77777777" w:rsidR="000E5428" w:rsidRPr="009B54A6" w:rsidRDefault="000E5428" w:rsidP="000E5428">
      <w:pPr>
        <w:rPr>
          <w:bCs/>
          <w:sz w:val="22"/>
          <w:szCs w:val="22"/>
        </w:rPr>
      </w:pPr>
      <w:r w:rsidRPr="009B54A6">
        <w:rPr>
          <w:bCs/>
          <w:sz w:val="22"/>
          <w:szCs w:val="22"/>
        </w:rPr>
        <w:t>N7 - LT/1/13/3337/012</w:t>
      </w:r>
    </w:p>
    <w:p w14:paraId="55CE7795" w14:textId="77777777" w:rsidR="000E5428" w:rsidRPr="009B54A6" w:rsidRDefault="000E5428" w:rsidP="000E5428">
      <w:pPr>
        <w:rPr>
          <w:bCs/>
          <w:sz w:val="22"/>
          <w:szCs w:val="22"/>
        </w:rPr>
      </w:pPr>
      <w:r w:rsidRPr="009B54A6">
        <w:rPr>
          <w:bCs/>
          <w:sz w:val="22"/>
          <w:szCs w:val="22"/>
        </w:rPr>
        <w:t xml:space="preserve">N14 - LT/1/13/3337/013 </w:t>
      </w:r>
    </w:p>
    <w:p w14:paraId="6CCE6691" w14:textId="77777777" w:rsidR="000E5428" w:rsidRPr="009B54A6" w:rsidRDefault="000E5428" w:rsidP="000E5428">
      <w:pPr>
        <w:rPr>
          <w:bCs/>
          <w:sz w:val="22"/>
          <w:szCs w:val="22"/>
        </w:rPr>
      </w:pPr>
      <w:r w:rsidRPr="009B54A6">
        <w:rPr>
          <w:bCs/>
          <w:sz w:val="22"/>
          <w:szCs w:val="22"/>
        </w:rPr>
        <w:t xml:space="preserve">N28 - LT/1/13/3337/014 </w:t>
      </w:r>
    </w:p>
    <w:p w14:paraId="4541C7E7" w14:textId="77777777" w:rsidR="000E5428" w:rsidRPr="009B54A6" w:rsidRDefault="000E5428" w:rsidP="000E5428">
      <w:pPr>
        <w:rPr>
          <w:bCs/>
          <w:sz w:val="22"/>
          <w:szCs w:val="22"/>
        </w:rPr>
      </w:pPr>
      <w:r w:rsidRPr="009B54A6">
        <w:rPr>
          <w:bCs/>
          <w:sz w:val="22"/>
          <w:szCs w:val="22"/>
        </w:rPr>
        <w:t xml:space="preserve">N30 - LT/1/13/3337/015 </w:t>
      </w:r>
    </w:p>
    <w:p w14:paraId="079ED33F" w14:textId="77777777" w:rsidR="000E5428" w:rsidRPr="009B54A6" w:rsidRDefault="000E5428" w:rsidP="000E5428">
      <w:pPr>
        <w:rPr>
          <w:bCs/>
          <w:sz w:val="22"/>
          <w:szCs w:val="22"/>
        </w:rPr>
      </w:pPr>
      <w:r w:rsidRPr="009B54A6">
        <w:rPr>
          <w:bCs/>
          <w:sz w:val="22"/>
          <w:szCs w:val="22"/>
        </w:rPr>
        <w:t xml:space="preserve">N50 - LT/1/13/3337/016 </w:t>
      </w:r>
    </w:p>
    <w:p w14:paraId="731AC1B2" w14:textId="77777777" w:rsidR="000E5428" w:rsidRPr="009B54A6" w:rsidRDefault="000E5428" w:rsidP="000E5428">
      <w:pPr>
        <w:rPr>
          <w:bCs/>
          <w:sz w:val="22"/>
          <w:szCs w:val="22"/>
        </w:rPr>
      </w:pPr>
      <w:r w:rsidRPr="009B54A6">
        <w:rPr>
          <w:bCs/>
          <w:sz w:val="22"/>
          <w:szCs w:val="22"/>
        </w:rPr>
        <w:t xml:space="preserve">N56 - LT/1/13/3337/017 </w:t>
      </w:r>
    </w:p>
    <w:p w14:paraId="6485B123" w14:textId="77777777" w:rsidR="000E5428" w:rsidRPr="009B54A6" w:rsidRDefault="000E5428" w:rsidP="000E5428">
      <w:pPr>
        <w:rPr>
          <w:bCs/>
          <w:sz w:val="22"/>
          <w:szCs w:val="22"/>
        </w:rPr>
      </w:pPr>
      <w:r w:rsidRPr="009B54A6">
        <w:rPr>
          <w:bCs/>
          <w:sz w:val="22"/>
          <w:szCs w:val="22"/>
        </w:rPr>
        <w:t xml:space="preserve">N60 - LT/1/13/3337/018 </w:t>
      </w:r>
    </w:p>
    <w:p w14:paraId="77E98612" w14:textId="77777777" w:rsidR="000E5428" w:rsidRPr="009B54A6" w:rsidRDefault="000E5428" w:rsidP="000E5428">
      <w:pPr>
        <w:rPr>
          <w:bCs/>
          <w:sz w:val="22"/>
          <w:szCs w:val="22"/>
        </w:rPr>
      </w:pPr>
      <w:r w:rsidRPr="009B54A6">
        <w:rPr>
          <w:bCs/>
          <w:sz w:val="22"/>
          <w:szCs w:val="22"/>
        </w:rPr>
        <w:t xml:space="preserve">N84 - LT/1/13/3337/019 </w:t>
      </w:r>
    </w:p>
    <w:p w14:paraId="54C95221" w14:textId="77777777" w:rsidR="000E5428" w:rsidRPr="009B54A6" w:rsidRDefault="000E5428" w:rsidP="000E5428">
      <w:pPr>
        <w:rPr>
          <w:bCs/>
          <w:sz w:val="22"/>
          <w:szCs w:val="22"/>
        </w:rPr>
      </w:pPr>
      <w:r w:rsidRPr="009B54A6">
        <w:rPr>
          <w:bCs/>
          <w:sz w:val="22"/>
          <w:szCs w:val="22"/>
        </w:rPr>
        <w:t xml:space="preserve">N90 - LT/1/13/3337/020 </w:t>
      </w:r>
    </w:p>
    <w:p w14:paraId="4A60A3EA" w14:textId="77777777" w:rsidR="000E5428" w:rsidRPr="009B54A6" w:rsidRDefault="000E5428" w:rsidP="000E5428">
      <w:pPr>
        <w:rPr>
          <w:bCs/>
          <w:sz w:val="22"/>
          <w:szCs w:val="22"/>
        </w:rPr>
      </w:pPr>
      <w:r w:rsidRPr="009B54A6">
        <w:rPr>
          <w:bCs/>
          <w:sz w:val="22"/>
          <w:szCs w:val="22"/>
        </w:rPr>
        <w:t xml:space="preserve">N98 - LT/1/13/3337/021 </w:t>
      </w:r>
    </w:p>
    <w:p w14:paraId="787D1F5F" w14:textId="77777777" w:rsidR="000E5428" w:rsidRPr="009B54A6" w:rsidRDefault="000E5428" w:rsidP="000E5428">
      <w:pPr>
        <w:rPr>
          <w:bCs/>
          <w:sz w:val="22"/>
          <w:szCs w:val="22"/>
        </w:rPr>
      </w:pPr>
      <w:r w:rsidRPr="009B54A6">
        <w:rPr>
          <w:bCs/>
          <w:sz w:val="22"/>
          <w:szCs w:val="22"/>
        </w:rPr>
        <w:t xml:space="preserve">N100 - LT/1/13/3337/022 </w:t>
      </w:r>
    </w:p>
    <w:p w14:paraId="732977C5" w14:textId="77777777" w:rsidR="000E5428" w:rsidRPr="009B54A6" w:rsidRDefault="000E5428" w:rsidP="000E5428">
      <w:pPr>
        <w:tabs>
          <w:tab w:val="left" w:pos="3060"/>
        </w:tabs>
        <w:autoSpaceDE w:val="0"/>
        <w:autoSpaceDN w:val="0"/>
        <w:adjustRightInd w:val="0"/>
        <w:rPr>
          <w:sz w:val="22"/>
          <w:szCs w:val="22"/>
        </w:rPr>
      </w:pPr>
    </w:p>
    <w:p w14:paraId="18E4AEF0"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 xml:space="preserve">Telmisartan/Hydrochlorothiazide Sandoz 80 mg/25 mg </w:t>
      </w:r>
    </w:p>
    <w:p w14:paraId="1817F618" w14:textId="77777777" w:rsidR="000E5428" w:rsidRPr="009B54A6" w:rsidRDefault="000E5428" w:rsidP="000E5428">
      <w:pPr>
        <w:rPr>
          <w:bCs/>
          <w:sz w:val="22"/>
          <w:szCs w:val="22"/>
        </w:rPr>
      </w:pPr>
      <w:r w:rsidRPr="009B54A6">
        <w:rPr>
          <w:bCs/>
          <w:sz w:val="22"/>
          <w:szCs w:val="22"/>
        </w:rPr>
        <w:t>N7 - LT/1/13/3337/023</w:t>
      </w:r>
    </w:p>
    <w:p w14:paraId="6A48C671" w14:textId="77777777" w:rsidR="000E5428" w:rsidRPr="009B54A6" w:rsidRDefault="000E5428" w:rsidP="000E5428">
      <w:pPr>
        <w:rPr>
          <w:bCs/>
          <w:sz w:val="22"/>
          <w:szCs w:val="22"/>
        </w:rPr>
      </w:pPr>
      <w:r w:rsidRPr="009B54A6">
        <w:rPr>
          <w:bCs/>
          <w:sz w:val="22"/>
          <w:szCs w:val="22"/>
        </w:rPr>
        <w:t xml:space="preserve">N14 - LT/1/13/3337/024 </w:t>
      </w:r>
    </w:p>
    <w:p w14:paraId="04F1C115" w14:textId="77777777" w:rsidR="000E5428" w:rsidRPr="009B54A6" w:rsidRDefault="000E5428" w:rsidP="000E5428">
      <w:pPr>
        <w:rPr>
          <w:bCs/>
          <w:sz w:val="22"/>
          <w:szCs w:val="22"/>
        </w:rPr>
      </w:pPr>
      <w:r w:rsidRPr="009B54A6">
        <w:rPr>
          <w:bCs/>
          <w:sz w:val="22"/>
          <w:szCs w:val="22"/>
        </w:rPr>
        <w:t xml:space="preserve">N28 - LT/1/13/3337/025 </w:t>
      </w:r>
    </w:p>
    <w:p w14:paraId="498908E9" w14:textId="77777777" w:rsidR="000E5428" w:rsidRPr="009B54A6" w:rsidRDefault="000E5428" w:rsidP="000E5428">
      <w:pPr>
        <w:rPr>
          <w:bCs/>
          <w:sz w:val="22"/>
          <w:szCs w:val="22"/>
        </w:rPr>
      </w:pPr>
      <w:r w:rsidRPr="009B54A6">
        <w:rPr>
          <w:bCs/>
          <w:sz w:val="22"/>
          <w:szCs w:val="22"/>
        </w:rPr>
        <w:t xml:space="preserve">N30 - LT/1/13/3337/026 </w:t>
      </w:r>
    </w:p>
    <w:p w14:paraId="2927BB05" w14:textId="77777777" w:rsidR="000E5428" w:rsidRPr="009B54A6" w:rsidRDefault="000E5428" w:rsidP="000E5428">
      <w:pPr>
        <w:rPr>
          <w:bCs/>
          <w:sz w:val="22"/>
          <w:szCs w:val="22"/>
        </w:rPr>
      </w:pPr>
      <w:r w:rsidRPr="009B54A6">
        <w:rPr>
          <w:bCs/>
          <w:sz w:val="22"/>
          <w:szCs w:val="22"/>
        </w:rPr>
        <w:t xml:space="preserve">N50 - LT/1/13/3337/027 </w:t>
      </w:r>
    </w:p>
    <w:p w14:paraId="743E89A0" w14:textId="77777777" w:rsidR="000E5428" w:rsidRPr="009B54A6" w:rsidRDefault="000E5428" w:rsidP="000E5428">
      <w:pPr>
        <w:rPr>
          <w:bCs/>
          <w:sz w:val="22"/>
          <w:szCs w:val="22"/>
        </w:rPr>
      </w:pPr>
      <w:r w:rsidRPr="009B54A6">
        <w:rPr>
          <w:bCs/>
          <w:sz w:val="22"/>
          <w:szCs w:val="22"/>
        </w:rPr>
        <w:t xml:space="preserve">N56 - LT/1/13/3337/028 </w:t>
      </w:r>
    </w:p>
    <w:p w14:paraId="1E32C506" w14:textId="77777777" w:rsidR="000E5428" w:rsidRPr="009B54A6" w:rsidRDefault="000E5428" w:rsidP="000E5428">
      <w:pPr>
        <w:rPr>
          <w:bCs/>
          <w:sz w:val="22"/>
          <w:szCs w:val="22"/>
        </w:rPr>
      </w:pPr>
      <w:r w:rsidRPr="009B54A6">
        <w:rPr>
          <w:bCs/>
          <w:sz w:val="22"/>
          <w:szCs w:val="22"/>
        </w:rPr>
        <w:t xml:space="preserve">N60 - LT/1/13/3337/029 </w:t>
      </w:r>
    </w:p>
    <w:p w14:paraId="1CBD4170" w14:textId="77777777" w:rsidR="000E5428" w:rsidRPr="009B54A6" w:rsidRDefault="000E5428" w:rsidP="000E5428">
      <w:pPr>
        <w:rPr>
          <w:bCs/>
          <w:sz w:val="22"/>
          <w:szCs w:val="22"/>
        </w:rPr>
      </w:pPr>
      <w:r w:rsidRPr="009B54A6">
        <w:rPr>
          <w:bCs/>
          <w:sz w:val="22"/>
          <w:szCs w:val="22"/>
        </w:rPr>
        <w:t xml:space="preserve">N84 - LT/1/13/3337/030 </w:t>
      </w:r>
    </w:p>
    <w:p w14:paraId="23841964" w14:textId="77777777" w:rsidR="000E5428" w:rsidRPr="009B54A6" w:rsidRDefault="000E5428" w:rsidP="000E5428">
      <w:pPr>
        <w:rPr>
          <w:bCs/>
          <w:sz w:val="22"/>
          <w:szCs w:val="22"/>
        </w:rPr>
      </w:pPr>
      <w:r w:rsidRPr="009B54A6">
        <w:rPr>
          <w:bCs/>
          <w:sz w:val="22"/>
          <w:szCs w:val="22"/>
        </w:rPr>
        <w:t xml:space="preserve">N90 - LT/1/13/3337/031 </w:t>
      </w:r>
    </w:p>
    <w:p w14:paraId="1DCED18B" w14:textId="77777777" w:rsidR="000E5428" w:rsidRPr="009B54A6" w:rsidRDefault="000E5428" w:rsidP="000E5428">
      <w:pPr>
        <w:rPr>
          <w:bCs/>
          <w:sz w:val="22"/>
          <w:szCs w:val="22"/>
        </w:rPr>
      </w:pPr>
      <w:r w:rsidRPr="009B54A6">
        <w:rPr>
          <w:bCs/>
          <w:sz w:val="22"/>
          <w:szCs w:val="22"/>
        </w:rPr>
        <w:t>N98 - LT/1/13/3337/032</w:t>
      </w:r>
    </w:p>
    <w:p w14:paraId="22498E86" w14:textId="77777777" w:rsidR="000E5428" w:rsidRPr="009B54A6" w:rsidRDefault="000E5428" w:rsidP="000E5428">
      <w:pPr>
        <w:rPr>
          <w:bCs/>
          <w:sz w:val="22"/>
          <w:szCs w:val="22"/>
        </w:rPr>
      </w:pPr>
      <w:r w:rsidRPr="009B54A6">
        <w:rPr>
          <w:bCs/>
          <w:sz w:val="22"/>
          <w:szCs w:val="22"/>
        </w:rPr>
        <w:t xml:space="preserve">N100 - LT/1/13/3337/033 </w:t>
      </w:r>
    </w:p>
    <w:p w14:paraId="7AED7A07" w14:textId="77777777" w:rsidR="000E5428" w:rsidRPr="009B54A6" w:rsidRDefault="000E5428" w:rsidP="000E5428">
      <w:pPr>
        <w:autoSpaceDE w:val="0"/>
        <w:autoSpaceDN w:val="0"/>
        <w:adjustRightInd w:val="0"/>
        <w:rPr>
          <w:color w:val="000000"/>
          <w:sz w:val="22"/>
          <w:szCs w:val="22"/>
          <w:lang w:eastAsia="lt-LT"/>
        </w:rPr>
      </w:pPr>
    </w:p>
    <w:p w14:paraId="036F4619" w14:textId="77777777" w:rsidR="000E5428" w:rsidRPr="009B54A6" w:rsidRDefault="000E5428" w:rsidP="000E5428">
      <w:pPr>
        <w:autoSpaceDE w:val="0"/>
        <w:autoSpaceDN w:val="0"/>
        <w:adjustRightInd w:val="0"/>
        <w:rPr>
          <w:color w:val="000000"/>
          <w:sz w:val="22"/>
          <w:szCs w:val="22"/>
          <w:lang w:eastAsia="lt-LT"/>
        </w:rPr>
      </w:pPr>
    </w:p>
    <w:p w14:paraId="5EE0E1C1" w14:textId="434CC5BE" w:rsidR="000E5428" w:rsidRPr="009B54A6" w:rsidRDefault="000E5428" w:rsidP="000E5428">
      <w:pPr>
        <w:autoSpaceDE w:val="0"/>
        <w:autoSpaceDN w:val="0"/>
        <w:adjustRightInd w:val="0"/>
        <w:rPr>
          <w:b/>
          <w:bCs/>
          <w:color w:val="000000"/>
          <w:sz w:val="22"/>
          <w:szCs w:val="22"/>
          <w:lang w:eastAsia="lt-LT"/>
        </w:rPr>
      </w:pPr>
      <w:r w:rsidRPr="009B54A6">
        <w:rPr>
          <w:b/>
          <w:bCs/>
          <w:color w:val="000000"/>
          <w:sz w:val="22"/>
          <w:szCs w:val="22"/>
          <w:lang w:eastAsia="lt-LT"/>
        </w:rPr>
        <w:t>9. R</w:t>
      </w:r>
      <w:r w:rsidR="00B63A45">
        <w:rPr>
          <w:b/>
          <w:bCs/>
          <w:color w:val="000000"/>
          <w:sz w:val="22"/>
          <w:szCs w:val="22"/>
          <w:lang w:eastAsia="lt-LT"/>
        </w:rPr>
        <w:t>EGISTRAVIMO /</w:t>
      </w:r>
      <w:r w:rsidR="003006B5">
        <w:rPr>
          <w:b/>
          <w:bCs/>
          <w:color w:val="000000"/>
          <w:sz w:val="22"/>
          <w:szCs w:val="22"/>
          <w:lang w:eastAsia="lt-LT"/>
        </w:rPr>
        <w:t xml:space="preserve"> </w:t>
      </w:r>
      <w:r w:rsidR="00B63A45">
        <w:rPr>
          <w:b/>
          <w:bCs/>
          <w:color w:val="000000"/>
          <w:sz w:val="22"/>
          <w:szCs w:val="22"/>
          <w:lang w:eastAsia="lt-LT"/>
        </w:rPr>
        <w:t xml:space="preserve">PERREGISTRAVIMO </w:t>
      </w:r>
      <w:r w:rsidRPr="009B54A6">
        <w:rPr>
          <w:b/>
          <w:bCs/>
          <w:color w:val="000000"/>
          <w:sz w:val="22"/>
          <w:szCs w:val="22"/>
          <w:lang w:eastAsia="lt-LT"/>
        </w:rPr>
        <w:t xml:space="preserve"> DATA</w:t>
      </w:r>
    </w:p>
    <w:p w14:paraId="74419D8D" w14:textId="77777777" w:rsidR="000E5428" w:rsidRPr="009B54A6" w:rsidRDefault="000E5428" w:rsidP="000E5428">
      <w:pPr>
        <w:autoSpaceDE w:val="0"/>
        <w:autoSpaceDN w:val="0"/>
        <w:adjustRightInd w:val="0"/>
        <w:rPr>
          <w:color w:val="000000"/>
          <w:sz w:val="22"/>
          <w:szCs w:val="22"/>
          <w:lang w:eastAsia="lt-LT"/>
        </w:rPr>
      </w:pPr>
    </w:p>
    <w:p w14:paraId="14460E68" w14:textId="734ACFC7" w:rsidR="000E5428" w:rsidRPr="009B54A6" w:rsidRDefault="000E5428" w:rsidP="000E5428">
      <w:pPr>
        <w:rPr>
          <w:sz w:val="22"/>
          <w:szCs w:val="22"/>
        </w:rPr>
      </w:pPr>
      <w:r w:rsidRPr="009B54A6">
        <w:rPr>
          <w:sz w:val="22"/>
          <w:szCs w:val="22"/>
        </w:rPr>
        <w:t>R</w:t>
      </w:r>
      <w:r w:rsidR="00B63A45">
        <w:rPr>
          <w:sz w:val="22"/>
          <w:szCs w:val="22"/>
        </w:rPr>
        <w:t xml:space="preserve">egistravimo data </w:t>
      </w:r>
      <w:r w:rsidRPr="009B54A6">
        <w:rPr>
          <w:sz w:val="22"/>
          <w:szCs w:val="22"/>
        </w:rPr>
        <w:t xml:space="preserve"> 2013 m. liepos mėn. 11 d.</w:t>
      </w:r>
    </w:p>
    <w:p w14:paraId="5EA359B6" w14:textId="77777777" w:rsidR="000E5428" w:rsidRPr="009B54A6" w:rsidRDefault="000E5428" w:rsidP="000E5428">
      <w:pPr>
        <w:autoSpaceDE w:val="0"/>
        <w:autoSpaceDN w:val="0"/>
        <w:adjustRightInd w:val="0"/>
        <w:rPr>
          <w:color w:val="000000"/>
          <w:sz w:val="22"/>
          <w:szCs w:val="22"/>
          <w:lang w:eastAsia="lt-LT"/>
        </w:rPr>
      </w:pPr>
    </w:p>
    <w:p w14:paraId="3BB58238" w14:textId="77777777" w:rsidR="000E5428" w:rsidRPr="009B54A6" w:rsidRDefault="000E5428" w:rsidP="000E5428">
      <w:pPr>
        <w:autoSpaceDE w:val="0"/>
        <w:autoSpaceDN w:val="0"/>
        <w:adjustRightInd w:val="0"/>
        <w:rPr>
          <w:color w:val="000000"/>
          <w:sz w:val="22"/>
          <w:szCs w:val="22"/>
          <w:lang w:eastAsia="lt-LT"/>
        </w:rPr>
      </w:pPr>
    </w:p>
    <w:p w14:paraId="3D5175C9" w14:textId="77777777" w:rsidR="000E5428" w:rsidRPr="009B54A6" w:rsidRDefault="000E5428" w:rsidP="000E5428">
      <w:pPr>
        <w:autoSpaceDE w:val="0"/>
        <w:autoSpaceDN w:val="0"/>
        <w:adjustRightInd w:val="0"/>
        <w:rPr>
          <w:b/>
          <w:bCs/>
          <w:color w:val="000000"/>
          <w:sz w:val="22"/>
          <w:szCs w:val="22"/>
          <w:lang w:eastAsia="lt-LT"/>
        </w:rPr>
      </w:pPr>
      <w:r w:rsidRPr="009B54A6">
        <w:rPr>
          <w:b/>
          <w:bCs/>
          <w:color w:val="000000"/>
          <w:sz w:val="22"/>
          <w:szCs w:val="22"/>
          <w:lang w:eastAsia="lt-LT"/>
        </w:rPr>
        <w:t>10. TEKSTO PERŽIŪROS DATA</w:t>
      </w:r>
    </w:p>
    <w:p w14:paraId="6DCA6046" w14:textId="77777777" w:rsidR="000E5428" w:rsidRPr="009B54A6" w:rsidRDefault="000E5428" w:rsidP="000E5428">
      <w:pPr>
        <w:tabs>
          <w:tab w:val="left" w:pos="567"/>
        </w:tabs>
        <w:rPr>
          <w:bCs/>
          <w:sz w:val="22"/>
          <w:szCs w:val="22"/>
        </w:rPr>
      </w:pPr>
    </w:p>
    <w:p w14:paraId="07DC461C" w14:textId="7D310349" w:rsidR="000E5428" w:rsidRDefault="00E62E9B" w:rsidP="000E5428">
      <w:pPr>
        <w:tabs>
          <w:tab w:val="left" w:pos="567"/>
        </w:tabs>
        <w:rPr>
          <w:sz w:val="22"/>
          <w:szCs w:val="22"/>
        </w:rPr>
      </w:pPr>
      <w:r>
        <w:rPr>
          <w:sz w:val="22"/>
          <w:szCs w:val="22"/>
        </w:rPr>
        <w:t>2015-12-30</w:t>
      </w:r>
    </w:p>
    <w:p w14:paraId="5C57FD61" w14:textId="77777777" w:rsidR="00E62E9B" w:rsidRPr="009B54A6" w:rsidRDefault="00E62E9B" w:rsidP="000E5428">
      <w:pPr>
        <w:tabs>
          <w:tab w:val="left" w:pos="567"/>
        </w:tabs>
        <w:rPr>
          <w:sz w:val="22"/>
          <w:szCs w:val="22"/>
        </w:rPr>
      </w:pPr>
    </w:p>
    <w:p w14:paraId="287A4A35" w14:textId="77777777" w:rsidR="000E5428" w:rsidRPr="009B54A6" w:rsidRDefault="000E5428" w:rsidP="000E5428">
      <w:pPr>
        <w:tabs>
          <w:tab w:val="left" w:pos="567"/>
        </w:tabs>
        <w:rPr>
          <w:sz w:val="22"/>
          <w:szCs w:val="22"/>
        </w:rPr>
      </w:pPr>
      <w:r w:rsidRPr="009B54A6">
        <w:rPr>
          <w:sz w:val="22"/>
          <w:szCs w:val="22"/>
        </w:rPr>
        <w:t xml:space="preserve">Išsami informacija apie šį vaistinį preparatą pateikiama Valstybinės vaistų kontrolės tarnybos prie Lietuvos Respublikos  sveikatos apsaugos ministerijos tinklalapyje </w:t>
      </w:r>
      <w:hyperlink r:id="rId11" w:history="1">
        <w:r w:rsidRPr="009B54A6">
          <w:rPr>
            <w:sz w:val="22"/>
            <w:szCs w:val="22"/>
          </w:rPr>
          <w:t>http://www.vvkt.lt</w:t>
        </w:r>
      </w:hyperlink>
    </w:p>
    <w:p w14:paraId="767DA945" w14:textId="77777777" w:rsidR="000E5428" w:rsidRPr="009B54A6" w:rsidRDefault="000E5428" w:rsidP="000E5428">
      <w:pPr>
        <w:tabs>
          <w:tab w:val="left" w:pos="567"/>
        </w:tabs>
        <w:rPr>
          <w:b/>
          <w:bCs/>
          <w:sz w:val="22"/>
          <w:szCs w:val="22"/>
        </w:rPr>
      </w:pPr>
    </w:p>
    <w:p w14:paraId="4DD3A9FC" w14:textId="77777777" w:rsidR="000E5428" w:rsidRPr="009B54A6" w:rsidRDefault="000E5428" w:rsidP="000E5428">
      <w:pPr>
        <w:rPr>
          <w:sz w:val="22"/>
          <w:szCs w:val="22"/>
        </w:rPr>
      </w:pPr>
      <w:r w:rsidRPr="009B54A6">
        <w:rPr>
          <w:sz w:val="22"/>
          <w:szCs w:val="22"/>
        </w:rPr>
        <w:br w:type="page"/>
      </w:r>
    </w:p>
    <w:p w14:paraId="4C2D145E" w14:textId="77777777" w:rsidR="000E5428" w:rsidRPr="009B54A6" w:rsidRDefault="000E5428" w:rsidP="000E5428">
      <w:pPr>
        <w:tabs>
          <w:tab w:val="left" w:pos="567"/>
        </w:tabs>
        <w:jc w:val="center"/>
        <w:outlineLvl w:val="0"/>
        <w:rPr>
          <w:b/>
          <w:caps/>
          <w:sz w:val="22"/>
          <w:szCs w:val="22"/>
        </w:rPr>
      </w:pPr>
    </w:p>
    <w:p w14:paraId="78734298" w14:textId="77777777" w:rsidR="000E5428" w:rsidRPr="009B54A6" w:rsidRDefault="000E5428" w:rsidP="000E5428">
      <w:pPr>
        <w:tabs>
          <w:tab w:val="left" w:pos="567"/>
        </w:tabs>
        <w:jc w:val="center"/>
        <w:outlineLvl w:val="0"/>
        <w:rPr>
          <w:b/>
          <w:caps/>
          <w:sz w:val="22"/>
          <w:szCs w:val="22"/>
        </w:rPr>
      </w:pPr>
    </w:p>
    <w:p w14:paraId="78CEC95C" w14:textId="77777777" w:rsidR="000E5428" w:rsidRPr="009B54A6" w:rsidRDefault="000E5428" w:rsidP="000E5428">
      <w:pPr>
        <w:tabs>
          <w:tab w:val="left" w:pos="567"/>
        </w:tabs>
        <w:jc w:val="center"/>
        <w:outlineLvl w:val="0"/>
        <w:rPr>
          <w:b/>
          <w:caps/>
          <w:sz w:val="22"/>
          <w:szCs w:val="22"/>
        </w:rPr>
      </w:pPr>
    </w:p>
    <w:p w14:paraId="300FD046" w14:textId="77777777" w:rsidR="000E5428" w:rsidRPr="009B54A6" w:rsidRDefault="000E5428" w:rsidP="000E5428">
      <w:pPr>
        <w:tabs>
          <w:tab w:val="left" w:pos="567"/>
        </w:tabs>
        <w:jc w:val="center"/>
        <w:outlineLvl w:val="0"/>
        <w:rPr>
          <w:b/>
          <w:caps/>
          <w:sz w:val="22"/>
          <w:szCs w:val="22"/>
        </w:rPr>
      </w:pPr>
    </w:p>
    <w:p w14:paraId="69B5DF06" w14:textId="77777777" w:rsidR="000E5428" w:rsidRPr="009B54A6" w:rsidRDefault="000E5428" w:rsidP="000E5428">
      <w:pPr>
        <w:tabs>
          <w:tab w:val="left" w:pos="567"/>
        </w:tabs>
        <w:jc w:val="center"/>
        <w:outlineLvl w:val="0"/>
        <w:rPr>
          <w:b/>
          <w:caps/>
          <w:sz w:val="22"/>
          <w:szCs w:val="22"/>
        </w:rPr>
      </w:pPr>
    </w:p>
    <w:p w14:paraId="0139E1F8" w14:textId="77777777" w:rsidR="000E5428" w:rsidRPr="009B54A6" w:rsidRDefault="000E5428" w:rsidP="000E5428">
      <w:pPr>
        <w:tabs>
          <w:tab w:val="left" w:pos="567"/>
        </w:tabs>
        <w:jc w:val="center"/>
        <w:outlineLvl w:val="0"/>
        <w:rPr>
          <w:b/>
          <w:caps/>
          <w:sz w:val="22"/>
          <w:szCs w:val="22"/>
        </w:rPr>
      </w:pPr>
    </w:p>
    <w:p w14:paraId="249E9314" w14:textId="77777777" w:rsidR="000E5428" w:rsidRPr="009B54A6" w:rsidRDefault="000E5428" w:rsidP="000E5428">
      <w:pPr>
        <w:tabs>
          <w:tab w:val="left" w:pos="567"/>
        </w:tabs>
        <w:jc w:val="center"/>
        <w:outlineLvl w:val="0"/>
        <w:rPr>
          <w:b/>
          <w:caps/>
          <w:sz w:val="22"/>
          <w:szCs w:val="22"/>
        </w:rPr>
      </w:pPr>
    </w:p>
    <w:p w14:paraId="727D31A4" w14:textId="77777777" w:rsidR="000E5428" w:rsidRPr="009B54A6" w:rsidRDefault="000E5428" w:rsidP="000E5428">
      <w:pPr>
        <w:tabs>
          <w:tab w:val="left" w:pos="567"/>
        </w:tabs>
        <w:jc w:val="center"/>
        <w:outlineLvl w:val="0"/>
        <w:rPr>
          <w:b/>
          <w:caps/>
          <w:sz w:val="22"/>
          <w:szCs w:val="22"/>
        </w:rPr>
      </w:pPr>
    </w:p>
    <w:p w14:paraId="47E661F1" w14:textId="77777777" w:rsidR="000E5428" w:rsidRPr="009B54A6" w:rsidRDefault="000E5428" w:rsidP="000E5428">
      <w:pPr>
        <w:tabs>
          <w:tab w:val="left" w:pos="567"/>
        </w:tabs>
        <w:jc w:val="center"/>
        <w:outlineLvl w:val="0"/>
        <w:rPr>
          <w:b/>
          <w:caps/>
          <w:sz w:val="22"/>
          <w:szCs w:val="22"/>
        </w:rPr>
      </w:pPr>
    </w:p>
    <w:p w14:paraId="6C48386F" w14:textId="77777777" w:rsidR="000E5428" w:rsidRPr="009B54A6" w:rsidRDefault="000E5428" w:rsidP="000E5428">
      <w:pPr>
        <w:tabs>
          <w:tab w:val="left" w:pos="567"/>
        </w:tabs>
        <w:jc w:val="center"/>
        <w:outlineLvl w:val="0"/>
        <w:rPr>
          <w:b/>
          <w:caps/>
          <w:sz w:val="22"/>
          <w:szCs w:val="22"/>
        </w:rPr>
      </w:pPr>
    </w:p>
    <w:p w14:paraId="29A9EB05" w14:textId="77777777" w:rsidR="000E5428" w:rsidRPr="009B54A6" w:rsidRDefault="000E5428" w:rsidP="000E5428">
      <w:pPr>
        <w:tabs>
          <w:tab w:val="left" w:pos="567"/>
        </w:tabs>
        <w:jc w:val="center"/>
        <w:outlineLvl w:val="0"/>
        <w:rPr>
          <w:b/>
          <w:caps/>
          <w:sz w:val="22"/>
          <w:szCs w:val="22"/>
        </w:rPr>
      </w:pPr>
    </w:p>
    <w:p w14:paraId="76A9D97B" w14:textId="77777777" w:rsidR="000E5428" w:rsidRPr="009B54A6" w:rsidRDefault="000E5428" w:rsidP="000E5428">
      <w:pPr>
        <w:tabs>
          <w:tab w:val="left" w:pos="567"/>
        </w:tabs>
        <w:jc w:val="center"/>
        <w:outlineLvl w:val="0"/>
        <w:rPr>
          <w:b/>
          <w:caps/>
          <w:sz w:val="22"/>
          <w:szCs w:val="22"/>
        </w:rPr>
      </w:pPr>
    </w:p>
    <w:p w14:paraId="6D094C80" w14:textId="77777777" w:rsidR="000E5428" w:rsidRPr="009B54A6" w:rsidRDefault="000E5428" w:rsidP="000E5428">
      <w:pPr>
        <w:tabs>
          <w:tab w:val="left" w:pos="567"/>
        </w:tabs>
        <w:jc w:val="center"/>
        <w:outlineLvl w:val="0"/>
        <w:rPr>
          <w:b/>
          <w:caps/>
          <w:sz w:val="22"/>
          <w:szCs w:val="22"/>
        </w:rPr>
      </w:pPr>
    </w:p>
    <w:p w14:paraId="18C8BE6B" w14:textId="77777777" w:rsidR="000E5428" w:rsidRPr="009B54A6" w:rsidRDefault="000E5428" w:rsidP="000E5428">
      <w:pPr>
        <w:tabs>
          <w:tab w:val="left" w:pos="567"/>
        </w:tabs>
        <w:jc w:val="center"/>
        <w:outlineLvl w:val="0"/>
        <w:rPr>
          <w:b/>
          <w:caps/>
          <w:sz w:val="22"/>
          <w:szCs w:val="22"/>
        </w:rPr>
      </w:pPr>
    </w:p>
    <w:p w14:paraId="683DC258" w14:textId="77777777" w:rsidR="000E5428" w:rsidRPr="009B54A6" w:rsidRDefault="000E5428" w:rsidP="000E5428">
      <w:pPr>
        <w:tabs>
          <w:tab w:val="left" w:pos="567"/>
        </w:tabs>
        <w:jc w:val="center"/>
        <w:outlineLvl w:val="0"/>
        <w:rPr>
          <w:b/>
          <w:caps/>
          <w:sz w:val="22"/>
          <w:szCs w:val="22"/>
        </w:rPr>
      </w:pPr>
    </w:p>
    <w:p w14:paraId="2455A202" w14:textId="77777777" w:rsidR="000E5428" w:rsidRPr="009B54A6" w:rsidRDefault="000E5428" w:rsidP="000E5428">
      <w:pPr>
        <w:tabs>
          <w:tab w:val="left" w:pos="567"/>
        </w:tabs>
        <w:jc w:val="center"/>
        <w:outlineLvl w:val="0"/>
        <w:rPr>
          <w:b/>
          <w:caps/>
          <w:sz w:val="22"/>
          <w:szCs w:val="22"/>
        </w:rPr>
      </w:pPr>
    </w:p>
    <w:p w14:paraId="0434D9C2" w14:textId="77777777" w:rsidR="000E5428" w:rsidRPr="009B54A6" w:rsidRDefault="000E5428" w:rsidP="000E5428">
      <w:pPr>
        <w:tabs>
          <w:tab w:val="left" w:pos="567"/>
        </w:tabs>
        <w:jc w:val="center"/>
        <w:outlineLvl w:val="0"/>
        <w:rPr>
          <w:b/>
          <w:caps/>
          <w:sz w:val="22"/>
          <w:szCs w:val="22"/>
        </w:rPr>
      </w:pPr>
    </w:p>
    <w:p w14:paraId="7A928F56" w14:textId="77777777" w:rsidR="000E5428" w:rsidRPr="009B54A6" w:rsidRDefault="000E5428" w:rsidP="000E5428">
      <w:pPr>
        <w:tabs>
          <w:tab w:val="left" w:pos="567"/>
        </w:tabs>
        <w:jc w:val="center"/>
        <w:outlineLvl w:val="0"/>
        <w:rPr>
          <w:b/>
          <w:caps/>
          <w:sz w:val="22"/>
          <w:szCs w:val="22"/>
        </w:rPr>
      </w:pPr>
    </w:p>
    <w:p w14:paraId="6391C85B" w14:textId="77777777" w:rsidR="000E5428" w:rsidRPr="009B54A6" w:rsidRDefault="000E5428" w:rsidP="000E5428">
      <w:pPr>
        <w:tabs>
          <w:tab w:val="left" w:pos="567"/>
        </w:tabs>
        <w:jc w:val="center"/>
        <w:outlineLvl w:val="0"/>
        <w:rPr>
          <w:b/>
          <w:caps/>
          <w:sz w:val="22"/>
          <w:szCs w:val="22"/>
        </w:rPr>
      </w:pPr>
    </w:p>
    <w:p w14:paraId="6AC03D79" w14:textId="77777777" w:rsidR="000E5428" w:rsidRPr="009B54A6" w:rsidRDefault="000E5428" w:rsidP="000E5428">
      <w:pPr>
        <w:tabs>
          <w:tab w:val="left" w:pos="567"/>
        </w:tabs>
        <w:jc w:val="center"/>
        <w:outlineLvl w:val="0"/>
        <w:rPr>
          <w:b/>
          <w:caps/>
          <w:sz w:val="22"/>
          <w:szCs w:val="22"/>
        </w:rPr>
      </w:pPr>
    </w:p>
    <w:p w14:paraId="6C0332CE" w14:textId="77777777" w:rsidR="000E5428" w:rsidRPr="009B54A6" w:rsidRDefault="000E5428" w:rsidP="000E5428">
      <w:pPr>
        <w:tabs>
          <w:tab w:val="left" w:pos="567"/>
        </w:tabs>
        <w:jc w:val="center"/>
        <w:outlineLvl w:val="0"/>
        <w:rPr>
          <w:b/>
          <w:caps/>
          <w:sz w:val="22"/>
          <w:szCs w:val="22"/>
        </w:rPr>
      </w:pPr>
    </w:p>
    <w:p w14:paraId="51C0FF99" w14:textId="77777777" w:rsidR="000E5428" w:rsidRPr="009B54A6" w:rsidRDefault="000E5428" w:rsidP="000E5428">
      <w:pPr>
        <w:tabs>
          <w:tab w:val="left" w:pos="567"/>
        </w:tabs>
        <w:jc w:val="center"/>
        <w:outlineLvl w:val="0"/>
        <w:rPr>
          <w:b/>
          <w:caps/>
          <w:sz w:val="22"/>
          <w:szCs w:val="22"/>
        </w:rPr>
      </w:pPr>
    </w:p>
    <w:p w14:paraId="741A66AC" w14:textId="77777777" w:rsidR="000E5428" w:rsidRPr="009B54A6" w:rsidRDefault="000E5428" w:rsidP="000E5428">
      <w:pPr>
        <w:tabs>
          <w:tab w:val="left" w:pos="567"/>
        </w:tabs>
        <w:jc w:val="center"/>
        <w:outlineLvl w:val="0"/>
        <w:rPr>
          <w:b/>
          <w:caps/>
          <w:sz w:val="22"/>
          <w:szCs w:val="22"/>
        </w:rPr>
      </w:pPr>
    </w:p>
    <w:p w14:paraId="33E1C960" w14:textId="77777777" w:rsidR="000E5428" w:rsidRPr="009B54A6" w:rsidRDefault="000E5428" w:rsidP="000E5428">
      <w:pPr>
        <w:tabs>
          <w:tab w:val="left" w:pos="567"/>
        </w:tabs>
        <w:jc w:val="center"/>
        <w:outlineLvl w:val="0"/>
        <w:rPr>
          <w:b/>
          <w:caps/>
          <w:sz w:val="22"/>
          <w:szCs w:val="22"/>
        </w:rPr>
      </w:pPr>
      <w:r w:rsidRPr="009B54A6">
        <w:rPr>
          <w:b/>
          <w:caps/>
          <w:sz w:val="22"/>
          <w:szCs w:val="22"/>
        </w:rPr>
        <w:t>II PRIEDAS</w:t>
      </w:r>
    </w:p>
    <w:p w14:paraId="77F72922" w14:textId="77777777" w:rsidR="000E5428" w:rsidRPr="009B54A6" w:rsidRDefault="000E5428" w:rsidP="000E5428">
      <w:pPr>
        <w:tabs>
          <w:tab w:val="left" w:pos="567"/>
        </w:tabs>
        <w:jc w:val="center"/>
        <w:outlineLvl w:val="0"/>
        <w:rPr>
          <w:b/>
          <w:caps/>
          <w:sz w:val="22"/>
          <w:szCs w:val="22"/>
        </w:rPr>
      </w:pPr>
    </w:p>
    <w:p w14:paraId="5FF20592" w14:textId="0707C3D9" w:rsidR="000E5428" w:rsidRPr="009B54A6" w:rsidRDefault="000E5428" w:rsidP="000E5428">
      <w:pPr>
        <w:tabs>
          <w:tab w:val="left" w:pos="567"/>
          <w:tab w:val="left" w:pos="1620"/>
        </w:tabs>
        <w:ind w:left="567" w:hanging="567"/>
        <w:jc w:val="center"/>
        <w:outlineLvl w:val="0"/>
        <w:rPr>
          <w:b/>
          <w:caps/>
          <w:sz w:val="22"/>
          <w:szCs w:val="22"/>
        </w:rPr>
      </w:pPr>
      <w:r w:rsidRPr="009B54A6">
        <w:rPr>
          <w:b/>
          <w:caps/>
          <w:sz w:val="22"/>
          <w:szCs w:val="22"/>
        </w:rPr>
        <w:t>R</w:t>
      </w:r>
      <w:r w:rsidR="00B63A45">
        <w:rPr>
          <w:b/>
          <w:caps/>
          <w:sz w:val="22"/>
          <w:szCs w:val="22"/>
        </w:rPr>
        <w:t xml:space="preserve">EGISTRACIJOS </w:t>
      </w:r>
      <w:r w:rsidRPr="009B54A6">
        <w:rPr>
          <w:b/>
          <w:caps/>
          <w:sz w:val="22"/>
          <w:szCs w:val="22"/>
        </w:rPr>
        <w:t xml:space="preserve"> SĄLYGOS</w:t>
      </w:r>
    </w:p>
    <w:p w14:paraId="62CC9491" w14:textId="77777777" w:rsidR="000E5428" w:rsidRPr="009B54A6" w:rsidRDefault="000E5428" w:rsidP="000E5428">
      <w:pPr>
        <w:tabs>
          <w:tab w:val="left" w:pos="567"/>
        </w:tabs>
        <w:rPr>
          <w:noProof/>
          <w:sz w:val="22"/>
          <w:szCs w:val="22"/>
        </w:rPr>
      </w:pPr>
    </w:p>
    <w:p w14:paraId="5D6C7968" w14:textId="77777777" w:rsidR="000E5428" w:rsidRPr="009B54A6" w:rsidRDefault="000E5428" w:rsidP="000E5428">
      <w:pPr>
        <w:tabs>
          <w:tab w:val="left" w:pos="567"/>
          <w:tab w:val="left" w:pos="1701"/>
        </w:tabs>
        <w:ind w:left="1134"/>
        <w:rPr>
          <w:b/>
          <w:sz w:val="22"/>
          <w:szCs w:val="22"/>
        </w:rPr>
      </w:pPr>
      <w:r w:rsidRPr="009B54A6">
        <w:rPr>
          <w:b/>
          <w:sz w:val="22"/>
          <w:szCs w:val="22"/>
        </w:rPr>
        <w:t>A.</w:t>
      </w:r>
      <w:r w:rsidRPr="009B54A6">
        <w:rPr>
          <w:b/>
          <w:sz w:val="22"/>
          <w:szCs w:val="22"/>
        </w:rPr>
        <w:tab/>
        <w:t>GAMINTOJAI, ATSAKINGI UŽ SERIJŲ IŠLEIDIMĄ</w:t>
      </w:r>
    </w:p>
    <w:p w14:paraId="257A78DA" w14:textId="77777777" w:rsidR="000E5428" w:rsidRPr="009B54A6" w:rsidRDefault="000E5428" w:rsidP="000E5428">
      <w:pPr>
        <w:tabs>
          <w:tab w:val="left" w:pos="567"/>
        </w:tabs>
        <w:rPr>
          <w:noProof/>
          <w:sz w:val="22"/>
          <w:szCs w:val="22"/>
        </w:rPr>
      </w:pPr>
    </w:p>
    <w:p w14:paraId="667B1683" w14:textId="77777777" w:rsidR="000E5428" w:rsidRPr="009B54A6" w:rsidRDefault="000E5428" w:rsidP="000E5428">
      <w:pPr>
        <w:tabs>
          <w:tab w:val="left" w:pos="567"/>
          <w:tab w:val="left" w:pos="1701"/>
        </w:tabs>
        <w:ind w:left="1134"/>
        <w:rPr>
          <w:b/>
          <w:sz w:val="22"/>
          <w:szCs w:val="22"/>
        </w:rPr>
      </w:pPr>
      <w:r w:rsidRPr="009B54A6">
        <w:rPr>
          <w:b/>
          <w:sz w:val="22"/>
          <w:szCs w:val="22"/>
        </w:rPr>
        <w:t>B.</w:t>
      </w:r>
      <w:r w:rsidRPr="009B54A6">
        <w:rPr>
          <w:b/>
          <w:sz w:val="22"/>
          <w:szCs w:val="22"/>
        </w:rPr>
        <w:tab/>
        <w:t>TIEKIMO IR VARTOJIMO SĄLYGOS AR APRIBOJIMAI</w:t>
      </w:r>
    </w:p>
    <w:p w14:paraId="1B1B9F32" w14:textId="77777777" w:rsidR="000E5428" w:rsidRPr="009B54A6" w:rsidRDefault="000E5428" w:rsidP="000E5428">
      <w:pPr>
        <w:tabs>
          <w:tab w:val="left" w:pos="567"/>
        </w:tabs>
        <w:rPr>
          <w:b/>
          <w:sz w:val="22"/>
          <w:szCs w:val="22"/>
          <w:lang w:eastAsia="lt-LT"/>
        </w:rPr>
      </w:pPr>
      <w:r w:rsidRPr="009B54A6">
        <w:rPr>
          <w:sz w:val="22"/>
          <w:szCs w:val="22"/>
          <w:lang w:eastAsia="lt-LT"/>
        </w:rPr>
        <w:br w:type="page"/>
      </w:r>
      <w:r w:rsidRPr="009B54A6">
        <w:rPr>
          <w:b/>
          <w:sz w:val="22"/>
          <w:szCs w:val="22"/>
          <w:lang w:eastAsia="lt-LT"/>
        </w:rPr>
        <w:lastRenderedPageBreak/>
        <w:t xml:space="preserve">A. </w:t>
      </w:r>
      <w:r w:rsidRPr="009B54A6">
        <w:rPr>
          <w:b/>
          <w:sz w:val="22"/>
          <w:szCs w:val="22"/>
          <w:lang w:eastAsia="lt-LT"/>
        </w:rPr>
        <w:tab/>
        <w:t>GAMINTOJAI ATSAKINGI UŽ UŽ SERIJŲ IŠLEIDIMĄ</w:t>
      </w:r>
    </w:p>
    <w:p w14:paraId="0DB70175" w14:textId="77777777" w:rsidR="000E5428" w:rsidRPr="009B54A6" w:rsidRDefault="000E5428" w:rsidP="000E5428">
      <w:pPr>
        <w:tabs>
          <w:tab w:val="left" w:pos="567"/>
        </w:tabs>
        <w:rPr>
          <w:sz w:val="22"/>
          <w:szCs w:val="22"/>
          <w:lang w:eastAsia="lt-LT"/>
        </w:rPr>
      </w:pPr>
    </w:p>
    <w:p w14:paraId="40BF9323" w14:textId="77777777" w:rsidR="000E5428" w:rsidRPr="009B54A6" w:rsidRDefault="000E5428" w:rsidP="000E5428">
      <w:pPr>
        <w:tabs>
          <w:tab w:val="left" w:pos="567"/>
        </w:tabs>
        <w:rPr>
          <w:noProof/>
          <w:sz w:val="22"/>
          <w:szCs w:val="22"/>
          <w:u w:val="single"/>
        </w:rPr>
      </w:pPr>
      <w:r w:rsidRPr="009B54A6">
        <w:rPr>
          <w:noProof/>
          <w:sz w:val="22"/>
          <w:szCs w:val="22"/>
          <w:u w:val="single"/>
        </w:rPr>
        <w:t>Gamintojų, atsakingų už serijų išleidimą, pavadinimai ir adresai</w:t>
      </w:r>
    </w:p>
    <w:p w14:paraId="107C70F2" w14:textId="77777777" w:rsidR="000E5428" w:rsidRPr="009B54A6" w:rsidRDefault="000E5428" w:rsidP="000E5428">
      <w:pPr>
        <w:tabs>
          <w:tab w:val="left" w:pos="567"/>
        </w:tabs>
        <w:rPr>
          <w:sz w:val="22"/>
          <w:szCs w:val="22"/>
          <w:lang w:eastAsia="lt-LT"/>
        </w:rPr>
      </w:pPr>
    </w:p>
    <w:p w14:paraId="1105B57B" w14:textId="77777777" w:rsidR="000E5428" w:rsidRPr="009B54A6" w:rsidRDefault="000E5428" w:rsidP="000E5428">
      <w:pPr>
        <w:tabs>
          <w:tab w:val="left" w:pos="1260"/>
        </w:tabs>
        <w:rPr>
          <w:bCs/>
          <w:sz w:val="22"/>
          <w:szCs w:val="22"/>
        </w:rPr>
      </w:pPr>
      <w:r w:rsidRPr="009B54A6">
        <w:rPr>
          <w:bCs/>
          <w:sz w:val="22"/>
          <w:szCs w:val="22"/>
        </w:rPr>
        <w:t>Lek Pharmaceuticals d.d.</w:t>
      </w:r>
    </w:p>
    <w:p w14:paraId="230FE0B0" w14:textId="77777777" w:rsidR="000E5428" w:rsidRPr="009B54A6" w:rsidRDefault="000E5428" w:rsidP="000E5428">
      <w:pPr>
        <w:tabs>
          <w:tab w:val="left" w:pos="1260"/>
        </w:tabs>
        <w:rPr>
          <w:bCs/>
          <w:sz w:val="22"/>
          <w:szCs w:val="22"/>
        </w:rPr>
      </w:pPr>
      <w:r w:rsidRPr="009B54A6">
        <w:rPr>
          <w:bCs/>
          <w:sz w:val="22"/>
          <w:szCs w:val="22"/>
        </w:rPr>
        <w:t>Verovškova 57, 1526 Ljubljana</w:t>
      </w:r>
    </w:p>
    <w:p w14:paraId="332B91D6" w14:textId="77777777" w:rsidR="000E5428" w:rsidRPr="009B54A6" w:rsidRDefault="000E5428" w:rsidP="000E5428">
      <w:pPr>
        <w:tabs>
          <w:tab w:val="left" w:pos="1260"/>
        </w:tabs>
        <w:rPr>
          <w:bCs/>
          <w:sz w:val="22"/>
          <w:szCs w:val="22"/>
        </w:rPr>
      </w:pPr>
      <w:r w:rsidRPr="009B54A6">
        <w:rPr>
          <w:bCs/>
          <w:sz w:val="22"/>
          <w:szCs w:val="22"/>
        </w:rPr>
        <w:t>Slovėnija</w:t>
      </w:r>
    </w:p>
    <w:p w14:paraId="298686AD" w14:textId="77777777" w:rsidR="000E5428" w:rsidRPr="009B54A6" w:rsidRDefault="000E5428" w:rsidP="000E5428">
      <w:pPr>
        <w:tabs>
          <w:tab w:val="left" w:pos="1260"/>
        </w:tabs>
        <w:rPr>
          <w:bCs/>
          <w:sz w:val="22"/>
          <w:szCs w:val="22"/>
        </w:rPr>
      </w:pPr>
    </w:p>
    <w:p w14:paraId="28E95CB6" w14:textId="77777777" w:rsidR="000E5428" w:rsidRPr="009B54A6" w:rsidRDefault="000E5428" w:rsidP="000E5428">
      <w:pPr>
        <w:tabs>
          <w:tab w:val="left" w:pos="1260"/>
        </w:tabs>
        <w:rPr>
          <w:bCs/>
          <w:sz w:val="22"/>
          <w:szCs w:val="22"/>
        </w:rPr>
      </w:pPr>
      <w:r w:rsidRPr="009B54A6">
        <w:rPr>
          <w:bCs/>
          <w:sz w:val="22"/>
          <w:szCs w:val="22"/>
        </w:rPr>
        <w:t>arba</w:t>
      </w:r>
    </w:p>
    <w:p w14:paraId="1B967EFF" w14:textId="77777777" w:rsidR="000E5428" w:rsidRPr="009B54A6" w:rsidRDefault="000E5428" w:rsidP="000E5428">
      <w:pPr>
        <w:tabs>
          <w:tab w:val="left" w:pos="1260"/>
        </w:tabs>
        <w:rPr>
          <w:bCs/>
          <w:sz w:val="22"/>
          <w:szCs w:val="22"/>
        </w:rPr>
      </w:pPr>
    </w:p>
    <w:p w14:paraId="7792BE0C" w14:textId="77777777" w:rsidR="000E5428" w:rsidRPr="009B54A6" w:rsidRDefault="000E5428" w:rsidP="000E5428">
      <w:pPr>
        <w:rPr>
          <w:sz w:val="22"/>
          <w:szCs w:val="22"/>
          <w:lang w:eastAsia="de-DE"/>
        </w:rPr>
      </w:pPr>
      <w:r w:rsidRPr="009B54A6">
        <w:rPr>
          <w:sz w:val="22"/>
          <w:szCs w:val="22"/>
          <w:lang w:eastAsia="de-DE"/>
        </w:rPr>
        <w:t xml:space="preserve">Lek S.A. </w:t>
      </w:r>
    </w:p>
    <w:p w14:paraId="5391C227" w14:textId="77777777" w:rsidR="000E5428" w:rsidRPr="009B54A6" w:rsidRDefault="000E5428" w:rsidP="000E5428">
      <w:pPr>
        <w:tabs>
          <w:tab w:val="left" w:pos="1260"/>
        </w:tabs>
        <w:rPr>
          <w:sz w:val="22"/>
          <w:szCs w:val="22"/>
        </w:rPr>
      </w:pPr>
      <w:r w:rsidRPr="009B54A6">
        <w:rPr>
          <w:sz w:val="22"/>
          <w:szCs w:val="22"/>
        </w:rPr>
        <w:t>ul. Domaniewska 50 C, 02-672 Warszawa</w:t>
      </w:r>
    </w:p>
    <w:p w14:paraId="19D22C4F" w14:textId="77777777" w:rsidR="000E5428" w:rsidRPr="009B54A6" w:rsidRDefault="000E5428" w:rsidP="000E5428">
      <w:pPr>
        <w:tabs>
          <w:tab w:val="left" w:pos="1260"/>
        </w:tabs>
        <w:rPr>
          <w:sz w:val="22"/>
          <w:szCs w:val="22"/>
        </w:rPr>
      </w:pPr>
      <w:r w:rsidRPr="009B54A6">
        <w:rPr>
          <w:sz w:val="22"/>
          <w:szCs w:val="22"/>
        </w:rPr>
        <w:t>Lenkija</w:t>
      </w:r>
    </w:p>
    <w:p w14:paraId="2EFA99E2" w14:textId="77777777" w:rsidR="000E5428" w:rsidRPr="009B54A6" w:rsidRDefault="000E5428" w:rsidP="000E5428">
      <w:pPr>
        <w:tabs>
          <w:tab w:val="left" w:pos="567"/>
        </w:tabs>
        <w:rPr>
          <w:sz w:val="22"/>
          <w:szCs w:val="22"/>
          <w:lang w:eastAsia="lt-LT"/>
        </w:rPr>
      </w:pPr>
    </w:p>
    <w:p w14:paraId="5EEE3C01" w14:textId="77777777" w:rsidR="000E5428" w:rsidRPr="009B54A6" w:rsidRDefault="000E5428" w:rsidP="000E5428">
      <w:pPr>
        <w:tabs>
          <w:tab w:val="left" w:pos="567"/>
        </w:tabs>
        <w:rPr>
          <w:sz w:val="22"/>
          <w:szCs w:val="22"/>
          <w:lang w:eastAsia="lt-LT"/>
        </w:rPr>
      </w:pPr>
      <w:r w:rsidRPr="009B54A6">
        <w:rPr>
          <w:sz w:val="22"/>
          <w:szCs w:val="22"/>
          <w:lang w:eastAsia="lt-LT"/>
        </w:rPr>
        <w:t>arba</w:t>
      </w:r>
    </w:p>
    <w:p w14:paraId="7480E873" w14:textId="77777777" w:rsidR="000E5428" w:rsidRPr="009B54A6" w:rsidRDefault="000E5428" w:rsidP="000E5428">
      <w:pPr>
        <w:tabs>
          <w:tab w:val="left" w:pos="567"/>
        </w:tabs>
        <w:rPr>
          <w:sz w:val="22"/>
          <w:szCs w:val="22"/>
          <w:lang w:eastAsia="lt-LT"/>
        </w:rPr>
      </w:pPr>
    </w:p>
    <w:p w14:paraId="106267CF" w14:textId="77777777" w:rsidR="000E5428" w:rsidRPr="009B54A6" w:rsidRDefault="000E5428" w:rsidP="000E5428">
      <w:pPr>
        <w:tabs>
          <w:tab w:val="left" w:pos="1260"/>
        </w:tabs>
        <w:rPr>
          <w:sz w:val="22"/>
          <w:szCs w:val="22"/>
        </w:rPr>
      </w:pPr>
      <w:r w:rsidRPr="009B54A6">
        <w:rPr>
          <w:sz w:val="22"/>
          <w:szCs w:val="22"/>
        </w:rPr>
        <w:t>Salutas Pharma GmbH</w:t>
      </w:r>
    </w:p>
    <w:p w14:paraId="2A35368F" w14:textId="77777777" w:rsidR="000E5428" w:rsidRPr="009B54A6" w:rsidRDefault="000E5428" w:rsidP="000E5428">
      <w:pPr>
        <w:tabs>
          <w:tab w:val="left" w:pos="1260"/>
        </w:tabs>
        <w:rPr>
          <w:sz w:val="22"/>
          <w:szCs w:val="22"/>
        </w:rPr>
      </w:pPr>
      <w:r w:rsidRPr="009B54A6">
        <w:rPr>
          <w:sz w:val="22"/>
          <w:szCs w:val="22"/>
        </w:rPr>
        <w:t>Otto-von-Guericke-Allee 1, 39179 Barleben</w:t>
      </w:r>
    </w:p>
    <w:p w14:paraId="567AD4EE" w14:textId="77777777" w:rsidR="000E5428" w:rsidRPr="009B54A6" w:rsidRDefault="000E5428" w:rsidP="000E5428">
      <w:pPr>
        <w:tabs>
          <w:tab w:val="left" w:pos="1260"/>
        </w:tabs>
        <w:rPr>
          <w:sz w:val="22"/>
          <w:szCs w:val="22"/>
        </w:rPr>
      </w:pPr>
      <w:r w:rsidRPr="009B54A6">
        <w:rPr>
          <w:sz w:val="22"/>
          <w:szCs w:val="22"/>
        </w:rPr>
        <w:t>Vokietija</w:t>
      </w:r>
    </w:p>
    <w:p w14:paraId="41478527" w14:textId="77777777" w:rsidR="000E5428" w:rsidRPr="009B54A6" w:rsidRDefault="000E5428" w:rsidP="000E5428">
      <w:pPr>
        <w:tabs>
          <w:tab w:val="left" w:pos="567"/>
        </w:tabs>
        <w:rPr>
          <w:sz w:val="22"/>
          <w:szCs w:val="22"/>
          <w:lang w:eastAsia="lt-LT"/>
        </w:rPr>
      </w:pPr>
    </w:p>
    <w:p w14:paraId="6FCC0913" w14:textId="77777777" w:rsidR="000E5428" w:rsidRPr="009B54A6" w:rsidRDefault="000E5428" w:rsidP="000E5428">
      <w:pPr>
        <w:tabs>
          <w:tab w:val="left" w:pos="567"/>
        </w:tabs>
        <w:rPr>
          <w:sz w:val="22"/>
          <w:szCs w:val="22"/>
          <w:lang w:eastAsia="lt-LT"/>
        </w:rPr>
      </w:pPr>
      <w:r w:rsidRPr="009B54A6">
        <w:rPr>
          <w:sz w:val="22"/>
          <w:szCs w:val="22"/>
          <w:lang w:eastAsia="lt-LT"/>
        </w:rPr>
        <w:t>arba</w:t>
      </w:r>
    </w:p>
    <w:p w14:paraId="01850AED" w14:textId="77777777" w:rsidR="000E5428" w:rsidRPr="009B54A6" w:rsidRDefault="000E5428" w:rsidP="000E5428">
      <w:pPr>
        <w:tabs>
          <w:tab w:val="left" w:pos="567"/>
        </w:tabs>
        <w:rPr>
          <w:sz w:val="22"/>
          <w:szCs w:val="22"/>
          <w:lang w:eastAsia="lt-LT"/>
        </w:rPr>
      </w:pPr>
    </w:p>
    <w:p w14:paraId="6800E4A9" w14:textId="77777777" w:rsidR="000E5428" w:rsidRPr="009B54A6" w:rsidRDefault="000E5428" w:rsidP="000E5428">
      <w:pPr>
        <w:rPr>
          <w:sz w:val="22"/>
          <w:szCs w:val="22"/>
        </w:rPr>
      </w:pPr>
      <w:r w:rsidRPr="009B54A6">
        <w:rPr>
          <w:sz w:val="22"/>
          <w:szCs w:val="22"/>
        </w:rPr>
        <w:t xml:space="preserve">S.C. Sandoz S.R.L. </w:t>
      </w:r>
    </w:p>
    <w:p w14:paraId="05511AF0" w14:textId="77777777" w:rsidR="000E5428" w:rsidRPr="009B54A6" w:rsidRDefault="000E5428" w:rsidP="000E5428">
      <w:pPr>
        <w:rPr>
          <w:sz w:val="22"/>
          <w:szCs w:val="22"/>
        </w:rPr>
      </w:pPr>
      <w:r w:rsidRPr="009B54A6">
        <w:rPr>
          <w:sz w:val="22"/>
          <w:szCs w:val="22"/>
        </w:rPr>
        <w:t xml:space="preserve">Str. Livezeni nr 7A </w:t>
      </w:r>
    </w:p>
    <w:p w14:paraId="13832B94" w14:textId="77777777" w:rsidR="000E5428" w:rsidRPr="009B54A6" w:rsidRDefault="000E5428" w:rsidP="000E5428">
      <w:pPr>
        <w:rPr>
          <w:sz w:val="22"/>
          <w:szCs w:val="22"/>
        </w:rPr>
      </w:pPr>
      <w:r w:rsidRPr="009B54A6">
        <w:rPr>
          <w:sz w:val="22"/>
          <w:szCs w:val="22"/>
        </w:rPr>
        <w:t xml:space="preserve">RO-540472, Targu Mures </w:t>
      </w:r>
    </w:p>
    <w:p w14:paraId="2A2B7DB2" w14:textId="77777777" w:rsidR="000E5428" w:rsidRPr="009B54A6" w:rsidRDefault="000E5428" w:rsidP="000E5428">
      <w:pPr>
        <w:rPr>
          <w:sz w:val="22"/>
          <w:szCs w:val="22"/>
        </w:rPr>
      </w:pPr>
      <w:r w:rsidRPr="009B54A6">
        <w:rPr>
          <w:sz w:val="22"/>
          <w:szCs w:val="22"/>
        </w:rPr>
        <w:t>Rumunija</w:t>
      </w:r>
    </w:p>
    <w:p w14:paraId="6181E097" w14:textId="77777777" w:rsidR="000E5428" w:rsidRPr="009B54A6" w:rsidRDefault="000E5428" w:rsidP="000E5428">
      <w:pPr>
        <w:tabs>
          <w:tab w:val="left" w:pos="567"/>
        </w:tabs>
        <w:rPr>
          <w:sz w:val="22"/>
          <w:szCs w:val="22"/>
          <w:lang w:eastAsia="lt-LT"/>
        </w:rPr>
      </w:pPr>
    </w:p>
    <w:p w14:paraId="4E91F345" w14:textId="77777777" w:rsidR="000E5428" w:rsidRPr="009B54A6" w:rsidRDefault="000E5428" w:rsidP="000E5428">
      <w:pPr>
        <w:tabs>
          <w:tab w:val="left" w:pos="567"/>
        </w:tabs>
        <w:rPr>
          <w:sz w:val="22"/>
          <w:szCs w:val="22"/>
          <w:lang w:eastAsia="lt-LT"/>
        </w:rPr>
      </w:pPr>
      <w:r w:rsidRPr="009B54A6">
        <w:rPr>
          <w:sz w:val="22"/>
          <w:szCs w:val="22"/>
          <w:lang w:eastAsia="lt-LT"/>
        </w:rPr>
        <w:t>Su pakuote pateikiamame lapelyje nurodomas gamintojo, atsakingo už konkrečios serijos išleidimą, pavadinimas ir adresas.</w:t>
      </w:r>
    </w:p>
    <w:p w14:paraId="502E85EB" w14:textId="77777777" w:rsidR="000E5428" w:rsidRPr="009B54A6" w:rsidRDefault="000E5428" w:rsidP="000E5428">
      <w:pPr>
        <w:tabs>
          <w:tab w:val="left" w:pos="567"/>
        </w:tabs>
        <w:rPr>
          <w:sz w:val="22"/>
          <w:szCs w:val="22"/>
          <w:lang w:eastAsia="lt-LT"/>
        </w:rPr>
      </w:pPr>
    </w:p>
    <w:p w14:paraId="23D458C5" w14:textId="77777777" w:rsidR="000E5428" w:rsidRPr="009B54A6" w:rsidRDefault="000E5428" w:rsidP="000E5428">
      <w:pPr>
        <w:tabs>
          <w:tab w:val="left" w:pos="567"/>
        </w:tabs>
        <w:rPr>
          <w:sz w:val="22"/>
          <w:szCs w:val="22"/>
          <w:lang w:eastAsia="lt-LT"/>
        </w:rPr>
      </w:pPr>
    </w:p>
    <w:p w14:paraId="245E5396" w14:textId="77777777" w:rsidR="000E5428" w:rsidRPr="009B54A6" w:rsidRDefault="000E5428" w:rsidP="000E5428">
      <w:pPr>
        <w:keepNext/>
        <w:tabs>
          <w:tab w:val="left" w:pos="567"/>
        </w:tabs>
        <w:ind w:left="567" w:hanging="567"/>
        <w:outlineLvl w:val="1"/>
        <w:rPr>
          <w:b/>
          <w:sz w:val="22"/>
          <w:szCs w:val="22"/>
        </w:rPr>
      </w:pPr>
      <w:bookmarkStart w:id="0" w:name="_Toc129243129"/>
      <w:bookmarkStart w:id="1" w:name="_Toc129243254"/>
      <w:bookmarkStart w:id="2" w:name="_Toc129243130"/>
      <w:bookmarkStart w:id="3" w:name="_Toc129243255"/>
      <w:r w:rsidRPr="009B54A6">
        <w:rPr>
          <w:b/>
          <w:sz w:val="22"/>
          <w:szCs w:val="22"/>
        </w:rPr>
        <w:t>B.</w:t>
      </w:r>
      <w:r w:rsidRPr="009B54A6">
        <w:rPr>
          <w:b/>
          <w:sz w:val="22"/>
          <w:szCs w:val="22"/>
        </w:rPr>
        <w:tab/>
        <w:t>TIEKIMO IR VARTOJIMO SĄLYGOS AR APRIBOJIMAI</w:t>
      </w:r>
      <w:bookmarkEnd w:id="0"/>
      <w:bookmarkEnd w:id="1"/>
      <w:bookmarkEnd w:id="2"/>
      <w:bookmarkEnd w:id="3"/>
    </w:p>
    <w:p w14:paraId="51B9690C" w14:textId="77777777" w:rsidR="000E5428" w:rsidRPr="009B54A6" w:rsidRDefault="000E5428" w:rsidP="000E5428">
      <w:pPr>
        <w:tabs>
          <w:tab w:val="left" w:pos="567"/>
        </w:tabs>
        <w:rPr>
          <w:noProof/>
          <w:sz w:val="22"/>
          <w:szCs w:val="22"/>
        </w:rPr>
      </w:pPr>
    </w:p>
    <w:p w14:paraId="50FFDD1B" w14:textId="77777777" w:rsidR="000E5428" w:rsidRPr="009B54A6" w:rsidRDefault="000E5428" w:rsidP="000E5428">
      <w:pPr>
        <w:tabs>
          <w:tab w:val="left" w:pos="567"/>
        </w:tabs>
        <w:rPr>
          <w:noProof/>
          <w:sz w:val="22"/>
          <w:szCs w:val="22"/>
        </w:rPr>
      </w:pPr>
      <w:r w:rsidRPr="009B54A6">
        <w:rPr>
          <w:noProof/>
          <w:sz w:val="22"/>
          <w:szCs w:val="22"/>
        </w:rPr>
        <w:t>Receptinis vaistinis preparatas.</w:t>
      </w:r>
    </w:p>
    <w:p w14:paraId="02D2364B" w14:textId="77777777" w:rsidR="000E5428" w:rsidRPr="009B54A6" w:rsidRDefault="000E5428" w:rsidP="000E5428">
      <w:pPr>
        <w:tabs>
          <w:tab w:val="left" w:pos="567"/>
        </w:tabs>
        <w:spacing w:after="120"/>
        <w:rPr>
          <w:rFonts w:eastAsia="Arial Unicode MS"/>
          <w:sz w:val="22"/>
          <w:szCs w:val="22"/>
          <w:lang w:eastAsia="lt-LT"/>
        </w:rPr>
      </w:pPr>
    </w:p>
    <w:p w14:paraId="55799AC9" w14:textId="77777777" w:rsidR="000E5428" w:rsidRPr="009B54A6" w:rsidRDefault="000E5428" w:rsidP="000E5428">
      <w:pPr>
        <w:tabs>
          <w:tab w:val="left" w:pos="567"/>
        </w:tabs>
        <w:spacing w:after="120"/>
        <w:rPr>
          <w:sz w:val="22"/>
          <w:szCs w:val="22"/>
          <w:lang w:eastAsia="lt-LT"/>
        </w:rPr>
      </w:pPr>
      <w:r w:rsidRPr="009B54A6">
        <w:rPr>
          <w:sz w:val="22"/>
          <w:szCs w:val="22"/>
          <w:lang w:eastAsia="lt-LT"/>
        </w:rPr>
        <w:br w:type="page"/>
      </w:r>
    </w:p>
    <w:p w14:paraId="3533EC10" w14:textId="77777777" w:rsidR="000E5428" w:rsidRPr="009B54A6" w:rsidRDefault="000E5428" w:rsidP="000E5428">
      <w:pPr>
        <w:tabs>
          <w:tab w:val="left" w:pos="567"/>
        </w:tabs>
        <w:jc w:val="center"/>
        <w:rPr>
          <w:b/>
          <w:sz w:val="22"/>
          <w:szCs w:val="22"/>
        </w:rPr>
      </w:pPr>
    </w:p>
    <w:p w14:paraId="23F3E088" w14:textId="77777777" w:rsidR="000E5428" w:rsidRPr="009B54A6" w:rsidRDefault="000E5428" w:rsidP="000E5428">
      <w:pPr>
        <w:tabs>
          <w:tab w:val="left" w:pos="567"/>
        </w:tabs>
        <w:jc w:val="center"/>
        <w:rPr>
          <w:b/>
          <w:sz w:val="22"/>
          <w:szCs w:val="22"/>
        </w:rPr>
      </w:pPr>
    </w:p>
    <w:p w14:paraId="5DF97627" w14:textId="77777777" w:rsidR="000E5428" w:rsidRPr="009B54A6" w:rsidRDefault="000E5428" w:rsidP="000E5428">
      <w:pPr>
        <w:tabs>
          <w:tab w:val="left" w:pos="567"/>
        </w:tabs>
        <w:jc w:val="center"/>
        <w:rPr>
          <w:b/>
          <w:sz w:val="22"/>
          <w:szCs w:val="22"/>
        </w:rPr>
      </w:pPr>
    </w:p>
    <w:p w14:paraId="4636B193" w14:textId="77777777" w:rsidR="000E5428" w:rsidRPr="009B54A6" w:rsidRDefault="000E5428" w:rsidP="000E5428">
      <w:pPr>
        <w:tabs>
          <w:tab w:val="left" w:pos="567"/>
        </w:tabs>
        <w:jc w:val="center"/>
        <w:rPr>
          <w:b/>
          <w:sz w:val="22"/>
          <w:szCs w:val="22"/>
        </w:rPr>
      </w:pPr>
    </w:p>
    <w:p w14:paraId="3B473476" w14:textId="77777777" w:rsidR="000E5428" w:rsidRPr="009B54A6" w:rsidRDefault="000E5428" w:rsidP="000E5428">
      <w:pPr>
        <w:tabs>
          <w:tab w:val="left" w:pos="567"/>
        </w:tabs>
        <w:jc w:val="center"/>
        <w:rPr>
          <w:b/>
          <w:sz w:val="22"/>
          <w:szCs w:val="22"/>
        </w:rPr>
      </w:pPr>
    </w:p>
    <w:p w14:paraId="35B46776" w14:textId="77777777" w:rsidR="000E5428" w:rsidRPr="009B54A6" w:rsidRDefault="000E5428" w:rsidP="000E5428">
      <w:pPr>
        <w:tabs>
          <w:tab w:val="left" w:pos="567"/>
        </w:tabs>
        <w:jc w:val="center"/>
        <w:rPr>
          <w:b/>
          <w:sz w:val="22"/>
          <w:szCs w:val="22"/>
        </w:rPr>
      </w:pPr>
    </w:p>
    <w:p w14:paraId="64F1F67A" w14:textId="77777777" w:rsidR="000E5428" w:rsidRPr="009B54A6" w:rsidRDefault="000E5428" w:rsidP="000E5428">
      <w:pPr>
        <w:tabs>
          <w:tab w:val="left" w:pos="567"/>
        </w:tabs>
        <w:jc w:val="center"/>
        <w:rPr>
          <w:b/>
          <w:sz w:val="22"/>
          <w:szCs w:val="22"/>
        </w:rPr>
      </w:pPr>
    </w:p>
    <w:p w14:paraId="318993A4" w14:textId="77777777" w:rsidR="000E5428" w:rsidRPr="009B54A6" w:rsidRDefault="000E5428" w:rsidP="000E5428">
      <w:pPr>
        <w:tabs>
          <w:tab w:val="left" w:pos="567"/>
        </w:tabs>
        <w:jc w:val="center"/>
        <w:rPr>
          <w:b/>
          <w:sz w:val="22"/>
          <w:szCs w:val="22"/>
        </w:rPr>
      </w:pPr>
    </w:p>
    <w:p w14:paraId="05F1D4F2" w14:textId="77777777" w:rsidR="000E5428" w:rsidRPr="009B54A6" w:rsidRDefault="000E5428" w:rsidP="000E5428">
      <w:pPr>
        <w:tabs>
          <w:tab w:val="left" w:pos="567"/>
        </w:tabs>
        <w:jc w:val="center"/>
        <w:rPr>
          <w:b/>
          <w:sz w:val="22"/>
          <w:szCs w:val="22"/>
        </w:rPr>
      </w:pPr>
    </w:p>
    <w:p w14:paraId="2982FDA4" w14:textId="77777777" w:rsidR="000E5428" w:rsidRPr="009B54A6" w:rsidRDefault="000E5428" w:rsidP="000E5428">
      <w:pPr>
        <w:tabs>
          <w:tab w:val="left" w:pos="567"/>
        </w:tabs>
        <w:jc w:val="center"/>
        <w:rPr>
          <w:b/>
          <w:sz w:val="22"/>
          <w:szCs w:val="22"/>
        </w:rPr>
      </w:pPr>
    </w:p>
    <w:p w14:paraId="2149391F" w14:textId="77777777" w:rsidR="000E5428" w:rsidRPr="009B54A6" w:rsidRDefault="000E5428" w:rsidP="000E5428">
      <w:pPr>
        <w:tabs>
          <w:tab w:val="left" w:pos="567"/>
        </w:tabs>
        <w:jc w:val="center"/>
        <w:rPr>
          <w:b/>
          <w:sz w:val="22"/>
          <w:szCs w:val="22"/>
        </w:rPr>
      </w:pPr>
    </w:p>
    <w:p w14:paraId="11212B1D" w14:textId="77777777" w:rsidR="000E5428" w:rsidRPr="009B54A6" w:rsidRDefault="000E5428" w:rsidP="000E5428">
      <w:pPr>
        <w:tabs>
          <w:tab w:val="left" w:pos="567"/>
        </w:tabs>
        <w:jc w:val="center"/>
        <w:rPr>
          <w:b/>
          <w:sz w:val="22"/>
          <w:szCs w:val="22"/>
        </w:rPr>
      </w:pPr>
    </w:p>
    <w:p w14:paraId="407FAAA3" w14:textId="77777777" w:rsidR="000E5428" w:rsidRPr="009B54A6" w:rsidRDefault="000E5428" w:rsidP="000E5428">
      <w:pPr>
        <w:tabs>
          <w:tab w:val="left" w:pos="567"/>
        </w:tabs>
        <w:rPr>
          <w:b/>
          <w:sz w:val="22"/>
          <w:szCs w:val="22"/>
        </w:rPr>
      </w:pPr>
    </w:p>
    <w:p w14:paraId="7CC20468" w14:textId="77777777" w:rsidR="000E5428" w:rsidRPr="009B54A6" w:rsidRDefault="000E5428" w:rsidP="000E5428">
      <w:pPr>
        <w:tabs>
          <w:tab w:val="left" w:pos="567"/>
        </w:tabs>
        <w:rPr>
          <w:b/>
          <w:sz w:val="22"/>
          <w:szCs w:val="22"/>
        </w:rPr>
      </w:pPr>
    </w:p>
    <w:p w14:paraId="3A2FF7C7" w14:textId="77777777" w:rsidR="000E5428" w:rsidRPr="009B54A6" w:rsidRDefault="000E5428" w:rsidP="000E5428">
      <w:pPr>
        <w:tabs>
          <w:tab w:val="left" w:pos="567"/>
        </w:tabs>
        <w:rPr>
          <w:b/>
          <w:sz w:val="22"/>
          <w:szCs w:val="22"/>
        </w:rPr>
      </w:pPr>
    </w:p>
    <w:p w14:paraId="5D4159A5" w14:textId="77777777" w:rsidR="000E5428" w:rsidRPr="009B54A6" w:rsidRDefault="000E5428" w:rsidP="000E5428">
      <w:pPr>
        <w:tabs>
          <w:tab w:val="left" w:pos="567"/>
        </w:tabs>
        <w:rPr>
          <w:b/>
          <w:sz w:val="22"/>
          <w:szCs w:val="22"/>
        </w:rPr>
      </w:pPr>
    </w:p>
    <w:p w14:paraId="2F18EC4E" w14:textId="77777777" w:rsidR="000E5428" w:rsidRPr="009B54A6" w:rsidRDefault="000E5428" w:rsidP="000E5428">
      <w:pPr>
        <w:tabs>
          <w:tab w:val="left" w:pos="567"/>
        </w:tabs>
        <w:rPr>
          <w:b/>
          <w:sz w:val="22"/>
          <w:szCs w:val="22"/>
        </w:rPr>
      </w:pPr>
    </w:p>
    <w:p w14:paraId="6A2E2C3F" w14:textId="77777777" w:rsidR="000E5428" w:rsidRPr="009B54A6" w:rsidRDefault="000E5428" w:rsidP="000E5428">
      <w:pPr>
        <w:tabs>
          <w:tab w:val="left" w:pos="567"/>
        </w:tabs>
        <w:jc w:val="center"/>
        <w:rPr>
          <w:b/>
          <w:sz w:val="22"/>
          <w:szCs w:val="22"/>
        </w:rPr>
      </w:pPr>
    </w:p>
    <w:p w14:paraId="08646AC5" w14:textId="77777777" w:rsidR="000E5428" w:rsidRPr="009B54A6" w:rsidRDefault="000E5428" w:rsidP="000E5428">
      <w:pPr>
        <w:tabs>
          <w:tab w:val="left" w:pos="567"/>
        </w:tabs>
        <w:jc w:val="center"/>
        <w:rPr>
          <w:b/>
          <w:sz w:val="22"/>
          <w:szCs w:val="22"/>
        </w:rPr>
      </w:pPr>
    </w:p>
    <w:p w14:paraId="0F60C10A" w14:textId="77777777" w:rsidR="000E5428" w:rsidRPr="009B54A6" w:rsidRDefault="000E5428" w:rsidP="000E5428">
      <w:pPr>
        <w:tabs>
          <w:tab w:val="left" w:pos="567"/>
        </w:tabs>
        <w:jc w:val="center"/>
        <w:rPr>
          <w:b/>
          <w:sz w:val="22"/>
          <w:szCs w:val="22"/>
        </w:rPr>
      </w:pPr>
    </w:p>
    <w:p w14:paraId="0DDA5C53" w14:textId="77777777" w:rsidR="000E5428" w:rsidRPr="009B54A6" w:rsidRDefault="000E5428" w:rsidP="000E5428">
      <w:pPr>
        <w:tabs>
          <w:tab w:val="left" w:pos="567"/>
        </w:tabs>
        <w:jc w:val="center"/>
        <w:rPr>
          <w:b/>
          <w:sz w:val="22"/>
          <w:szCs w:val="22"/>
        </w:rPr>
      </w:pPr>
    </w:p>
    <w:p w14:paraId="0D149EC4" w14:textId="77777777" w:rsidR="000E5428" w:rsidRPr="009B54A6" w:rsidRDefault="000E5428" w:rsidP="000E5428">
      <w:pPr>
        <w:jc w:val="center"/>
        <w:rPr>
          <w:b/>
          <w:bCs/>
          <w:caps/>
          <w:sz w:val="22"/>
          <w:szCs w:val="22"/>
          <w:lang w:eastAsia="lt-LT"/>
        </w:rPr>
      </w:pPr>
    </w:p>
    <w:p w14:paraId="6B1B8B09" w14:textId="77777777" w:rsidR="000E5428" w:rsidRPr="009B54A6" w:rsidRDefault="000E5428" w:rsidP="000E5428">
      <w:pPr>
        <w:jc w:val="center"/>
        <w:rPr>
          <w:b/>
          <w:kern w:val="28"/>
          <w:sz w:val="22"/>
          <w:szCs w:val="22"/>
          <w:lang w:eastAsia="lt-LT"/>
        </w:rPr>
      </w:pPr>
      <w:r w:rsidRPr="009B54A6">
        <w:rPr>
          <w:b/>
          <w:kern w:val="28"/>
          <w:sz w:val="22"/>
          <w:szCs w:val="22"/>
          <w:lang w:eastAsia="lt-LT"/>
        </w:rPr>
        <w:t>III PRIEDAS</w:t>
      </w:r>
    </w:p>
    <w:p w14:paraId="1AB1BD33" w14:textId="77777777" w:rsidR="000E5428" w:rsidRPr="009B54A6" w:rsidRDefault="000E5428" w:rsidP="000E5428">
      <w:pPr>
        <w:jc w:val="center"/>
        <w:rPr>
          <w:b/>
          <w:kern w:val="28"/>
          <w:sz w:val="22"/>
          <w:szCs w:val="22"/>
          <w:lang w:eastAsia="lt-LT"/>
        </w:rPr>
      </w:pPr>
    </w:p>
    <w:p w14:paraId="2FB41AC8" w14:textId="77777777" w:rsidR="000E5428" w:rsidRPr="009B54A6" w:rsidRDefault="000E5428" w:rsidP="000E5428">
      <w:pPr>
        <w:jc w:val="center"/>
        <w:rPr>
          <w:b/>
          <w:kern w:val="28"/>
          <w:sz w:val="22"/>
          <w:szCs w:val="22"/>
          <w:lang w:eastAsia="lt-LT"/>
        </w:rPr>
      </w:pPr>
      <w:r w:rsidRPr="009B54A6">
        <w:rPr>
          <w:b/>
          <w:kern w:val="28"/>
          <w:sz w:val="22"/>
          <w:szCs w:val="22"/>
          <w:lang w:eastAsia="lt-LT"/>
        </w:rPr>
        <w:t>ŽENKLINIMAS IR PAKUOTĖS LAPELIS</w:t>
      </w:r>
    </w:p>
    <w:p w14:paraId="2B74288C" w14:textId="77777777" w:rsidR="000E5428" w:rsidRPr="009B54A6" w:rsidRDefault="000E5428" w:rsidP="000E5428">
      <w:pPr>
        <w:rPr>
          <w:b/>
          <w:bCs/>
          <w:caps/>
          <w:sz w:val="22"/>
          <w:szCs w:val="22"/>
          <w:lang w:eastAsia="lt-LT"/>
        </w:rPr>
      </w:pPr>
      <w:r w:rsidRPr="009B54A6">
        <w:rPr>
          <w:b/>
          <w:bCs/>
          <w:caps/>
          <w:sz w:val="22"/>
          <w:szCs w:val="22"/>
          <w:lang w:eastAsia="lt-LT"/>
        </w:rPr>
        <w:br w:type="page"/>
      </w:r>
    </w:p>
    <w:p w14:paraId="22445E0D" w14:textId="77777777" w:rsidR="000E5428" w:rsidRPr="009B54A6" w:rsidRDefault="000E5428" w:rsidP="000E5428">
      <w:pPr>
        <w:rPr>
          <w:b/>
          <w:bCs/>
          <w:caps/>
          <w:sz w:val="22"/>
          <w:szCs w:val="22"/>
          <w:lang w:eastAsia="lt-LT"/>
        </w:rPr>
      </w:pPr>
    </w:p>
    <w:p w14:paraId="33D8CE5F" w14:textId="77777777" w:rsidR="000E5428" w:rsidRPr="009B54A6" w:rsidRDefault="000E5428" w:rsidP="000E5428">
      <w:pPr>
        <w:rPr>
          <w:b/>
          <w:bCs/>
          <w:caps/>
          <w:sz w:val="22"/>
          <w:szCs w:val="22"/>
          <w:lang w:eastAsia="lt-LT"/>
        </w:rPr>
      </w:pPr>
    </w:p>
    <w:p w14:paraId="1F71EE73" w14:textId="77777777" w:rsidR="000E5428" w:rsidRPr="009B54A6" w:rsidRDefault="000E5428" w:rsidP="000E5428">
      <w:pPr>
        <w:rPr>
          <w:b/>
          <w:bCs/>
          <w:caps/>
          <w:sz w:val="22"/>
          <w:szCs w:val="22"/>
          <w:lang w:eastAsia="lt-LT"/>
        </w:rPr>
      </w:pPr>
    </w:p>
    <w:p w14:paraId="70D586BE" w14:textId="77777777" w:rsidR="000E5428" w:rsidRPr="009B54A6" w:rsidRDefault="000E5428" w:rsidP="000E5428">
      <w:pPr>
        <w:rPr>
          <w:b/>
          <w:bCs/>
          <w:caps/>
          <w:sz w:val="22"/>
          <w:szCs w:val="22"/>
          <w:lang w:eastAsia="lt-LT"/>
        </w:rPr>
      </w:pPr>
    </w:p>
    <w:p w14:paraId="4A9F267A" w14:textId="77777777" w:rsidR="000E5428" w:rsidRPr="009B54A6" w:rsidRDefault="000E5428" w:rsidP="000E5428">
      <w:pPr>
        <w:rPr>
          <w:b/>
          <w:bCs/>
          <w:caps/>
          <w:sz w:val="22"/>
          <w:szCs w:val="22"/>
          <w:lang w:eastAsia="lt-LT"/>
        </w:rPr>
      </w:pPr>
    </w:p>
    <w:p w14:paraId="5693EF1C" w14:textId="77777777" w:rsidR="000E5428" w:rsidRPr="009B54A6" w:rsidRDefault="000E5428" w:rsidP="000E5428">
      <w:pPr>
        <w:rPr>
          <w:b/>
          <w:bCs/>
          <w:caps/>
          <w:sz w:val="22"/>
          <w:szCs w:val="22"/>
          <w:lang w:eastAsia="lt-LT"/>
        </w:rPr>
      </w:pPr>
    </w:p>
    <w:p w14:paraId="0448E862" w14:textId="77777777" w:rsidR="000E5428" w:rsidRPr="009B54A6" w:rsidRDefault="000E5428" w:rsidP="000E5428">
      <w:pPr>
        <w:rPr>
          <w:b/>
          <w:bCs/>
          <w:caps/>
          <w:sz w:val="22"/>
          <w:szCs w:val="22"/>
          <w:lang w:eastAsia="lt-LT"/>
        </w:rPr>
      </w:pPr>
    </w:p>
    <w:p w14:paraId="7C079798" w14:textId="77777777" w:rsidR="000E5428" w:rsidRPr="009B54A6" w:rsidRDefault="000E5428" w:rsidP="000E5428">
      <w:pPr>
        <w:rPr>
          <w:b/>
          <w:bCs/>
          <w:caps/>
          <w:sz w:val="22"/>
          <w:szCs w:val="22"/>
          <w:lang w:eastAsia="lt-LT"/>
        </w:rPr>
      </w:pPr>
    </w:p>
    <w:p w14:paraId="4A4F9190" w14:textId="77777777" w:rsidR="000E5428" w:rsidRPr="009B54A6" w:rsidRDefault="000E5428" w:rsidP="000E5428">
      <w:pPr>
        <w:rPr>
          <w:b/>
          <w:bCs/>
          <w:caps/>
          <w:sz w:val="22"/>
          <w:szCs w:val="22"/>
          <w:lang w:eastAsia="lt-LT"/>
        </w:rPr>
      </w:pPr>
    </w:p>
    <w:p w14:paraId="69901827" w14:textId="77777777" w:rsidR="000E5428" w:rsidRPr="009B54A6" w:rsidRDefault="000E5428" w:rsidP="000E5428">
      <w:pPr>
        <w:rPr>
          <w:b/>
          <w:bCs/>
          <w:caps/>
          <w:sz w:val="22"/>
          <w:szCs w:val="22"/>
          <w:lang w:eastAsia="lt-LT"/>
        </w:rPr>
      </w:pPr>
    </w:p>
    <w:p w14:paraId="57FB7E03" w14:textId="77777777" w:rsidR="000E5428" w:rsidRPr="009B54A6" w:rsidRDefault="000E5428" w:rsidP="000E5428">
      <w:pPr>
        <w:rPr>
          <w:b/>
          <w:bCs/>
          <w:caps/>
          <w:sz w:val="22"/>
          <w:szCs w:val="22"/>
          <w:lang w:eastAsia="lt-LT"/>
        </w:rPr>
      </w:pPr>
    </w:p>
    <w:p w14:paraId="661E1DDE" w14:textId="77777777" w:rsidR="000E5428" w:rsidRPr="009B54A6" w:rsidRDefault="000E5428" w:rsidP="000E5428">
      <w:pPr>
        <w:jc w:val="center"/>
        <w:rPr>
          <w:b/>
          <w:bCs/>
          <w:caps/>
          <w:sz w:val="22"/>
          <w:szCs w:val="22"/>
          <w:lang w:eastAsia="lt-LT"/>
        </w:rPr>
      </w:pPr>
    </w:p>
    <w:p w14:paraId="2C6CB341" w14:textId="77777777" w:rsidR="000E5428" w:rsidRPr="009B54A6" w:rsidRDefault="000E5428" w:rsidP="000E5428">
      <w:pPr>
        <w:jc w:val="center"/>
        <w:rPr>
          <w:b/>
          <w:bCs/>
          <w:caps/>
          <w:sz w:val="22"/>
          <w:szCs w:val="22"/>
          <w:lang w:eastAsia="lt-LT"/>
        </w:rPr>
      </w:pPr>
    </w:p>
    <w:p w14:paraId="612583C7" w14:textId="77777777" w:rsidR="000E5428" w:rsidRPr="009B54A6" w:rsidRDefault="000E5428" w:rsidP="000E5428">
      <w:pPr>
        <w:rPr>
          <w:sz w:val="22"/>
          <w:szCs w:val="22"/>
        </w:rPr>
      </w:pPr>
    </w:p>
    <w:p w14:paraId="773D47D9" w14:textId="77777777" w:rsidR="000E5428" w:rsidRPr="009B54A6" w:rsidRDefault="000E5428" w:rsidP="000E5428">
      <w:pPr>
        <w:rPr>
          <w:sz w:val="22"/>
          <w:szCs w:val="22"/>
        </w:rPr>
      </w:pPr>
    </w:p>
    <w:p w14:paraId="04FA58E1" w14:textId="77777777" w:rsidR="000E5428" w:rsidRPr="009B54A6" w:rsidRDefault="000E5428" w:rsidP="000E5428">
      <w:pPr>
        <w:rPr>
          <w:sz w:val="22"/>
          <w:szCs w:val="22"/>
        </w:rPr>
      </w:pPr>
    </w:p>
    <w:p w14:paraId="13306BC2" w14:textId="77777777" w:rsidR="000E5428" w:rsidRPr="009B54A6" w:rsidRDefault="000E5428" w:rsidP="000E5428">
      <w:pPr>
        <w:rPr>
          <w:sz w:val="22"/>
          <w:szCs w:val="22"/>
        </w:rPr>
      </w:pPr>
    </w:p>
    <w:p w14:paraId="43A2B7E9" w14:textId="77777777" w:rsidR="000E5428" w:rsidRPr="009B54A6" w:rsidRDefault="000E5428" w:rsidP="000E5428">
      <w:pPr>
        <w:rPr>
          <w:sz w:val="22"/>
          <w:szCs w:val="22"/>
        </w:rPr>
      </w:pPr>
    </w:p>
    <w:p w14:paraId="54763598" w14:textId="77777777" w:rsidR="000E5428" w:rsidRPr="009B54A6" w:rsidRDefault="000E5428" w:rsidP="000E5428">
      <w:pPr>
        <w:rPr>
          <w:sz w:val="22"/>
          <w:szCs w:val="22"/>
        </w:rPr>
      </w:pPr>
    </w:p>
    <w:p w14:paraId="55F2DACA" w14:textId="77777777" w:rsidR="000E5428" w:rsidRPr="009B54A6" w:rsidRDefault="000E5428" w:rsidP="000E5428">
      <w:pPr>
        <w:rPr>
          <w:sz w:val="22"/>
          <w:szCs w:val="22"/>
        </w:rPr>
      </w:pPr>
    </w:p>
    <w:p w14:paraId="60C057AA" w14:textId="77777777" w:rsidR="000E5428" w:rsidRPr="009B54A6" w:rsidRDefault="000E5428" w:rsidP="000E5428">
      <w:pPr>
        <w:rPr>
          <w:sz w:val="22"/>
          <w:szCs w:val="22"/>
        </w:rPr>
      </w:pPr>
    </w:p>
    <w:p w14:paraId="4DEFFE42" w14:textId="77777777" w:rsidR="000E5428" w:rsidRPr="009B54A6" w:rsidRDefault="000E5428" w:rsidP="000E5428">
      <w:pPr>
        <w:rPr>
          <w:sz w:val="22"/>
          <w:szCs w:val="22"/>
        </w:rPr>
      </w:pPr>
    </w:p>
    <w:p w14:paraId="0AF9FA3A" w14:textId="77777777" w:rsidR="000E5428" w:rsidRPr="009B54A6" w:rsidRDefault="000E5428" w:rsidP="000E5428">
      <w:pPr>
        <w:numPr>
          <w:ilvl w:val="0"/>
          <w:numId w:val="3"/>
        </w:numPr>
        <w:jc w:val="center"/>
        <w:rPr>
          <w:b/>
          <w:sz w:val="22"/>
          <w:szCs w:val="22"/>
        </w:rPr>
      </w:pPr>
      <w:r w:rsidRPr="009B54A6">
        <w:rPr>
          <w:b/>
          <w:sz w:val="22"/>
          <w:szCs w:val="22"/>
        </w:rPr>
        <w:t>ŽENKLINIMAS</w:t>
      </w:r>
    </w:p>
    <w:p w14:paraId="33014B27"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br w:type="page"/>
      </w:r>
      <w:r w:rsidRPr="009B54A6">
        <w:rPr>
          <w:b/>
          <w:sz w:val="22"/>
          <w:szCs w:val="22"/>
        </w:rPr>
        <w:lastRenderedPageBreak/>
        <w:t>INFORMACIJA ANT IŠORINĖS PAKUOTĖS</w:t>
      </w:r>
    </w:p>
    <w:p w14:paraId="53ACE6F7"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p>
    <w:p w14:paraId="2B257CBB"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Lizdinių plokštelių kartono dėžutė</w:t>
      </w:r>
    </w:p>
    <w:p w14:paraId="582ED418" w14:textId="77777777" w:rsidR="000E5428" w:rsidRPr="009B54A6" w:rsidRDefault="000E5428" w:rsidP="000E5428">
      <w:pPr>
        <w:rPr>
          <w:sz w:val="22"/>
          <w:szCs w:val="22"/>
        </w:rPr>
      </w:pPr>
    </w:p>
    <w:p w14:paraId="178B8579" w14:textId="77777777" w:rsidR="000E5428" w:rsidRPr="009B54A6" w:rsidRDefault="000E5428" w:rsidP="000E5428">
      <w:pPr>
        <w:rPr>
          <w:sz w:val="22"/>
          <w:szCs w:val="22"/>
        </w:rPr>
      </w:pPr>
    </w:p>
    <w:p w14:paraId="5E8C23E2"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1.</w:t>
      </w:r>
      <w:r w:rsidRPr="009B54A6">
        <w:rPr>
          <w:b/>
          <w:sz w:val="22"/>
          <w:szCs w:val="22"/>
        </w:rPr>
        <w:tab/>
        <w:t>VAISTINIO PREPARATO PAVADINIMAS</w:t>
      </w:r>
    </w:p>
    <w:p w14:paraId="41498665" w14:textId="77777777" w:rsidR="000E5428" w:rsidRPr="009B54A6" w:rsidRDefault="000E5428" w:rsidP="000E5428">
      <w:pPr>
        <w:tabs>
          <w:tab w:val="left" w:pos="3060"/>
        </w:tabs>
        <w:autoSpaceDE w:val="0"/>
        <w:autoSpaceDN w:val="0"/>
        <w:adjustRightInd w:val="0"/>
        <w:rPr>
          <w:sz w:val="22"/>
          <w:szCs w:val="22"/>
        </w:rPr>
      </w:pPr>
    </w:p>
    <w:p w14:paraId="3CB59CBF"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Telmisartan/Hydrochlorothiazide Sandoz 40 mg/12,5 mg dengtos tabletės</w:t>
      </w:r>
    </w:p>
    <w:p w14:paraId="1E4B0CE0" w14:textId="77777777" w:rsidR="000E5428" w:rsidRPr="009B54A6" w:rsidRDefault="000E5428" w:rsidP="000E5428">
      <w:pPr>
        <w:tabs>
          <w:tab w:val="left" w:pos="3060"/>
        </w:tabs>
        <w:autoSpaceDE w:val="0"/>
        <w:autoSpaceDN w:val="0"/>
        <w:adjustRightInd w:val="0"/>
        <w:rPr>
          <w:sz w:val="22"/>
          <w:szCs w:val="22"/>
          <w:highlight w:val="lightGray"/>
        </w:rPr>
      </w:pPr>
      <w:r w:rsidRPr="009B54A6">
        <w:rPr>
          <w:sz w:val="22"/>
          <w:szCs w:val="22"/>
          <w:highlight w:val="lightGray"/>
        </w:rPr>
        <w:t>Telmisartan/Hydrochlorothiazide Sandoz 80 mg/12,5 mg dengtos tabletės</w:t>
      </w:r>
    </w:p>
    <w:p w14:paraId="4039BDC6" w14:textId="77777777" w:rsidR="000E5428" w:rsidRPr="009B54A6" w:rsidRDefault="000E5428" w:rsidP="000E5428">
      <w:pPr>
        <w:tabs>
          <w:tab w:val="left" w:pos="3060"/>
        </w:tabs>
        <w:autoSpaceDE w:val="0"/>
        <w:autoSpaceDN w:val="0"/>
        <w:adjustRightInd w:val="0"/>
        <w:rPr>
          <w:sz w:val="22"/>
          <w:szCs w:val="22"/>
        </w:rPr>
      </w:pPr>
      <w:r w:rsidRPr="009B54A6">
        <w:rPr>
          <w:sz w:val="22"/>
          <w:szCs w:val="22"/>
          <w:highlight w:val="lightGray"/>
        </w:rPr>
        <w:t>Telmisartan/Hydrochlorothiazide Sandoz 80 mg/25 mg dengtos tabletės</w:t>
      </w:r>
      <w:r w:rsidRPr="009B54A6">
        <w:rPr>
          <w:sz w:val="22"/>
          <w:szCs w:val="22"/>
        </w:rPr>
        <w:t xml:space="preserve"> </w:t>
      </w:r>
    </w:p>
    <w:p w14:paraId="02322AF4" w14:textId="77777777" w:rsidR="000E5428" w:rsidRPr="009B54A6" w:rsidRDefault="000E5428" w:rsidP="000E5428">
      <w:pPr>
        <w:tabs>
          <w:tab w:val="left" w:pos="3060"/>
        </w:tabs>
        <w:autoSpaceDE w:val="0"/>
        <w:autoSpaceDN w:val="0"/>
        <w:adjustRightInd w:val="0"/>
        <w:rPr>
          <w:b/>
          <w:bCs/>
          <w:sz w:val="22"/>
          <w:szCs w:val="22"/>
        </w:rPr>
      </w:pPr>
    </w:p>
    <w:p w14:paraId="59A673D5" w14:textId="77777777" w:rsidR="000E5428" w:rsidRPr="009B54A6" w:rsidRDefault="000E5428" w:rsidP="000E5428">
      <w:pPr>
        <w:numPr>
          <w:ilvl w:val="12"/>
          <w:numId w:val="0"/>
        </w:numPr>
        <w:rPr>
          <w:sz w:val="22"/>
          <w:szCs w:val="22"/>
        </w:rPr>
      </w:pPr>
      <w:r w:rsidRPr="009B54A6">
        <w:rPr>
          <w:sz w:val="22"/>
          <w:szCs w:val="22"/>
        </w:rPr>
        <w:t>Telmisartanum/</w:t>
      </w:r>
      <w:r w:rsidRPr="009B54A6">
        <w:rPr>
          <w:color w:val="000000"/>
          <w:sz w:val="22"/>
          <w:szCs w:val="22"/>
        </w:rPr>
        <w:t>Hydrochlorothiazidum</w:t>
      </w:r>
    </w:p>
    <w:p w14:paraId="61B69E20" w14:textId="77777777" w:rsidR="000E5428" w:rsidRPr="009B54A6" w:rsidRDefault="000E5428" w:rsidP="000E5428">
      <w:pPr>
        <w:rPr>
          <w:sz w:val="22"/>
          <w:szCs w:val="22"/>
        </w:rPr>
      </w:pPr>
    </w:p>
    <w:p w14:paraId="35DD2A1C" w14:textId="77777777" w:rsidR="000E5428" w:rsidRPr="009B54A6" w:rsidRDefault="000E5428" w:rsidP="000E5428">
      <w:pPr>
        <w:rPr>
          <w:sz w:val="22"/>
          <w:szCs w:val="22"/>
        </w:rPr>
      </w:pPr>
    </w:p>
    <w:p w14:paraId="00A55103"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2.</w:t>
      </w:r>
      <w:r w:rsidRPr="009B54A6">
        <w:rPr>
          <w:b/>
          <w:sz w:val="22"/>
          <w:szCs w:val="22"/>
        </w:rPr>
        <w:tab/>
        <w:t>VEIKLIOJI MEDŽIAGA IR JOS KIEKIS</w:t>
      </w:r>
    </w:p>
    <w:p w14:paraId="61219596" w14:textId="77777777" w:rsidR="000E5428" w:rsidRPr="009B54A6" w:rsidRDefault="000E5428" w:rsidP="000E5428">
      <w:pPr>
        <w:rPr>
          <w:sz w:val="22"/>
          <w:szCs w:val="22"/>
        </w:rPr>
      </w:pPr>
    </w:p>
    <w:p w14:paraId="60748FDB" w14:textId="77777777" w:rsidR="000E5428" w:rsidRPr="009B54A6" w:rsidRDefault="000E5428" w:rsidP="000E5428">
      <w:pPr>
        <w:tabs>
          <w:tab w:val="left" w:pos="3060"/>
        </w:tabs>
        <w:autoSpaceDE w:val="0"/>
        <w:autoSpaceDN w:val="0"/>
        <w:adjustRightInd w:val="0"/>
        <w:rPr>
          <w:i/>
          <w:sz w:val="22"/>
          <w:szCs w:val="22"/>
        </w:rPr>
      </w:pPr>
      <w:r w:rsidRPr="009B54A6">
        <w:rPr>
          <w:sz w:val="22"/>
          <w:szCs w:val="22"/>
          <w:highlight w:val="lightGray"/>
        </w:rPr>
        <w:t>Telmisartan/Hydrochlorothiazide Sandoz 40 mg/12,5 mg dengtos tabletės</w:t>
      </w:r>
    </w:p>
    <w:p w14:paraId="72BFAD3B" w14:textId="77777777" w:rsidR="000E5428" w:rsidRPr="009B54A6" w:rsidRDefault="000E5428" w:rsidP="000E5428">
      <w:pPr>
        <w:tabs>
          <w:tab w:val="left" w:pos="3060"/>
        </w:tabs>
        <w:autoSpaceDE w:val="0"/>
        <w:autoSpaceDN w:val="0"/>
        <w:adjustRightInd w:val="0"/>
        <w:rPr>
          <w:sz w:val="22"/>
          <w:szCs w:val="22"/>
        </w:rPr>
      </w:pPr>
      <w:r w:rsidRPr="009B54A6">
        <w:rPr>
          <w:rFonts w:eastAsia="TimesNewRoman"/>
          <w:sz w:val="22"/>
          <w:szCs w:val="22"/>
          <w:lang w:eastAsia="lt-LT"/>
        </w:rPr>
        <w:t>Kiekvienoje dengtoje tabletėje yra 40 mg telmisartano ir 12,5 mg hidrochlorotiazido.</w:t>
      </w:r>
      <w:r w:rsidRPr="009B54A6">
        <w:rPr>
          <w:sz w:val="22"/>
          <w:szCs w:val="22"/>
        </w:rPr>
        <w:t xml:space="preserve"> </w:t>
      </w:r>
    </w:p>
    <w:p w14:paraId="3E65A71F" w14:textId="77777777" w:rsidR="000E5428" w:rsidRPr="009B54A6" w:rsidRDefault="000E5428" w:rsidP="000E5428">
      <w:pPr>
        <w:tabs>
          <w:tab w:val="left" w:pos="3060"/>
        </w:tabs>
        <w:autoSpaceDE w:val="0"/>
        <w:autoSpaceDN w:val="0"/>
        <w:adjustRightInd w:val="0"/>
        <w:rPr>
          <w:sz w:val="22"/>
          <w:szCs w:val="22"/>
        </w:rPr>
      </w:pPr>
    </w:p>
    <w:p w14:paraId="5CC91F4F" w14:textId="77777777" w:rsidR="000E5428" w:rsidRPr="009B54A6" w:rsidRDefault="000E5428" w:rsidP="000E5428">
      <w:pPr>
        <w:tabs>
          <w:tab w:val="left" w:pos="3060"/>
        </w:tabs>
        <w:autoSpaceDE w:val="0"/>
        <w:autoSpaceDN w:val="0"/>
        <w:adjustRightInd w:val="0"/>
        <w:rPr>
          <w:i/>
          <w:sz w:val="22"/>
          <w:szCs w:val="22"/>
          <w:highlight w:val="lightGray"/>
        </w:rPr>
      </w:pPr>
      <w:r w:rsidRPr="009B54A6">
        <w:rPr>
          <w:sz w:val="22"/>
          <w:szCs w:val="22"/>
          <w:highlight w:val="lightGray"/>
        </w:rPr>
        <w:t>Telmisartan/Hydrochlorothiazide Sandoz 80 mg/12,5 mg dengtos tabletės</w:t>
      </w:r>
    </w:p>
    <w:p w14:paraId="2AC30BBE" w14:textId="77777777" w:rsidR="000E5428" w:rsidRPr="009B54A6" w:rsidRDefault="000E5428" w:rsidP="000E5428">
      <w:pPr>
        <w:tabs>
          <w:tab w:val="left" w:pos="3060"/>
        </w:tabs>
        <w:autoSpaceDE w:val="0"/>
        <w:autoSpaceDN w:val="0"/>
        <w:adjustRightInd w:val="0"/>
        <w:rPr>
          <w:sz w:val="22"/>
          <w:szCs w:val="22"/>
          <w:highlight w:val="lightGray"/>
        </w:rPr>
      </w:pPr>
      <w:r w:rsidRPr="009B54A6">
        <w:rPr>
          <w:rFonts w:eastAsia="TimesNewRoman"/>
          <w:sz w:val="22"/>
          <w:szCs w:val="22"/>
          <w:highlight w:val="lightGray"/>
          <w:lang w:eastAsia="lt-LT"/>
        </w:rPr>
        <w:t>Kiekvienoje dengtoje tabletėje yra 80 mg telmisartano ir 12,5 mg hidrochlorotiazido.</w:t>
      </w:r>
    </w:p>
    <w:p w14:paraId="17A63D09" w14:textId="77777777" w:rsidR="000E5428" w:rsidRPr="009B54A6" w:rsidRDefault="000E5428" w:rsidP="000E5428">
      <w:pPr>
        <w:tabs>
          <w:tab w:val="left" w:pos="3060"/>
        </w:tabs>
        <w:autoSpaceDE w:val="0"/>
        <w:autoSpaceDN w:val="0"/>
        <w:adjustRightInd w:val="0"/>
        <w:rPr>
          <w:sz w:val="22"/>
          <w:szCs w:val="22"/>
          <w:highlight w:val="lightGray"/>
        </w:rPr>
      </w:pPr>
    </w:p>
    <w:p w14:paraId="5F8040E8" w14:textId="4FF12051" w:rsidR="000E5428" w:rsidRPr="009B54A6" w:rsidRDefault="000E5428" w:rsidP="000E5428">
      <w:pPr>
        <w:tabs>
          <w:tab w:val="left" w:pos="3060"/>
        </w:tabs>
        <w:autoSpaceDE w:val="0"/>
        <w:autoSpaceDN w:val="0"/>
        <w:adjustRightInd w:val="0"/>
        <w:rPr>
          <w:i/>
          <w:sz w:val="22"/>
          <w:szCs w:val="22"/>
          <w:highlight w:val="lightGray"/>
        </w:rPr>
      </w:pPr>
      <w:r w:rsidRPr="009B54A6">
        <w:rPr>
          <w:sz w:val="22"/>
          <w:szCs w:val="22"/>
          <w:highlight w:val="lightGray"/>
        </w:rPr>
        <w:t>Telmisartan/Hydrochlorothiazide Sandoz 80 mg/25 mg dengtos tabletės</w:t>
      </w:r>
    </w:p>
    <w:p w14:paraId="5646FECA" w14:textId="77777777" w:rsidR="000E5428" w:rsidRPr="009B54A6" w:rsidRDefault="000E5428" w:rsidP="000E5428">
      <w:pPr>
        <w:tabs>
          <w:tab w:val="left" w:pos="3060"/>
        </w:tabs>
        <w:autoSpaceDE w:val="0"/>
        <w:autoSpaceDN w:val="0"/>
        <w:adjustRightInd w:val="0"/>
        <w:rPr>
          <w:sz w:val="22"/>
          <w:szCs w:val="22"/>
        </w:rPr>
      </w:pPr>
      <w:r w:rsidRPr="009B54A6">
        <w:rPr>
          <w:rFonts w:eastAsia="TimesNewRoman"/>
          <w:sz w:val="22"/>
          <w:szCs w:val="22"/>
          <w:highlight w:val="lightGray"/>
          <w:lang w:eastAsia="lt-LT"/>
        </w:rPr>
        <w:t>Kiekvienoje dengtoje tabletėje yra 80 mg telmisartano ir 25 mg hidrochlorotiazido.</w:t>
      </w:r>
    </w:p>
    <w:p w14:paraId="7CA9648B" w14:textId="77777777" w:rsidR="000E5428" w:rsidRPr="009B54A6" w:rsidRDefault="000E5428" w:rsidP="000E5428">
      <w:pPr>
        <w:rPr>
          <w:sz w:val="22"/>
          <w:szCs w:val="22"/>
        </w:rPr>
      </w:pPr>
    </w:p>
    <w:p w14:paraId="09832E8C" w14:textId="77777777" w:rsidR="000E5428" w:rsidRPr="009B54A6" w:rsidRDefault="000E5428" w:rsidP="000E5428">
      <w:pPr>
        <w:rPr>
          <w:sz w:val="22"/>
          <w:szCs w:val="22"/>
        </w:rPr>
      </w:pPr>
    </w:p>
    <w:p w14:paraId="089D62B1"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3.</w:t>
      </w:r>
      <w:r w:rsidRPr="009B54A6">
        <w:rPr>
          <w:b/>
          <w:sz w:val="22"/>
          <w:szCs w:val="22"/>
        </w:rPr>
        <w:tab/>
        <w:t>PAGALBINIŲ MEDŽIAGŲ SĄRAŠAS</w:t>
      </w:r>
    </w:p>
    <w:p w14:paraId="18DFCBC3" w14:textId="77777777" w:rsidR="000E5428" w:rsidRPr="009B54A6" w:rsidRDefault="000E5428" w:rsidP="000E5428">
      <w:pPr>
        <w:tabs>
          <w:tab w:val="left" w:pos="567"/>
        </w:tabs>
        <w:rPr>
          <w:noProof/>
          <w:sz w:val="22"/>
          <w:szCs w:val="22"/>
        </w:rPr>
      </w:pPr>
    </w:p>
    <w:p w14:paraId="5C98B8CD" w14:textId="77777777" w:rsidR="000E5428" w:rsidRPr="009B54A6" w:rsidRDefault="000E5428" w:rsidP="000E5428">
      <w:pPr>
        <w:tabs>
          <w:tab w:val="left" w:pos="567"/>
        </w:tabs>
        <w:rPr>
          <w:noProof/>
          <w:sz w:val="22"/>
          <w:szCs w:val="22"/>
        </w:rPr>
      </w:pPr>
      <w:r w:rsidRPr="009B54A6">
        <w:rPr>
          <w:noProof/>
          <w:sz w:val="22"/>
          <w:szCs w:val="22"/>
        </w:rPr>
        <w:t>Sudėtyje yra laktozės. Daugiau informacijos pateikta pakuotės lapelyje.</w:t>
      </w:r>
    </w:p>
    <w:p w14:paraId="69F67CD1" w14:textId="77777777" w:rsidR="000E5428" w:rsidRPr="009B54A6" w:rsidRDefault="000E5428" w:rsidP="000E5428">
      <w:pPr>
        <w:rPr>
          <w:sz w:val="22"/>
          <w:szCs w:val="22"/>
        </w:rPr>
      </w:pPr>
    </w:p>
    <w:p w14:paraId="301F50CB" w14:textId="77777777" w:rsidR="000E5428" w:rsidRPr="009B54A6" w:rsidRDefault="000E5428" w:rsidP="000E5428">
      <w:pPr>
        <w:rPr>
          <w:sz w:val="22"/>
          <w:szCs w:val="22"/>
        </w:rPr>
      </w:pPr>
    </w:p>
    <w:p w14:paraId="3C6B40AE"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4.</w:t>
      </w:r>
      <w:r w:rsidRPr="009B54A6">
        <w:rPr>
          <w:b/>
          <w:sz w:val="22"/>
          <w:szCs w:val="22"/>
        </w:rPr>
        <w:tab/>
        <w:t>FARMACINĖ FORMA IR KIEKIS PAKUOTĖJE</w:t>
      </w:r>
    </w:p>
    <w:p w14:paraId="799D313E" w14:textId="77777777" w:rsidR="000E5428" w:rsidRPr="009B54A6" w:rsidRDefault="000E5428" w:rsidP="000E5428">
      <w:pPr>
        <w:rPr>
          <w:sz w:val="22"/>
          <w:szCs w:val="22"/>
          <w:lang w:eastAsia="lt-LT"/>
        </w:rPr>
      </w:pPr>
    </w:p>
    <w:p w14:paraId="1E771628" w14:textId="77777777" w:rsidR="000E5428" w:rsidRPr="009B54A6" w:rsidRDefault="000E5428" w:rsidP="000E5428">
      <w:pPr>
        <w:rPr>
          <w:sz w:val="22"/>
          <w:szCs w:val="22"/>
          <w:lang w:eastAsia="lt-LT"/>
        </w:rPr>
      </w:pPr>
      <w:r w:rsidRPr="009B54A6">
        <w:rPr>
          <w:sz w:val="22"/>
          <w:szCs w:val="22"/>
          <w:highlight w:val="lightGray"/>
          <w:lang w:eastAsia="lt-LT"/>
        </w:rPr>
        <w:t>Dengta tabletė</w:t>
      </w:r>
    </w:p>
    <w:p w14:paraId="5999AF1B" w14:textId="77777777" w:rsidR="000E5428" w:rsidRPr="009B54A6" w:rsidRDefault="000E5428" w:rsidP="000E5428">
      <w:pPr>
        <w:rPr>
          <w:sz w:val="22"/>
          <w:szCs w:val="22"/>
          <w:lang w:eastAsia="lt-LT"/>
        </w:rPr>
      </w:pPr>
    </w:p>
    <w:p w14:paraId="77DF8FF2"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7 tabletės</w:t>
      </w:r>
    </w:p>
    <w:p w14:paraId="56A241C1"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14 tablečių</w:t>
      </w:r>
    </w:p>
    <w:p w14:paraId="29C17948"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28 tabletės</w:t>
      </w:r>
    </w:p>
    <w:p w14:paraId="7E5695C5"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30 tablečių</w:t>
      </w:r>
    </w:p>
    <w:p w14:paraId="5ABCA5DE"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50 tablečių</w:t>
      </w:r>
    </w:p>
    <w:p w14:paraId="123426DE"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56 tabletės</w:t>
      </w:r>
    </w:p>
    <w:p w14:paraId="75C3D7BB"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60 tablečių</w:t>
      </w:r>
    </w:p>
    <w:p w14:paraId="75380CE7"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 xml:space="preserve">84 tabletės </w:t>
      </w:r>
    </w:p>
    <w:p w14:paraId="0253F062"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90 tablečių</w:t>
      </w:r>
    </w:p>
    <w:p w14:paraId="693999D2"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98 tabletės</w:t>
      </w:r>
    </w:p>
    <w:p w14:paraId="61CEEC4C" w14:textId="77777777" w:rsidR="000E5428" w:rsidRPr="009B54A6" w:rsidRDefault="000E5428" w:rsidP="000E5428">
      <w:pPr>
        <w:autoSpaceDE w:val="0"/>
        <w:autoSpaceDN w:val="0"/>
        <w:adjustRightInd w:val="0"/>
        <w:rPr>
          <w:sz w:val="22"/>
          <w:szCs w:val="22"/>
          <w:lang w:eastAsia="lt-LT"/>
        </w:rPr>
      </w:pPr>
      <w:r w:rsidRPr="009B54A6">
        <w:rPr>
          <w:sz w:val="22"/>
          <w:szCs w:val="22"/>
          <w:highlight w:val="lightGray"/>
          <w:lang w:eastAsia="lt-LT"/>
        </w:rPr>
        <w:t>100 tablečių</w:t>
      </w:r>
    </w:p>
    <w:p w14:paraId="5A4C1CBD" w14:textId="77777777" w:rsidR="000E5428" w:rsidRPr="009B54A6" w:rsidRDefault="000E5428" w:rsidP="000E5428">
      <w:pPr>
        <w:rPr>
          <w:sz w:val="22"/>
          <w:szCs w:val="22"/>
        </w:rPr>
      </w:pPr>
    </w:p>
    <w:p w14:paraId="34F7658A" w14:textId="77777777" w:rsidR="000E5428" w:rsidRPr="009B54A6" w:rsidRDefault="000E5428" w:rsidP="000E5428">
      <w:pPr>
        <w:rPr>
          <w:sz w:val="22"/>
          <w:szCs w:val="22"/>
        </w:rPr>
      </w:pPr>
    </w:p>
    <w:p w14:paraId="11FF21AC"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5.</w:t>
      </w:r>
      <w:r w:rsidRPr="009B54A6">
        <w:rPr>
          <w:b/>
          <w:sz w:val="22"/>
          <w:szCs w:val="22"/>
        </w:rPr>
        <w:tab/>
        <w:t>VARTOJIMO METODAS IR BŪDAS</w:t>
      </w:r>
    </w:p>
    <w:p w14:paraId="03BB825A" w14:textId="77777777" w:rsidR="000E5428" w:rsidRPr="009B54A6" w:rsidRDefault="000E5428" w:rsidP="000E5428">
      <w:pPr>
        <w:rPr>
          <w:sz w:val="22"/>
          <w:szCs w:val="22"/>
        </w:rPr>
      </w:pPr>
    </w:p>
    <w:p w14:paraId="4B847962" w14:textId="77777777" w:rsidR="000E5428" w:rsidRPr="009B54A6" w:rsidRDefault="000E5428" w:rsidP="000E5428">
      <w:pPr>
        <w:rPr>
          <w:sz w:val="22"/>
          <w:szCs w:val="22"/>
        </w:rPr>
      </w:pPr>
      <w:r w:rsidRPr="009B54A6">
        <w:rPr>
          <w:sz w:val="22"/>
          <w:szCs w:val="22"/>
        </w:rPr>
        <w:t>Vartoti per burną.</w:t>
      </w:r>
    </w:p>
    <w:p w14:paraId="34317167" w14:textId="77777777" w:rsidR="000E5428" w:rsidRPr="009B54A6" w:rsidRDefault="000E5428" w:rsidP="000E5428">
      <w:pPr>
        <w:rPr>
          <w:sz w:val="22"/>
          <w:szCs w:val="22"/>
        </w:rPr>
      </w:pPr>
      <w:r w:rsidRPr="009B54A6">
        <w:rPr>
          <w:sz w:val="22"/>
          <w:szCs w:val="22"/>
        </w:rPr>
        <w:t>Prieš vartojimą perskaitykite pakuotės lapelį.</w:t>
      </w:r>
    </w:p>
    <w:p w14:paraId="67D85D39" w14:textId="77777777" w:rsidR="000E5428" w:rsidRPr="009B54A6" w:rsidRDefault="000E5428" w:rsidP="000E5428">
      <w:pPr>
        <w:rPr>
          <w:sz w:val="22"/>
          <w:szCs w:val="22"/>
        </w:rPr>
      </w:pPr>
    </w:p>
    <w:p w14:paraId="727D479E" w14:textId="77777777" w:rsidR="000E5428" w:rsidRPr="009B54A6" w:rsidRDefault="000E5428" w:rsidP="000E5428">
      <w:pPr>
        <w:rPr>
          <w:sz w:val="22"/>
          <w:szCs w:val="22"/>
        </w:rPr>
      </w:pPr>
    </w:p>
    <w:p w14:paraId="4B317887" w14:textId="77777777" w:rsidR="000E5428" w:rsidRPr="009B54A6" w:rsidRDefault="000E5428" w:rsidP="00B84FE7">
      <w:pPr>
        <w:pBdr>
          <w:top w:val="single" w:sz="4" w:space="1" w:color="auto"/>
          <w:left w:val="single" w:sz="4" w:space="4" w:color="auto"/>
          <w:bottom w:val="single" w:sz="4" w:space="1" w:color="auto"/>
          <w:right w:val="single" w:sz="4" w:space="4" w:color="auto"/>
        </w:pBdr>
        <w:ind w:left="720" w:hanging="720"/>
        <w:rPr>
          <w:b/>
          <w:sz w:val="22"/>
          <w:szCs w:val="22"/>
        </w:rPr>
      </w:pPr>
      <w:r w:rsidRPr="009B54A6">
        <w:rPr>
          <w:b/>
          <w:sz w:val="22"/>
          <w:szCs w:val="22"/>
        </w:rPr>
        <w:lastRenderedPageBreak/>
        <w:t>6.</w:t>
      </w:r>
      <w:r w:rsidRPr="009B54A6">
        <w:rPr>
          <w:b/>
          <w:sz w:val="22"/>
          <w:szCs w:val="22"/>
        </w:rPr>
        <w:tab/>
        <w:t>SPECIALUS ĮSPĖJIMAS, KAD VAISTINĮ PREPARATĄ BŪTINA LAIKYTI VAIKAMS NEPASTEBIMOJE IR NEPASIEKIAMOJE VIETOJE</w:t>
      </w:r>
    </w:p>
    <w:p w14:paraId="43E99DE5" w14:textId="77777777" w:rsidR="000E5428" w:rsidRPr="009B54A6" w:rsidRDefault="000E5428" w:rsidP="000E5428">
      <w:pPr>
        <w:rPr>
          <w:sz w:val="22"/>
          <w:szCs w:val="22"/>
        </w:rPr>
      </w:pPr>
    </w:p>
    <w:p w14:paraId="745B45A3" w14:textId="77777777" w:rsidR="000E5428" w:rsidRPr="009B54A6" w:rsidRDefault="000E5428" w:rsidP="000E5428">
      <w:pPr>
        <w:rPr>
          <w:sz w:val="22"/>
          <w:szCs w:val="22"/>
        </w:rPr>
      </w:pPr>
      <w:r w:rsidRPr="009B54A6">
        <w:rPr>
          <w:sz w:val="22"/>
          <w:szCs w:val="22"/>
        </w:rPr>
        <w:t>Laikyti vaikams nepastebimoje ir nepasiekiamoje vietoje.</w:t>
      </w:r>
    </w:p>
    <w:p w14:paraId="6C8B6A2F" w14:textId="77777777" w:rsidR="000E5428" w:rsidRPr="009B54A6" w:rsidRDefault="000E5428" w:rsidP="000E5428">
      <w:pPr>
        <w:rPr>
          <w:sz w:val="22"/>
          <w:szCs w:val="22"/>
        </w:rPr>
      </w:pPr>
    </w:p>
    <w:p w14:paraId="3B758389" w14:textId="77777777" w:rsidR="000E5428" w:rsidRPr="009B54A6" w:rsidRDefault="000E5428" w:rsidP="000E5428">
      <w:pPr>
        <w:rPr>
          <w:sz w:val="22"/>
          <w:szCs w:val="22"/>
        </w:rPr>
      </w:pPr>
    </w:p>
    <w:p w14:paraId="2643FF5B"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7.</w:t>
      </w:r>
      <w:r w:rsidRPr="009B54A6">
        <w:rPr>
          <w:b/>
          <w:sz w:val="22"/>
          <w:szCs w:val="22"/>
        </w:rPr>
        <w:tab/>
        <w:t>KITAS SPECIALUS ĮSPĖJIMAS (JEI REIKIA)</w:t>
      </w:r>
    </w:p>
    <w:p w14:paraId="19A7FEB5" w14:textId="77777777" w:rsidR="000E5428" w:rsidRPr="009B54A6" w:rsidRDefault="000E5428" w:rsidP="000E5428">
      <w:pPr>
        <w:rPr>
          <w:sz w:val="22"/>
          <w:szCs w:val="22"/>
        </w:rPr>
      </w:pPr>
    </w:p>
    <w:p w14:paraId="5CE32584" w14:textId="77777777" w:rsidR="000E5428" w:rsidRPr="009B54A6" w:rsidRDefault="000E5428" w:rsidP="000E5428">
      <w:pPr>
        <w:rPr>
          <w:sz w:val="22"/>
          <w:szCs w:val="22"/>
        </w:rPr>
      </w:pPr>
    </w:p>
    <w:p w14:paraId="112328E6"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8.</w:t>
      </w:r>
      <w:r w:rsidRPr="009B54A6">
        <w:rPr>
          <w:b/>
          <w:sz w:val="22"/>
          <w:szCs w:val="22"/>
        </w:rPr>
        <w:tab/>
        <w:t>TINKAMUMO LAIKAS</w:t>
      </w:r>
    </w:p>
    <w:p w14:paraId="0CE4C145" w14:textId="77777777" w:rsidR="000E5428" w:rsidRPr="009B54A6" w:rsidRDefault="000E5428" w:rsidP="000E5428">
      <w:pPr>
        <w:rPr>
          <w:sz w:val="22"/>
          <w:szCs w:val="22"/>
        </w:rPr>
      </w:pPr>
    </w:p>
    <w:p w14:paraId="3ED73302" w14:textId="70719E03" w:rsidR="000E5428" w:rsidRPr="009B54A6" w:rsidRDefault="000E5428" w:rsidP="000E5428">
      <w:pPr>
        <w:rPr>
          <w:sz w:val="22"/>
          <w:szCs w:val="22"/>
          <w:lang w:eastAsia="lt-LT"/>
        </w:rPr>
      </w:pPr>
      <w:r w:rsidRPr="009B54A6">
        <w:rPr>
          <w:sz w:val="22"/>
          <w:szCs w:val="22"/>
          <w:lang w:eastAsia="lt-LT"/>
        </w:rPr>
        <w:t xml:space="preserve">Tinka iki {mm /MMMM} </w:t>
      </w:r>
    </w:p>
    <w:p w14:paraId="60CC9D61" w14:textId="77777777" w:rsidR="000E5428" w:rsidRPr="009B54A6" w:rsidRDefault="000E5428" w:rsidP="000E5428">
      <w:pPr>
        <w:rPr>
          <w:sz w:val="22"/>
          <w:szCs w:val="22"/>
        </w:rPr>
      </w:pPr>
    </w:p>
    <w:p w14:paraId="24BE8149" w14:textId="77777777" w:rsidR="000E5428" w:rsidRPr="009B54A6" w:rsidRDefault="000E5428" w:rsidP="000E5428">
      <w:pPr>
        <w:rPr>
          <w:sz w:val="22"/>
          <w:szCs w:val="22"/>
        </w:rPr>
      </w:pPr>
    </w:p>
    <w:p w14:paraId="3B728857" w14:textId="77777777" w:rsidR="000E5428" w:rsidRPr="009B54A6" w:rsidRDefault="000E5428" w:rsidP="000E5428">
      <w:pPr>
        <w:pBdr>
          <w:top w:val="single" w:sz="4" w:space="1" w:color="auto"/>
          <w:left w:val="single" w:sz="4" w:space="4" w:color="auto"/>
          <w:bottom w:val="single" w:sz="4" w:space="0" w:color="auto"/>
          <w:right w:val="single" w:sz="4" w:space="4" w:color="auto"/>
        </w:pBdr>
        <w:rPr>
          <w:b/>
          <w:sz w:val="22"/>
          <w:szCs w:val="22"/>
        </w:rPr>
      </w:pPr>
      <w:r w:rsidRPr="009B54A6">
        <w:rPr>
          <w:b/>
          <w:sz w:val="22"/>
          <w:szCs w:val="22"/>
        </w:rPr>
        <w:t>9.</w:t>
      </w:r>
      <w:r w:rsidRPr="009B54A6">
        <w:rPr>
          <w:b/>
          <w:sz w:val="22"/>
          <w:szCs w:val="22"/>
        </w:rPr>
        <w:tab/>
        <w:t>SPECIALIOS LAIKYMO SĄLYGOS</w:t>
      </w:r>
    </w:p>
    <w:p w14:paraId="33E53BA3" w14:textId="77777777" w:rsidR="000E5428" w:rsidRPr="009B54A6" w:rsidRDefault="000E5428" w:rsidP="000E5428">
      <w:pPr>
        <w:rPr>
          <w:sz w:val="22"/>
          <w:szCs w:val="22"/>
          <w:lang w:eastAsia="lt-LT"/>
        </w:rPr>
      </w:pPr>
    </w:p>
    <w:p w14:paraId="7C2DA15F" w14:textId="77777777" w:rsidR="000E5428" w:rsidRPr="009B54A6" w:rsidRDefault="000E5428" w:rsidP="000E5428">
      <w:pPr>
        <w:rPr>
          <w:sz w:val="22"/>
          <w:szCs w:val="22"/>
          <w:lang w:eastAsia="lt-LT"/>
        </w:rPr>
      </w:pPr>
      <w:r w:rsidRPr="009B54A6">
        <w:rPr>
          <w:sz w:val="22"/>
          <w:szCs w:val="22"/>
          <w:lang w:eastAsia="lt-LT"/>
        </w:rPr>
        <w:t>Laikyti ne aukštesnėje kaip 30 °C temperatūroje.</w:t>
      </w:r>
    </w:p>
    <w:p w14:paraId="7D94AC73" w14:textId="77777777" w:rsidR="000E5428" w:rsidRPr="009B54A6" w:rsidRDefault="000E5428" w:rsidP="000E5428">
      <w:pPr>
        <w:rPr>
          <w:sz w:val="22"/>
          <w:szCs w:val="22"/>
          <w:lang w:eastAsia="lt-LT"/>
        </w:rPr>
      </w:pPr>
      <w:r w:rsidRPr="009B54A6">
        <w:rPr>
          <w:sz w:val="22"/>
          <w:szCs w:val="22"/>
          <w:lang w:eastAsia="lt-LT"/>
        </w:rPr>
        <w:t>Laikyti gamintojo pakuotėje, kad preparatas būtų apsaugotas nuo drėgmės.</w:t>
      </w:r>
    </w:p>
    <w:p w14:paraId="4BA8AA31" w14:textId="77777777" w:rsidR="000E5428" w:rsidRPr="009B54A6" w:rsidRDefault="000E5428" w:rsidP="000E5428">
      <w:pPr>
        <w:rPr>
          <w:sz w:val="22"/>
          <w:szCs w:val="22"/>
          <w:lang w:eastAsia="lt-LT"/>
        </w:rPr>
      </w:pPr>
    </w:p>
    <w:p w14:paraId="209601BB" w14:textId="77777777" w:rsidR="000E5428" w:rsidRPr="009B54A6" w:rsidRDefault="000E5428" w:rsidP="000E5428">
      <w:pPr>
        <w:rPr>
          <w:sz w:val="22"/>
          <w:szCs w:val="22"/>
          <w:lang w:eastAsia="lt-LT"/>
        </w:rPr>
      </w:pPr>
    </w:p>
    <w:p w14:paraId="35CD13F0" w14:textId="77777777" w:rsidR="000E5428" w:rsidRPr="009B54A6" w:rsidRDefault="000E5428" w:rsidP="00B84FE7">
      <w:pPr>
        <w:pBdr>
          <w:top w:val="single" w:sz="4" w:space="1" w:color="auto"/>
          <w:left w:val="single" w:sz="4" w:space="4" w:color="auto"/>
          <w:bottom w:val="single" w:sz="4" w:space="1" w:color="auto"/>
          <w:right w:val="single" w:sz="4" w:space="4" w:color="auto"/>
        </w:pBdr>
        <w:ind w:left="720" w:hanging="720"/>
        <w:rPr>
          <w:b/>
          <w:sz w:val="22"/>
          <w:szCs w:val="22"/>
        </w:rPr>
      </w:pPr>
      <w:r w:rsidRPr="009B54A6">
        <w:rPr>
          <w:b/>
          <w:sz w:val="22"/>
          <w:szCs w:val="22"/>
        </w:rPr>
        <w:t>10.</w:t>
      </w:r>
      <w:r w:rsidRPr="009B54A6">
        <w:rPr>
          <w:b/>
          <w:sz w:val="22"/>
          <w:szCs w:val="22"/>
        </w:rPr>
        <w:tab/>
        <w:t xml:space="preserve">SPECIALIOS ATSARGUMO PRIEMONĖS DĖL NESUVARTOTO </w:t>
      </w:r>
      <w:r w:rsidRPr="009B54A6">
        <w:rPr>
          <w:b/>
          <w:bCs/>
          <w:sz w:val="22"/>
          <w:szCs w:val="22"/>
        </w:rPr>
        <w:t xml:space="preserve">VAISTINIO PREPARATO AR JO ATLIEKŲ </w:t>
      </w:r>
      <w:r w:rsidRPr="009B54A6">
        <w:rPr>
          <w:b/>
          <w:sz w:val="22"/>
          <w:szCs w:val="22"/>
        </w:rPr>
        <w:t>TVARKYMO (JEI REIKIA)</w:t>
      </w:r>
    </w:p>
    <w:p w14:paraId="1782B016" w14:textId="77777777" w:rsidR="000E5428" w:rsidRPr="009B54A6" w:rsidRDefault="000E5428" w:rsidP="000E5428">
      <w:pPr>
        <w:rPr>
          <w:sz w:val="22"/>
          <w:szCs w:val="22"/>
        </w:rPr>
      </w:pPr>
    </w:p>
    <w:p w14:paraId="0BAA03ED" w14:textId="77777777" w:rsidR="000E5428" w:rsidRPr="009B54A6" w:rsidRDefault="000E5428" w:rsidP="000E5428">
      <w:pPr>
        <w:rPr>
          <w:sz w:val="22"/>
          <w:szCs w:val="22"/>
        </w:rPr>
      </w:pPr>
    </w:p>
    <w:p w14:paraId="14655CF6" w14:textId="51C7CA15"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11.</w:t>
      </w:r>
      <w:r w:rsidRPr="009B54A6">
        <w:rPr>
          <w:b/>
          <w:sz w:val="22"/>
          <w:szCs w:val="22"/>
        </w:rPr>
        <w:tab/>
        <w:t>R</w:t>
      </w:r>
      <w:r w:rsidR="00B63A45">
        <w:rPr>
          <w:b/>
          <w:sz w:val="22"/>
          <w:szCs w:val="22"/>
        </w:rPr>
        <w:t xml:space="preserve">EGISTRUOTOJO </w:t>
      </w:r>
      <w:r w:rsidRPr="009B54A6">
        <w:rPr>
          <w:b/>
          <w:sz w:val="22"/>
          <w:szCs w:val="22"/>
        </w:rPr>
        <w:t xml:space="preserve"> PAVADINIMAS IR ADRESAS</w:t>
      </w:r>
    </w:p>
    <w:p w14:paraId="0FAC163F" w14:textId="77777777" w:rsidR="000E5428" w:rsidRPr="009B54A6" w:rsidRDefault="000E5428" w:rsidP="000E5428">
      <w:pPr>
        <w:tabs>
          <w:tab w:val="left" w:pos="567"/>
        </w:tabs>
        <w:rPr>
          <w:sz w:val="22"/>
          <w:szCs w:val="22"/>
        </w:rPr>
      </w:pPr>
    </w:p>
    <w:p w14:paraId="57DE304C" w14:textId="77777777" w:rsidR="000E5428" w:rsidRPr="009B54A6" w:rsidRDefault="000E5428" w:rsidP="000E5428">
      <w:pPr>
        <w:tabs>
          <w:tab w:val="left" w:pos="567"/>
        </w:tabs>
        <w:rPr>
          <w:sz w:val="22"/>
          <w:szCs w:val="22"/>
        </w:rPr>
      </w:pPr>
      <w:r w:rsidRPr="009B54A6">
        <w:rPr>
          <w:sz w:val="22"/>
          <w:szCs w:val="22"/>
        </w:rPr>
        <w:t>Sandoz d.d.</w:t>
      </w:r>
    </w:p>
    <w:p w14:paraId="01EFC368" w14:textId="77777777" w:rsidR="000E5428" w:rsidRPr="009B54A6" w:rsidRDefault="000E5428" w:rsidP="000E5428">
      <w:pPr>
        <w:tabs>
          <w:tab w:val="left" w:pos="567"/>
        </w:tabs>
        <w:rPr>
          <w:sz w:val="22"/>
          <w:szCs w:val="22"/>
        </w:rPr>
      </w:pPr>
      <w:r w:rsidRPr="009B54A6">
        <w:rPr>
          <w:sz w:val="22"/>
          <w:szCs w:val="22"/>
        </w:rPr>
        <w:t>Verovškova 57</w:t>
      </w:r>
    </w:p>
    <w:p w14:paraId="6628208E" w14:textId="77777777" w:rsidR="000E5428" w:rsidRPr="009B54A6" w:rsidRDefault="000E5428" w:rsidP="000E5428">
      <w:pPr>
        <w:tabs>
          <w:tab w:val="left" w:pos="567"/>
        </w:tabs>
        <w:rPr>
          <w:sz w:val="22"/>
          <w:szCs w:val="22"/>
        </w:rPr>
      </w:pPr>
      <w:r w:rsidRPr="009B54A6">
        <w:rPr>
          <w:sz w:val="22"/>
          <w:szCs w:val="22"/>
        </w:rPr>
        <w:t>SI-1000 Ljubljana</w:t>
      </w:r>
    </w:p>
    <w:p w14:paraId="2C75D523" w14:textId="77777777" w:rsidR="000E5428" w:rsidRPr="009B54A6" w:rsidRDefault="000E5428" w:rsidP="000E5428">
      <w:pPr>
        <w:tabs>
          <w:tab w:val="left" w:pos="567"/>
        </w:tabs>
        <w:rPr>
          <w:sz w:val="22"/>
          <w:szCs w:val="22"/>
        </w:rPr>
      </w:pPr>
      <w:r w:rsidRPr="009B54A6">
        <w:rPr>
          <w:sz w:val="22"/>
          <w:szCs w:val="22"/>
        </w:rPr>
        <w:t>Slovėnija</w:t>
      </w:r>
      <w:r w:rsidRPr="009B54A6" w:rsidDel="00F22949">
        <w:rPr>
          <w:sz w:val="22"/>
          <w:szCs w:val="22"/>
        </w:rPr>
        <w:t xml:space="preserve"> </w:t>
      </w:r>
    </w:p>
    <w:p w14:paraId="3F7E5943" w14:textId="77777777" w:rsidR="000E5428" w:rsidRPr="009B54A6" w:rsidRDefault="000E5428" w:rsidP="000E5428">
      <w:pPr>
        <w:rPr>
          <w:sz w:val="22"/>
          <w:szCs w:val="22"/>
        </w:rPr>
      </w:pPr>
    </w:p>
    <w:p w14:paraId="6D3325FF" w14:textId="77777777" w:rsidR="000E5428" w:rsidRPr="009B54A6" w:rsidRDefault="000E5428" w:rsidP="000E5428">
      <w:pPr>
        <w:rPr>
          <w:sz w:val="22"/>
          <w:szCs w:val="22"/>
        </w:rPr>
      </w:pPr>
    </w:p>
    <w:p w14:paraId="5E458C7D" w14:textId="78A05E2B"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12.</w:t>
      </w:r>
      <w:r w:rsidRPr="009B54A6">
        <w:rPr>
          <w:b/>
          <w:sz w:val="22"/>
          <w:szCs w:val="22"/>
        </w:rPr>
        <w:tab/>
        <w:t>R</w:t>
      </w:r>
      <w:r w:rsidR="00B63A45">
        <w:rPr>
          <w:b/>
          <w:sz w:val="22"/>
          <w:szCs w:val="22"/>
        </w:rPr>
        <w:t xml:space="preserve">EGISTRACIJOS </w:t>
      </w:r>
      <w:r w:rsidRPr="009B54A6">
        <w:rPr>
          <w:b/>
          <w:sz w:val="22"/>
          <w:szCs w:val="22"/>
        </w:rPr>
        <w:t xml:space="preserve"> NUMERIS </w:t>
      </w:r>
    </w:p>
    <w:p w14:paraId="2D2B8422" w14:textId="77777777" w:rsidR="000E5428" w:rsidRPr="009B54A6" w:rsidRDefault="000E5428" w:rsidP="000E5428">
      <w:pPr>
        <w:jc w:val="both"/>
        <w:rPr>
          <w:sz w:val="22"/>
          <w:szCs w:val="22"/>
        </w:rPr>
      </w:pPr>
    </w:p>
    <w:p w14:paraId="7978D554"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 xml:space="preserve">Telmisartan/Hydrochlorothiazide Sandoz 40 mg/12,5 mg </w:t>
      </w:r>
    </w:p>
    <w:p w14:paraId="2B9CF493" w14:textId="77777777" w:rsidR="000E5428" w:rsidRPr="009B54A6" w:rsidRDefault="000E5428" w:rsidP="000E5428">
      <w:pPr>
        <w:rPr>
          <w:bCs/>
          <w:sz w:val="22"/>
          <w:szCs w:val="22"/>
        </w:rPr>
      </w:pPr>
      <w:r w:rsidRPr="009B54A6">
        <w:rPr>
          <w:bCs/>
          <w:sz w:val="22"/>
          <w:szCs w:val="22"/>
        </w:rPr>
        <w:t xml:space="preserve">N7 - LT/1/13/3337/001 </w:t>
      </w:r>
    </w:p>
    <w:p w14:paraId="3F5F6506" w14:textId="77777777" w:rsidR="000E5428" w:rsidRPr="009B54A6" w:rsidRDefault="000E5428" w:rsidP="000E5428">
      <w:pPr>
        <w:rPr>
          <w:bCs/>
          <w:sz w:val="22"/>
          <w:szCs w:val="22"/>
        </w:rPr>
      </w:pPr>
      <w:r w:rsidRPr="009B54A6">
        <w:rPr>
          <w:bCs/>
          <w:sz w:val="22"/>
          <w:szCs w:val="22"/>
        </w:rPr>
        <w:t xml:space="preserve">N14 - LT/1/13/3337/002 </w:t>
      </w:r>
    </w:p>
    <w:p w14:paraId="49B364CE" w14:textId="77777777" w:rsidR="000E5428" w:rsidRPr="009B54A6" w:rsidRDefault="000E5428" w:rsidP="000E5428">
      <w:pPr>
        <w:rPr>
          <w:bCs/>
          <w:sz w:val="22"/>
          <w:szCs w:val="22"/>
        </w:rPr>
      </w:pPr>
      <w:r w:rsidRPr="009B54A6">
        <w:rPr>
          <w:bCs/>
          <w:sz w:val="22"/>
          <w:szCs w:val="22"/>
        </w:rPr>
        <w:t xml:space="preserve">N28 - LT/1/13/3337/003 </w:t>
      </w:r>
    </w:p>
    <w:p w14:paraId="022F1393" w14:textId="77777777" w:rsidR="000E5428" w:rsidRPr="009B54A6" w:rsidRDefault="000E5428" w:rsidP="000E5428">
      <w:pPr>
        <w:rPr>
          <w:bCs/>
          <w:sz w:val="22"/>
          <w:szCs w:val="22"/>
        </w:rPr>
      </w:pPr>
      <w:r w:rsidRPr="009B54A6">
        <w:rPr>
          <w:bCs/>
          <w:sz w:val="22"/>
          <w:szCs w:val="22"/>
        </w:rPr>
        <w:t xml:space="preserve">N30 - LT/1/13/3337/004 </w:t>
      </w:r>
    </w:p>
    <w:p w14:paraId="630E8E9F" w14:textId="77777777" w:rsidR="000E5428" w:rsidRPr="009B54A6" w:rsidRDefault="000E5428" w:rsidP="000E5428">
      <w:pPr>
        <w:rPr>
          <w:bCs/>
          <w:sz w:val="22"/>
          <w:szCs w:val="22"/>
        </w:rPr>
      </w:pPr>
      <w:r w:rsidRPr="009B54A6">
        <w:rPr>
          <w:bCs/>
          <w:sz w:val="22"/>
          <w:szCs w:val="22"/>
        </w:rPr>
        <w:t xml:space="preserve">N50 - LT/1/13/3337/005 </w:t>
      </w:r>
    </w:p>
    <w:p w14:paraId="408247A6" w14:textId="77777777" w:rsidR="000E5428" w:rsidRPr="009B54A6" w:rsidRDefault="000E5428" w:rsidP="000E5428">
      <w:pPr>
        <w:rPr>
          <w:bCs/>
          <w:sz w:val="22"/>
          <w:szCs w:val="22"/>
        </w:rPr>
      </w:pPr>
      <w:r w:rsidRPr="009B54A6">
        <w:rPr>
          <w:bCs/>
          <w:sz w:val="22"/>
          <w:szCs w:val="22"/>
        </w:rPr>
        <w:t xml:space="preserve">N56 - LT/1/13/3337/006 </w:t>
      </w:r>
    </w:p>
    <w:p w14:paraId="61038CA3" w14:textId="77777777" w:rsidR="000E5428" w:rsidRPr="009B54A6" w:rsidRDefault="000E5428" w:rsidP="000E5428">
      <w:pPr>
        <w:rPr>
          <w:bCs/>
          <w:sz w:val="22"/>
          <w:szCs w:val="22"/>
        </w:rPr>
      </w:pPr>
      <w:r w:rsidRPr="009B54A6">
        <w:rPr>
          <w:bCs/>
          <w:sz w:val="22"/>
          <w:szCs w:val="22"/>
        </w:rPr>
        <w:t xml:space="preserve">N60 - LT/1/13/3337/007 </w:t>
      </w:r>
    </w:p>
    <w:p w14:paraId="6037212E" w14:textId="77777777" w:rsidR="000E5428" w:rsidRPr="009B54A6" w:rsidRDefault="000E5428" w:rsidP="000E5428">
      <w:pPr>
        <w:rPr>
          <w:bCs/>
          <w:sz w:val="22"/>
          <w:szCs w:val="22"/>
        </w:rPr>
      </w:pPr>
      <w:r w:rsidRPr="009B54A6">
        <w:rPr>
          <w:bCs/>
          <w:sz w:val="22"/>
          <w:szCs w:val="22"/>
        </w:rPr>
        <w:t xml:space="preserve">N84 - LT/1/13/3337/008 </w:t>
      </w:r>
    </w:p>
    <w:p w14:paraId="3E00C4FE" w14:textId="77777777" w:rsidR="000E5428" w:rsidRPr="009B54A6" w:rsidRDefault="000E5428" w:rsidP="000E5428">
      <w:pPr>
        <w:rPr>
          <w:bCs/>
          <w:sz w:val="22"/>
          <w:szCs w:val="22"/>
        </w:rPr>
      </w:pPr>
      <w:r w:rsidRPr="009B54A6">
        <w:rPr>
          <w:bCs/>
          <w:sz w:val="22"/>
          <w:szCs w:val="22"/>
        </w:rPr>
        <w:t xml:space="preserve">N90 - LT/1/13/3337/009 </w:t>
      </w:r>
    </w:p>
    <w:p w14:paraId="3E92119A" w14:textId="77777777" w:rsidR="000E5428" w:rsidRPr="009B54A6" w:rsidRDefault="000E5428" w:rsidP="000E5428">
      <w:pPr>
        <w:rPr>
          <w:bCs/>
          <w:sz w:val="22"/>
          <w:szCs w:val="22"/>
        </w:rPr>
      </w:pPr>
      <w:r w:rsidRPr="009B54A6">
        <w:rPr>
          <w:bCs/>
          <w:sz w:val="22"/>
          <w:szCs w:val="22"/>
        </w:rPr>
        <w:t xml:space="preserve">N98 - LT/1/13/3337/010 </w:t>
      </w:r>
    </w:p>
    <w:p w14:paraId="04BA05CF" w14:textId="77777777" w:rsidR="000E5428" w:rsidRPr="009B54A6" w:rsidRDefault="000E5428" w:rsidP="000E5428">
      <w:pPr>
        <w:rPr>
          <w:bCs/>
          <w:sz w:val="22"/>
          <w:szCs w:val="22"/>
        </w:rPr>
      </w:pPr>
      <w:r w:rsidRPr="009B54A6">
        <w:rPr>
          <w:bCs/>
          <w:sz w:val="22"/>
          <w:szCs w:val="22"/>
        </w:rPr>
        <w:t xml:space="preserve">N100 - LT/1/13/3337/011 </w:t>
      </w:r>
    </w:p>
    <w:p w14:paraId="6F7D86E6" w14:textId="77777777" w:rsidR="000E5428" w:rsidRPr="009B54A6" w:rsidRDefault="000E5428" w:rsidP="000E5428">
      <w:pPr>
        <w:tabs>
          <w:tab w:val="left" w:pos="3060"/>
        </w:tabs>
        <w:autoSpaceDE w:val="0"/>
        <w:autoSpaceDN w:val="0"/>
        <w:adjustRightInd w:val="0"/>
        <w:rPr>
          <w:sz w:val="22"/>
          <w:szCs w:val="22"/>
        </w:rPr>
      </w:pPr>
    </w:p>
    <w:p w14:paraId="3DAD284E"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 xml:space="preserve">Telmisartan/Hydrochlorothiazide Sandoz 80 mg/12,5 mg </w:t>
      </w:r>
    </w:p>
    <w:p w14:paraId="36F010D4" w14:textId="77777777" w:rsidR="000E5428" w:rsidRPr="009B54A6" w:rsidRDefault="000E5428" w:rsidP="000E5428">
      <w:pPr>
        <w:rPr>
          <w:bCs/>
          <w:sz w:val="22"/>
          <w:szCs w:val="22"/>
        </w:rPr>
      </w:pPr>
      <w:r w:rsidRPr="009B54A6">
        <w:rPr>
          <w:bCs/>
          <w:sz w:val="22"/>
          <w:szCs w:val="22"/>
        </w:rPr>
        <w:t>N7 - LT/1/13/3337/012</w:t>
      </w:r>
    </w:p>
    <w:p w14:paraId="32C25C59" w14:textId="77777777" w:rsidR="000E5428" w:rsidRPr="009B54A6" w:rsidRDefault="000E5428" w:rsidP="000E5428">
      <w:pPr>
        <w:rPr>
          <w:bCs/>
          <w:sz w:val="22"/>
          <w:szCs w:val="22"/>
        </w:rPr>
      </w:pPr>
      <w:r w:rsidRPr="009B54A6">
        <w:rPr>
          <w:bCs/>
          <w:sz w:val="22"/>
          <w:szCs w:val="22"/>
        </w:rPr>
        <w:t xml:space="preserve">N14 - LT/1/13/3337/013 </w:t>
      </w:r>
    </w:p>
    <w:p w14:paraId="655D992C" w14:textId="77777777" w:rsidR="000E5428" w:rsidRPr="009B54A6" w:rsidRDefault="000E5428" w:rsidP="000E5428">
      <w:pPr>
        <w:rPr>
          <w:bCs/>
          <w:sz w:val="22"/>
          <w:szCs w:val="22"/>
        </w:rPr>
      </w:pPr>
      <w:r w:rsidRPr="009B54A6">
        <w:rPr>
          <w:bCs/>
          <w:sz w:val="22"/>
          <w:szCs w:val="22"/>
        </w:rPr>
        <w:t xml:space="preserve">N28 - LT/1/13/3337/014 </w:t>
      </w:r>
    </w:p>
    <w:p w14:paraId="52CA1AD4" w14:textId="77777777" w:rsidR="000E5428" w:rsidRPr="009B54A6" w:rsidRDefault="000E5428" w:rsidP="000E5428">
      <w:pPr>
        <w:rPr>
          <w:bCs/>
          <w:sz w:val="22"/>
          <w:szCs w:val="22"/>
        </w:rPr>
      </w:pPr>
      <w:r w:rsidRPr="009B54A6">
        <w:rPr>
          <w:bCs/>
          <w:sz w:val="22"/>
          <w:szCs w:val="22"/>
        </w:rPr>
        <w:t xml:space="preserve">N30 - LT/1/13/3337/015 </w:t>
      </w:r>
    </w:p>
    <w:p w14:paraId="2E741BCC" w14:textId="77777777" w:rsidR="000E5428" w:rsidRPr="009B54A6" w:rsidRDefault="000E5428" w:rsidP="000E5428">
      <w:pPr>
        <w:rPr>
          <w:bCs/>
          <w:sz w:val="22"/>
          <w:szCs w:val="22"/>
        </w:rPr>
      </w:pPr>
      <w:r w:rsidRPr="009B54A6">
        <w:rPr>
          <w:bCs/>
          <w:sz w:val="22"/>
          <w:szCs w:val="22"/>
        </w:rPr>
        <w:t xml:space="preserve">N50 - LT/1/13/3337/016 </w:t>
      </w:r>
    </w:p>
    <w:p w14:paraId="375B205A" w14:textId="77777777" w:rsidR="000E5428" w:rsidRPr="009B54A6" w:rsidRDefault="000E5428" w:rsidP="000E5428">
      <w:pPr>
        <w:rPr>
          <w:bCs/>
          <w:sz w:val="22"/>
          <w:szCs w:val="22"/>
        </w:rPr>
      </w:pPr>
      <w:r w:rsidRPr="009B54A6">
        <w:rPr>
          <w:bCs/>
          <w:sz w:val="22"/>
          <w:szCs w:val="22"/>
        </w:rPr>
        <w:t xml:space="preserve">N56 - LT/1/13/3337/017 </w:t>
      </w:r>
    </w:p>
    <w:p w14:paraId="3DF4DBDC" w14:textId="77777777" w:rsidR="000E5428" w:rsidRPr="009B54A6" w:rsidRDefault="000E5428" w:rsidP="000E5428">
      <w:pPr>
        <w:rPr>
          <w:bCs/>
          <w:sz w:val="22"/>
          <w:szCs w:val="22"/>
        </w:rPr>
      </w:pPr>
      <w:r w:rsidRPr="009B54A6">
        <w:rPr>
          <w:bCs/>
          <w:sz w:val="22"/>
          <w:szCs w:val="22"/>
        </w:rPr>
        <w:t xml:space="preserve">N60 - LT/1/13/3337/018 </w:t>
      </w:r>
    </w:p>
    <w:p w14:paraId="75A3657A" w14:textId="77777777" w:rsidR="000E5428" w:rsidRPr="009B54A6" w:rsidRDefault="000E5428" w:rsidP="000E5428">
      <w:pPr>
        <w:rPr>
          <w:bCs/>
          <w:sz w:val="22"/>
          <w:szCs w:val="22"/>
        </w:rPr>
      </w:pPr>
      <w:r w:rsidRPr="009B54A6">
        <w:rPr>
          <w:bCs/>
          <w:sz w:val="22"/>
          <w:szCs w:val="22"/>
        </w:rPr>
        <w:t xml:space="preserve">N84 - LT/1/13/3337/019 </w:t>
      </w:r>
    </w:p>
    <w:p w14:paraId="1879025E" w14:textId="77777777" w:rsidR="000E5428" w:rsidRPr="009B54A6" w:rsidRDefault="000E5428" w:rsidP="000E5428">
      <w:pPr>
        <w:rPr>
          <w:bCs/>
          <w:sz w:val="22"/>
          <w:szCs w:val="22"/>
        </w:rPr>
      </w:pPr>
      <w:r w:rsidRPr="009B54A6">
        <w:rPr>
          <w:bCs/>
          <w:sz w:val="22"/>
          <w:szCs w:val="22"/>
        </w:rPr>
        <w:lastRenderedPageBreak/>
        <w:t xml:space="preserve">N90 - LT/1/13/3337/020 </w:t>
      </w:r>
    </w:p>
    <w:p w14:paraId="755C8C2A" w14:textId="77777777" w:rsidR="000E5428" w:rsidRPr="009B54A6" w:rsidRDefault="000E5428" w:rsidP="000E5428">
      <w:pPr>
        <w:rPr>
          <w:bCs/>
          <w:sz w:val="22"/>
          <w:szCs w:val="22"/>
        </w:rPr>
      </w:pPr>
      <w:r w:rsidRPr="009B54A6">
        <w:rPr>
          <w:bCs/>
          <w:sz w:val="22"/>
          <w:szCs w:val="22"/>
        </w:rPr>
        <w:t xml:space="preserve">N98 - LT/1/13/3337/021 </w:t>
      </w:r>
    </w:p>
    <w:p w14:paraId="7A7A140D" w14:textId="77777777" w:rsidR="000E5428" w:rsidRPr="009B54A6" w:rsidRDefault="000E5428" w:rsidP="000E5428">
      <w:pPr>
        <w:rPr>
          <w:bCs/>
          <w:sz w:val="22"/>
          <w:szCs w:val="22"/>
        </w:rPr>
      </w:pPr>
      <w:r w:rsidRPr="009B54A6">
        <w:rPr>
          <w:bCs/>
          <w:sz w:val="22"/>
          <w:szCs w:val="22"/>
        </w:rPr>
        <w:t xml:space="preserve">N100 - LT/1/13/3337/022 </w:t>
      </w:r>
    </w:p>
    <w:p w14:paraId="38602D09" w14:textId="77777777" w:rsidR="000E5428" w:rsidRPr="009B54A6" w:rsidRDefault="000E5428" w:rsidP="000E5428">
      <w:pPr>
        <w:tabs>
          <w:tab w:val="left" w:pos="3060"/>
        </w:tabs>
        <w:autoSpaceDE w:val="0"/>
        <w:autoSpaceDN w:val="0"/>
        <w:adjustRightInd w:val="0"/>
        <w:rPr>
          <w:sz w:val="22"/>
          <w:szCs w:val="22"/>
        </w:rPr>
      </w:pPr>
    </w:p>
    <w:p w14:paraId="5CAC84EA"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 xml:space="preserve">Telmisartan/Hydrochlorothiazide Sandoz 80 mg/25 mg </w:t>
      </w:r>
    </w:p>
    <w:p w14:paraId="6173EC42" w14:textId="77777777" w:rsidR="000E5428" w:rsidRPr="009B54A6" w:rsidRDefault="000E5428" w:rsidP="000E5428">
      <w:pPr>
        <w:rPr>
          <w:bCs/>
          <w:sz w:val="22"/>
          <w:szCs w:val="22"/>
        </w:rPr>
      </w:pPr>
      <w:r w:rsidRPr="009B54A6">
        <w:rPr>
          <w:bCs/>
          <w:sz w:val="22"/>
          <w:szCs w:val="22"/>
        </w:rPr>
        <w:t>N7 - LT/1/13/3337/023</w:t>
      </w:r>
    </w:p>
    <w:p w14:paraId="373B855B" w14:textId="77777777" w:rsidR="000E5428" w:rsidRPr="009B54A6" w:rsidRDefault="000E5428" w:rsidP="000E5428">
      <w:pPr>
        <w:rPr>
          <w:bCs/>
          <w:sz w:val="22"/>
          <w:szCs w:val="22"/>
        </w:rPr>
      </w:pPr>
      <w:r w:rsidRPr="009B54A6">
        <w:rPr>
          <w:bCs/>
          <w:sz w:val="22"/>
          <w:szCs w:val="22"/>
        </w:rPr>
        <w:t xml:space="preserve">N14 - LT/1/13/3337/024 </w:t>
      </w:r>
    </w:p>
    <w:p w14:paraId="0177C4B0" w14:textId="77777777" w:rsidR="000E5428" w:rsidRPr="009B54A6" w:rsidRDefault="000E5428" w:rsidP="000E5428">
      <w:pPr>
        <w:rPr>
          <w:bCs/>
          <w:sz w:val="22"/>
          <w:szCs w:val="22"/>
        </w:rPr>
      </w:pPr>
      <w:r w:rsidRPr="009B54A6">
        <w:rPr>
          <w:bCs/>
          <w:sz w:val="22"/>
          <w:szCs w:val="22"/>
        </w:rPr>
        <w:t xml:space="preserve">N28 - LT/1/13/3337/025 </w:t>
      </w:r>
    </w:p>
    <w:p w14:paraId="6AC13222" w14:textId="77777777" w:rsidR="000E5428" w:rsidRPr="009B54A6" w:rsidRDefault="000E5428" w:rsidP="000E5428">
      <w:pPr>
        <w:rPr>
          <w:bCs/>
          <w:sz w:val="22"/>
          <w:szCs w:val="22"/>
        </w:rPr>
      </w:pPr>
      <w:r w:rsidRPr="009B54A6">
        <w:rPr>
          <w:bCs/>
          <w:sz w:val="22"/>
          <w:szCs w:val="22"/>
        </w:rPr>
        <w:t xml:space="preserve">N30 - LT/1/13/3337/026 </w:t>
      </w:r>
    </w:p>
    <w:p w14:paraId="10AD23EA" w14:textId="77777777" w:rsidR="000E5428" w:rsidRPr="009B54A6" w:rsidRDefault="000E5428" w:rsidP="000E5428">
      <w:pPr>
        <w:rPr>
          <w:bCs/>
          <w:sz w:val="22"/>
          <w:szCs w:val="22"/>
        </w:rPr>
      </w:pPr>
      <w:r w:rsidRPr="009B54A6">
        <w:rPr>
          <w:bCs/>
          <w:sz w:val="22"/>
          <w:szCs w:val="22"/>
        </w:rPr>
        <w:t xml:space="preserve">N50 - LT/1/13/3337/027 </w:t>
      </w:r>
    </w:p>
    <w:p w14:paraId="5D47739D" w14:textId="77777777" w:rsidR="000E5428" w:rsidRPr="009B54A6" w:rsidRDefault="000E5428" w:rsidP="000E5428">
      <w:pPr>
        <w:rPr>
          <w:bCs/>
          <w:sz w:val="22"/>
          <w:szCs w:val="22"/>
        </w:rPr>
      </w:pPr>
      <w:r w:rsidRPr="009B54A6">
        <w:rPr>
          <w:bCs/>
          <w:sz w:val="22"/>
          <w:szCs w:val="22"/>
        </w:rPr>
        <w:t xml:space="preserve">N56 - LT/1/13/3337/028 </w:t>
      </w:r>
    </w:p>
    <w:p w14:paraId="192B434D" w14:textId="77777777" w:rsidR="000E5428" w:rsidRPr="009B54A6" w:rsidRDefault="000E5428" w:rsidP="000E5428">
      <w:pPr>
        <w:rPr>
          <w:bCs/>
          <w:sz w:val="22"/>
          <w:szCs w:val="22"/>
        </w:rPr>
      </w:pPr>
      <w:r w:rsidRPr="009B54A6">
        <w:rPr>
          <w:bCs/>
          <w:sz w:val="22"/>
          <w:szCs w:val="22"/>
        </w:rPr>
        <w:t xml:space="preserve">N60 - LT/1/13/3337/029 </w:t>
      </w:r>
    </w:p>
    <w:p w14:paraId="2BC19EB7" w14:textId="77777777" w:rsidR="000E5428" w:rsidRPr="009B54A6" w:rsidRDefault="000E5428" w:rsidP="000E5428">
      <w:pPr>
        <w:rPr>
          <w:bCs/>
          <w:sz w:val="22"/>
          <w:szCs w:val="22"/>
        </w:rPr>
      </w:pPr>
      <w:r w:rsidRPr="009B54A6">
        <w:rPr>
          <w:bCs/>
          <w:sz w:val="22"/>
          <w:szCs w:val="22"/>
        </w:rPr>
        <w:t xml:space="preserve">N84 - LT/1/13/3337/030 </w:t>
      </w:r>
    </w:p>
    <w:p w14:paraId="3DF29FBB" w14:textId="77777777" w:rsidR="000E5428" w:rsidRPr="009B54A6" w:rsidRDefault="000E5428" w:rsidP="000E5428">
      <w:pPr>
        <w:rPr>
          <w:bCs/>
          <w:sz w:val="22"/>
          <w:szCs w:val="22"/>
        </w:rPr>
      </w:pPr>
      <w:r w:rsidRPr="009B54A6">
        <w:rPr>
          <w:bCs/>
          <w:sz w:val="22"/>
          <w:szCs w:val="22"/>
        </w:rPr>
        <w:t xml:space="preserve">N90 - LT/1/13/3337/031 </w:t>
      </w:r>
    </w:p>
    <w:p w14:paraId="1FE6AD31" w14:textId="77777777" w:rsidR="000E5428" w:rsidRPr="009B54A6" w:rsidRDefault="000E5428" w:rsidP="000E5428">
      <w:pPr>
        <w:rPr>
          <w:bCs/>
          <w:sz w:val="22"/>
          <w:szCs w:val="22"/>
        </w:rPr>
      </w:pPr>
      <w:r w:rsidRPr="009B54A6">
        <w:rPr>
          <w:bCs/>
          <w:sz w:val="22"/>
          <w:szCs w:val="22"/>
        </w:rPr>
        <w:t>N98 - LT/1/13/3337/032</w:t>
      </w:r>
    </w:p>
    <w:p w14:paraId="6F8EE59F" w14:textId="77777777" w:rsidR="000E5428" w:rsidRPr="009B54A6" w:rsidRDefault="000E5428" w:rsidP="000E5428">
      <w:pPr>
        <w:rPr>
          <w:bCs/>
          <w:sz w:val="22"/>
          <w:szCs w:val="22"/>
        </w:rPr>
      </w:pPr>
      <w:r w:rsidRPr="009B54A6">
        <w:rPr>
          <w:bCs/>
          <w:sz w:val="22"/>
          <w:szCs w:val="22"/>
        </w:rPr>
        <w:t xml:space="preserve">N100 - LT/1/13/3337/033 </w:t>
      </w:r>
    </w:p>
    <w:p w14:paraId="580C0723" w14:textId="77777777" w:rsidR="000E5428" w:rsidRPr="009B54A6" w:rsidRDefault="000E5428" w:rsidP="000E5428">
      <w:pPr>
        <w:jc w:val="both"/>
        <w:rPr>
          <w:sz w:val="22"/>
          <w:szCs w:val="22"/>
        </w:rPr>
      </w:pPr>
    </w:p>
    <w:p w14:paraId="607AA5A6" w14:textId="77777777" w:rsidR="000E5428" w:rsidRPr="009B54A6" w:rsidRDefault="000E5428" w:rsidP="000E5428">
      <w:pPr>
        <w:rPr>
          <w:sz w:val="22"/>
          <w:szCs w:val="22"/>
        </w:rPr>
      </w:pPr>
    </w:p>
    <w:p w14:paraId="5C31CCA3"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13.</w:t>
      </w:r>
      <w:r w:rsidRPr="009B54A6">
        <w:rPr>
          <w:b/>
          <w:sz w:val="22"/>
          <w:szCs w:val="22"/>
        </w:rPr>
        <w:tab/>
        <w:t>SERIJOS NUMERIS</w:t>
      </w:r>
    </w:p>
    <w:p w14:paraId="7D84624D" w14:textId="77777777" w:rsidR="000E5428" w:rsidRPr="009B54A6" w:rsidRDefault="000E5428" w:rsidP="000E5428">
      <w:pPr>
        <w:rPr>
          <w:sz w:val="22"/>
          <w:szCs w:val="22"/>
        </w:rPr>
      </w:pPr>
    </w:p>
    <w:p w14:paraId="5ABC230D" w14:textId="77777777" w:rsidR="000E5428" w:rsidRPr="009B54A6" w:rsidRDefault="000E5428" w:rsidP="000E5428">
      <w:pPr>
        <w:rPr>
          <w:sz w:val="22"/>
          <w:szCs w:val="22"/>
          <w:lang w:eastAsia="lt-LT"/>
        </w:rPr>
      </w:pPr>
      <w:r w:rsidRPr="009B54A6">
        <w:rPr>
          <w:sz w:val="22"/>
          <w:szCs w:val="22"/>
          <w:lang w:eastAsia="lt-LT"/>
        </w:rPr>
        <w:t>Serija {numeris}</w:t>
      </w:r>
    </w:p>
    <w:p w14:paraId="7E9985F5" w14:textId="77777777" w:rsidR="000E5428" w:rsidRPr="009B54A6" w:rsidRDefault="000E5428" w:rsidP="000E5428">
      <w:pPr>
        <w:rPr>
          <w:sz w:val="22"/>
          <w:szCs w:val="22"/>
        </w:rPr>
      </w:pPr>
    </w:p>
    <w:p w14:paraId="62B4F8D8" w14:textId="77777777" w:rsidR="000E5428" w:rsidRPr="009B54A6" w:rsidRDefault="000E5428" w:rsidP="000E5428">
      <w:pPr>
        <w:rPr>
          <w:sz w:val="22"/>
          <w:szCs w:val="22"/>
        </w:rPr>
      </w:pPr>
    </w:p>
    <w:p w14:paraId="53BB6596"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14.</w:t>
      </w:r>
      <w:r w:rsidRPr="009B54A6">
        <w:rPr>
          <w:b/>
          <w:sz w:val="22"/>
          <w:szCs w:val="22"/>
        </w:rPr>
        <w:tab/>
        <w:t>PARDAVIMO (IŠDAVIMO) TVARKA</w:t>
      </w:r>
    </w:p>
    <w:p w14:paraId="573513A4" w14:textId="77777777" w:rsidR="000E5428" w:rsidRPr="009B54A6" w:rsidRDefault="000E5428" w:rsidP="000E5428">
      <w:pPr>
        <w:rPr>
          <w:sz w:val="22"/>
          <w:szCs w:val="22"/>
        </w:rPr>
      </w:pPr>
    </w:p>
    <w:p w14:paraId="2A3F66DA" w14:textId="77777777" w:rsidR="000E5428" w:rsidRPr="009B54A6" w:rsidRDefault="000E5428" w:rsidP="000E5428">
      <w:pPr>
        <w:rPr>
          <w:sz w:val="22"/>
          <w:szCs w:val="22"/>
        </w:rPr>
      </w:pPr>
      <w:r w:rsidRPr="009B54A6">
        <w:rPr>
          <w:sz w:val="22"/>
          <w:szCs w:val="22"/>
        </w:rPr>
        <w:t>Receptinis vaistinis preparatas</w:t>
      </w:r>
    </w:p>
    <w:p w14:paraId="5D597EBA" w14:textId="77777777" w:rsidR="000E5428" w:rsidRPr="009B54A6" w:rsidRDefault="000E5428" w:rsidP="000E5428">
      <w:pPr>
        <w:rPr>
          <w:sz w:val="22"/>
          <w:szCs w:val="22"/>
        </w:rPr>
      </w:pPr>
    </w:p>
    <w:p w14:paraId="4D5F94FD" w14:textId="77777777" w:rsidR="000E5428" w:rsidRPr="009B54A6" w:rsidRDefault="000E5428" w:rsidP="000E5428">
      <w:pPr>
        <w:rPr>
          <w:sz w:val="22"/>
          <w:szCs w:val="22"/>
        </w:rPr>
      </w:pPr>
    </w:p>
    <w:p w14:paraId="66E38B92"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15.</w:t>
      </w:r>
      <w:r w:rsidRPr="009B54A6">
        <w:rPr>
          <w:b/>
          <w:sz w:val="22"/>
          <w:szCs w:val="22"/>
        </w:rPr>
        <w:tab/>
        <w:t>VARTOJIMO INSTRUKCIJA</w:t>
      </w:r>
    </w:p>
    <w:p w14:paraId="426E3BD4" w14:textId="77777777" w:rsidR="000E5428" w:rsidRPr="009B54A6" w:rsidRDefault="000E5428" w:rsidP="000E5428">
      <w:pPr>
        <w:rPr>
          <w:sz w:val="22"/>
          <w:szCs w:val="22"/>
        </w:rPr>
      </w:pPr>
    </w:p>
    <w:p w14:paraId="19F9FB0D" w14:textId="77777777" w:rsidR="000E5428" w:rsidRPr="009B54A6" w:rsidRDefault="000E5428" w:rsidP="000E5428">
      <w:pPr>
        <w:rPr>
          <w:sz w:val="22"/>
          <w:szCs w:val="22"/>
        </w:rPr>
      </w:pPr>
    </w:p>
    <w:p w14:paraId="2620DCB1"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16.</w:t>
      </w:r>
      <w:r w:rsidRPr="009B54A6">
        <w:rPr>
          <w:b/>
          <w:sz w:val="22"/>
          <w:szCs w:val="22"/>
        </w:rPr>
        <w:tab/>
        <w:t>INFORMACIJA BRAILIO RAŠTU</w:t>
      </w:r>
    </w:p>
    <w:p w14:paraId="55BF4A44" w14:textId="77777777" w:rsidR="000E5428" w:rsidRPr="009B54A6" w:rsidRDefault="000E5428" w:rsidP="000E5428">
      <w:pPr>
        <w:rPr>
          <w:sz w:val="22"/>
          <w:szCs w:val="22"/>
        </w:rPr>
      </w:pPr>
    </w:p>
    <w:p w14:paraId="2690F5FC"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 xml:space="preserve">Telmisartan/Hydrochlorothiazide Sandoz 40 mg/12,5 mg </w:t>
      </w:r>
    </w:p>
    <w:p w14:paraId="223991E0" w14:textId="77777777" w:rsidR="000E5428" w:rsidRPr="009B54A6" w:rsidRDefault="000E5428" w:rsidP="000E5428">
      <w:pPr>
        <w:tabs>
          <w:tab w:val="left" w:pos="3060"/>
        </w:tabs>
        <w:autoSpaceDE w:val="0"/>
        <w:autoSpaceDN w:val="0"/>
        <w:adjustRightInd w:val="0"/>
        <w:rPr>
          <w:sz w:val="22"/>
          <w:szCs w:val="22"/>
          <w:highlight w:val="lightGray"/>
        </w:rPr>
      </w:pPr>
      <w:r w:rsidRPr="009B54A6">
        <w:rPr>
          <w:sz w:val="22"/>
          <w:szCs w:val="22"/>
          <w:highlight w:val="lightGray"/>
        </w:rPr>
        <w:t xml:space="preserve">Telmisartan/Hydrochlorothiazide Sandoz 80 mg/12,5 mg </w:t>
      </w:r>
    </w:p>
    <w:p w14:paraId="159E033D" w14:textId="77777777" w:rsidR="000E5428" w:rsidRPr="009B54A6" w:rsidRDefault="000E5428" w:rsidP="000E5428">
      <w:pPr>
        <w:tabs>
          <w:tab w:val="left" w:pos="3060"/>
        </w:tabs>
        <w:autoSpaceDE w:val="0"/>
        <w:autoSpaceDN w:val="0"/>
        <w:adjustRightInd w:val="0"/>
        <w:rPr>
          <w:sz w:val="22"/>
          <w:szCs w:val="22"/>
        </w:rPr>
      </w:pPr>
      <w:r w:rsidRPr="009B54A6">
        <w:rPr>
          <w:sz w:val="22"/>
          <w:szCs w:val="22"/>
          <w:highlight w:val="lightGray"/>
        </w:rPr>
        <w:t>Telmisartan/Hydrochlorothiazide Sandoz 80 mg/25 mg</w:t>
      </w:r>
      <w:r w:rsidRPr="009B54A6">
        <w:rPr>
          <w:sz w:val="22"/>
          <w:szCs w:val="22"/>
        </w:rPr>
        <w:t xml:space="preserve"> </w:t>
      </w:r>
    </w:p>
    <w:p w14:paraId="69EEEBDC" w14:textId="77777777" w:rsidR="000E5428" w:rsidRPr="009B54A6" w:rsidRDefault="000E5428" w:rsidP="000E5428">
      <w:pPr>
        <w:rPr>
          <w:sz w:val="22"/>
          <w:szCs w:val="22"/>
        </w:rPr>
      </w:pPr>
    </w:p>
    <w:p w14:paraId="0DDB59AD"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sz w:val="22"/>
          <w:szCs w:val="22"/>
        </w:rPr>
        <w:br w:type="page"/>
      </w:r>
      <w:r w:rsidRPr="009B54A6">
        <w:rPr>
          <w:b/>
          <w:sz w:val="22"/>
          <w:szCs w:val="22"/>
        </w:rPr>
        <w:lastRenderedPageBreak/>
        <w:t xml:space="preserve">MINIMALI </w:t>
      </w:r>
      <w:r w:rsidRPr="009B54A6">
        <w:rPr>
          <w:b/>
          <w:caps/>
          <w:sz w:val="22"/>
          <w:szCs w:val="22"/>
        </w:rPr>
        <w:t xml:space="preserve">informacija ant </w:t>
      </w:r>
      <w:r w:rsidRPr="009B54A6">
        <w:rPr>
          <w:b/>
          <w:sz w:val="22"/>
          <w:szCs w:val="22"/>
        </w:rPr>
        <w:t>LIZDINIŲ PLOKŠTELIŲ ARBA DVISLUOKSNIŲ JUOSTELIŲ</w:t>
      </w:r>
    </w:p>
    <w:p w14:paraId="330BF3E7"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p>
    <w:p w14:paraId="6C98A547"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LIZDINĖ PLOKŠTELĖ</w:t>
      </w:r>
    </w:p>
    <w:p w14:paraId="3709961F" w14:textId="77777777" w:rsidR="000E5428" w:rsidRPr="009B54A6" w:rsidRDefault="000E5428" w:rsidP="000E5428">
      <w:pPr>
        <w:rPr>
          <w:sz w:val="22"/>
          <w:szCs w:val="22"/>
        </w:rPr>
      </w:pPr>
    </w:p>
    <w:p w14:paraId="05D0EA86" w14:textId="77777777" w:rsidR="000E5428" w:rsidRPr="009B54A6" w:rsidRDefault="000E5428" w:rsidP="000E5428">
      <w:pPr>
        <w:rPr>
          <w:sz w:val="22"/>
          <w:szCs w:val="22"/>
        </w:rPr>
      </w:pPr>
    </w:p>
    <w:p w14:paraId="3AC1C031"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1.</w:t>
      </w:r>
      <w:r w:rsidRPr="009B54A6">
        <w:rPr>
          <w:b/>
          <w:sz w:val="22"/>
          <w:szCs w:val="22"/>
        </w:rPr>
        <w:tab/>
        <w:t>VAISTINIO PREPARATO PAVADINIMAS</w:t>
      </w:r>
    </w:p>
    <w:p w14:paraId="35F6E368" w14:textId="77777777" w:rsidR="000E5428" w:rsidRPr="009B54A6" w:rsidRDefault="000E5428" w:rsidP="000E5428">
      <w:pPr>
        <w:rPr>
          <w:sz w:val="22"/>
          <w:szCs w:val="22"/>
        </w:rPr>
      </w:pPr>
    </w:p>
    <w:p w14:paraId="5B7ECAD2"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 xml:space="preserve">Telmisartan/Hydrochlorothiazide Sandoz 40 mg/12,5 mg </w:t>
      </w:r>
      <w:r w:rsidRPr="009B54A6">
        <w:rPr>
          <w:sz w:val="22"/>
          <w:szCs w:val="22"/>
          <w:highlight w:val="lightGray"/>
        </w:rPr>
        <w:t>dengtos</w:t>
      </w:r>
      <w:r w:rsidRPr="009B54A6">
        <w:rPr>
          <w:sz w:val="22"/>
          <w:szCs w:val="22"/>
        </w:rPr>
        <w:t xml:space="preserve"> tabletės</w:t>
      </w:r>
    </w:p>
    <w:p w14:paraId="2A37C36A" w14:textId="77777777" w:rsidR="000E5428" w:rsidRPr="009B54A6" w:rsidRDefault="000E5428" w:rsidP="000E5428">
      <w:pPr>
        <w:tabs>
          <w:tab w:val="left" w:pos="3060"/>
        </w:tabs>
        <w:autoSpaceDE w:val="0"/>
        <w:autoSpaceDN w:val="0"/>
        <w:adjustRightInd w:val="0"/>
        <w:rPr>
          <w:sz w:val="22"/>
          <w:szCs w:val="22"/>
          <w:highlight w:val="lightGray"/>
        </w:rPr>
      </w:pPr>
      <w:r w:rsidRPr="009B54A6">
        <w:rPr>
          <w:sz w:val="22"/>
          <w:szCs w:val="22"/>
          <w:highlight w:val="lightGray"/>
        </w:rPr>
        <w:t>Telmisartan/Hydrochlorothiazide Sandoz 80 mg/12,5 mg dengtos tabletės</w:t>
      </w:r>
    </w:p>
    <w:p w14:paraId="38508D47" w14:textId="77777777" w:rsidR="000E5428" w:rsidRPr="009B54A6" w:rsidRDefault="000E5428" w:rsidP="000E5428">
      <w:pPr>
        <w:tabs>
          <w:tab w:val="left" w:pos="3060"/>
        </w:tabs>
        <w:autoSpaceDE w:val="0"/>
        <w:autoSpaceDN w:val="0"/>
        <w:adjustRightInd w:val="0"/>
        <w:rPr>
          <w:sz w:val="22"/>
          <w:szCs w:val="22"/>
        </w:rPr>
      </w:pPr>
      <w:r w:rsidRPr="009B54A6">
        <w:rPr>
          <w:sz w:val="22"/>
          <w:szCs w:val="22"/>
          <w:highlight w:val="lightGray"/>
        </w:rPr>
        <w:t>Telmisartan/Hydrochlorothiazide Sandoz 80 mg/25 mg dengtos tabletės</w:t>
      </w:r>
      <w:r w:rsidRPr="009B54A6">
        <w:rPr>
          <w:sz w:val="22"/>
          <w:szCs w:val="22"/>
        </w:rPr>
        <w:t xml:space="preserve"> </w:t>
      </w:r>
    </w:p>
    <w:p w14:paraId="0548B97C" w14:textId="77777777" w:rsidR="000E5428" w:rsidRPr="009B54A6" w:rsidRDefault="000E5428" w:rsidP="000E5428">
      <w:pPr>
        <w:jc w:val="both"/>
        <w:rPr>
          <w:sz w:val="22"/>
          <w:szCs w:val="22"/>
        </w:rPr>
      </w:pPr>
    </w:p>
    <w:p w14:paraId="5200719C" w14:textId="77777777" w:rsidR="000E5428" w:rsidRPr="009B54A6" w:rsidRDefault="000E5428" w:rsidP="000E5428">
      <w:pPr>
        <w:rPr>
          <w:sz w:val="22"/>
          <w:szCs w:val="22"/>
        </w:rPr>
      </w:pPr>
      <w:r w:rsidRPr="009B54A6">
        <w:rPr>
          <w:sz w:val="22"/>
          <w:szCs w:val="22"/>
        </w:rPr>
        <w:t>Telmisartanum/</w:t>
      </w:r>
      <w:r w:rsidRPr="009B54A6">
        <w:rPr>
          <w:color w:val="000000"/>
          <w:sz w:val="22"/>
          <w:szCs w:val="22"/>
        </w:rPr>
        <w:t>Hydrochlorothiazidum</w:t>
      </w:r>
    </w:p>
    <w:p w14:paraId="761343E9" w14:textId="77777777" w:rsidR="000E5428" w:rsidRPr="009B54A6" w:rsidRDefault="000E5428" w:rsidP="000E5428">
      <w:pPr>
        <w:rPr>
          <w:sz w:val="22"/>
          <w:szCs w:val="22"/>
        </w:rPr>
      </w:pPr>
    </w:p>
    <w:p w14:paraId="5C214478" w14:textId="77777777" w:rsidR="000E5428" w:rsidRPr="009B54A6" w:rsidRDefault="000E5428" w:rsidP="000E5428">
      <w:pPr>
        <w:rPr>
          <w:sz w:val="22"/>
          <w:szCs w:val="22"/>
        </w:rPr>
      </w:pPr>
    </w:p>
    <w:p w14:paraId="034C8F22" w14:textId="3B498FF5"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2.</w:t>
      </w:r>
      <w:r w:rsidRPr="009B54A6">
        <w:rPr>
          <w:b/>
          <w:sz w:val="22"/>
          <w:szCs w:val="22"/>
        </w:rPr>
        <w:tab/>
        <w:t>R</w:t>
      </w:r>
      <w:r w:rsidR="00B63A45">
        <w:rPr>
          <w:b/>
          <w:sz w:val="22"/>
          <w:szCs w:val="22"/>
        </w:rPr>
        <w:t xml:space="preserve">EGISTRUOTOJO </w:t>
      </w:r>
      <w:r w:rsidRPr="009B54A6">
        <w:rPr>
          <w:b/>
          <w:sz w:val="22"/>
          <w:szCs w:val="22"/>
        </w:rPr>
        <w:t xml:space="preserve"> PAVADINIMAS</w:t>
      </w:r>
    </w:p>
    <w:p w14:paraId="2B1BAF2B" w14:textId="77777777" w:rsidR="000E5428" w:rsidRPr="009B54A6" w:rsidRDefault="000E5428" w:rsidP="000E5428">
      <w:pPr>
        <w:rPr>
          <w:sz w:val="22"/>
          <w:szCs w:val="22"/>
        </w:rPr>
      </w:pPr>
    </w:p>
    <w:p w14:paraId="601BD7B8" w14:textId="77777777" w:rsidR="000E5428" w:rsidRPr="009B54A6" w:rsidRDefault="000E5428" w:rsidP="000E5428">
      <w:pPr>
        <w:rPr>
          <w:sz w:val="22"/>
          <w:szCs w:val="22"/>
          <w:lang w:eastAsia="lt-LT"/>
        </w:rPr>
      </w:pPr>
      <w:r w:rsidRPr="009B54A6">
        <w:rPr>
          <w:sz w:val="22"/>
          <w:szCs w:val="22"/>
          <w:lang w:eastAsia="lt-LT"/>
        </w:rPr>
        <w:t>SANDOZ</w:t>
      </w:r>
    </w:p>
    <w:p w14:paraId="272F892F" w14:textId="77777777" w:rsidR="000E5428" w:rsidRPr="009B54A6" w:rsidRDefault="000E5428" w:rsidP="000E5428">
      <w:pPr>
        <w:rPr>
          <w:sz w:val="22"/>
          <w:szCs w:val="22"/>
        </w:rPr>
      </w:pPr>
    </w:p>
    <w:p w14:paraId="65AE93A8" w14:textId="77777777" w:rsidR="000E5428" w:rsidRPr="009B54A6" w:rsidRDefault="000E5428" w:rsidP="000E5428">
      <w:pPr>
        <w:rPr>
          <w:sz w:val="22"/>
          <w:szCs w:val="22"/>
        </w:rPr>
      </w:pPr>
    </w:p>
    <w:p w14:paraId="75638E16"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3.</w:t>
      </w:r>
      <w:r w:rsidRPr="009B54A6">
        <w:rPr>
          <w:b/>
          <w:sz w:val="22"/>
          <w:szCs w:val="22"/>
        </w:rPr>
        <w:tab/>
        <w:t>TINKAMUMO LAIKAS</w:t>
      </w:r>
    </w:p>
    <w:p w14:paraId="074EDE14" w14:textId="77777777" w:rsidR="000E5428" w:rsidRPr="009B54A6" w:rsidRDefault="000E5428" w:rsidP="000E5428">
      <w:pPr>
        <w:rPr>
          <w:sz w:val="22"/>
          <w:szCs w:val="22"/>
        </w:rPr>
      </w:pPr>
    </w:p>
    <w:p w14:paraId="77AA50F2" w14:textId="77777777" w:rsidR="000E5428" w:rsidRPr="009B54A6" w:rsidRDefault="000E5428" w:rsidP="000E5428">
      <w:pPr>
        <w:rPr>
          <w:sz w:val="22"/>
          <w:szCs w:val="22"/>
          <w:lang w:eastAsia="lt-LT"/>
        </w:rPr>
      </w:pPr>
      <w:r w:rsidRPr="009B54A6">
        <w:rPr>
          <w:sz w:val="22"/>
          <w:szCs w:val="22"/>
          <w:highlight w:val="lightGray"/>
          <w:lang w:eastAsia="lt-LT"/>
        </w:rPr>
        <w:t>Tinka iki</w:t>
      </w:r>
      <w:r w:rsidRPr="009B54A6">
        <w:rPr>
          <w:sz w:val="22"/>
          <w:szCs w:val="22"/>
          <w:lang w:eastAsia="lt-LT"/>
        </w:rPr>
        <w:t xml:space="preserve"> { mm /MMMM} </w:t>
      </w:r>
    </w:p>
    <w:p w14:paraId="5BF05025" w14:textId="77777777" w:rsidR="000E5428" w:rsidRPr="009B54A6" w:rsidRDefault="000E5428" w:rsidP="000E5428">
      <w:pPr>
        <w:rPr>
          <w:sz w:val="22"/>
          <w:szCs w:val="22"/>
        </w:rPr>
      </w:pPr>
    </w:p>
    <w:p w14:paraId="2D3F7B93" w14:textId="77777777" w:rsidR="000E5428" w:rsidRPr="009B54A6" w:rsidRDefault="000E5428" w:rsidP="000E5428">
      <w:pPr>
        <w:rPr>
          <w:sz w:val="22"/>
          <w:szCs w:val="22"/>
        </w:rPr>
      </w:pPr>
    </w:p>
    <w:p w14:paraId="777491F6"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4.</w:t>
      </w:r>
      <w:r w:rsidRPr="009B54A6">
        <w:rPr>
          <w:b/>
          <w:sz w:val="22"/>
          <w:szCs w:val="22"/>
        </w:rPr>
        <w:tab/>
        <w:t>SERIJOS NUMERIS</w:t>
      </w:r>
    </w:p>
    <w:p w14:paraId="4E108938" w14:textId="77777777" w:rsidR="000E5428" w:rsidRPr="009B54A6" w:rsidRDefault="000E5428" w:rsidP="000E5428">
      <w:pPr>
        <w:rPr>
          <w:sz w:val="22"/>
          <w:szCs w:val="22"/>
        </w:rPr>
      </w:pPr>
    </w:p>
    <w:p w14:paraId="6B6D171D" w14:textId="77777777" w:rsidR="000E5428" w:rsidRPr="009B54A6" w:rsidRDefault="000E5428" w:rsidP="000E5428">
      <w:pPr>
        <w:rPr>
          <w:sz w:val="22"/>
          <w:szCs w:val="22"/>
        </w:rPr>
      </w:pPr>
      <w:r w:rsidRPr="009B54A6">
        <w:rPr>
          <w:sz w:val="22"/>
          <w:szCs w:val="22"/>
          <w:highlight w:val="lightGray"/>
        </w:rPr>
        <w:t>Serija</w:t>
      </w:r>
      <w:r w:rsidRPr="009B54A6">
        <w:rPr>
          <w:sz w:val="22"/>
          <w:szCs w:val="22"/>
        </w:rPr>
        <w:t xml:space="preserve"> {numeris}</w:t>
      </w:r>
    </w:p>
    <w:p w14:paraId="531C9158" w14:textId="77777777" w:rsidR="000E5428" w:rsidRPr="009B54A6" w:rsidRDefault="000E5428" w:rsidP="000E5428">
      <w:pPr>
        <w:rPr>
          <w:sz w:val="22"/>
          <w:szCs w:val="22"/>
        </w:rPr>
      </w:pPr>
    </w:p>
    <w:p w14:paraId="0A00C6B2" w14:textId="77777777" w:rsidR="000E5428" w:rsidRPr="009B54A6" w:rsidRDefault="000E5428" w:rsidP="000E5428">
      <w:pPr>
        <w:rPr>
          <w:sz w:val="22"/>
          <w:szCs w:val="22"/>
        </w:rPr>
      </w:pPr>
    </w:p>
    <w:p w14:paraId="5AD35974" w14:textId="77777777" w:rsidR="000E5428" w:rsidRPr="009B54A6" w:rsidRDefault="000E5428" w:rsidP="000E5428">
      <w:pPr>
        <w:pBdr>
          <w:top w:val="single" w:sz="4" w:space="1" w:color="auto"/>
          <w:left w:val="single" w:sz="4" w:space="4" w:color="auto"/>
          <w:bottom w:val="single" w:sz="4" w:space="1" w:color="auto"/>
          <w:right w:val="single" w:sz="4" w:space="4" w:color="auto"/>
        </w:pBdr>
        <w:rPr>
          <w:b/>
          <w:sz w:val="22"/>
          <w:szCs w:val="22"/>
        </w:rPr>
      </w:pPr>
      <w:r w:rsidRPr="009B54A6">
        <w:rPr>
          <w:b/>
          <w:sz w:val="22"/>
          <w:szCs w:val="22"/>
        </w:rPr>
        <w:t>5.</w:t>
      </w:r>
      <w:r w:rsidRPr="009B54A6">
        <w:rPr>
          <w:b/>
          <w:sz w:val="22"/>
          <w:szCs w:val="22"/>
        </w:rPr>
        <w:tab/>
        <w:t>KITA</w:t>
      </w:r>
    </w:p>
    <w:p w14:paraId="791B9938" w14:textId="77777777" w:rsidR="000E5428" w:rsidRPr="009B54A6" w:rsidRDefault="000E5428" w:rsidP="000E5428">
      <w:pPr>
        <w:rPr>
          <w:sz w:val="22"/>
          <w:szCs w:val="22"/>
        </w:rPr>
      </w:pPr>
    </w:p>
    <w:p w14:paraId="32D1F0A1" w14:textId="77777777" w:rsidR="000E5428" w:rsidRPr="009B54A6" w:rsidRDefault="000E5428" w:rsidP="000E5428">
      <w:pPr>
        <w:rPr>
          <w:noProof/>
          <w:sz w:val="22"/>
          <w:szCs w:val="22"/>
        </w:rPr>
      </w:pPr>
      <w:r w:rsidRPr="009B54A6">
        <w:rPr>
          <w:noProof/>
          <w:sz w:val="22"/>
          <w:szCs w:val="22"/>
        </w:rPr>
        <w:br w:type="page"/>
      </w:r>
    </w:p>
    <w:p w14:paraId="3B0930EC" w14:textId="77777777" w:rsidR="000E5428" w:rsidRPr="009B54A6" w:rsidRDefault="000E5428" w:rsidP="000E5428">
      <w:pPr>
        <w:rPr>
          <w:noProof/>
          <w:sz w:val="22"/>
          <w:szCs w:val="22"/>
        </w:rPr>
      </w:pPr>
    </w:p>
    <w:p w14:paraId="6AA69ECE" w14:textId="77777777" w:rsidR="000E5428" w:rsidRPr="009B54A6" w:rsidRDefault="000E5428" w:rsidP="000E5428">
      <w:pPr>
        <w:rPr>
          <w:noProof/>
          <w:sz w:val="22"/>
          <w:szCs w:val="22"/>
        </w:rPr>
      </w:pPr>
    </w:p>
    <w:p w14:paraId="15273335" w14:textId="77777777" w:rsidR="000E5428" w:rsidRPr="009B54A6" w:rsidRDefault="000E5428" w:rsidP="000E5428">
      <w:pPr>
        <w:rPr>
          <w:sz w:val="22"/>
          <w:szCs w:val="22"/>
        </w:rPr>
      </w:pPr>
    </w:p>
    <w:p w14:paraId="1BE44116" w14:textId="77777777" w:rsidR="000E5428" w:rsidRPr="009B54A6" w:rsidRDefault="000E5428" w:rsidP="000E5428">
      <w:pPr>
        <w:rPr>
          <w:sz w:val="22"/>
          <w:szCs w:val="22"/>
        </w:rPr>
      </w:pPr>
    </w:p>
    <w:p w14:paraId="1EA1B1C0" w14:textId="77777777" w:rsidR="000E5428" w:rsidRPr="009B54A6" w:rsidRDefault="000E5428" w:rsidP="000E5428">
      <w:pPr>
        <w:rPr>
          <w:sz w:val="22"/>
          <w:szCs w:val="22"/>
        </w:rPr>
      </w:pPr>
    </w:p>
    <w:p w14:paraId="3C2CD48A" w14:textId="77777777" w:rsidR="000E5428" w:rsidRPr="009B54A6" w:rsidRDefault="000E5428" w:rsidP="000E5428">
      <w:pPr>
        <w:rPr>
          <w:sz w:val="22"/>
          <w:szCs w:val="22"/>
        </w:rPr>
      </w:pPr>
    </w:p>
    <w:p w14:paraId="1EE2780B" w14:textId="77777777" w:rsidR="000E5428" w:rsidRPr="009B54A6" w:rsidRDefault="000E5428" w:rsidP="000E5428">
      <w:pPr>
        <w:rPr>
          <w:sz w:val="22"/>
          <w:szCs w:val="22"/>
        </w:rPr>
      </w:pPr>
    </w:p>
    <w:p w14:paraId="71240387" w14:textId="77777777" w:rsidR="000E5428" w:rsidRPr="009B54A6" w:rsidRDefault="000E5428" w:rsidP="000E5428">
      <w:pPr>
        <w:rPr>
          <w:sz w:val="22"/>
          <w:szCs w:val="22"/>
        </w:rPr>
      </w:pPr>
    </w:p>
    <w:p w14:paraId="0DA84177" w14:textId="77777777" w:rsidR="000E5428" w:rsidRPr="009B54A6" w:rsidRDefault="000E5428" w:rsidP="000E5428">
      <w:pPr>
        <w:rPr>
          <w:sz w:val="22"/>
          <w:szCs w:val="22"/>
        </w:rPr>
      </w:pPr>
    </w:p>
    <w:p w14:paraId="0AE4299B" w14:textId="77777777" w:rsidR="000E5428" w:rsidRPr="009B54A6" w:rsidRDefault="000E5428" w:rsidP="000E5428">
      <w:pPr>
        <w:rPr>
          <w:sz w:val="22"/>
          <w:szCs w:val="22"/>
        </w:rPr>
      </w:pPr>
    </w:p>
    <w:p w14:paraId="6E1CDBB3" w14:textId="77777777" w:rsidR="000E5428" w:rsidRPr="009B54A6" w:rsidRDefault="000E5428" w:rsidP="000E5428">
      <w:pPr>
        <w:rPr>
          <w:sz w:val="22"/>
          <w:szCs w:val="22"/>
        </w:rPr>
      </w:pPr>
    </w:p>
    <w:p w14:paraId="64254B4D" w14:textId="77777777" w:rsidR="000E5428" w:rsidRPr="009B54A6" w:rsidRDefault="000E5428" w:rsidP="000E5428">
      <w:pPr>
        <w:rPr>
          <w:sz w:val="22"/>
          <w:szCs w:val="22"/>
        </w:rPr>
      </w:pPr>
    </w:p>
    <w:p w14:paraId="05C6AAC2" w14:textId="77777777" w:rsidR="000E5428" w:rsidRPr="009B54A6" w:rsidRDefault="000E5428" w:rsidP="000E5428">
      <w:pPr>
        <w:rPr>
          <w:sz w:val="22"/>
          <w:szCs w:val="22"/>
        </w:rPr>
      </w:pPr>
    </w:p>
    <w:p w14:paraId="31918987" w14:textId="77777777" w:rsidR="000E5428" w:rsidRPr="009B54A6" w:rsidRDefault="000E5428" w:rsidP="000E5428">
      <w:pPr>
        <w:rPr>
          <w:sz w:val="22"/>
          <w:szCs w:val="22"/>
        </w:rPr>
      </w:pPr>
    </w:p>
    <w:p w14:paraId="3755CA99" w14:textId="77777777" w:rsidR="000E5428" w:rsidRPr="009B54A6" w:rsidRDefault="000E5428" w:rsidP="000E5428">
      <w:pPr>
        <w:rPr>
          <w:sz w:val="22"/>
          <w:szCs w:val="22"/>
        </w:rPr>
      </w:pPr>
    </w:p>
    <w:p w14:paraId="714A1F27" w14:textId="77777777" w:rsidR="000E5428" w:rsidRPr="009B54A6" w:rsidRDefault="000E5428" w:rsidP="000E5428">
      <w:pPr>
        <w:rPr>
          <w:sz w:val="22"/>
          <w:szCs w:val="22"/>
        </w:rPr>
      </w:pPr>
    </w:p>
    <w:p w14:paraId="439A17A0" w14:textId="77777777" w:rsidR="000E5428" w:rsidRPr="009B54A6" w:rsidRDefault="000E5428" w:rsidP="000E5428">
      <w:pPr>
        <w:rPr>
          <w:sz w:val="22"/>
          <w:szCs w:val="22"/>
        </w:rPr>
      </w:pPr>
    </w:p>
    <w:p w14:paraId="098923BA" w14:textId="77777777" w:rsidR="000E5428" w:rsidRPr="009B54A6" w:rsidRDefault="000E5428" w:rsidP="000E5428">
      <w:pPr>
        <w:rPr>
          <w:sz w:val="22"/>
          <w:szCs w:val="22"/>
        </w:rPr>
      </w:pPr>
    </w:p>
    <w:p w14:paraId="6D2C5ECC" w14:textId="77777777" w:rsidR="000E5428" w:rsidRPr="009B54A6" w:rsidRDefault="000E5428" w:rsidP="000E5428">
      <w:pPr>
        <w:rPr>
          <w:sz w:val="22"/>
          <w:szCs w:val="22"/>
        </w:rPr>
      </w:pPr>
    </w:p>
    <w:p w14:paraId="5A3DBC35" w14:textId="77777777" w:rsidR="000E5428" w:rsidRPr="009B54A6" w:rsidRDefault="000E5428" w:rsidP="000E5428">
      <w:pPr>
        <w:rPr>
          <w:sz w:val="22"/>
          <w:szCs w:val="22"/>
        </w:rPr>
      </w:pPr>
    </w:p>
    <w:p w14:paraId="0D6A2016" w14:textId="77777777" w:rsidR="000E5428" w:rsidRPr="009B54A6" w:rsidRDefault="000E5428" w:rsidP="000E5428">
      <w:pPr>
        <w:rPr>
          <w:sz w:val="22"/>
          <w:szCs w:val="22"/>
        </w:rPr>
      </w:pPr>
    </w:p>
    <w:p w14:paraId="3B5DB5DF" w14:textId="77777777" w:rsidR="000E5428" w:rsidRPr="009B54A6" w:rsidRDefault="000E5428" w:rsidP="000E5428">
      <w:pPr>
        <w:rPr>
          <w:sz w:val="22"/>
          <w:szCs w:val="22"/>
        </w:rPr>
      </w:pPr>
    </w:p>
    <w:p w14:paraId="1517099A" w14:textId="77777777" w:rsidR="000E5428" w:rsidRPr="009B54A6" w:rsidRDefault="000E5428" w:rsidP="000E5428">
      <w:pPr>
        <w:jc w:val="center"/>
        <w:rPr>
          <w:b/>
          <w:sz w:val="22"/>
          <w:szCs w:val="22"/>
        </w:rPr>
      </w:pPr>
      <w:bookmarkStart w:id="4" w:name="_Toc129243137"/>
      <w:bookmarkStart w:id="5" w:name="_Toc129243262"/>
    </w:p>
    <w:p w14:paraId="2FD80767" w14:textId="77777777" w:rsidR="000E5428" w:rsidRPr="009B54A6" w:rsidRDefault="000E5428" w:rsidP="000E5428">
      <w:pPr>
        <w:jc w:val="center"/>
        <w:rPr>
          <w:b/>
          <w:sz w:val="22"/>
          <w:szCs w:val="22"/>
        </w:rPr>
      </w:pPr>
      <w:r w:rsidRPr="009B54A6">
        <w:rPr>
          <w:b/>
          <w:sz w:val="22"/>
          <w:szCs w:val="22"/>
        </w:rPr>
        <w:t>B. PAKUOTĖS LAPELIS</w:t>
      </w:r>
      <w:bookmarkEnd w:id="4"/>
      <w:bookmarkEnd w:id="5"/>
    </w:p>
    <w:p w14:paraId="0DA0C593" w14:textId="77777777" w:rsidR="000E5428" w:rsidRPr="009B54A6" w:rsidRDefault="000E5428" w:rsidP="000E5428">
      <w:pPr>
        <w:jc w:val="center"/>
        <w:rPr>
          <w:b/>
          <w:sz w:val="22"/>
          <w:szCs w:val="22"/>
        </w:rPr>
      </w:pPr>
      <w:r w:rsidRPr="009B54A6">
        <w:rPr>
          <w:b/>
          <w:bCs/>
          <w:caps/>
          <w:sz w:val="22"/>
          <w:szCs w:val="22"/>
        </w:rPr>
        <w:br w:type="page"/>
      </w:r>
      <w:r w:rsidRPr="009B54A6">
        <w:rPr>
          <w:b/>
          <w:sz w:val="22"/>
          <w:szCs w:val="22"/>
        </w:rPr>
        <w:lastRenderedPageBreak/>
        <w:t>Pakuotės lapelis:</w:t>
      </w:r>
      <w:r w:rsidRPr="009B54A6">
        <w:rPr>
          <w:b/>
          <w:noProof/>
          <w:sz w:val="22"/>
          <w:szCs w:val="22"/>
        </w:rPr>
        <w:t xml:space="preserve"> </w:t>
      </w:r>
      <w:r w:rsidRPr="009B54A6">
        <w:rPr>
          <w:b/>
          <w:sz w:val="22"/>
          <w:szCs w:val="22"/>
        </w:rPr>
        <w:t>informacija vartotojui</w:t>
      </w:r>
    </w:p>
    <w:p w14:paraId="6BC852FE" w14:textId="77777777" w:rsidR="000E5428" w:rsidRPr="009B54A6" w:rsidRDefault="000E5428" w:rsidP="000E5428">
      <w:pPr>
        <w:jc w:val="center"/>
        <w:rPr>
          <w:b/>
          <w:sz w:val="22"/>
          <w:szCs w:val="22"/>
        </w:rPr>
      </w:pPr>
    </w:p>
    <w:p w14:paraId="7F24DC1F" w14:textId="77777777" w:rsidR="000E5428" w:rsidRPr="009B54A6" w:rsidRDefault="000E5428" w:rsidP="000E5428">
      <w:pPr>
        <w:tabs>
          <w:tab w:val="left" w:pos="3060"/>
        </w:tabs>
        <w:autoSpaceDE w:val="0"/>
        <w:autoSpaceDN w:val="0"/>
        <w:adjustRightInd w:val="0"/>
        <w:jc w:val="center"/>
        <w:rPr>
          <w:b/>
          <w:sz w:val="22"/>
          <w:szCs w:val="22"/>
        </w:rPr>
      </w:pPr>
      <w:r w:rsidRPr="009B54A6">
        <w:rPr>
          <w:b/>
          <w:sz w:val="22"/>
          <w:szCs w:val="22"/>
        </w:rPr>
        <w:t>Telmisartan/Hydrochlorothiazide Sandoz 40 mg/12,5 mg dengtos tabletės</w:t>
      </w:r>
    </w:p>
    <w:p w14:paraId="441D8939" w14:textId="77777777" w:rsidR="000E5428" w:rsidRPr="009B54A6" w:rsidRDefault="000E5428" w:rsidP="000E5428">
      <w:pPr>
        <w:tabs>
          <w:tab w:val="left" w:pos="3060"/>
        </w:tabs>
        <w:autoSpaceDE w:val="0"/>
        <w:autoSpaceDN w:val="0"/>
        <w:adjustRightInd w:val="0"/>
        <w:jc w:val="center"/>
        <w:rPr>
          <w:b/>
          <w:sz w:val="22"/>
          <w:szCs w:val="22"/>
          <w:highlight w:val="lightGray"/>
        </w:rPr>
      </w:pPr>
      <w:r w:rsidRPr="009B54A6">
        <w:rPr>
          <w:b/>
          <w:sz w:val="22"/>
          <w:szCs w:val="22"/>
          <w:highlight w:val="lightGray"/>
        </w:rPr>
        <w:t>Telmisartan/Hydrochlorothiazide Sandoz 80 mg/12,5 mg dengtos tabletės</w:t>
      </w:r>
    </w:p>
    <w:p w14:paraId="3C262234" w14:textId="77777777" w:rsidR="000E5428" w:rsidRPr="009B54A6" w:rsidRDefault="000E5428" w:rsidP="000E5428">
      <w:pPr>
        <w:tabs>
          <w:tab w:val="left" w:pos="3060"/>
        </w:tabs>
        <w:autoSpaceDE w:val="0"/>
        <w:autoSpaceDN w:val="0"/>
        <w:adjustRightInd w:val="0"/>
        <w:jc w:val="center"/>
        <w:rPr>
          <w:b/>
          <w:sz w:val="22"/>
          <w:szCs w:val="22"/>
        </w:rPr>
      </w:pPr>
      <w:r w:rsidRPr="009B54A6">
        <w:rPr>
          <w:b/>
          <w:sz w:val="22"/>
          <w:szCs w:val="22"/>
          <w:highlight w:val="lightGray"/>
        </w:rPr>
        <w:t>Telmisartan/Hydrochlorothiazide Sandoz 80 mg/25 mg dengtos tabletės</w:t>
      </w:r>
    </w:p>
    <w:p w14:paraId="1DFAFE35" w14:textId="77777777" w:rsidR="000E5428" w:rsidRPr="009B54A6" w:rsidRDefault="000E5428" w:rsidP="000E5428">
      <w:pPr>
        <w:autoSpaceDE w:val="0"/>
        <w:autoSpaceDN w:val="0"/>
        <w:adjustRightInd w:val="0"/>
        <w:jc w:val="center"/>
        <w:rPr>
          <w:sz w:val="22"/>
          <w:szCs w:val="22"/>
          <w:lang w:eastAsia="lt-LT"/>
        </w:rPr>
      </w:pPr>
    </w:p>
    <w:p w14:paraId="40F6FE83" w14:textId="77777777" w:rsidR="000E5428" w:rsidRPr="009B54A6" w:rsidRDefault="000E5428" w:rsidP="000E5428">
      <w:pPr>
        <w:autoSpaceDE w:val="0"/>
        <w:autoSpaceDN w:val="0"/>
        <w:adjustRightInd w:val="0"/>
        <w:jc w:val="center"/>
        <w:rPr>
          <w:sz w:val="22"/>
          <w:szCs w:val="22"/>
          <w:lang w:eastAsia="lt-LT"/>
        </w:rPr>
      </w:pPr>
      <w:r w:rsidRPr="009B54A6">
        <w:rPr>
          <w:sz w:val="22"/>
          <w:szCs w:val="22"/>
          <w:lang w:eastAsia="lt-LT"/>
        </w:rPr>
        <w:t>Telmisartanas/Hidrochlorotiazidas</w:t>
      </w:r>
    </w:p>
    <w:p w14:paraId="5E8EB776" w14:textId="77777777" w:rsidR="000E5428" w:rsidRPr="009B54A6" w:rsidRDefault="000E5428" w:rsidP="000E5428">
      <w:pPr>
        <w:autoSpaceDE w:val="0"/>
        <w:autoSpaceDN w:val="0"/>
        <w:adjustRightInd w:val="0"/>
        <w:rPr>
          <w:b/>
          <w:bCs/>
          <w:sz w:val="22"/>
          <w:szCs w:val="22"/>
          <w:lang w:eastAsia="lt-LT"/>
        </w:rPr>
      </w:pPr>
    </w:p>
    <w:p w14:paraId="24211BD6"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Atidžiai perskaitykite visą šį lapelį, prieš pradėdami vartoti vaistą, nes jame pateikiama Jums svarbi informacija.</w:t>
      </w:r>
    </w:p>
    <w:p w14:paraId="25359EC9" w14:textId="77777777" w:rsidR="000E5428" w:rsidRPr="009B54A6" w:rsidRDefault="000E5428" w:rsidP="000E5428">
      <w:pPr>
        <w:numPr>
          <w:ilvl w:val="0"/>
          <w:numId w:val="26"/>
        </w:numPr>
        <w:tabs>
          <w:tab w:val="num" w:pos="540"/>
        </w:tabs>
        <w:autoSpaceDE w:val="0"/>
        <w:autoSpaceDN w:val="0"/>
        <w:adjustRightInd w:val="0"/>
        <w:ind w:left="567" w:hanging="567"/>
        <w:rPr>
          <w:sz w:val="22"/>
          <w:szCs w:val="22"/>
          <w:lang w:eastAsia="lt-LT"/>
        </w:rPr>
      </w:pPr>
      <w:r w:rsidRPr="009B54A6">
        <w:rPr>
          <w:sz w:val="22"/>
          <w:szCs w:val="22"/>
          <w:lang w:eastAsia="lt-LT"/>
        </w:rPr>
        <w:t>Neišmeskite šio lapelio, nes vėl gali prireikti jį perskaityti.</w:t>
      </w:r>
    </w:p>
    <w:p w14:paraId="151947C9" w14:textId="77777777" w:rsidR="000E5428" w:rsidRPr="009B54A6" w:rsidRDefault="000E5428" w:rsidP="000E5428">
      <w:pPr>
        <w:numPr>
          <w:ilvl w:val="0"/>
          <w:numId w:val="26"/>
        </w:numPr>
        <w:tabs>
          <w:tab w:val="num" w:pos="540"/>
        </w:tabs>
        <w:autoSpaceDE w:val="0"/>
        <w:autoSpaceDN w:val="0"/>
        <w:adjustRightInd w:val="0"/>
        <w:ind w:left="567" w:hanging="567"/>
        <w:rPr>
          <w:sz w:val="22"/>
          <w:szCs w:val="22"/>
          <w:lang w:eastAsia="lt-LT"/>
        </w:rPr>
      </w:pPr>
      <w:r w:rsidRPr="009B54A6">
        <w:rPr>
          <w:sz w:val="22"/>
          <w:szCs w:val="22"/>
          <w:lang w:eastAsia="lt-LT"/>
        </w:rPr>
        <w:t>Jeigu kiltų daugiau klausimų, kreipkitės į gydytoją arba vaistininką.</w:t>
      </w:r>
    </w:p>
    <w:p w14:paraId="05E3976E" w14:textId="1024790E" w:rsidR="000E5428" w:rsidRPr="009B54A6" w:rsidRDefault="000E5428" w:rsidP="000E5428">
      <w:pPr>
        <w:numPr>
          <w:ilvl w:val="0"/>
          <w:numId w:val="26"/>
        </w:numPr>
        <w:tabs>
          <w:tab w:val="num" w:pos="540"/>
        </w:tabs>
        <w:autoSpaceDE w:val="0"/>
        <w:autoSpaceDN w:val="0"/>
        <w:adjustRightInd w:val="0"/>
        <w:ind w:left="567" w:hanging="567"/>
        <w:rPr>
          <w:sz w:val="22"/>
          <w:szCs w:val="22"/>
          <w:lang w:eastAsia="lt-LT"/>
        </w:rPr>
      </w:pPr>
      <w:r w:rsidRPr="009B54A6">
        <w:rPr>
          <w:sz w:val="22"/>
          <w:szCs w:val="22"/>
          <w:lang w:eastAsia="lt-LT"/>
        </w:rPr>
        <w:t>Šis vaistas skirtas tik Jums, todėl kitiems žmonėms jo duoti negalima. Vaistas gali jiems pakenkti (net tiems, kurių ligos požymiai yra tokie patys kaip Jūsų)</w:t>
      </w:r>
      <w:r w:rsidR="003006B5">
        <w:rPr>
          <w:sz w:val="22"/>
          <w:szCs w:val="22"/>
          <w:lang w:eastAsia="lt-LT"/>
        </w:rPr>
        <w:t>.</w:t>
      </w:r>
    </w:p>
    <w:p w14:paraId="07350D4A" w14:textId="77777777" w:rsidR="000E5428" w:rsidRPr="009B54A6" w:rsidRDefault="000E5428" w:rsidP="000E5428">
      <w:pPr>
        <w:numPr>
          <w:ilvl w:val="0"/>
          <w:numId w:val="26"/>
        </w:numPr>
        <w:tabs>
          <w:tab w:val="num" w:pos="540"/>
        </w:tabs>
        <w:autoSpaceDE w:val="0"/>
        <w:autoSpaceDN w:val="0"/>
        <w:adjustRightInd w:val="0"/>
        <w:ind w:left="567" w:hanging="567"/>
        <w:rPr>
          <w:sz w:val="22"/>
          <w:szCs w:val="22"/>
          <w:lang w:eastAsia="lt-LT"/>
        </w:rPr>
      </w:pPr>
      <w:r w:rsidRPr="009B54A6">
        <w:rPr>
          <w:sz w:val="22"/>
          <w:szCs w:val="22"/>
          <w:lang w:eastAsia="lt-LT"/>
        </w:rPr>
        <w:t>Jeigu pasireiškė šalutinis poveikis (net jeigu jis šiame lapelyje nenurodytas) kreipkitės į gydytoją arba vaistininką. Žr. 4 skyrių.</w:t>
      </w:r>
    </w:p>
    <w:p w14:paraId="194B7773" w14:textId="77777777" w:rsidR="000E5428" w:rsidRPr="009B54A6" w:rsidRDefault="000E5428" w:rsidP="000E5428">
      <w:pPr>
        <w:autoSpaceDE w:val="0"/>
        <w:autoSpaceDN w:val="0"/>
        <w:adjustRightInd w:val="0"/>
        <w:rPr>
          <w:b/>
          <w:bCs/>
          <w:sz w:val="22"/>
          <w:szCs w:val="22"/>
          <w:lang w:eastAsia="lt-LT"/>
        </w:rPr>
      </w:pPr>
    </w:p>
    <w:p w14:paraId="7F3226A7" w14:textId="77777777" w:rsidR="000E5428" w:rsidRPr="009B54A6" w:rsidRDefault="000E5428" w:rsidP="000E5428">
      <w:pPr>
        <w:autoSpaceDE w:val="0"/>
        <w:autoSpaceDN w:val="0"/>
        <w:adjustRightInd w:val="0"/>
        <w:rPr>
          <w:b/>
          <w:bCs/>
          <w:sz w:val="22"/>
          <w:szCs w:val="22"/>
          <w:lang w:eastAsia="lt-LT"/>
        </w:rPr>
      </w:pPr>
      <w:r w:rsidRPr="009B54A6">
        <w:rPr>
          <w:b/>
          <w:sz w:val="22"/>
          <w:szCs w:val="22"/>
        </w:rPr>
        <w:t>Apie ką rašoma šiame lapelyje?</w:t>
      </w:r>
    </w:p>
    <w:p w14:paraId="4201D77E"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1.</w:t>
      </w:r>
      <w:r w:rsidRPr="009B54A6">
        <w:rPr>
          <w:sz w:val="22"/>
          <w:szCs w:val="22"/>
          <w:lang w:eastAsia="lt-LT"/>
        </w:rPr>
        <w:tab/>
        <w:t>Kas yra Telmisartan/Hydrochlorothiazide Sandoz ir kam jis vartojamas</w:t>
      </w:r>
    </w:p>
    <w:p w14:paraId="5BB4DC4E"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2.</w:t>
      </w:r>
      <w:r w:rsidRPr="009B54A6">
        <w:rPr>
          <w:sz w:val="22"/>
          <w:szCs w:val="22"/>
          <w:lang w:eastAsia="lt-LT"/>
        </w:rPr>
        <w:tab/>
        <w:t>Kas žinotina prieš vartojant Telmisartan/Hydrochlorothiazide Sandoz</w:t>
      </w:r>
    </w:p>
    <w:p w14:paraId="44748CE1"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3.</w:t>
      </w:r>
      <w:r w:rsidRPr="009B54A6">
        <w:rPr>
          <w:sz w:val="22"/>
          <w:szCs w:val="22"/>
          <w:lang w:eastAsia="lt-LT"/>
        </w:rPr>
        <w:tab/>
        <w:t>Kaip vartoti Telmisartan/Hydrochlorothiazide Sandoz</w:t>
      </w:r>
    </w:p>
    <w:p w14:paraId="464D66D5"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4.</w:t>
      </w:r>
      <w:r w:rsidRPr="009B54A6">
        <w:rPr>
          <w:sz w:val="22"/>
          <w:szCs w:val="22"/>
          <w:lang w:eastAsia="lt-LT"/>
        </w:rPr>
        <w:tab/>
        <w:t>Galimas šalutinis poveikis</w:t>
      </w:r>
    </w:p>
    <w:p w14:paraId="226EE414"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5.</w:t>
      </w:r>
      <w:r w:rsidRPr="009B54A6">
        <w:rPr>
          <w:sz w:val="22"/>
          <w:szCs w:val="22"/>
          <w:lang w:eastAsia="lt-LT"/>
        </w:rPr>
        <w:tab/>
        <w:t>Kaip laikyti Telmisartan/Hydrochlorothiazide Sandoz</w:t>
      </w:r>
    </w:p>
    <w:p w14:paraId="13309FEC"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6.</w:t>
      </w:r>
      <w:r w:rsidRPr="009B54A6">
        <w:rPr>
          <w:sz w:val="22"/>
          <w:szCs w:val="22"/>
          <w:lang w:eastAsia="lt-LT"/>
        </w:rPr>
        <w:tab/>
        <w:t>Pakuotės turinys ir kita informacija</w:t>
      </w:r>
    </w:p>
    <w:p w14:paraId="4B73CD3E" w14:textId="77777777" w:rsidR="000E5428" w:rsidRPr="009B54A6" w:rsidRDefault="000E5428" w:rsidP="000E5428">
      <w:pPr>
        <w:autoSpaceDE w:val="0"/>
        <w:autoSpaceDN w:val="0"/>
        <w:adjustRightInd w:val="0"/>
        <w:rPr>
          <w:b/>
          <w:bCs/>
          <w:sz w:val="22"/>
          <w:szCs w:val="22"/>
          <w:lang w:eastAsia="lt-LT"/>
        </w:rPr>
      </w:pPr>
    </w:p>
    <w:p w14:paraId="34959951" w14:textId="77777777" w:rsidR="000E5428" w:rsidRPr="009B54A6" w:rsidRDefault="000E5428" w:rsidP="000E5428">
      <w:pPr>
        <w:autoSpaceDE w:val="0"/>
        <w:autoSpaceDN w:val="0"/>
        <w:adjustRightInd w:val="0"/>
        <w:rPr>
          <w:b/>
          <w:bCs/>
          <w:sz w:val="22"/>
          <w:szCs w:val="22"/>
          <w:lang w:eastAsia="lt-LT"/>
        </w:rPr>
      </w:pPr>
    </w:p>
    <w:p w14:paraId="6A279170"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1.</w:t>
      </w:r>
      <w:r w:rsidRPr="009B54A6">
        <w:rPr>
          <w:b/>
          <w:bCs/>
          <w:sz w:val="22"/>
          <w:szCs w:val="22"/>
          <w:lang w:eastAsia="lt-LT"/>
        </w:rPr>
        <w:tab/>
      </w:r>
      <w:r w:rsidRPr="009B54A6">
        <w:rPr>
          <w:b/>
          <w:sz w:val="22"/>
          <w:szCs w:val="22"/>
          <w:lang w:eastAsia="lt-LT"/>
        </w:rPr>
        <w:t>Kas yra Telmisartan/Hydrochlorothiazide Sandoz ir kam jis vartojamas</w:t>
      </w:r>
    </w:p>
    <w:p w14:paraId="0B036DCD" w14:textId="77777777" w:rsidR="000E5428" w:rsidRPr="009B54A6" w:rsidRDefault="000E5428" w:rsidP="000E5428">
      <w:pPr>
        <w:autoSpaceDE w:val="0"/>
        <w:autoSpaceDN w:val="0"/>
        <w:adjustRightInd w:val="0"/>
        <w:rPr>
          <w:sz w:val="22"/>
          <w:szCs w:val="22"/>
          <w:lang w:eastAsia="lt-LT"/>
        </w:rPr>
      </w:pPr>
    </w:p>
    <w:p w14:paraId="1D980B78" w14:textId="77777777" w:rsidR="000E5428" w:rsidRPr="009B54A6" w:rsidRDefault="000E5428" w:rsidP="000E5428">
      <w:pPr>
        <w:autoSpaceDE w:val="0"/>
        <w:autoSpaceDN w:val="0"/>
        <w:adjustRightInd w:val="0"/>
        <w:rPr>
          <w:rFonts w:eastAsia="TimesNewRoman"/>
          <w:sz w:val="22"/>
          <w:szCs w:val="22"/>
        </w:rPr>
      </w:pPr>
      <w:r w:rsidRPr="009B54A6">
        <w:rPr>
          <w:sz w:val="22"/>
          <w:szCs w:val="22"/>
          <w:lang w:eastAsia="lt-LT"/>
        </w:rPr>
        <w:t>Telmisartan/Hydrochlorothiazide Sandoz</w:t>
      </w:r>
      <w:r w:rsidRPr="009B54A6">
        <w:rPr>
          <w:rFonts w:eastAsia="TimesNewRoman"/>
          <w:sz w:val="22"/>
          <w:szCs w:val="22"/>
        </w:rPr>
        <w:t xml:space="preserve"> yra dviejų veikliųjų medžiagų: telmisartano ir hidrochlorotiazido, derinys. Abi šios medžiagos padeda kontroliuoti didelio kraujospūdžio ligą.</w:t>
      </w:r>
    </w:p>
    <w:p w14:paraId="6CFCC4B2" w14:textId="77777777" w:rsidR="000E5428" w:rsidRPr="009B54A6" w:rsidRDefault="000E5428" w:rsidP="000E5428">
      <w:pPr>
        <w:numPr>
          <w:ilvl w:val="0"/>
          <w:numId w:val="27"/>
        </w:numPr>
        <w:autoSpaceDE w:val="0"/>
        <w:autoSpaceDN w:val="0"/>
        <w:adjustRightInd w:val="0"/>
        <w:ind w:left="567" w:hanging="567"/>
        <w:rPr>
          <w:sz w:val="22"/>
          <w:szCs w:val="22"/>
          <w:lang w:eastAsia="lt-LT"/>
        </w:rPr>
      </w:pPr>
      <w:r w:rsidRPr="009B54A6">
        <w:rPr>
          <w:sz w:val="22"/>
          <w:szCs w:val="22"/>
          <w:lang w:eastAsia="lt-LT"/>
        </w:rPr>
        <w:t xml:space="preserve">Telmisartanas priklauso vaistų, vadinamų angiotenzino II receptorių blokatoriais, grupei. Angiotenzinas II yra Jūsų organizme gaminama medžiaga, kuri sutraukia kraujagysles ir todėl didina kraujospūdį. Telmisartanas šį angiotenzino II poveikį blokuoja, todėl lygieji kraujagyslių raumenys atsipalaiduoja </w:t>
      </w:r>
      <w:r w:rsidR="003006B5">
        <w:rPr>
          <w:sz w:val="22"/>
          <w:szCs w:val="22"/>
          <w:lang w:eastAsia="lt-LT"/>
        </w:rPr>
        <w:t xml:space="preserve">ir </w:t>
      </w:r>
      <w:r w:rsidRPr="009B54A6">
        <w:rPr>
          <w:sz w:val="22"/>
          <w:szCs w:val="22"/>
          <w:lang w:eastAsia="lt-LT"/>
        </w:rPr>
        <w:t>yra mažinamas Jūsų kraujospūdis.</w:t>
      </w:r>
    </w:p>
    <w:p w14:paraId="3812D328" w14:textId="77777777" w:rsidR="000E5428" w:rsidRPr="009B54A6" w:rsidRDefault="000E5428" w:rsidP="000E5428">
      <w:pPr>
        <w:numPr>
          <w:ilvl w:val="0"/>
          <w:numId w:val="27"/>
        </w:numPr>
        <w:autoSpaceDE w:val="0"/>
        <w:autoSpaceDN w:val="0"/>
        <w:adjustRightInd w:val="0"/>
        <w:ind w:left="567" w:hanging="567"/>
        <w:rPr>
          <w:sz w:val="22"/>
          <w:szCs w:val="22"/>
          <w:lang w:eastAsia="lt-LT"/>
        </w:rPr>
      </w:pPr>
      <w:r w:rsidRPr="009B54A6">
        <w:rPr>
          <w:rFonts w:eastAsia="TimesNewRoman"/>
          <w:sz w:val="22"/>
          <w:szCs w:val="22"/>
        </w:rPr>
        <w:t>Hidrochlorotiazidas priklauso vaistų, vadinamų tiazidiniais diuretikais, grupei. Jie didina šlapimo išskyrimą, todėl mažinamas Jūsų kraujospūdis</w:t>
      </w:r>
      <w:r w:rsidR="003006B5">
        <w:rPr>
          <w:rFonts w:eastAsia="TimesNewRoman"/>
          <w:sz w:val="22"/>
          <w:szCs w:val="22"/>
        </w:rPr>
        <w:t>.</w:t>
      </w:r>
    </w:p>
    <w:p w14:paraId="453B6DFD" w14:textId="77777777" w:rsidR="000E5428" w:rsidRPr="009B54A6" w:rsidRDefault="000E5428" w:rsidP="000E5428">
      <w:pPr>
        <w:autoSpaceDE w:val="0"/>
        <w:autoSpaceDN w:val="0"/>
        <w:adjustRightInd w:val="0"/>
        <w:rPr>
          <w:sz w:val="22"/>
          <w:szCs w:val="22"/>
          <w:lang w:eastAsia="lt-LT"/>
        </w:rPr>
      </w:pPr>
    </w:p>
    <w:p w14:paraId="13F74F31"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Jeigu didelio kraujospūdžio liga negydoma, ji gali pažeisti kai kurių organų kraujagysles. Kartais dėl to gali ištikti miokardo infarktas, pasireikšti širdies ar inkstų veiklos nepakankamumas, ištikti smegenų insultas arba ligonis gali apakti. Kol organų funkcija nepažeista, paprastai didelio kraujospūdžio ligos simptomų nebūna. Vadinasi, būtina reguliariai matuoti kraujospūdį, kad būtų galima nustatyti, ar jis nepadidėjęs.</w:t>
      </w:r>
    </w:p>
    <w:p w14:paraId="11A5BAD5" w14:textId="77777777" w:rsidR="000E5428" w:rsidRPr="009B54A6" w:rsidRDefault="000E5428" w:rsidP="000E5428">
      <w:pPr>
        <w:autoSpaceDE w:val="0"/>
        <w:autoSpaceDN w:val="0"/>
        <w:adjustRightInd w:val="0"/>
        <w:rPr>
          <w:sz w:val="22"/>
          <w:szCs w:val="22"/>
          <w:lang w:eastAsia="lt-LT"/>
        </w:rPr>
      </w:pPr>
    </w:p>
    <w:p w14:paraId="1DFD416B" w14:textId="77777777" w:rsidR="000E5428" w:rsidRPr="009B54A6" w:rsidRDefault="000E5428" w:rsidP="000E5428">
      <w:pPr>
        <w:autoSpaceDE w:val="0"/>
        <w:autoSpaceDN w:val="0"/>
        <w:adjustRightInd w:val="0"/>
        <w:rPr>
          <w:sz w:val="22"/>
          <w:szCs w:val="22"/>
          <w:lang w:eastAsia="lt-LT"/>
        </w:rPr>
      </w:pPr>
      <w:r w:rsidRPr="009B54A6">
        <w:rPr>
          <w:b/>
          <w:sz w:val="22"/>
          <w:szCs w:val="22"/>
          <w:lang w:eastAsia="lt-LT"/>
        </w:rPr>
        <w:t>Telmisartan/Hydrochlorothiazide Sandoz</w:t>
      </w:r>
      <w:r w:rsidRPr="009B54A6">
        <w:rPr>
          <w:sz w:val="22"/>
          <w:szCs w:val="22"/>
          <w:lang w:eastAsia="lt-LT"/>
        </w:rPr>
        <w:t xml:space="preserve"> </w:t>
      </w:r>
      <w:r w:rsidRPr="009B54A6">
        <w:rPr>
          <w:rFonts w:eastAsia="TimesNewRoman"/>
          <w:b/>
          <w:sz w:val="22"/>
          <w:szCs w:val="22"/>
        </w:rPr>
        <w:t>gydoma</w:t>
      </w:r>
      <w:r w:rsidRPr="009B54A6">
        <w:rPr>
          <w:rFonts w:eastAsia="TimesNewRoman"/>
          <w:b/>
          <w:i/>
          <w:sz w:val="22"/>
          <w:szCs w:val="22"/>
        </w:rPr>
        <w:t xml:space="preserve"> </w:t>
      </w:r>
      <w:r w:rsidRPr="009B54A6">
        <w:rPr>
          <w:rFonts w:eastAsia="TimesNewRoman"/>
          <w:sz w:val="22"/>
          <w:szCs w:val="22"/>
        </w:rPr>
        <w:t xml:space="preserve">suaugusių žmonių </w:t>
      </w:r>
      <w:r w:rsidRPr="009B54A6">
        <w:rPr>
          <w:rFonts w:eastAsia="TimesNewRoman"/>
          <w:b/>
          <w:sz w:val="22"/>
          <w:szCs w:val="22"/>
        </w:rPr>
        <w:t>didelio kraujospūdžio liga</w:t>
      </w:r>
      <w:r w:rsidRPr="009B54A6">
        <w:rPr>
          <w:rFonts w:eastAsia="TimesNewRoman"/>
          <w:sz w:val="22"/>
          <w:szCs w:val="22"/>
        </w:rPr>
        <w:t xml:space="preserve"> (pirminė hipertenzija) tuo atveju, jeigu gydymo vien telmisartanu arba hidrochlorotiazidu metu kraujospūdis kontroliuojamas nepakankamai.</w:t>
      </w:r>
    </w:p>
    <w:p w14:paraId="17C356A7" w14:textId="77777777" w:rsidR="000E5428" w:rsidRPr="009B54A6" w:rsidRDefault="000E5428" w:rsidP="000E5428">
      <w:pPr>
        <w:autoSpaceDE w:val="0"/>
        <w:autoSpaceDN w:val="0"/>
        <w:adjustRightInd w:val="0"/>
        <w:rPr>
          <w:sz w:val="22"/>
          <w:szCs w:val="22"/>
          <w:lang w:eastAsia="lt-LT"/>
        </w:rPr>
      </w:pPr>
    </w:p>
    <w:p w14:paraId="3BE001A9" w14:textId="77777777" w:rsidR="000E5428" w:rsidRPr="009B54A6" w:rsidRDefault="000E5428" w:rsidP="000E5428">
      <w:pPr>
        <w:autoSpaceDE w:val="0"/>
        <w:autoSpaceDN w:val="0"/>
        <w:adjustRightInd w:val="0"/>
        <w:rPr>
          <w:sz w:val="22"/>
          <w:szCs w:val="22"/>
          <w:lang w:eastAsia="lt-LT"/>
        </w:rPr>
      </w:pPr>
      <w:r w:rsidRPr="009B54A6">
        <w:rPr>
          <w:b/>
          <w:sz w:val="22"/>
          <w:szCs w:val="22"/>
          <w:lang w:eastAsia="lt-LT"/>
        </w:rPr>
        <w:t>Telmisartan/Hydrochlorothiazide Sandoz</w:t>
      </w:r>
      <w:r w:rsidRPr="009B54A6">
        <w:rPr>
          <w:sz w:val="22"/>
          <w:szCs w:val="22"/>
          <w:lang w:eastAsia="lt-LT"/>
        </w:rPr>
        <w:t xml:space="preserve"> </w:t>
      </w:r>
      <w:r w:rsidRPr="009B54A6">
        <w:rPr>
          <w:rFonts w:eastAsia="TimesNewRoman"/>
          <w:b/>
          <w:sz w:val="22"/>
          <w:szCs w:val="22"/>
        </w:rPr>
        <w:t>gydoma</w:t>
      </w:r>
      <w:r w:rsidRPr="009B54A6">
        <w:rPr>
          <w:rFonts w:eastAsia="TimesNewRoman"/>
          <w:b/>
          <w:i/>
          <w:sz w:val="22"/>
          <w:szCs w:val="22"/>
        </w:rPr>
        <w:t xml:space="preserve"> </w:t>
      </w:r>
      <w:r w:rsidRPr="009B54A6">
        <w:rPr>
          <w:rFonts w:eastAsia="TimesNewRoman"/>
          <w:sz w:val="22"/>
          <w:szCs w:val="22"/>
        </w:rPr>
        <w:t>suaugusių žmonių didelio kraujospūdžio liga (pirminė hipertenzija), kurių kraujospūdį Telmisartan/Hydrochlorothiazide Sandoz 80 mg/12,5 mg kontroliuoja nepakankamai arba kurių būklę pirma stabilizavo atskirai vartojami telmisartanas ir hidrochlorotiazidas.</w:t>
      </w:r>
    </w:p>
    <w:p w14:paraId="1BAC84B1" w14:textId="77777777" w:rsidR="000E5428" w:rsidRPr="009B54A6" w:rsidRDefault="000E5428" w:rsidP="000E5428">
      <w:pPr>
        <w:autoSpaceDE w:val="0"/>
        <w:autoSpaceDN w:val="0"/>
        <w:adjustRightInd w:val="0"/>
        <w:rPr>
          <w:sz w:val="22"/>
          <w:szCs w:val="22"/>
          <w:lang w:eastAsia="lt-LT"/>
        </w:rPr>
      </w:pPr>
    </w:p>
    <w:p w14:paraId="446B3B0A" w14:textId="77777777" w:rsidR="000E5428" w:rsidRPr="009B54A6" w:rsidRDefault="000E5428" w:rsidP="000E5428">
      <w:pPr>
        <w:autoSpaceDE w:val="0"/>
        <w:autoSpaceDN w:val="0"/>
        <w:adjustRightInd w:val="0"/>
        <w:rPr>
          <w:sz w:val="22"/>
          <w:szCs w:val="22"/>
          <w:lang w:eastAsia="lt-LT"/>
        </w:rPr>
      </w:pPr>
    </w:p>
    <w:p w14:paraId="60C4C613"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2.</w:t>
      </w:r>
      <w:r w:rsidRPr="009B54A6">
        <w:rPr>
          <w:b/>
          <w:bCs/>
          <w:sz w:val="22"/>
          <w:szCs w:val="22"/>
          <w:lang w:eastAsia="lt-LT"/>
        </w:rPr>
        <w:tab/>
      </w:r>
      <w:r w:rsidRPr="009B54A6">
        <w:rPr>
          <w:b/>
          <w:sz w:val="22"/>
          <w:szCs w:val="22"/>
          <w:lang w:eastAsia="lt-LT"/>
        </w:rPr>
        <w:t>Kas žinotina prieš vartojant Telmisartan/Hydrochlorothiazide Sandoz</w:t>
      </w:r>
    </w:p>
    <w:p w14:paraId="77EF9FC4" w14:textId="77777777" w:rsidR="000E5428" w:rsidRPr="009B54A6" w:rsidRDefault="000E5428" w:rsidP="000E5428">
      <w:pPr>
        <w:autoSpaceDE w:val="0"/>
        <w:autoSpaceDN w:val="0"/>
        <w:adjustRightInd w:val="0"/>
        <w:rPr>
          <w:b/>
          <w:bCs/>
          <w:sz w:val="22"/>
          <w:szCs w:val="22"/>
          <w:lang w:eastAsia="lt-LT"/>
        </w:rPr>
      </w:pPr>
    </w:p>
    <w:p w14:paraId="3ED10C60"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Telmisartan/Hydrochlorothiazide Sandoz vartoti negalima:</w:t>
      </w:r>
    </w:p>
    <w:p w14:paraId="74D4A78C" w14:textId="77777777" w:rsidR="000E5428" w:rsidRPr="009B54A6" w:rsidRDefault="000E5428" w:rsidP="000E5428">
      <w:pPr>
        <w:autoSpaceDE w:val="0"/>
        <w:autoSpaceDN w:val="0"/>
        <w:adjustRightInd w:val="0"/>
        <w:rPr>
          <w:b/>
          <w:bCs/>
          <w:sz w:val="22"/>
          <w:szCs w:val="22"/>
          <w:lang w:eastAsia="lt-LT"/>
        </w:rPr>
      </w:pPr>
    </w:p>
    <w:p w14:paraId="1D2C9C8C" w14:textId="77777777" w:rsidR="000E5428" w:rsidRPr="009B54A6" w:rsidRDefault="000E5428" w:rsidP="000E5428">
      <w:pPr>
        <w:numPr>
          <w:ilvl w:val="0"/>
          <w:numId w:val="8"/>
        </w:numPr>
        <w:tabs>
          <w:tab w:val="num" w:pos="540"/>
        </w:tabs>
        <w:autoSpaceDE w:val="0"/>
        <w:autoSpaceDN w:val="0"/>
        <w:adjustRightInd w:val="0"/>
        <w:ind w:left="567" w:hanging="567"/>
        <w:rPr>
          <w:sz w:val="22"/>
          <w:szCs w:val="22"/>
          <w:lang w:eastAsia="lt-LT"/>
        </w:rPr>
      </w:pPr>
      <w:r w:rsidRPr="009B54A6">
        <w:rPr>
          <w:sz w:val="22"/>
          <w:szCs w:val="22"/>
          <w:lang w:eastAsia="lt-LT"/>
        </w:rPr>
        <w:lastRenderedPageBreak/>
        <w:t xml:space="preserve">jeigu esate </w:t>
      </w:r>
      <w:r w:rsidRPr="009B54A6">
        <w:rPr>
          <w:b/>
          <w:sz w:val="22"/>
          <w:szCs w:val="22"/>
          <w:lang w:eastAsia="lt-LT"/>
        </w:rPr>
        <w:t>alergiškas telmisartanui</w:t>
      </w:r>
      <w:r w:rsidRPr="009B54A6">
        <w:rPr>
          <w:sz w:val="22"/>
          <w:szCs w:val="22"/>
          <w:lang w:eastAsia="lt-LT"/>
        </w:rPr>
        <w:t xml:space="preserve"> arba bet kuriai pagalbinei šio vaisto medžiagai (jos išvardytos 6 skyriuje);</w:t>
      </w:r>
    </w:p>
    <w:p w14:paraId="537E75E8" w14:textId="77777777" w:rsidR="000E5428" w:rsidRPr="009B54A6" w:rsidRDefault="000E5428" w:rsidP="000E5428">
      <w:pPr>
        <w:numPr>
          <w:ilvl w:val="0"/>
          <w:numId w:val="8"/>
        </w:numPr>
        <w:tabs>
          <w:tab w:val="num" w:pos="540"/>
        </w:tabs>
        <w:autoSpaceDE w:val="0"/>
        <w:autoSpaceDN w:val="0"/>
        <w:adjustRightInd w:val="0"/>
        <w:ind w:left="567" w:hanging="567"/>
        <w:rPr>
          <w:sz w:val="22"/>
          <w:szCs w:val="22"/>
          <w:lang w:eastAsia="lt-LT"/>
        </w:rPr>
      </w:pPr>
      <w:r w:rsidRPr="009B54A6">
        <w:rPr>
          <w:sz w:val="22"/>
          <w:szCs w:val="22"/>
          <w:lang w:eastAsia="lt-LT"/>
        </w:rPr>
        <w:t xml:space="preserve">jeigu esate </w:t>
      </w:r>
      <w:r w:rsidRPr="009B54A6">
        <w:rPr>
          <w:b/>
          <w:sz w:val="22"/>
          <w:szCs w:val="22"/>
          <w:lang w:eastAsia="lt-LT"/>
        </w:rPr>
        <w:t>alergiškas hidrochlorotiazidui</w:t>
      </w:r>
      <w:r w:rsidRPr="009B54A6">
        <w:rPr>
          <w:sz w:val="22"/>
          <w:szCs w:val="22"/>
          <w:lang w:eastAsia="lt-LT"/>
        </w:rPr>
        <w:t xml:space="preserve"> arba bet </w:t>
      </w:r>
      <w:r w:rsidRPr="009B54A6">
        <w:rPr>
          <w:rFonts w:eastAsia="TimesNewRoman"/>
          <w:sz w:val="22"/>
          <w:szCs w:val="22"/>
        </w:rPr>
        <w:t>arba bet kuriam kitam vaistiniam preparatui, kuris yra sulfamidų darinys;</w:t>
      </w:r>
    </w:p>
    <w:p w14:paraId="357E3753" w14:textId="77777777" w:rsidR="000E5428" w:rsidRPr="009B54A6" w:rsidRDefault="000E5428" w:rsidP="000E5428">
      <w:pPr>
        <w:numPr>
          <w:ilvl w:val="0"/>
          <w:numId w:val="8"/>
        </w:numPr>
        <w:tabs>
          <w:tab w:val="num" w:pos="540"/>
        </w:tabs>
        <w:autoSpaceDE w:val="0"/>
        <w:autoSpaceDN w:val="0"/>
        <w:adjustRightInd w:val="0"/>
        <w:ind w:left="540" w:hanging="540"/>
        <w:rPr>
          <w:sz w:val="22"/>
          <w:szCs w:val="22"/>
          <w:lang w:eastAsia="lt-LT"/>
        </w:rPr>
      </w:pPr>
      <w:r w:rsidRPr="009B54A6">
        <w:rPr>
          <w:sz w:val="22"/>
          <w:szCs w:val="22"/>
          <w:lang w:eastAsia="lt-LT"/>
        </w:rPr>
        <w:t xml:space="preserve">jeigu esate daugiau </w:t>
      </w:r>
      <w:r w:rsidRPr="009B54A6">
        <w:rPr>
          <w:b/>
          <w:sz w:val="22"/>
          <w:szCs w:val="22"/>
          <w:lang w:eastAsia="lt-LT"/>
        </w:rPr>
        <w:t>negu 3 mėn. nėščia</w:t>
      </w:r>
      <w:r w:rsidRPr="009B54A6">
        <w:rPr>
          <w:sz w:val="22"/>
          <w:szCs w:val="22"/>
          <w:lang w:eastAsia="lt-LT"/>
        </w:rPr>
        <w:t xml:space="preserve"> (ankstyvuoju nėštumo laikotarpiu Telmisartan/Hydrochlorothiazide Sandoz</w:t>
      </w:r>
      <w:r w:rsidRPr="009B54A6">
        <w:rPr>
          <w:b/>
          <w:sz w:val="22"/>
          <w:szCs w:val="22"/>
          <w:lang w:eastAsia="lt-LT"/>
        </w:rPr>
        <w:t xml:space="preserve"> </w:t>
      </w:r>
      <w:r w:rsidRPr="009B54A6">
        <w:rPr>
          <w:sz w:val="22"/>
          <w:szCs w:val="22"/>
          <w:lang w:eastAsia="lt-LT"/>
        </w:rPr>
        <w:t>taip pat geriau nevartoti - žr. skyrių „Nėštumas ir žindymo laikotarpis“);</w:t>
      </w:r>
    </w:p>
    <w:p w14:paraId="461D3029" w14:textId="77777777" w:rsidR="000E5428" w:rsidRPr="009B54A6" w:rsidRDefault="000E5428" w:rsidP="000E5428">
      <w:pPr>
        <w:numPr>
          <w:ilvl w:val="0"/>
          <w:numId w:val="8"/>
        </w:numPr>
        <w:tabs>
          <w:tab w:val="num" w:pos="540"/>
        </w:tabs>
        <w:autoSpaceDE w:val="0"/>
        <w:autoSpaceDN w:val="0"/>
        <w:adjustRightInd w:val="0"/>
        <w:ind w:left="540" w:hanging="540"/>
        <w:rPr>
          <w:b/>
          <w:sz w:val="22"/>
          <w:szCs w:val="22"/>
        </w:rPr>
      </w:pPr>
      <w:r w:rsidRPr="009B54A6">
        <w:rPr>
          <w:sz w:val="22"/>
          <w:szCs w:val="22"/>
          <w:lang w:eastAsia="lt-LT"/>
        </w:rPr>
        <w:t xml:space="preserve">jeigu yra </w:t>
      </w:r>
      <w:r w:rsidRPr="009B54A6">
        <w:rPr>
          <w:b/>
          <w:sz w:val="22"/>
          <w:szCs w:val="22"/>
          <w:lang w:eastAsia="lt-LT"/>
        </w:rPr>
        <w:t>sunkių kepenų veiklos sutrikimų</w:t>
      </w:r>
      <w:r w:rsidRPr="009B54A6">
        <w:rPr>
          <w:sz w:val="22"/>
          <w:szCs w:val="22"/>
          <w:lang w:eastAsia="lt-LT"/>
        </w:rPr>
        <w:t xml:space="preserve">, pvz., </w:t>
      </w:r>
      <w:r w:rsidRPr="009B54A6">
        <w:rPr>
          <w:b/>
          <w:sz w:val="22"/>
          <w:szCs w:val="22"/>
          <w:lang w:eastAsia="lt-LT"/>
        </w:rPr>
        <w:t>tulžies sąstovis</w:t>
      </w:r>
      <w:r w:rsidRPr="009B54A6">
        <w:rPr>
          <w:sz w:val="22"/>
          <w:szCs w:val="22"/>
          <w:lang w:eastAsia="lt-LT"/>
        </w:rPr>
        <w:t xml:space="preserve"> ar tulžies </w:t>
      </w:r>
      <w:r w:rsidRPr="009B54A6">
        <w:rPr>
          <w:b/>
          <w:sz w:val="22"/>
          <w:szCs w:val="22"/>
          <w:lang w:eastAsia="lt-LT"/>
        </w:rPr>
        <w:t>nutekėjimo obstrukcija</w:t>
      </w:r>
      <w:r w:rsidRPr="009B54A6">
        <w:rPr>
          <w:sz w:val="22"/>
          <w:szCs w:val="22"/>
          <w:lang w:eastAsia="lt-LT"/>
        </w:rPr>
        <w:t xml:space="preserve"> (tulžies nutekėjimo iš kepenų ar tulžies pūslės sutrikimas) arba bet kokia kita sunki kepenų liga;</w:t>
      </w:r>
    </w:p>
    <w:p w14:paraId="68CD79E5" w14:textId="77777777" w:rsidR="000E5428" w:rsidRPr="009B54A6" w:rsidRDefault="000E5428" w:rsidP="000E5428">
      <w:pPr>
        <w:numPr>
          <w:ilvl w:val="0"/>
          <w:numId w:val="8"/>
        </w:numPr>
        <w:tabs>
          <w:tab w:val="num" w:pos="540"/>
        </w:tabs>
        <w:autoSpaceDE w:val="0"/>
        <w:autoSpaceDN w:val="0"/>
        <w:adjustRightInd w:val="0"/>
        <w:ind w:left="540" w:hanging="540"/>
        <w:rPr>
          <w:b/>
          <w:sz w:val="22"/>
          <w:szCs w:val="22"/>
        </w:rPr>
      </w:pPr>
      <w:r w:rsidRPr="009B54A6">
        <w:rPr>
          <w:rFonts w:eastAsia="TimesNewRoman"/>
          <w:sz w:val="22"/>
          <w:szCs w:val="22"/>
        </w:rPr>
        <w:t xml:space="preserve">jeigu Jūs sergate </w:t>
      </w:r>
      <w:r w:rsidRPr="009B54A6">
        <w:rPr>
          <w:rFonts w:eastAsia="TimesNewRoman"/>
          <w:b/>
          <w:sz w:val="22"/>
          <w:szCs w:val="22"/>
        </w:rPr>
        <w:t>sunkia inkstų liga;</w:t>
      </w:r>
    </w:p>
    <w:p w14:paraId="2DCA40B3" w14:textId="77777777" w:rsidR="000E5428" w:rsidRPr="009B54A6" w:rsidRDefault="000E5428" w:rsidP="000E5428">
      <w:pPr>
        <w:numPr>
          <w:ilvl w:val="0"/>
          <w:numId w:val="8"/>
        </w:numPr>
        <w:tabs>
          <w:tab w:val="num" w:pos="540"/>
        </w:tabs>
        <w:autoSpaceDE w:val="0"/>
        <w:autoSpaceDN w:val="0"/>
        <w:adjustRightInd w:val="0"/>
        <w:ind w:left="540" w:hanging="540"/>
        <w:rPr>
          <w:b/>
          <w:sz w:val="22"/>
          <w:szCs w:val="22"/>
        </w:rPr>
      </w:pPr>
      <w:r w:rsidRPr="009B54A6">
        <w:rPr>
          <w:rFonts w:eastAsia="TimesNewRoman"/>
          <w:sz w:val="22"/>
          <w:szCs w:val="22"/>
        </w:rPr>
        <w:t xml:space="preserve">jeigu gydytojas nustato, kad </w:t>
      </w:r>
      <w:r w:rsidRPr="009B54A6">
        <w:rPr>
          <w:rFonts w:eastAsia="TimesNewRoman"/>
          <w:b/>
          <w:sz w:val="22"/>
          <w:szCs w:val="22"/>
        </w:rPr>
        <w:t>Jūsų kraujyje</w:t>
      </w:r>
      <w:r w:rsidRPr="009B54A6">
        <w:rPr>
          <w:rFonts w:eastAsia="TimesNewRoman"/>
          <w:sz w:val="22"/>
          <w:szCs w:val="22"/>
        </w:rPr>
        <w:t xml:space="preserve"> yra </w:t>
      </w:r>
      <w:r w:rsidRPr="009B54A6">
        <w:rPr>
          <w:rFonts w:eastAsia="TimesNewRoman"/>
          <w:b/>
          <w:sz w:val="22"/>
          <w:szCs w:val="22"/>
        </w:rPr>
        <w:t>mažas kalio</w:t>
      </w:r>
      <w:r w:rsidRPr="009B54A6">
        <w:rPr>
          <w:rFonts w:eastAsia="TimesNewRoman"/>
          <w:sz w:val="22"/>
          <w:szCs w:val="22"/>
        </w:rPr>
        <w:t xml:space="preserve"> arba </w:t>
      </w:r>
      <w:r w:rsidRPr="009B54A6">
        <w:rPr>
          <w:rFonts w:eastAsia="TimesNewRoman"/>
          <w:b/>
          <w:sz w:val="22"/>
          <w:szCs w:val="22"/>
        </w:rPr>
        <w:t>didelis kalcio kiekis</w:t>
      </w:r>
      <w:r w:rsidRPr="009B54A6">
        <w:rPr>
          <w:rFonts w:eastAsia="TimesNewRoman"/>
          <w:sz w:val="22"/>
          <w:szCs w:val="22"/>
        </w:rPr>
        <w:t>, kuris gydant negerėja;</w:t>
      </w:r>
    </w:p>
    <w:p w14:paraId="4320EC31" w14:textId="77777777" w:rsidR="000E5428" w:rsidRPr="009B54A6" w:rsidRDefault="000E5428" w:rsidP="000E5428">
      <w:pPr>
        <w:numPr>
          <w:ilvl w:val="0"/>
          <w:numId w:val="8"/>
        </w:numPr>
        <w:tabs>
          <w:tab w:val="num" w:pos="540"/>
        </w:tabs>
        <w:autoSpaceDE w:val="0"/>
        <w:autoSpaceDN w:val="0"/>
        <w:adjustRightInd w:val="0"/>
        <w:ind w:left="540" w:hanging="540"/>
        <w:rPr>
          <w:b/>
          <w:sz w:val="22"/>
          <w:szCs w:val="22"/>
        </w:rPr>
      </w:pPr>
      <w:r w:rsidRPr="009B54A6">
        <w:rPr>
          <w:rFonts w:eastAsia="TimesNewRoman"/>
          <w:sz w:val="22"/>
          <w:szCs w:val="22"/>
        </w:rPr>
        <w:t xml:space="preserve">jeigu Jums yra </w:t>
      </w:r>
      <w:r w:rsidRPr="009B54A6">
        <w:rPr>
          <w:rFonts w:eastAsia="TimesNewRoman"/>
          <w:b/>
          <w:sz w:val="22"/>
          <w:szCs w:val="22"/>
        </w:rPr>
        <w:t xml:space="preserve">diabetas ar sutrikusi inkstų funkcija ir </w:t>
      </w:r>
      <w:r w:rsidRPr="009B54A6">
        <w:rPr>
          <w:rFonts w:eastAsia="TimesNewRoman"/>
          <w:sz w:val="22"/>
          <w:szCs w:val="22"/>
        </w:rPr>
        <w:t>esate gydomas</w:t>
      </w:r>
      <w:r w:rsidRPr="009B54A6">
        <w:rPr>
          <w:rFonts w:eastAsia="TimesNewRoman"/>
          <w:b/>
          <w:sz w:val="22"/>
          <w:szCs w:val="22"/>
        </w:rPr>
        <w:t xml:space="preserve"> </w:t>
      </w:r>
      <w:r w:rsidRPr="009B54A6">
        <w:rPr>
          <w:rFonts w:eastAsia="TimesNewRoman"/>
          <w:sz w:val="22"/>
          <w:szCs w:val="22"/>
        </w:rPr>
        <w:t xml:space="preserve">kraujo spaudimą mažinančiu vaistu, kurio sudėtyje yra </w:t>
      </w:r>
      <w:r w:rsidRPr="009B54A6">
        <w:rPr>
          <w:rFonts w:eastAsia="TimesNewRoman"/>
          <w:b/>
          <w:sz w:val="22"/>
          <w:szCs w:val="22"/>
        </w:rPr>
        <w:t>aliskireno</w:t>
      </w:r>
      <w:r w:rsidRPr="009B54A6">
        <w:rPr>
          <w:rFonts w:eastAsia="TimesNewRoman"/>
          <w:sz w:val="22"/>
          <w:szCs w:val="22"/>
        </w:rPr>
        <w:t>.</w:t>
      </w:r>
    </w:p>
    <w:p w14:paraId="6111F37C" w14:textId="77777777" w:rsidR="000E5428" w:rsidRPr="009B54A6" w:rsidRDefault="000E5428" w:rsidP="000E5428">
      <w:pPr>
        <w:rPr>
          <w:sz w:val="22"/>
          <w:szCs w:val="22"/>
        </w:rPr>
      </w:pPr>
    </w:p>
    <w:p w14:paraId="08B6B42B"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Jeigu kuri nors iš išvardytų būklių Jums tinka, pasakykite gydytojui arba vaistininkui, prieš pradėdami vartoti Telmisartan/Hydrochlorothiazide Sandoz.</w:t>
      </w:r>
    </w:p>
    <w:p w14:paraId="642A7A1C" w14:textId="77777777" w:rsidR="000E5428" w:rsidRPr="009B54A6" w:rsidRDefault="000E5428" w:rsidP="000E5428">
      <w:pPr>
        <w:autoSpaceDE w:val="0"/>
        <w:autoSpaceDN w:val="0"/>
        <w:adjustRightInd w:val="0"/>
        <w:rPr>
          <w:b/>
          <w:bCs/>
          <w:sz w:val="22"/>
          <w:szCs w:val="22"/>
          <w:lang w:eastAsia="lt-LT"/>
        </w:rPr>
      </w:pPr>
    </w:p>
    <w:p w14:paraId="4C9B6F9E"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Įspėjimai ir atsargumo priemonės</w:t>
      </w:r>
    </w:p>
    <w:p w14:paraId="0215EC60"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Jeigu yra arba anksčiau buvo kuri nors iš toliau išvardytų būklių ar ligų, pasakykite savo gydytojui. </w:t>
      </w:r>
    </w:p>
    <w:p w14:paraId="1E19C88A" w14:textId="77777777" w:rsidR="000E5428" w:rsidRPr="009B54A6" w:rsidRDefault="000E5428" w:rsidP="000E5428">
      <w:pPr>
        <w:numPr>
          <w:ilvl w:val="0"/>
          <w:numId w:val="28"/>
        </w:numPr>
        <w:autoSpaceDE w:val="0"/>
        <w:autoSpaceDN w:val="0"/>
        <w:adjustRightInd w:val="0"/>
        <w:ind w:left="567" w:hanging="567"/>
        <w:rPr>
          <w:color w:val="000000"/>
          <w:sz w:val="22"/>
          <w:szCs w:val="22"/>
        </w:rPr>
      </w:pPr>
      <w:r w:rsidRPr="009B54A6">
        <w:rPr>
          <w:b/>
          <w:color w:val="000000"/>
          <w:sz w:val="22"/>
          <w:szCs w:val="22"/>
        </w:rPr>
        <w:t>Mažas kraujospūdis</w:t>
      </w:r>
      <w:r w:rsidRPr="009B54A6">
        <w:rPr>
          <w:color w:val="000000"/>
          <w:sz w:val="22"/>
          <w:szCs w:val="22"/>
        </w:rPr>
        <w:t xml:space="preserve"> (hipotenzija), kuris tikriausiai pasireiškia dėl to, kad Jums yra dehidracija (netekote daug vandens) arba druskų trūkumas, atsiradęs dėl gydymo diuretikais (šlapimo išskyrimą skatinančiomis tabletėmis), mažo druskos kiekio maiste, viduriavimo, vėmimo arba hemodializės. </w:t>
      </w:r>
    </w:p>
    <w:p w14:paraId="5E2F094F" w14:textId="77777777" w:rsidR="000E5428" w:rsidRPr="009B54A6" w:rsidRDefault="000E5428" w:rsidP="000E5428">
      <w:pPr>
        <w:numPr>
          <w:ilvl w:val="0"/>
          <w:numId w:val="28"/>
        </w:numPr>
        <w:autoSpaceDE w:val="0"/>
        <w:autoSpaceDN w:val="0"/>
        <w:adjustRightInd w:val="0"/>
        <w:ind w:left="567" w:hanging="567"/>
        <w:rPr>
          <w:color w:val="000000"/>
          <w:sz w:val="22"/>
          <w:szCs w:val="22"/>
        </w:rPr>
      </w:pPr>
      <w:r w:rsidRPr="009B54A6">
        <w:rPr>
          <w:b/>
          <w:color w:val="000000"/>
          <w:sz w:val="22"/>
          <w:szCs w:val="22"/>
        </w:rPr>
        <w:t>Inkstų liga</w:t>
      </w:r>
      <w:r w:rsidRPr="009B54A6">
        <w:rPr>
          <w:color w:val="000000"/>
          <w:sz w:val="22"/>
          <w:szCs w:val="22"/>
        </w:rPr>
        <w:t xml:space="preserve"> arba </w:t>
      </w:r>
      <w:r w:rsidRPr="009B54A6">
        <w:rPr>
          <w:b/>
          <w:color w:val="000000"/>
          <w:sz w:val="22"/>
          <w:szCs w:val="22"/>
        </w:rPr>
        <w:t>persodintas inkstas</w:t>
      </w:r>
      <w:r w:rsidRPr="009B54A6">
        <w:rPr>
          <w:color w:val="000000"/>
          <w:sz w:val="22"/>
          <w:szCs w:val="22"/>
        </w:rPr>
        <w:t>.</w:t>
      </w:r>
    </w:p>
    <w:p w14:paraId="4D850EDD" w14:textId="77777777" w:rsidR="000E5428" w:rsidRPr="009B54A6" w:rsidRDefault="000E5428" w:rsidP="000E5428">
      <w:pPr>
        <w:numPr>
          <w:ilvl w:val="0"/>
          <w:numId w:val="28"/>
        </w:numPr>
        <w:autoSpaceDE w:val="0"/>
        <w:autoSpaceDN w:val="0"/>
        <w:adjustRightInd w:val="0"/>
        <w:ind w:left="567" w:hanging="567"/>
        <w:rPr>
          <w:color w:val="000000"/>
          <w:sz w:val="22"/>
          <w:szCs w:val="22"/>
        </w:rPr>
      </w:pPr>
      <w:r w:rsidRPr="009B54A6">
        <w:rPr>
          <w:b/>
          <w:color w:val="000000"/>
          <w:sz w:val="22"/>
          <w:szCs w:val="22"/>
        </w:rPr>
        <w:t>Inkstų arterijos stenozė</w:t>
      </w:r>
      <w:r w:rsidRPr="009B54A6">
        <w:rPr>
          <w:color w:val="000000"/>
          <w:sz w:val="22"/>
          <w:szCs w:val="22"/>
        </w:rPr>
        <w:t xml:space="preserve"> (vieną arba abu inkstus krauju aprūpinančių kraujagyslių susiaurėjimas). </w:t>
      </w:r>
    </w:p>
    <w:p w14:paraId="04981519" w14:textId="77777777" w:rsidR="000E5428" w:rsidRPr="009B54A6" w:rsidRDefault="000E5428" w:rsidP="000E5428">
      <w:pPr>
        <w:numPr>
          <w:ilvl w:val="0"/>
          <w:numId w:val="28"/>
        </w:numPr>
        <w:autoSpaceDE w:val="0"/>
        <w:autoSpaceDN w:val="0"/>
        <w:adjustRightInd w:val="0"/>
        <w:ind w:left="567" w:hanging="567"/>
        <w:rPr>
          <w:color w:val="000000"/>
          <w:sz w:val="22"/>
          <w:szCs w:val="22"/>
        </w:rPr>
      </w:pPr>
      <w:r w:rsidRPr="009B54A6">
        <w:rPr>
          <w:b/>
          <w:color w:val="000000"/>
          <w:sz w:val="22"/>
          <w:szCs w:val="22"/>
        </w:rPr>
        <w:t>Kepenų liga</w:t>
      </w:r>
      <w:r w:rsidRPr="009B54A6">
        <w:rPr>
          <w:color w:val="000000"/>
          <w:sz w:val="22"/>
          <w:szCs w:val="22"/>
        </w:rPr>
        <w:t xml:space="preserve">. </w:t>
      </w:r>
    </w:p>
    <w:p w14:paraId="596E0745" w14:textId="77777777" w:rsidR="000E5428" w:rsidRPr="009B54A6" w:rsidRDefault="000E5428" w:rsidP="000E5428">
      <w:pPr>
        <w:numPr>
          <w:ilvl w:val="0"/>
          <w:numId w:val="28"/>
        </w:numPr>
        <w:autoSpaceDE w:val="0"/>
        <w:autoSpaceDN w:val="0"/>
        <w:adjustRightInd w:val="0"/>
        <w:ind w:left="567" w:hanging="567"/>
        <w:rPr>
          <w:color w:val="000000"/>
          <w:sz w:val="22"/>
          <w:szCs w:val="22"/>
        </w:rPr>
      </w:pPr>
      <w:r w:rsidRPr="009B54A6">
        <w:rPr>
          <w:b/>
          <w:color w:val="000000"/>
          <w:sz w:val="22"/>
          <w:szCs w:val="22"/>
        </w:rPr>
        <w:t>Širdies veiklos sutrikimas</w:t>
      </w:r>
      <w:r w:rsidRPr="009B54A6">
        <w:rPr>
          <w:color w:val="000000"/>
          <w:sz w:val="22"/>
          <w:szCs w:val="22"/>
        </w:rPr>
        <w:t xml:space="preserve">. </w:t>
      </w:r>
    </w:p>
    <w:p w14:paraId="6D19BBD4" w14:textId="77777777" w:rsidR="000E5428" w:rsidRPr="009B54A6" w:rsidRDefault="000E5428" w:rsidP="000E5428">
      <w:pPr>
        <w:numPr>
          <w:ilvl w:val="0"/>
          <w:numId w:val="28"/>
        </w:numPr>
        <w:autoSpaceDE w:val="0"/>
        <w:autoSpaceDN w:val="0"/>
        <w:adjustRightInd w:val="0"/>
        <w:ind w:left="567" w:hanging="567"/>
        <w:rPr>
          <w:color w:val="000000"/>
          <w:sz w:val="22"/>
          <w:szCs w:val="22"/>
        </w:rPr>
      </w:pPr>
      <w:r w:rsidRPr="009B54A6">
        <w:rPr>
          <w:b/>
          <w:color w:val="000000"/>
          <w:sz w:val="22"/>
          <w:szCs w:val="22"/>
        </w:rPr>
        <w:t>Cukrinis diabetas</w:t>
      </w:r>
      <w:r w:rsidRPr="009B54A6">
        <w:rPr>
          <w:color w:val="000000"/>
          <w:sz w:val="22"/>
          <w:szCs w:val="22"/>
        </w:rPr>
        <w:t xml:space="preserve">. </w:t>
      </w:r>
    </w:p>
    <w:p w14:paraId="0F47A516" w14:textId="77777777" w:rsidR="000E5428" w:rsidRPr="009B54A6" w:rsidRDefault="000E5428" w:rsidP="000E5428">
      <w:pPr>
        <w:numPr>
          <w:ilvl w:val="0"/>
          <w:numId w:val="28"/>
        </w:numPr>
        <w:autoSpaceDE w:val="0"/>
        <w:autoSpaceDN w:val="0"/>
        <w:adjustRightInd w:val="0"/>
        <w:ind w:left="567" w:hanging="567"/>
        <w:rPr>
          <w:color w:val="000000"/>
          <w:sz w:val="22"/>
          <w:szCs w:val="22"/>
        </w:rPr>
      </w:pPr>
      <w:r w:rsidRPr="009B54A6">
        <w:rPr>
          <w:b/>
          <w:color w:val="000000"/>
          <w:sz w:val="22"/>
          <w:szCs w:val="22"/>
        </w:rPr>
        <w:t>Podagra</w:t>
      </w:r>
      <w:r w:rsidRPr="009B54A6">
        <w:rPr>
          <w:color w:val="000000"/>
          <w:sz w:val="22"/>
          <w:szCs w:val="22"/>
        </w:rPr>
        <w:t xml:space="preserve">. </w:t>
      </w:r>
    </w:p>
    <w:p w14:paraId="4A94F437" w14:textId="77777777" w:rsidR="000E5428" w:rsidRPr="009B54A6" w:rsidRDefault="000E5428" w:rsidP="000E5428">
      <w:pPr>
        <w:numPr>
          <w:ilvl w:val="0"/>
          <w:numId w:val="28"/>
        </w:numPr>
        <w:autoSpaceDE w:val="0"/>
        <w:autoSpaceDN w:val="0"/>
        <w:adjustRightInd w:val="0"/>
        <w:ind w:left="567" w:hanging="567"/>
        <w:rPr>
          <w:color w:val="000000"/>
          <w:sz w:val="22"/>
          <w:szCs w:val="22"/>
        </w:rPr>
      </w:pPr>
      <w:r w:rsidRPr="009B54A6">
        <w:rPr>
          <w:b/>
          <w:color w:val="000000"/>
          <w:sz w:val="22"/>
          <w:szCs w:val="22"/>
        </w:rPr>
        <w:t>Padidėjęs aldosterono kiekis</w:t>
      </w:r>
      <w:r w:rsidRPr="009B54A6">
        <w:rPr>
          <w:color w:val="000000"/>
          <w:sz w:val="22"/>
          <w:szCs w:val="22"/>
        </w:rPr>
        <w:t xml:space="preserve"> (vandens ir druskos susilaikymas organizme, susijęs su įvairių mineralinių medžiagų pusiausvyros kraujyje sutrikimu). </w:t>
      </w:r>
    </w:p>
    <w:p w14:paraId="4F69B6CC" w14:textId="77777777" w:rsidR="000E5428" w:rsidRPr="009B54A6" w:rsidRDefault="000E5428" w:rsidP="000E5428">
      <w:pPr>
        <w:numPr>
          <w:ilvl w:val="0"/>
          <w:numId w:val="28"/>
        </w:numPr>
        <w:autoSpaceDE w:val="0"/>
        <w:autoSpaceDN w:val="0"/>
        <w:adjustRightInd w:val="0"/>
        <w:ind w:left="567" w:hanging="567"/>
        <w:rPr>
          <w:color w:val="000000"/>
          <w:sz w:val="22"/>
          <w:szCs w:val="22"/>
        </w:rPr>
      </w:pPr>
      <w:r w:rsidRPr="009B54A6">
        <w:rPr>
          <w:b/>
          <w:color w:val="000000"/>
          <w:sz w:val="22"/>
          <w:szCs w:val="22"/>
        </w:rPr>
        <w:t>Sisteminė raudonoji vilkligė</w:t>
      </w:r>
      <w:r w:rsidRPr="009B54A6">
        <w:rPr>
          <w:color w:val="000000"/>
          <w:sz w:val="22"/>
          <w:szCs w:val="22"/>
        </w:rPr>
        <w:t xml:space="preserve"> (ji vadinama ir </w:t>
      </w:r>
      <w:r w:rsidRPr="009B54A6">
        <w:rPr>
          <w:b/>
          <w:color w:val="000000"/>
          <w:sz w:val="22"/>
          <w:szCs w:val="22"/>
        </w:rPr>
        <w:t>vilklige</w:t>
      </w:r>
      <w:r w:rsidRPr="009B54A6">
        <w:rPr>
          <w:color w:val="000000"/>
          <w:sz w:val="22"/>
          <w:szCs w:val="22"/>
        </w:rPr>
        <w:t xml:space="preserve"> arba </w:t>
      </w:r>
      <w:r w:rsidRPr="009B54A6">
        <w:rPr>
          <w:b/>
          <w:color w:val="000000"/>
          <w:sz w:val="22"/>
          <w:szCs w:val="22"/>
        </w:rPr>
        <w:t>SRV</w:t>
      </w:r>
      <w:r w:rsidRPr="009B54A6">
        <w:rPr>
          <w:color w:val="000000"/>
          <w:sz w:val="22"/>
          <w:szCs w:val="22"/>
        </w:rPr>
        <w:t xml:space="preserve">), t. y. liga, kurios metu organizmą puola nuosava imuninė sistema. </w:t>
      </w:r>
    </w:p>
    <w:p w14:paraId="2596A1A1" w14:textId="77777777" w:rsidR="000E5428" w:rsidRPr="009B54A6" w:rsidRDefault="000E5428" w:rsidP="000E5428">
      <w:pPr>
        <w:numPr>
          <w:ilvl w:val="0"/>
          <w:numId w:val="28"/>
        </w:numPr>
        <w:autoSpaceDE w:val="0"/>
        <w:autoSpaceDN w:val="0"/>
        <w:adjustRightInd w:val="0"/>
        <w:ind w:left="567" w:hanging="567"/>
        <w:rPr>
          <w:color w:val="000000"/>
          <w:sz w:val="22"/>
          <w:szCs w:val="22"/>
        </w:rPr>
      </w:pPr>
      <w:r w:rsidRPr="009B54A6">
        <w:rPr>
          <w:color w:val="000000"/>
          <w:sz w:val="22"/>
          <w:szCs w:val="22"/>
        </w:rPr>
        <w:t xml:space="preserve">Veiklioji medžiaga hidrochlorotiazidas gali sukelti neįprastą reakciją, sukeliančią </w:t>
      </w:r>
      <w:r w:rsidRPr="009B54A6">
        <w:rPr>
          <w:b/>
          <w:color w:val="000000"/>
          <w:sz w:val="22"/>
          <w:szCs w:val="22"/>
        </w:rPr>
        <w:t>regos susilpnėjimą</w:t>
      </w:r>
      <w:r w:rsidRPr="009B54A6">
        <w:rPr>
          <w:color w:val="000000"/>
          <w:sz w:val="22"/>
          <w:szCs w:val="22"/>
        </w:rPr>
        <w:t xml:space="preserve"> ir </w:t>
      </w:r>
      <w:r w:rsidRPr="009B54A6">
        <w:rPr>
          <w:b/>
          <w:color w:val="000000"/>
          <w:sz w:val="22"/>
          <w:szCs w:val="22"/>
        </w:rPr>
        <w:t>akių skausmą</w:t>
      </w:r>
      <w:r w:rsidRPr="009B54A6">
        <w:rPr>
          <w:color w:val="000000"/>
          <w:sz w:val="22"/>
          <w:szCs w:val="22"/>
        </w:rPr>
        <w:t xml:space="preserve">. Tai gali būti akispūdžio padidėjimo simptomai ir jų gali atsirasti per kelias valandas arba savaites nuo telmisartano/hidrochlorotiazido derinio vartojimo pradžios. Tai gali privesti prie nuolatinio regos netekimo, jeigu negydoma. </w:t>
      </w:r>
    </w:p>
    <w:p w14:paraId="1EC35816" w14:textId="77777777" w:rsidR="000E5428" w:rsidRPr="009B54A6" w:rsidRDefault="000E5428" w:rsidP="000E5428">
      <w:pPr>
        <w:autoSpaceDE w:val="0"/>
        <w:autoSpaceDN w:val="0"/>
        <w:adjustRightInd w:val="0"/>
        <w:rPr>
          <w:b/>
          <w:bCs/>
          <w:sz w:val="22"/>
          <w:szCs w:val="22"/>
          <w:lang w:eastAsia="lt-LT"/>
        </w:rPr>
      </w:pPr>
    </w:p>
    <w:p w14:paraId="4716F91E" w14:textId="77777777" w:rsidR="000E5428" w:rsidRPr="009B54A6" w:rsidRDefault="000E5428" w:rsidP="000E5428">
      <w:pPr>
        <w:autoSpaceDE w:val="0"/>
        <w:autoSpaceDN w:val="0"/>
        <w:adjustRightInd w:val="0"/>
        <w:rPr>
          <w:sz w:val="22"/>
          <w:szCs w:val="22"/>
        </w:rPr>
      </w:pPr>
      <w:r w:rsidRPr="009B54A6">
        <w:rPr>
          <w:noProof/>
          <w:sz w:val="22"/>
          <w:szCs w:val="22"/>
        </w:rPr>
        <w:t xml:space="preserve">Pasitarkite su gydytoju  prieš pradėdami vartoti </w:t>
      </w:r>
      <w:r w:rsidRPr="009B54A6">
        <w:rPr>
          <w:sz w:val="22"/>
          <w:szCs w:val="22"/>
        </w:rPr>
        <w:t>Telmisartan/Hydrochlorothiazide Sandoz, jeigu:</w:t>
      </w:r>
    </w:p>
    <w:p w14:paraId="575FC56B" w14:textId="77777777" w:rsidR="000E5428" w:rsidRPr="009B54A6" w:rsidRDefault="000E5428" w:rsidP="000E5428">
      <w:pPr>
        <w:numPr>
          <w:ilvl w:val="0"/>
          <w:numId w:val="18"/>
        </w:numPr>
        <w:autoSpaceDE w:val="0"/>
        <w:autoSpaceDN w:val="0"/>
        <w:adjustRightInd w:val="0"/>
        <w:ind w:left="567" w:hanging="567"/>
        <w:rPr>
          <w:bCs/>
          <w:sz w:val="22"/>
          <w:szCs w:val="22"/>
          <w:lang w:eastAsia="lt-LT"/>
        </w:rPr>
      </w:pPr>
      <w:r w:rsidRPr="009B54A6">
        <w:rPr>
          <w:sz w:val="22"/>
          <w:szCs w:val="22"/>
        </w:rPr>
        <w:t>vartojate bet kurio iš šių vaistų, skirtų aukštam kraujo spaudimui gydyti:</w:t>
      </w:r>
    </w:p>
    <w:p w14:paraId="10258BB1" w14:textId="77777777" w:rsidR="000E5428" w:rsidRPr="009B54A6" w:rsidRDefault="000E5428" w:rsidP="000E5428">
      <w:pPr>
        <w:numPr>
          <w:ilvl w:val="0"/>
          <w:numId w:val="19"/>
        </w:numPr>
        <w:autoSpaceDE w:val="0"/>
        <w:autoSpaceDN w:val="0"/>
        <w:adjustRightInd w:val="0"/>
        <w:rPr>
          <w:b/>
          <w:bCs/>
          <w:sz w:val="22"/>
          <w:szCs w:val="22"/>
          <w:lang w:eastAsia="lt-LT"/>
        </w:rPr>
      </w:pPr>
      <w:r w:rsidRPr="009B54A6">
        <w:rPr>
          <w:sz w:val="22"/>
          <w:szCs w:val="22"/>
        </w:rPr>
        <w:t>AKF inhibitoriaus (pavyzdžiui, enalaprilio, lizinoprilio, ramiprilio), ypač jeigu Jums yra su diabetu susijusių inkstų problemų,</w:t>
      </w:r>
    </w:p>
    <w:p w14:paraId="0B6CB569" w14:textId="77777777" w:rsidR="000E5428" w:rsidRPr="009B54A6" w:rsidRDefault="000E5428" w:rsidP="000E5428">
      <w:pPr>
        <w:numPr>
          <w:ilvl w:val="0"/>
          <w:numId w:val="19"/>
        </w:numPr>
        <w:autoSpaceDE w:val="0"/>
        <w:autoSpaceDN w:val="0"/>
        <w:adjustRightInd w:val="0"/>
        <w:ind w:left="567"/>
        <w:rPr>
          <w:b/>
          <w:bCs/>
          <w:sz w:val="22"/>
          <w:szCs w:val="22"/>
          <w:lang w:eastAsia="lt-LT"/>
        </w:rPr>
      </w:pPr>
      <w:r w:rsidRPr="009B54A6">
        <w:rPr>
          <w:sz w:val="22"/>
          <w:szCs w:val="22"/>
        </w:rPr>
        <w:t>aliskireno;</w:t>
      </w:r>
    </w:p>
    <w:p w14:paraId="647821C8" w14:textId="77777777" w:rsidR="000E5428" w:rsidRPr="009B54A6" w:rsidRDefault="000E5428" w:rsidP="000E5428">
      <w:pPr>
        <w:numPr>
          <w:ilvl w:val="0"/>
          <w:numId w:val="18"/>
        </w:numPr>
        <w:autoSpaceDE w:val="0"/>
        <w:autoSpaceDN w:val="0"/>
        <w:adjustRightInd w:val="0"/>
        <w:ind w:left="567" w:hanging="567"/>
        <w:rPr>
          <w:b/>
          <w:bCs/>
          <w:sz w:val="22"/>
          <w:szCs w:val="22"/>
          <w:lang w:eastAsia="lt-LT"/>
        </w:rPr>
      </w:pPr>
      <w:r w:rsidRPr="009B54A6">
        <w:rPr>
          <w:sz w:val="22"/>
          <w:szCs w:val="22"/>
        </w:rPr>
        <w:t xml:space="preserve">vartojate </w:t>
      </w:r>
      <w:r w:rsidRPr="009B54A6">
        <w:rPr>
          <w:b/>
          <w:sz w:val="22"/>
          <w:szCs w:val="22"/>
        </w:rPr>
        <w:t>digoksino</w:t>
      </w:r>
      <w:r w:rsidRPr="009B54A6">
        <w:rPr>
          <w:sz w:val="22"/>
          <w:szCs w:val="22"/>
        </w:rPr>
        <w:t xml:space="preserve">, vaisto vartojamo širdies ligoms gydyti. </w:t>
      </w:r>
    </w:p>
    <w:p w14:paraId="6FB4EF0A" w14:textId="77777777" w:rsidR="000E5428" w:rsidRPr="009B54A6" w:rsidRDefault="000E5428" w:rsidP="000E5428">
      <w:pPr>
        <w:autoSpaceDE w:val="0"/>
        <w:autoSpaceDN w:val="0"/>
        <w:adjustRightInd w:val="0"/>
        <w:rPr>
          <w:sz w:val="22"/>
          <w:szCs w:val="22"/>
          <w:lang w:eastAsia="lt-LT"/>
        </w:rPr>
      </w:pPr>
    </w:p>
    <w:p w14:paraId="0B43365E"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Jūsų gydytojas gali tikrinti reguliariais intervalais Jūsų inkstų funkciją, kraujo spaudimą ir elektrolitų kiekį (pvz, kalio) Jūsų kraujyje.</w:t>
      </w:r>
    </w:p>
    <w:p w14:paraId="2C895EA2" w14:textId="77777777" w:rsidR="000E5428" w:rsidRPr="009B54A6" w:rsidRDefault="000E5428" w:rsidP="000E5428">
      <w:pPr>
        <w:autoSpaceDE w:val="0"/>
        <w:autoSpaceDN w:val="0"/>
        <w:adjustRightInd w:val="0"/>
        <w:rPr>
          <w:b/>
          <w:sz w:val="22"/>
          <w:szCs w:val="22"/>
          <w:lang w:eastAsia="lt-LT"/>
        </w:rPr>
      </w:pPr>
      <w:r w:rsidRPr="009B54A6">
        <w:rPr>
          <w:sz w:val="22"/>
          <w:szCs w:val="22"/>
          <w:lang w:eastAsia="lt-LT"/>
        </w:rPr>
        <w:t>Taip pat žr. informaciją poskyrį „Telmisartan/Hydrochlorothiazide Sandoz</w:t>
      </w:r>
      <w:r w:rsidRPr="009B54A6">
        <w:rPr>
          <w:b/>
          <w:sz w:val="22"/>
          <w:szCs w:val="22"/>
          <w:lang w:eastAsia="lt-LT"/>
        </w:rPr>
        <w:t xml:space="preserve"> </w:t>
      </w:r>
      <w:r w:rsidRPr="009B54A6">
        <w:rPr>
          <w:sz w:val="22"/>
          <w:szCs w:val="22"/>
        </w:rPr>
        <w:t>vartoti negalima“.</w:t>
      </w:r>
    </w:p>
    <w:p w14:paraId="2D004651" w14:textId="77777777" w:rsidR="000E5428" w:rsidRPr="009B54A6" w:rsidRDefault="000E5428" w:rsidP="000E5428">
      <w:pPr>
        <w:autoSpaceDE w:val="0"/>
        <w:autoSpaceDN w:val="0"/>
        <w:adjustRightInd w:val="0"/>
        <w:rPr>
          <w:b/>
          <w:bCs/>
          <w:sz w:val="22"/>
          <w:szCs w:val="22"/>
          <w:lang w:eastAsia="lt-LT"/>
        </w:rPr>
      </w:pPr>
    </w:p>
    <w:p w14:paraId="7E96669E"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Jeigu manote, kad esate (</w:t>
      </w:r>
      <w:r w:rsidRPr="009B54A6">
        <w:rPr>
          <w:color w:val="000000"/>
          <w:sz w:val="22"/>
          <w:szCs w:val="22"/>
          <w:u w:val="single"/>
        </w:rPr>
        <w:t>ar galbūt tapote</w:t>
      </w:r>
      <w:r w:rsidRPr="009B54A6">
        <w:rPr>
          <w:color w:val="000000"/>
          <w:sz w:val="22"/>
          <w:szCs w:val="22"/>
        </w:rPr>
        <w:t xml:space="preserve">) nėščia, turite pasakyti gydytojui. Ankstyvuoju nėštumo laikotarpiu Telmisartan/Hydrochlorothiazide Sandoz vartoti nerekomenduojama. Jeigu nėščia esate daugiau negu tris mėnesius, Telmisartan/Hydrochlorothiazide Sandoz vartoti draudžiama, nes </w:t>
      </w:r>
      <w:r w:rsidRPr="009B54A6">
        <w:rPr>
          <w:color w:val="000000"/>
          <w:sz w:val="22"/>
          <w:szCs w:val="22"/>
        </w:rPr>
        <w:lastRenderedPageBreak/>
        <w:t xml:space="preserve">vėlyvuoju nėštumo laikotarpiu vartojamas šis vaistas gali sukelti sunkią Jūsų vaisiaus pažaidą (žr. skyrių „Nėštumas ir žindymo laikotarpis“). </w:t>
      </w:r>
    </w:p>
    <w:p w14:paraId="6AEBA964"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Vartojant hidrochlorotiazido, gali sutrikti elektrolitų pusiausvyra. Charakteringi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ritmas. Jeigu kuris nors iš minėtų simptomų pasireiškia, pasakykite gydytojui. </w:t>
      </w:r>
    </w:p>
    <w:p w14:paraId="6DCE540A" w14:textId="77777777" w:rsidR="000E5428" w:rsidRPr="009B54A6" w:rsidRDefault="000E5428" w:rsidP="000E5428">
      <w:pPr>
        <w:autoSpaceDE w:val="0"/>
        <w:autoSpaceDN w:val="0"/>
        <w:adjustRightInd w:val="0"/>
        <w:rPr>
          <w:color w:val="000000"/>
          <w:sz w:val="22"/>
          <w:szCs w:val="22"/>
        </w:rPr>
      </w:pPr>
    </w:p>
    <w:p w14:paraId="1F7B076F"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Gydytojui turite pasakyti ir tuo atveju, jeigu padidėja odos jautrumas šviesai ir dėl to dažniau, negu paprastai, atsiranda nudegimo nuo saulės simptomų (pvz., paraudimas, niežulys, patinimas, pūslės). </w:t>
      </w:r>
    </w:p>
    <w:p w14:paraId="4DD8F448" w14:textId="77777777" w:rsidR="000E5428" w:rsidRPr="009B54A6" w:rsidRDefault="000E5428" w:rsidP="000E5428">
      <w:pPr>
        <w:autoSpaceDE w:val="0"/>
        <w:autoSpaceDN w:val="0"/>
        <w:adjustRightInd w:val="0"/>
        <w:rPr>
          <w:color w:val="000000"/>
          <w:sz w:val="22"/>
          <w:szCs w:val="22"/>
        </w:rPr>
      </w:pPr>
    </w:p>
    <w:p w14:paraId="17204886"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Prieš operaciją arba anesteziją reikia pasakyti gydytojui apie Telmisartan/Hydrochlorothiazide Sandoz vartojimą. </w:t>
      </w:r>
    </w:p>
    <w:p w14:paraId="4C8AF267" w14:textId="77777777" w:rsidR="000E5428" w:rsidRPr="009B54A6" w:rsidRDefault="000E5428" w:rsidP="000E5428">
      <w:pPr>
        <w:autoSpaceDE w:val="0"/>
        <w:autoSpaceDN w:val="0"/>
        <w:adjustRightInd w:val="0"/>
        <w:rPr>
          <w:color w:val="000000"/>
          <w:sz w:val="22"/>
          <w:szCs w:val="22"/>
        </w:rPr>
      </w:pPr>
    </w:p>
    <w:p w14:paraId="09823C54"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Juodaodžiams Telmisartan/Hydrochlorothiazide Sandoz kraujospūdį gali mažinti silpniau. </w:t>
      </w:r>
    </w:p>
    <w:p w14:paraId="64510D00" w14:textId="77777777" w:rsidR="000E5428" w:rsidRPr="009B54A6" w:rsidRDefault="000E5428" w:rsidP="000E5428">
      <w:pPr>
        <w:autoSpaceDE w:val="0"/>
        <w:autoSpaceDN w:val="0"/>
        <w:adjustRightInd w:val="0"/>
        <w:rPr>
          <w:color w:val="000000"/>
          <w:sz w:val="22"/>
          <w:szCs w:val="22"/>
        </w:rPr>
      </w:pPr>
    </w:p>
    <w:p w14:paraId="146C9278" w14:textId="77777777" w:rsidR="000E5428" w:rsidRPr="009B54A6" w:rsidRDefault="000E5428" w:rsidP="000E5428">
      <w:pPr>
        <w:autoSpaceDE w:val="0"/>
        <w:autoSpaceDN w:val="0"/>
        <w:adjustRightInd w:val="0"/>
        <w:rPr>
          <w:color w:val="000000"/>
          <w:sz w:val="22"/>
          <w:szCs w:val="22"/>
        </w:rPr>
      </w:pPr>
      <w:r w:rsidRPr="009B54A6">
        <w:rPr>
          <w:b/>
          <w:bCs/>
          <w:color w:val="000000"/>
          <w:sz w:val="22"/>
          <w:szCs w:val="22"/>
        </w:rPr>
        <w:t xml:space="preserve">Vaikams ir paaugliams </w:t>
      </w:r>
    </w:p>
    <w:p w14:paraId="243BB46D" w14:textId="77777777" w:rsidR="000E5428" w:rsidRPr="009B54A6" w:rsidRDefault="000E5428" w:rsidP="000E5428">
      <w:pPr>
        <w:numPr>
          <w:ilvl w:val="12"/>
          <w:numId w:val="0"/>
        </w:numPr>
        <w:rPr>
          <w:noProof/>
          <w:sz w:val="22"/>
          <w:szCs w:val="22"/>
        </w:rPr>
      </w:pPr>
      <w:r w:rsidRPr="009B54A6">
        <w:rPr>
          <w:noProof/>
          <w:sz w:val="22"/>
          <w:szCs w:val="22"/>
        </w:rPr>
        <w:t>Vaikams ir jaunesniems negu 18 metų paaugliams yra Telmisartan/Hydrochlorothiazide Sandoz vartoti nerekomenduojama.</w:t>
      </w:r>
    </w:p>
    <w:p w14:paraId="2185813B" w14:textId="77777777" w:rsidR="000E5428" w:rsidRPr="009B54A6" w:rsidRDefault="000E5428" w:rsidP="000E5428">
      <w:pPr>
        <w:autoSpaceDE w:val="0"/>
        <w:autoSpaceDN w:val="0"/>
        <w:adjustRightInd w:val="0"/>
        <w:rPr>
          <w:sz w:val="22"/>
          <w:szCs w:val="22"/>
          <w:lang w:eastAsia="lt-LT"/>
        </w:rPr>
      </w:pPr>
    </w:p>
    <w:p w14:paraId="19BB80CA"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Kiti vaistai ir Telmisartan/</w:t>
      </w:r>
      <w:r w:rsidRPr="009B54A6">
        <w:rPr>
          <w:b/>
          <w:sz w:val="22"/>
          <w:szCs w:val="22"/>
        </w:rPr>
        <w:t>Hydrochlorothiazide</w:t>
      </w:r>
      <w:r w:rsidRPr="009B54A6">
        <w:rPr>
          <w:b/>
          <w:bCs/>
          <w:sz w:val="22"/>
          <w:szCs w:val="22"/>
          <w:lang w:eastAsia="lt-LT"/>
        </w:rPr>
        <w:t xml:space="preserve"> Sandoz</w:t>
      </w:r>
    </w:p>
    <w:p w14:paraId="49487C61"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 xml:space="preserve">Jeigu vartojate arba neseniai vartojote kitų vaistų, </w:t>
      </w:r>
      <w:r w:rsidRPr="009B54A6">
        <w:rPr>
          <w:sz w:val="22"/>
          <w:szCs w:val="22"/>
        </w:rPr>
        <w:t>arba dėl to nesate tikri, apie tai</w:t>
      </w:r>
      <w:r w:rsidRPr="009B54A6">
        <w:rPr>
          <w:sz w:val="22"/>
          <w:szCs w:val="22"/>
          <w:lang w:eastAsia="lt-LT"/>
        </w:rPr>
        <w:t xml:space="preserve"> pasakykite gydytojui arba vaistininkui. Gydytojas gali keisti kitų kartu vartojamų vaistų dozę arba imtis kitokių atsargumo priemonių. Kai kuriais atvejais gali tekti kažkurio iš vaistų vartojimą nutraukti. Tai ypač tinka žemiau išvardytiems vaistiniams preparatams, jeigu jų vartojama kartu su Telmisartan/Hydrochlorothiazide Sandoz.</w:t>
      </w:r>
    </w:p>
    <w:p w14:paraId="7CD87B83" w14:textId="77777777" w:rsidR="000E5428" w:rsidRPr="009B54A6" w:rsidRDefault="000E5428" w:rsidP="000E5428">
      <w:pPr>
        <w:autoSpaceDE w:val="0"/>
        <w:autoSpaceDN w:val="0"/>
        <w:adjustRightInd w:val="0"/>
        <w:rPr>
          <w:sz w:val="22"/>
          <w:szCs w:val="22"/>
          <w:lang w:eastAsia="lt-LT"/>
        </w:rPr>
      </w:pPr>
    </w:p>
    <w:p w14:paraId="18074E79" w14:textId="77777777" w:rsidR="000E5428" w:rsidRPr="009B54A6" w:rsidRDefault="000E5428" w:rsidP="000E5428">
      <w:pPr>
        <w:numPr>
          <w:ilvl w:val="0"/>
          <w:numId w:val="29"/>
        </w:numPr>
        <w:autoSpaceDE w:val="0"/>
        <w:autoSpaceDN w:val="0"/>
        <w:adjustRightInd w:val="0"/>
        <w:ind w:left="567" w:hanging="567"/>
        <w:rPr>
          <w:color w:val="000000"/>
          <w:sz w:val="22"/>
          <w:szCs w:val="22"/>
        </w:rPr>
      </w:pPr>
      <w:r w:rsidRPr="009B54A6">
        <w:rPr>
          <w:color w:val="000000"/>
          <w:sz w:val="22"/>
          <w:szCs w:val="22"/>
        </w:rPr>
        <w:t xml:space="preserve">Nuo tam tikros rūšies depresijos vartojami </w:t>
      </w:r>
      <w:r w:rsidRPr="009B54A6">
        <w:rPr>
          <w:b/>
          <w:color w:val="000000"/>
          <w:sz w:val="22"/>
          <w:szCs w:val="22"/>
        </w:rPr>
        <w:t>vaistiniai preparatai, kuriuose yra ličio</w:t>
      </w:r>
      <w:r w:rsidRPr="009B54A6">
        <w:rPr>
          <w:color w:val="000000"/>
          <w:sz w:val="22"/>
          <w:szCs w:val="22"/>
        </w:rPr>
        <w:t xml:space="preserve">. </w:t>
      </w:r>
    </w:p>
    <w:p w14:paraId="6B5A316D" w14:textId="77777777" w:rsidR="000E5428" w:rsidRPr="009B54A6" w:rsidRDefault="000E5428" w:rsidP="000E5428">
      <w:pPr>
        <w:numPr>
          <w:ilvl w:val="0"/>
          <w:numId w:val="29"/>
        </w:numPr>
        <w:autoSpaceDE w:val="0"/>
        <w:autoSpaceDN w:val="0"/>
        <w:adjustRightInd w:val="0"/>
        <w:ind w:left="567" w:hanging="567"/>
        <w:rPr>
          <w:color w:val="000000"/>
          <w:sz w:val="22"/>
          <w:szCs w:val="22"/>
        </w:rPr>
      </w:pPr>
      <w:r w:rsidRPr="009B54A6">
        <w:rPr>
          <w:color w:val="000000"/>
          <w:sz w:val="22"/>
          <w:szCs w:val="22"/>
        </w:rPr>
        <w:t>Vaistiniai preparatai, kurių vartojimas siejamas su mažu kalio kiekiu kraujyje (hipokalemija), pvz., kiti diuretikai (</w:t>
      </w:r>
      <w:r w:rsidRPr="009B54A6">
        <w:rPr>
          <w:b/>
          <w:color w:val="000000"/>
          <w:sz w:val="22"/>
          <w:szCs w:val="22"/>
        </w:rPr>
        <w:t>šlapimo išskyrimą skatinančios tabletės</w:t>
      </w:r>
      <w:r w:rsidRPr="009B54A6">
        <w:rPr>
          <w:color w:val="000000"/>
          <w:sz w:val="22"/>
          <w:szCs w:val="22"/>
        </w:rPr>
        <w:t xml:space="preserve">), </w:t>
      </w:r>
      <w:r w:rsidRPr="009B54A6">
        <w:rPr>
          <w:b/>
          <w:color w:val="000000"/>
          <w:sz w:val="22"/>
          <w:szCs w:val="22"/>
        </w:rPr>
        <w:t>vidurių laisvinamieji preparatai</w:t>
      </w:r>
      <w:r w:rsidRPr="009B54A6">
        <w:rPr>
          <w:color w:val="000000"/>
          <w:sz w:val="22"/>
          <w:szCs w:val="22"/>
        </w:rPr>
        <w:t xml:space="preserve"> (pvz., ricinos aliejus), </w:t>
      </w:r>
      <w:r w:rsidRPr="009B54A6">
        <w:rPr>
          <w:b/>
          <w:color w:val="000000"/>
          <w:sz w:val="22"/>
          <w:szCs w:val="22"/>
        </w:rPr>
        <w:t>kortikosteroidai</w:t>
      </w:r>
      <w:r w:rsidRPr="009B54A6">
        <w:rPr>
          <w:color w:val="000000"/>
          <w:sz w:val="22"/>
          <w:szCs w:val="22"/>
        </w:rPr>
        <w:t xml:space="preserve"> (pvz., prednizolonas), </w:t>
      </w:r>
      <w:r w:rsidRPr="009B54A6">
        <w:rPr>
          <w:b/>
          <w:color w:val="000000"/>
          <w:sz w:val="22"/>
          <w:szCs w:val="22"/>
        </w:rPr>
        <w:t>adrenokortikotropinis hormonas</w:t>
      </w:r>
      <w:r w:rsidRPr="009B54A6">
        <w:rPr>
          <w:color w:val="000000"/>
          <w:sz w:val="22"/>
          <w:szCs w:val="22"/>
        </w:rPr>
        <w:t xml:space="preserve"> (AKTH), </w:t>
      </w:r>
      <w:r w:rsidRPr="009B54A6">
        <w:rPr>
          <w:b/>
          <w:color w:val="000000"/>
          <w:sz w:val="22"/>
          <w:szCs w:val="22"/>
        </w:rPr>
        <w:t>amfotericinas</w:t>
      </w:r>
      <w:r w:rsidRPr="009B54A6">
        <w:rPr>
          <w:color w:val="000000"/>
          <w:sz w:val="22"/>
          <w:szCs w:val="22"/>
        </w:rPr>
        <w:t xml:space="preserve"> (vaistas nuo grybelinių ligų), </w:t>
      </w:r>
      <w:r w:rsidRPr="009B54A6">
        <w:rPr>
          <w:b/>
          <w:color w:val="000000"/>
          <w:sz w:val="22"/>
          <w:szCs w:val="22"/>
        </w:rPr>
        <w:t>karbenoksolonas</w:t>
      </w:r>
      <w:r w:rsidRPr="009B54A6">
        <w:rPr>
          <w:color w:val="000000"/>
          <w:sz w:val="22"/>
          <w:szCs w:val="22"/>
        </w:rPr>
        <w:t xml:space="preserve"> (vaistas nuo burnos opų), </w:t>
      </w:r>
      <w:r w:rsidRPr="009B54A6">
        <w:rPr>
          <w:b/>
          <w:color w:val="000000"/>
          <w:sz w:val="22"/>
          <w:szCs w:val="22"/>
        </w:rPr>
        <w:t>penicilino G natrio druska</w:t>
      </w:r>
      <w:r w:rsidRPr="009B54A6">
        <w:rPr>
          <w:color w:val="000000"/>
          <w:sz w:val="22"/>
          <w:szCs w:val="22"/>
        </w:rPr>
        <w:t xml:space="preserve"> (antibiotikas), </w:t>
      </w:r>
      <w:r w:rsidRPr="009B54A6">
        <w:rPr>
          <w:b/>
          <w:color w:val="000000"/>
          <w:sz w:val="22"/>
          <w:szCs w:val="22"/>
        </w:rPr>
        <w:t>salicilo rūgštis</w:t>
      </w:r>
      <w:r w:rsidRPr="009B54A6">
        <w:rPr>
          <w:color w:val="000000"/>
          <w:sz w:val="22"/>
          <w:szCs w:val="22"/>
        </w:rPr>
        <w:t xml:space="preserve"> ir jos dariniai. </w:t>
      </w:r>
    </w:p>
    <w:p w14:paraId="7E2708A6" w14:textId="77777777" w:rsidR="000E5428" w:rsidRPr="009B54A6" w:rsidRDefault="000E5428" w:rsidP="000E5428">
      <w:pPr>
        <w:numPr>
          <w:ilvl w:val="0"/>
          <w:numId w:val="29"/>
        </w:numPr>
        <w:autoSpaceDE w:val="0"/>
        <w:autoSpaceDN w:val="0"/>
        <w:adjustRightInd w:val="0"/>
        <w:ind w:left="567" w:hanging="567"/>
        <w:rPr>
          <w:color w:val="000000"/>
          <w:sz w:val="22"/>
          <w:szCs w:val="22"/>
        </w:rPr>
      </w:pPr>
      <w:r w:rsidRPr="009B54A6">
        <w:rPr>
          <w:b/>
          <w:color w:val="000000"/>
          <w:sz w:val="22"/>
          <w:szCs w:val="22"/>
        </w:rPr>
        <w:t>Kalį organizme sulaikantys diuretikai</w:t>
      </w:r>
      <w:r w:rsidRPr="009B54A6">
        <w:rPr>
          <w:color w:val="000000"/>
          <w:sz w:val="22"/>
          <w:szCs w:val="22"/>
        </w:rPr>
        <w:t xml:space="preserve">, </w:t>
      </w:r>
      <w:r w:rsidRPr="009B54A6">
        <w:rPr>
          <w:b/>
          <w:color w:val="000000"/>
          <w:sz w:val="22"/>
          <w:szCs w:val="22"/>
        </w:rPr>
        <w:t>kalio papildai</w:t>
      </w:r>
      <w:r w:rsidRPr="009B54A6">
        <w:rPr>
          <w:color w:val="000000"/>
          <w:sz w:val="22"/>
          <w:szCs w:val="22"/>
        </w:rPr>
        <w:t xml:space="preserve">, </w:t>
      </w:r>
      <w:r w:rsidRPr="009B54A6">
        <w:rPr>
          <w:b/>
          <w:color w:val="000000"/>
          <w:sz w:val="22"/>
          <w:szCs w:val="22"/>
        </w:rPr>
        <w:t>druskos pakaitalai, kuriuose yra kalio</w:t>
      </w:r>
      <w:r w:rsidRPr="009B54A6">
        <w:rPr>
          <w:color w:val="000000"/>
          <w:sz w:val="22"/>
          <w:szCs w:val="22"/>
        </w:rPr>
        <w:t xml:space="preserve">, </w:t>
      </w:r>
      <w:r w:rsidRPr="009B54A6">
        <w:rPr>
          <w:b/>
          <w:color w:val="000000"/>
          <w:sz w:val="22"/>
          <w:szCs w:val="22"/>
        </w:rPr>
        <w:t>AKF inhibitoriai</w:t>
      </w:r>
      <w:r w:rsidRPr="009B54A6">
        <w:rPr>
          <w:color w:val="000000"/>
          <w:sz w:val="22"/>
          <w:szCs w:val="22"/>
        </w:rPr>
        <w:t xml:space="preserve">, galintys didinti kalio kiekį organizme. </w:t>
      </w:r>
    </w:p>
    <w:p w14:paraId="3A83B16E" w14:textId="77777777" w:rsidR="000E5428" w:rsidRPr="009B54A6" w:rsidRDefault="000E5428" w:rsidP="000E5428">
      <w:pPr>
        <w:numPr>
          <w:ilvl w:val="0"/>
          <w:numId w:val="29"/>
        </w:numPr>
        <w:autoSpaceDE w:val="0"/>
        <w:autoSpaceDN w:val="0"/>
        <w:adjustRightInd w:val="0"/>
        <w:ind w:left="567" w:hanging="567"/>
        <w:rPr>
          <w:color w:val="000000"/>
          <w:sz w:val="22"/>
          <w:szCs w:val="22"/>
        </w:rPr>
      </w:pPr>
      <w:r w:rsidRPr="009B54A6">
        <w:rPr>
          <w:b/>
          <w:color w:val="000000"/>
          <w:sz w:val="22"/>
          <w:szCs w:val="22"/>
        </w:rPr>
        <w:t>Vaistai nuo širdies ligų</w:t>
      </w:r>
      <w:r w:rsidRPr="009B54A6">
        <w:rPr>
          <w:color w:val="000000"/>
          <w:sz w:val="22"/>
          <w:szCs w:val="22"/>
        </w:rPr>
        <w:t xml:space="preserve"> (pvz., digoksinas) ar </w:t>
      </w:r>
      <w:r w:rsidRPr="009B54A6">
        <w:rPr>
          <w:b/>
          <w:color w:val="000000"/>
          <w:sz w:val="22"/>
          <w:szCs w:val="22"/>
        </w:rPr>
        <w:t>Jūsų širdies ritmą</w:t>
      </w:r>
      <w:r w:rsidRPr="009B54A6">
        <w:rPr>
          <w:color w:val="000000"/>
          <w:sz w:val="22"/>
          <w:szCs w:val="22"/>
        </w:rPr>
        <w:t xml:space="preserve"> reguliuojantys vaistiniai preparatai (pvz., chinidinas, dizopiramidas). </w:t>
      </w:r>
    </w:p>
    <w:p w14:paraId="693A9CCE" w14:textId="77777777" w:rsidR="000E5428" w:rsidRPr="009B54A6" w:rsidRDefault="000E5428" w:rsidP="000E5428">
      <w:pPr>
        <w:numPr>
          <w:ilvl w:val="0"/>
          <w:numId w:val="29"/>
        </w:numPr>
        <w:autoSpaceDE w:val="0"/>
        <w:autoSpaceDN w:val="0"/>
        <w:adjustRightInd w:val="0"/>
        <w:ind w:left="567" w:hanging="567"/>
        <w:rPr>
          <w:color w:val="000000"/>
          <w:sz w:val="22"/>
          <w:szCs w:val="22"/>
        </w:rPr>
      </w:pPr>
      <w:r w:rsidRPr="009B54A6">
        <w:rPr>
          <w:color w:val="000000"/>
          <w:sz w:val="22"/>
          <w:szCs w:val="22"/>
        </w:rPr>
        <w:t xml:space="preserve">Vaistai nuo </w:t>
      </w:r>
      <w:r w:rsidRPr="009B54A6">
        <w:rPr>
          <w:b/>
          <w:color w:val="000000"/>
          <w:sz w:val="22"/>
          <w:szCs w:val="22"/>
        </w:rPr>
        <w:t>psichikos sutrikimų</w:t>
      </w:r>
      <w:r w:rsidRPr="009B54A6">
        <w:rPr>
          <w:color w:val="000000"/>
          <w:sz w:val="22"/>
          <w:szCs w:val="22"/>
        </w:rPr>
        <w:t xml:space="preserve"> (pvz., tioridazinas, chlorpromazinas, levomepromazinas). </w:t>
      </w:r>
    </w:p>
    <w:p w14:paraId="089E6E7F" w14:textId="77777777" w:rsidR="000E5428" w:rsidRPr="009B54A6" w:rsidRDefault="000E5428" w:rsidP="000E5428">
      <w:pPr>
        <w:numPr>
          <w:ilvl w:val="0"/>
          <w:numId w:val="29"/>
        </w:numPr>
        <w:autoSpaceDE w:val="0"/>
        <w:autoSpaceDN w:val="0"/>
        <w:adjustRightInd w:val="0"/>
        <w:ind w:left="567" w:hanging="567"/>
        <w:rPr>
          <w:color w:val="000000"/>
          <w:sz w:val="22"/>
          <w:szCs w:val="22"/>
        </w:rPr>
      </w:pPr>
      <w:r w:rsidRPr="009B54A6">
        <w:rPr>
          <w:color w:val="000000"/>
          <w:sz w:val="22"/>
          <w:szCs w:val="22"/>
        </w:rPr>
        <w:t xml:space="preserve">Kitokie vaistai nuo </w:t>
      </w:r>
      <w:r w:rsidRPr="009B54A6">
        <w:rPr>
          <w:b/>
          <w:color w:val="000000"/>
          <w:sz w:val="22"/>
          <w:szCs w:val="22"/>
        </w:rPr>
        <w:t>didelio kraujospūdžio ligos, steroidai, vaistai nuo skausmo, vėžio, podagros ar artrito, vitamino D papildai</w:t>
      </w:r>
      <w:r w:rsidRPr="009B54A6">
        <w:rPr>
          <w:color w:val="000000"/>
          <w:sz w:val="22"/>
          <w:szCs w:val="22"/>
        </w:rPr>
        <w:t>.</w:t>
      </w:r>
    </w:p>
    <w:p w14:paraId="4101A194" w14:textId="77777777" w:rsidR="000E5428" w:rsidRPr="009B54A6" w:rsidRDefault="000E5428" w:rsidP="000E5428">
      <w:pPr>
        <w:numPr>
          <w:ilvl w:val="0"/>
          <w:numId w:val="33"/>
        </w:numPr>
        <w:autoSpaceDE w:val="0"/>
        <w:autoSpaceDN w:val="0"/>
        <w:adjustRightInd w:val="0"/>
        <w:ind w:left="567" w:hanging="567"/>
        <w:rPr>
          <w:b/>
          <w:sz w:val="22"/>
          <w:szCs w:val="22"/>
          <w:lang w:eastAsia="lt-LT"/>
        </w:rPr>
      </w:pPr>
      <w:r w:rsidRPr="009B54A6">
        <w:rPr>
          <w:b/>
          <w:sz w:val="22"/>
          <w:szCs w:val="22"/>
          <w:lang w:eastAsia="lt-LT"/>
        </w:rPr>
        <w:t>AKF inhibitorius</w:t>
      </w:r>
      <w:r w:rsidRPr="009B54A6">
        <w:rPr>
          <w:sz w:val="22"/>
          <w:szCs w:val="22"/>
          <w:lang w:eastAsia="lt-LT"/>
        </w:rPr>
        <w:t xml:space="preserve"> arba </w:t>
      </w:r>
      <w:r w:rsidRPr="009B54A6">
        <w:rPr>
          <w:b/>
          <w:sz w:val="22"/>
          <w:szCs w:val="22"/>
          <w:lang w:eastAsia="lt-LT"/>
        </w:rPr>
        <w:t>aliskirenas</w:t>
      </w:r>
      <w:r w:rsidRPr="009B54A6">
        <w:rPr>
          <w:sz w:val="22"/>
          <w:szCs w:val="22"/>
          <w:lang w:eastAsia="lt-LT"/>
        </w:rPr>
        <w:t xml:space="preserve"> (taip pat žr. informaciją  poskyriuose „</w:t>
      </w:r>
      <w:r w:rsidRPr="009B54A6">
        <w:rPr>
          <w:color w:val="000000"/>
          <w:sz w:val="22"/>
          <w:szCs w:val="22"/>
        </w:rPr>
        <w:t xml:space="preserve">Telmisartan/Hydrochlorothiazide Sandoz </w:t>
      </w:r>
      <w:r w:rsidRPr="009B54A6">
        <w:rPr>
          <w:sz w:val="22"/>
          <w:szCs w:val="22"/>
        </w:rPr>
        <w:t>vartoti negalima“</w:t>
      </w:r>
      <w:r w:rsidRPr="009B54A6">
        <w:rPr>
          <w:sz w:val="22"/>
          <w:szCs w:val="22"/>
          <w:lang w:eastAsia="lt-LT"/>
        </w:rPr>
        <w:t xml:space="preserve"> ir „Įspėjimai ir atsargumo priemonės“)</w:t>
      </w:r>
      <w:r w:rsidRPr="009B54A6">
        <w:rPr>
          <w:sz w:val="22"/>
          <w:szCs w:val="22"/>
        </w:rPr>
        <w:t>.</w:t>
      </w:r>
      <w:r w:rsidRPr="009B54A6">
        <w:rPr>
          <w:sz w:val="22"/>
          <w:szCs w:val="22"/>
          <w:lang w:eastAsia="lt-LT"/>
        </w:rPr>
        <w:t xml:space="preserve"> </w:t>
      </w:r>
    </w:p>
    <w:p w14:paraId="76A08161" w14:textId="77777777" w:rsidR="000E5428" w:rsidRPr="009B54A6" w:rsidRDefault="000E5428" w:rsidP="000E5428">
      <w:pPr>
        <w:numPr>
          <w:ilvl w:val="0"/>
          <w:numId w:val="33"/>
        </w:numPr>
        <w:autoSpaceDE w:val="0"/>
        <w:autoSpaceDN w:val="0"/>
        <w:adjustRightInd w:val="0"/>
        <w:ind w:left="567" w:hanging="567"/>
        <w:rPr>
          <w:b/>
          <w:sz w:val="22"/>
          <w:szCs w:val="22"/>
        </w:rPr>
      </w:pPr>
      <w:r w:rsidRPr="009B54A6">
        <w:rPr>
          <w:b/>
          <w:sz w:val="22"/>
          <w:szCs w:val="22"/>
        </w:rPr>
        <w:t xml:space="preserve">Digoksinas, </w:t>
      </w:r>
      <w:r w:rsidRPr="009B54A6">
        <w:rPr>
          <w:sz w:val="22"/>
          <w:szCs w:val="22"/>
        </w:rPr>
        <w:t>vaistas širdies ligoms gydyti.</w:t>
      </w:r>
    </w:p>
    <w:p w14:paraId="0690658C" w14:textId="77777777" w:rsidR="000E5428" w:rsidRPr="009B54A6" w:rsidRDefault="000E5428" w:rsidP="000E5428">
      <w:pPr>
        <w:autoSpaceDE w:val="0"/>
        <w:autoSpaceDN w:val="0"/>
        <w:adjustRightInd w:val="0"/>
        <w:rPr>
          <w:color w:val="000000"/>
          <w:sz w:val="22"/>
          <w:szCs w:val="22"/>
        </w:rPr>
      </w:pPr>
    </w:p>
    <w:p w14:paraId="6C945059" w14:textId="6244D9C3" w:rsidR="00ED5607" w:rsidRDefault="000E5428" w:rsidP="00606821">
      <w:pPr>
        <w:ind w:left="118" w:right="185"/>
        <w:rPr>
          <w:color w:val="000000"/>
          <w:sz w:val="22"/>
          <w:szCs w:val="22"/>
        </w:rPr>
      </w:pPr>
      <w:r w:rsidRPr="009B54A6">
        <w:rPr>
          <w:color w:val="000000"/>
          <w:sz w:val="22"/>
          <w:szCs w:val="22"/>
          <w:lang w:eastAsia="lt-LT"/>
        </w:rPr>
        <w:t>Telmisartan/Hydrochlorothiazide Sandoz</w:t>
      </w:r>
      <w:r w:rsidR="00ED5607">
        <w:rPr>
          <w:color w:val="000000"/>
          <w:sz w:val="22"/>
          <w:szCs w:val="22"/>
          <w:lang w:eastAsia="lt-LT"/>
        </w:rPr>
        <w:t xml:space="preserve"> </w:t>
      </w:r>
      <w:r w:rsidR="00ED5607" w:rsidRPr="00B84FE7">
        <w:rPr>
          <w:spacing w:val="-2"/>
          <w:sz w:val="22"/>
        </w:rPr>
        <w:t>g</w:t>
      </w:r>
      <w:r w:rsidR="00ED5607" w:rsidRPr="00B84FE7">
        <w:rPr>
          <w:sz w:val="22"/>
        </w:rPr>
        <w:t>a</w:t>
      </w:r>
      <w:r w:rsidR="00ED5607" w:rsidRPr="00B84FE7">
        <w:rPr>
          <w:spacing w:val="-1"/>
          <w:sz w:val="22"/>
        </w:rPr>
        <w:t>l</w:t>
      </w:r>
      <w:r w:rsidR="00ED5607" w:rsidRPr="00B84FE7">
        <w:rPr>
          <w:sz w:val="22"/>
        </w:rPr>
        <w:t>i</w:t>
      </w:r>
      <w:r w:rsidR="00ED5607" w:rsidRPr="00B84FE7">
        <w:rPr>
          <w:spacing w:val="1"/>
          <w:sz w:val="22"/>
        </w:rPr>
        <w:t xml:space="preserve"> </w:t>
      </w:r>
      <w:r w:rsidR="00ED5607" w:rsidRPr="00B84FE7">
        <w:rPr>
          <w:spacing w:val="-2"/>
          <w:sz w:val="22"/>
        </w:rPr>
        <w:t>s</w:t>
      </w:r>
      <w:r w:rsidR="00ED5607" w:rsidRPr="00B84FE7">
        <w:rPr>
          <w:spacing w:val="1"/>
          <w:sz w:val="22"/>
        </w:rPr>
        <w:t>ti</w:t>
      </w:r>
      <w:r w:rsidR="00ED5607" w:rsidRPr="00B84FE7">
        <w:rPr>
          <w:spacing w:val="-2"/>
          <w:sz w:val="22"/>
        </w:rPr>
        <w:t>p</w:t>
      </w:r>
      <w:r w:rsidR="00ED5607" w:rsidRPr="00B84FE7">
        <w:rPr>
          <w:spacing w:val="1"/>
          <w:sz w:val="22"/>
        </w:rPr>
        <w:t>r</w:t>
      </w:r>
      <w:r w:rsidR="00ED5607" w:rsidRPr="00B84FE7">
        <w:rPr>
          <w:spacing w:val="-1"/>
          <w:sz w:val="22"/>
        </w:rPr>
        <w:t>i</w:t>
      </w:r>
      <w:r w:rsidR="00ED5607" w:rsidRPr="00B84FE7">
        <w:rPr>
          <w:sz w:val="22"/>
        </w:rPr>
        <w:t>n</w:t>
      </w:r>
      <w:r w:rsidR="00ED5607" w:rsidRPr="00B84FE7">
        <w:rPr>
          <w:spacing w:val="-1"/>
          <w:sz w:val="22"/>
        </w:rPr>
        <w:t>t</w:t>
      </w:r>
      <w:r w:rsidR="00ED5607" w:rsidRPr="00B84FE7">
        <w:rPr>
          <w:sz w:val="22"/>
        </w:rPr>
        <w:t>i</w:t>
      </w:r>
      <w:r w:rsidR="00ED5607" w:rsidRPr="00B84FE7">
        <w:rPr>
          <w:spacing w:val="1"/>
          <w:sz w:val="22"/>
        </w:rPr>
        <w:t xml:space="preserve"> </w:t>
      </w:r>
      <w:r w:rsidR="00ED5607" w:rsidRPr="00B84FE7">
        <w:rPr>
          <w:spacing w:val="-2"/>
          <w:sz w:val="22"/>
        </w:rPr>
        <w:t>k</w:t>
      </w:r>
      <w:r w:rsidR="00ED5607" w:rsidRPr="00B84FE7">
        <w:rPr>
          <w:spacing w:val="1"/>
          <w:sz w:val="22"/>
        </w:rPr>
        <w:t>it</w:t>
      </w:r>
      <w:r w:rsidR="00ED5607" w:rsidRPr="00B84FE7">
        <w:rPr>
          <w:sz w:val="22"/>
        </w:rPr>
        <w:t xml:space="preserve">ų </w:t>
      </w:r>
      <w:r w:rsidR="00ED5607" w:rsidRPr="00606821">
        <w:rPr>
          <w:spacing w:val="-2"/>
          <w:sz w:val="22"/>
          <w:szCs w:val="22"/>
        </w:rPr>
        <w:t>k</w:t>
      </w:r>
      <w:r w:rsidR="00ED5607" w:rsidRPr="00606821">
        <w:rPr>
          <w:spacing w:val="1"/>
          <w:sz w:val="22"/>
          <w:szCs w:val="22"/>
        </w:rPr>
        <w:t>r</w:t>
      </w:r>
      <w:r w:rsidR="00ED5607" w:rsidRPr="00606821">
        <w:rPr>
          <w:sz w:val="22"/>
          <w:szCs w:val="22"/>
        </w:rPr>
        <w:t>a</w:t>
      </w:r>
      <w:r w:rsidR="00ED5607" w:rsidRPr="00606821">
        <w:rPr>
          <w:spacing w:val="-2"/>
          <w:sz w:val="22"/>
          <w:szCs w:val="22"/>
        </w:rPr>
        <w:t>u</w:t>
      </w:r>
      <w:r w:rsidR="00ED5607" w:rsidRPr="00606821">
        <w:rPr>
          <w:spacing w:val="1"/>
          <w:sz w:val="22"/>
          <w:szCs w:val="22"/>
        </w:rPr>
        <w:t>j</w:t>
      </w:r>
      <w:r w:rsidR="00ED5607" w:rsidRPr="00606821">
        <w:rPr>
          <w:sz w:val="22"/>
          <w:szCs w:val="22"/>
        </w:rPr>
        <w:t>o</w:t>
      </w:r>
      <w:r w:rsidR="00ED5607" w:rsidRPr="00606821">
        <w:rPr>
          <w:spacing w:val="-2"/>
          <w:sz w:val="22"/>
          <w:szCs w:val="22"/>
        </w:rPr>
        <w:t>s</w:t>
      </w:r>
      <w:r w:rsidR="00ED5607" w:rsidRPr="00606821">
        <w:rPr>
          <w:sz w:val="22"/>
          <w:szCs w:val="22"/>
        </w:rPr>
        <w:t>pūd</w:t>
      </w:r>
      <w:r w:rsidR="00ED5607" w:rsidRPr="00606821">
        <w:rPr>
          <w:spacing w:val="-2"/>
          <w:sz w:val="22"/>
          <w:szCs w:val="22"/>
        </w:rPr>
        <w:t>ž</w:t>
      </w:r>
      <w:r w:rsidR="00ED5607" w:rsidRPr="00606821">
        <w:rPr>
          <w:spacing w:val="1"/>
          <w:sz w:val="22"/>
          <w:szCs w:val="22"/>
        </w:rPr>
        <w:t>i</w:t>
      </w:r>
      <w:r w:rsidR="00ED5607" w:rsidRPr="00606821">
        <w:rPr>
          <w:sz w:val="22"/>
          <w:szCs w:val="22"/>
        </w:rPr>
        <w:t>ui</w:t>
      </w:r>
      <w:r w:rsidR="00ED5607" w:rsidRPr="00606821">
        <w:rPr>
          <w:spacing w:val="-1"/>
          <w:sz w:val="22"/>
          <w:szCs w:val="22"/>
        </w:rPr>
        <w:t xml:space="preserve"> </w:t>
      </w:r>
      <w:r w:rsidR="00ED5607" w:rsidRPr="00606821">
        <w:rPr>
          <w:spacing w:val="-4"/>
          <w:sz w:val="22"/>
          <w:szCs w:val="22"/>
        </w:rPr>
        <w:t>m</w:t>
      </w:r>
      <w:r w:rsidR="00ED5607" w:rsidRPr="00606821">
        <w:rPr>
          <w:sz w:val="22"/>
          <w:szCs w:val="22"/>
        </w:rPr>
        <w:t>a</w:t>
      </w:r>
      <w:r w:rsidR="00ED5607" w:rsidRPr="00606821">
        <w:rPr>
          <w:spacing w:val="-2"/>
          <w:sz w:val="22"/>
          <w:szCs w:val="22"/>
        </w:rPr>
        <w:t>ž</w:t>
      </w:r>
      <w:r w:rsidR="00ED5607" w:rsidRPr="00606821">
        <w:rPr>
          <w:spacing w:val="1"/>
          <w:sz w:val="22"/>
          <w:szCs w:val="22"/>
        </w:rPr>
        <w:t>i</w:t>
      </w:r>
      <w:r w:rsidR="00ED5607" w:rsidRPr="00606821">
        <w:rPr>
          <w:sz w:val="22"/>
          <w:szCs w:val="22"/>
        </w:rPr>
        <w:t>n</w:t>
      </w:r>
      <w:r w:rsidR="00ED5607" w:rsidRPr="00606821">
        <w:rPr>
          <w:spacing w:val="1"/>
          <w:sz w:val="22"/>
          <w:szCs w:val="22"/>
        </w:rPr>
        <w:t>t</w:t>
      </w:r>
      <w:r w:rsidR="00ED5607" w:rsidRPr="00606821">
        <w:rPr>
          <w:sz w:val="22"/>
          <w:szCs w:val="22"/>
        </w:rPr>
        <w:t>i</w:t>
      </w:r>
      <w:r w:rsidR="00ED5607" w:rsidRPr="00606821">
        <w:rPr>
          <w:spacing w:val="-1"/>
          <w:sz w:val="22"/>
          <w:szCs w:val="22"/>
        </w:rPr>
        <w:t xml:space="preserve"> </w:t>
      </w:r>
      <w:r w:rsidR="00ED5607" w:rsidRPr="00606821">
        <w:rPr>
          <w:spacing w:val="-2"/>
          <w:sz w:val="22"/>
          <w:szCs w:val="22"/>
        </w:rPr>
        <w:t>v</w:t>
      </w:r>
      <w:r w:rsidR="00ED5607" w:rsidRPr="00606821">
        <w:rPr>
          <w:sz w:val="22"/>
          <w:szCs w:val="22"/>
        </w:rPr>
        <w:t>a</w:t>
      </w:r>
      <w:r w:rsidR="00ED5607" w:rsidRPr="00606821">
        <w:rPr>
          <w:spacing w:val="1"/>
          <w:sz w:val="22"/>
          <w:szCs w:val="22"/>
        </w:rPr>
        <w:t>rt</w:t>
      </w:r>
      <w:r w:rsidR="00ED5607" w:rsidRPr="00606821">
        <w:rPr>
          <w:spacing w:val="-2"/>
          <w:sz w:val="22"/>
          <w:szCs w:val="22"/>
        </w:rPr>
        <w:t>o</w:t>
      </w:r>
      <w:r w:rsidR="00ED5607" w:rsidRPr="00606821">
        <w:rPr>
          <w:spacing w:val="3"/>
          <w:sz w:val="22"/>
          <w:szCs w:val="22"/>
        </w:rPr>
        <w:t>j</w:t>
      </w:r>
      <w:r w:rsidR="00ED5607" w:rsidRPr="00606821">
        <w:rPr>
          <w:sz w:val="22"/>
          <w:szCs w:val="22"/>
        </w:rPr>
        <w:t>a</w:t>
      </w:r>
      <w:r w:rsidR="00ED5607" w:rsidRPr="00606821">
        <w:rPr>
          <w:spacing w:val="-4"/>
          <w:sz w:val="22"/>
          <w:szCs w:val="22"/>
        </w:rPr>
        <w:t>m</w:t>
      </w:r>
      <w:r w:rsidR="00ED5607" w:rsidRPr="00606821">
        <w:rPr>
          <w:sz w:val="22"/>
          <w:szCs w:val="22"/>
        </w:rPr>
        <w:t xml:space="preserve">ų </w:t>
      </w:r>
      <w:r w:rsidR="00ED5607" w:rsidRPr="00606821">
        <w:rPr>
          <w:spacing w:val="-2"/>
          <w:sz w:val="22"/>
          <w:szCs w:val="22"/>
        </w:rPr>
        <w:t>v</w:t>
      </w:r>
      <w:r w:rsidR="00ED5607" w:rsidRPr="00606821">
        <w:rPr>
          <w:sz w:val="22"/>
          <w:szCs w:val="22"/>
        </w:rPr>
        <w:t>a</w:t>
      </w:r>
      <w:r w:rsidR="00ED5607" w:rsidRPr="00606821">
        <w:rPr>
          <w:spacing w:val="1"/>
          <w:sz w:val="22"/>
          <w:szCs w:val="22"/>
        </w:rPr>
        <w:t>i</w:t>
      </w:r>
      <w:r w:rsidR="00ED5607" w:rsidRPr="00606821">
        <w:rPr>
          <w:sz w:val="22"/>
          <w:szCs w:val="22"/>
        </w:rPr>
        <w:t>s</w:t>
      </w:r>
      <w:r w:rsidR="00ED5607" w:rsidRPr="00606821">
        <w:rPr>
          <w:spacing w:val="1"/>
          <w:sz w:val="22"/>
          <w:szCs w:val="22"/>
        </w:rPr>
        <w:t>t</w:t>
      </w:r>
      <w:r w:rsidR="00ED5607" w:rsidRPr="00606821">
        <w:rPr>
          <w:sz w:val="22"/>
          <w:szCs w:val="22"/>
        </w:rPr>
        <w:t>ų</w:t>
      </w:r>
      <w:r w:rsidR="00ED5607" w:rsidRPr="00606821">
        <w:rPr>
          <w:spacing w:val="-2"/>
          <w:sz w:val="22"/>
          <w:szCs w:val="22"/>
        </w:rPr>
        <w:t xml:space="preserve"> </w:t>
      </w:r>
      <w:r w:rsidR="00ED5607" w:rsidRPr="00606821">
        <w:rPr>
          <w:sz w:val="22"/>
          <w:szCs w:val="22"/>
        </w:rPr>
        <w:t>su</w:t>
      </w:r>
      <w:r w:rsidR="00ED5607" w:rsidRPr="00606821">
        <w:rPr>
          <w:spacing w:val="-2"/>
          <w:sz w:val="22"/>
          <w:szCs w:val="22"/>
        </w:rPr>
        <w:t>k</w:t>
      </w:r>
      <w:r w:rsidR="00ED5607" w:rsidRPr="00606821">
        <w:rPr>
          <w:sz w:val="22"/>
          <w:szCs w:val="22"/>
        </w:rPr>
        <w:t>e</w:t>
      </w:r>
      <w:r w:rsidR="00ED5607" w:rsidRPr="00606821">
        <w:rPr>
          <w:spacing w:val="-1"/>
          <w:sz w:val="22"/>
          <w:szCs w:val="22"/>
        </w:rPr>
        <w:t>l</w:t>
      </w:r>
      <w:r w:rsidR="00ED5607" w:rsidRPr="00606821">
        <w:rPr>
          <w:spacing w:val="1"/>
          <w:sz w:val="22"/>
          <w:szCs w:val="22"/>
        </w:rPr>
        <w:t>i</w:t>
      </w:r>
      <w:r w:rsidR="00ED5607" w:rsidRPr="00606821">
        <w:rPr>
          <w:sz w:val="22"/>
          <w:szCs w:val="22"/>
        </w:rPr>
        <w:t>a</w:t>
      </w:r>
      <w:r w:rsidR="00ED5607" w:rsidRPr="00606821">
        <w:rPr>
          <w:spacing w:val="-4"/>
          <w:sz w:val="22"/>
          <w:szCs w:val="22"/>
        </w:rPr>
        <w:t>m</w:t>
      </w:r>
      <w:r w:rsidR="00ED5607" w:rsidRPr="00606821">
        <w:rPr>
          <w:sz w:val="22"/>
          <w:szCs w:val="22"/>
        </w:rPr>
        <w:t>ą</w:t>
      </w:r>
      <w:r w:rsidR="00ED5607" w:rsidRPr="00606821">
        <w:rPr>
          <w:spacing w:val="1"/>
          <w:sz w:val="22"/>
          <w:szCs w:val="22"/>
        </w:rPr>
        <w:t xml:space="preserve"> </w:t>
      </w:r>
      <w:r w:rsidR="00ED5607" w:rsidRPr="00606821">
        <w:rPr>
          <w:spacing w:val="-2"/>
          <w:sz w:val="22"/>
          <w:szCs w:val="22"/>
        </w:rPr>
        <w:t>k</w:t>
      </w:r>
      <w:r w:rsidR="00ED5607" w:rsidRPr="00606821">
        <w:rPr>
          <w:spacing w:val="1"/>
          <w:sz w:val="22"/>
          <w:szCs w:val="22"/>
        </w:rPr>
        <w:t>r</w:t>
      </w:r>
      <w:r w:rsidR="00ED5607" w:rsidRPr="00606821">
        <w:rPr>
          <w:sz w:val="22"/>
          <w:szCs w:val="22"/>
        </w:rPr>
        <w:t>a</w:t>
      </w:r>
      <w:r w:rsidR="00ED5607" w:rsidRPr="00606821">
        <w:rPr>
          <w:spacing w:val="-2"/>
          <w:sz w:val="22"/>
          <w:szCs w:val="22"/>
        </w:rPr>
        <w:t>u</w:t>
      </w:r>
      <w:r w:rsidR="00ED5607" w:rsidRPr="00606821">
        <w:rPr>
          <w:spacing w:val="3"/>
          <w:sz w:val="22"/>
          <w:szCs w:val="22"/>
        </w:rPr>
        <w:t>j</w:t>
      </w:r>
      <w:r w:rsidR="00ED5607" w:rsidRPr="00606821">
        <w:rPr>
          <w:sz w:val="22"/>
          <w:szCs w:val="22"/>
        </w:rPr>
        <w:t>os</w:t>
      </w:r>
      <w:r w:rsidR="00ED5607" w:rsidRPr="00606821">
        <w:rPr>
          <w:spacing w:val="-2"/>
          <w:sz w:val="22"/>
          <w:szCs w:val="22"/>
        </w:rPr>
        <w:t>p</w:t>
      </w:r>
      <w:r w:rsidR="00ED5607" w:rsidRPr="00606821">
        <w:rPr>
          <w:sz w:val="22"/>
          <w:szCs w:val="22"/>
        </w:rPr>
        <w:t>ūd</w:t>
      </w:r>
      <w:r w:rsidR="00ED5607" w:rsidRPr="00606821">
        <w:rPr>
          <w:spacing w:val="-2"/>
          <w:sz w:val="22"/>
          <w:szCs w:val="22"/>
        </w:rPr>
        <w:t>ž</w:t>
      </w:r>
      <w:r w:rsidR="00ED5607" w:rsidRPr="00606821">
        <w:rPr>
          <w:spacing w:val="1"/>
          <w:sz w:val="22"/>
          <w:szCs w:val="22"/>
        </w:rPr>
        <w:t>i</w:t>
      </w:r>
      <w:r w:rsidR="00ED5607" w:rsidRPr="00606821">
        <w:rPr>
          <w:sz w:val="22"/>
          <w:szCs w:val="22"/>
        </w:rPr>
        <w:t xml:space="preserve">o </w:t>
      </w:r>
      <w:r w:rsidR="00ED5607" w:rsidRPr="00606821">
        <w:rPr>
          <w:spacing w:val="-4"/>
          <w:sz w:val="22"/>
          <w:szCs w:val="22"/>
        </w:rPr>
        <w:t>m</w:t>
      </w:r>
      <w:r w:rsidR="00ED5607" w:rsidRPr="00606821">
        <w:rPr>
          <w:spacing w:val="3"/>
          <w:sz w:val="22"/>
          <w:szCs w:val="22"/>
        </w:rPr>
        <w:t>a</w:t>
      </w:r>
      <w:r w:rsidR="00ED5607" w:rsidRPr="00606821">
        <w:rPr>
          <w:spacing w:val="-2"/>
          <w:sz w:val="22"/>
          <w:szCs w:val="22"/>
        </w:rPr>
        <w:t>ž</w:t>
      </w:r>
      <w:r w:rsidR="00ED5607" w:rsidRPr="00606821">
        <w:rPr>
          <w:sz w:val="22"/>
          <w:szCs w:val="22"/>
        </w:rPr>
        <w:t>ė</w:t>
      </w:r>
      <w:r w:rsidR="00ED5607" w:rsidRPr="00606821">
        <w:rPr>
          <w:spacing w:val="1"/>
          <w:sz w:val="22"/>
          <w:szCs w:val="22"/>
        </w:rPr>
        <w:t>ji</w:t>
      </w:r>
      <w:r w:rsidR="00ED5607" w:rsidRPr="00606821">
        <w:rPr>
          <w:spacing w:val="-4"/>
          <w:sz w:val="22"/>
          <w:szCs w:val="22"/>
        </w:rPr>
        <w:t>m</w:t>
      </w:r>
      <w:r w:rsidR="00ED5607" w:rsidRPr="00606821">
        <w:rPr>
          <w:sz w:val="22"/>
          <w:szCs w:val="22"/>
        </w:rPr>
        <w:t>ą</w:t>
      </w:r>
      <w:r w:rsidR="00ED5607">
        <w:rPr>
          <w:color w:val="000000"/>
          <w:sz w:val="22"/>
          <w:szCs w:val="22"/>
        </w:rPr>
        <w:t xml:space="preserve">, </w:t>
      </w:r>
      <w:r w:rsidR="00ED5607" w:rsidRPr="00606821">
        <w:rPr>
          <w:sz w:val="22"/>
          <w:szCs w:val="22"/>
        </w:rPr>
        <w:t>ar</w:t>
      </w:r>
      <w:r w:rsidR="00ED5607" w:rsidRPr="00606821">
        <w:rPr>
          <w:spacing w:val="1"/>
          <w:sz w:val="22"/>
          <w:szCs w:val="22"/>
        </w:rPr>
        <w:t xml:space="preserve"> </w:t>
      </w:r>
      <w:r w:rsidR="00ED5607" w:rsidRPr="00606821">
        <w:rPr>
          <w:spacing w:val="-2"/>
          <w:sz w:val="22"/>
          <w:szCs w:val="22"/>
        </w:rPr>
        <w:t>k</w:t>
      </w:r>
      <w:r w:rsidR="00ED5607" w:rsidRPr="00606821">
        <w:rPr>
          <w:spacing w:val="1"/>
          <w:sz w:val="22"/>
          <w:szCs w:val="22"/>
        </w:rPr>
        <w:t>r</w:t>
      </w:r>
      <w:r w:rsidR="00ED5607" w:rsidRPr="00606821">
        <w:rPr>
          <w:sz w:val="22"/>
          <w:szCs w:val="22"/>
        </w:rPr>
        <w:t>a</w:t>
      </w:r>
      <w:r w:rsidR="00ED5607" w:rsidRPr="00606821">
        <w:rPr>
          <w:spacing w:val="-2"/>
          <w:sz w:val="22"/>
          <w:szCs w:val="22"/>
        </w:rPr>
        <w:t>u</w:t>
      </w:r>
      <w:r w:rsidR="00ED5607" w:rsidRPr="00606821">
        <w:rPr>
          <w:spacing w:val="3"/>
          <w:sz w:val="22"/>
          <w:szCs w:val="22"/>
        </w:rPr>
        <w:t>j</w:t>
      </w:r>
      <w:r w:rsidR="00ED5607" w:rsidRPr="00606821">
        <w:rPr>
          <w:spacing w:val="-2"/>
          <w:sz w:val="22"/>
          <w:szCs w:val="22"/>
        </w:rPr>
        <w:t>o</w:t>
      </w:r>
      <w:r w:rsidR="00ED5607" w:rsidRPr="00606821">
        <w:rPr>
          <w:sz w:val="22"/>
          <w:szCs w:val="22"/>
        </w:rPr>
        <w:t>spū</w:t>
      </w:r>
      <w:r w:rsidR="00ED5607" w:rsidRPr="00606821">
        <w:rPr>
          <w:spacing w:val="-2"/>
          <w:sz w:val="22"/>
          <w:szCs w:val="22"/>
        </w:rPr>
        <w:t>d</w:t>
      </w:r>
      <w:r w:rsidR="00ED5607" w:rsidRPr="00606821">
        <w:rPr>
          <w:sz w:val="22"/>
          <w:szCs w:val="22"/>
        </w:rPr>
        <w:t>į</w:t>
      </w:r>
      <w:r w:rsidR="00ED5607" w:rsidRPr="00606821">
        <w:rPr>
          <w:spacing w:val="1"/>
          <w:sz w:val="22"/>
          <w:szCs w:val="22"/>
        </w:rPr>
        <w:t xml:space="preserve"> </w:t>
      </w:r>
      <w:r w:rsidR="00ED5607" w:rsidRPr="00606821">
        <w:rPr>
          <w:spacing w:val="-2"/>
          <w:sz w:val="22"/>
          <w:szCs w:val="22"/>
        </w:rPr>
        <w:t>g</w:t>
      </w:r>
      <w:r w:rsidR="00ED5607" w:rsidRPr="00606821">
        <w:rPr>
          <w:sz w:val="22"/>
          <w:szCs w:val="22"/>
        </w:rPr>
        <w:t>a</w:t>
      </w:r>
      <w:r w:rsidR="00ED5607" w:rsidRPr="00606821">
        <w:rPr>
          <w:spacing w:val="1"/>
          <w:sz w:val="22"/>
          <w:szCs w:val="22"/>
        </w:rPr>
        <w:t>li</w:t>
      </w:r>
      <w:r w:rsidR="00ED5607" w:rsidRPr="00606821">
        <w:rPr>
          <w:spacing w:val="-2"/>
          <w:sz w:val="22"/>
          <w:szCs w:val="22"/>
        </w:rPr>
        <w:t>n</w:t>
      </w:r>
      <w:r w:rsidR="00ED5607" w:rsidRPr="00606821">
        <w:rPr>
          <w:sz w:val="22"/>
          <w:szCs w:val="22"/>
        </w:rPr>
        <w:t>č</w:t>
      </w:r>
      <w:r w:rsidR="00ED5607" w:rsidRPr="00606821">
        <w:rPr>
          <w:spacing w:val="1"/>
          <w:sz w:val="22"/>
          <w:szCs w:val="22"/>
        </w:rPr>
        <w:t>i</w:t>
      </w:r>
      <w:r w:rsidR="00ED5607" w:rsidRPr="00606821">
        <w:rPr>
          <w:sz w:val="22"/>
          <w:szCs w:val="22"/>
        </w:rPr>
        <w:t xml:space="preserve">ų </w:t>
      </w:r>
      <w:r w:rsidR="00ED5607" w:rsidRPr="00606821">
        <w:rPr>
          <w:spacing w:val="-4"/>
          <w:sz w:val="22"/>
          <w:szCs w:val="22"/>
        </w:rPr>
        <w:t>m</w:t>
      </w:r>
      <w:r w:rsidR="00ED5607" w:rsidRPr="00606821">
        <w:rPr>
          <w:sz w:val="22"/>
          <w:szCs w:val="22"/>
        </w:rPr>
        <w:t>a</w:t>
      </w:r>
      <w:r w:rsidR="00ED5607" w:rsidRPr="00606821">
        <w:rPr>
          <w:spacing w:val="-2"/>
          <w:sz w:val="22"/>
          <w:szCs w:val="22"/>
        </w:rPr>
        <w:t>ž</w:t>
      </w:r>
      <w:r w:rsidR="00ED5607" w:rsidRPr="00606821">
        <w:rPr>
          <w:spacing w:val="1"/>
          <w:sz w:val="22"/>
          <w:szCs w:val="22"/>
        </w:rPr>
        <w:t>i</w:t>
      </w:r>
      <w:r w:rsidR="00ED5607" w:rsidRPr="00606821">
        <w:rPr>
          <w:sz w:val="22"/>
          <w:szCs w:val="22"/>
        </w:rPr>
        <w:t>n</w:t>
      </w:r>
      <w:r w:rsidR="00ED5607" w:rsidRPr="00606821">
        <w:rPr>
          <w:spacing w:val="1"/>
          <w:sz w:val="22"/>
          <w:szCs w:val="22"/>
        </w:rPr>
        <w:t>t</w:t>
      </w:r>
      <w:r w:rsidR="00ED5607" w:rsidRPr="00606821">
        <w:rPr>
          <w:sz w:val="22"/>
          <w:szCs w:val="22"/>
        </w:rPr>
        <w:t>i</w:t>
      </w:r>
      <w:r w:rsidR="00ED5607" w:rsidRPr="00606821">
        <w:rPr>
          <w:spacing w:val="1"/>
          <w:sz w:val="22"/>
          <w:szCs w:val="22"/>
        </w:rPr>
        <w:t xml:space="preserve"> </w:t>
      </w:r>
      <w:r w:rsidR="00ED5607" w:rsidRPr="00606821">
        <w:rPr>
          <w:spacing w:val="-4"/>
          <w:sz w:val="22"/>
          <w:szCs w:val="22"/>
        </w:rPr>
        <w:t>v</w:t>
      </w:r>
      <w:r w:rsidR="00ED5607" w:rsidRPr="00606821">
        <w:rPr>
          <w:sz w:val="22"/>
          <w:szCs w:val="22"/>
        </w:rPr>
        <w:t>a</w:t>
      </w:r>
      <w:r w:rsidR="00ED5607" w:rsidRPr="00606821">
        <w:rPr>
          <w:spacing w:val="-1"/>
          <w:sz w:val="22"/>
          <w:szCs w:val="22"/>
        </w:rPr>
        <w:t>i</w:t>
      </w:r>
      <w:r w:rsidR="00ED5607" w:rsidRPr="00606821">
        <w:rPr>
          <w:sz w:val="22"/>
          <w:szCs w:val="22"/>
        </w:rPr>
        <w:t>s</w:t>
      </w:r>
      <w:r w:rsidR="00ED5607" w:rsidRPr="00606821">
        <w:rPr>
          <w:spacing w:val="1"/>
          <w:sz w:val="22"/>
          <w:szCs w:val="22"/>
        </w:rPr>
        <w:t>t</w:t>
      </w:r>
      <w:r w:rsidR="00ED5607" w:rsidRPr="00606821">
        <w:rPr>
          <w:sz w:val="22"/>
          <w:szCs w:val="22"/>
        </w:rPr>
        <w:t>ų</w:t>
      </w:r>
      <w:r w:rsidR="00ED5607" w:rsidRPr="00606821">
        <w:rPr>
          <w:spacing w:val="-2"/>
          <w:sz w:val="22"/>
          <w:szCs w:val="22"/>
        </w:rPr>
        <w:t xml:space="preserve"> </w:t>
      </w:r>
      <w:r w:rsidR="00ED5607" w:rsidRPr="00606821">
        <w:rPr>
          <w:spacing w:val="1"/>
          <w:sz w:val="22"/>
          <w:szCs w:val="22"/>
        </w:rPr>
        <w:t>(</w:t>
      </w:r>
      <w:r w:rsidR="00ED5607" w:rsidRPr="00606821">
        <w:rPr>
          <w:sz w:val="22"/>
          <w:szCs w:val="22"/>
        </w:rPr>
        <w:t>p</w:t>
      </w:r>
      <w:r w:rsidR="00ED5607" w:rsidRPr="00606821">
        <w:rPr>
          <w:spacing w:val="-2"/>
          <w:sz w:val="22"/>
          <w:szCs w:val="22"/>
        </w:rPr>
        <w:t>vz</w:t>
      </w:r>
      <w:r w:rsidR="00ED5607" w:rsidRPr="00606821">
        <w:rPr>
          <w:sz w:val="22"/>
          <w:szCs w:val="22"/>
        </w:rPr>
        <w:t>., ba</w:t>
      </w:r>
      <w:r w:rsidR="00ED5607" w:rsidRPr="00606821">
        <w:rPr>
          <w:spacing w:val="-2"/>
          <w:sz w:val="22"/>
          <w:szCs w:val="22"/>
        </w:rPr>
        <w:t>k</w:t>
      </w:r>
      <w:r w:rsidR="00ED5607" w:rsidRPr="00606821">
        <w:rPr>
          <w:spacing w:val="1"/>
          <w:sz w:val="22"/>
          <w:szCs w:val="22"/>
        </w:rPr>
        <w:t>l</w:t>
      </w:r>
      <w:r w:rsidR="00ED5607" w:rsidRPr="00606821">
        <w:rPr>
          <w:sz w:val="22"/>
          <w:szCs w:val="22"/>
        </w:rPr>
        <w:t>o</w:t>
      </w:r>
      <w:r w:rsidR="00ED5607" w:rsidRPr="00606821">
        <w:rPr>
          <w:spacing w:val="1"/>
          <w:sz w:val="22"/>
          <w:szCs w:val="22"/>
        </w:rPr>
        <w:t>f</w:t>
      </w:r>
      <w:r w:rsidR="00ED5607" w:rsidRPr="00606821">
        <w:rPr>
          <w:sz w:val="22"/>
          <w:szCs w:val="22"/>
        </w:rPr>
        <w:t>en</w:t>
      </w:r>
      <w:r w:rsidR="00ED5607" w:rsidRPr="00606821">
        <w:rPr>
          <w:spacing w:val="-2"/>
          <w:sz w:val="22"/>
          <w:szCs w:val="22"/>
        </w:rPr>
        <w:t>o</w:t>
      </w:r>
      <w:r w:rsidR="00ED5607" w:rsidRPr="00606821">
        <w:rPr>
          <w:sz w:val="22"/>
          <w:szCs w:val="22"/>
        </w:rPr>
        <w:t>, a</w:t>
      </w:r>
      <w:r w:rsidR="00ED5607" w:rsidRPr="00606821">
        <w:rPr>
          <w:spacing w:val="-4"/>
          <w:sz w:val="22"/>
          <w:szCs w:val="22"/>
        </w:rPr>
        <w:t>m</w:t>
      </w:r>
      <w:r w:rsidR="00ED5607" w:rsidRPr="00606821">
        <w:rPr>
          <w:spacing w:val="1"/>
          <w:sz w:val="22"/>
          <w:szCs w:val="22"/>
        </w:rPr>
        <w:t>if</w:t>
      </w:r>
      <w:r w:rsidR="00ED5607" w:rsidRPr="00606821">
        <w:rPr>
          <w:sz w:val="22"/>
          <w:szCs w:val="22"/>
        </w:rPr>
        <w:t>o</w:t>
      </w:r>
      <w:r w:rsidR="00ED5607" w:rsidRPr="00606821">
        <w:rPr>
          <w:spacing w:val="-2"/>
          <w:sz w:val="22"/>
          <w:szCs w:val="22"/>
        </w:rPr>
        <w:t>s</w:t>
      </w:r>
      <w:r w:rsidR="00ED5607" w:rsidRPr="00606821">
        <w:rPr>
          <w:spacing w:val="1"/>
          <w:sz w:val="22"/>
          <w:szCs w:val="22"/>
        </w:rPr>
        <w:t>ti</w:t>
      </w:r>
      <w:r w:rsidR="00ED5607" w:rsidRPr="00606821">
        <w:rPr>
          <w:sz w:val="22"/>
          <w:szCs w:val="22"/>
        </w:rPr>
        <w:t>n</w:t>
      </w:r>
      <w:r w:rsidR="00ED5607" w:rsidRPr="00606821">
        <w:rPr>
          <w:spacing w:val="-2"/>
          <w:sz w:val="22"/>
          <w:szCs w:val="22"/>
        </w:rPr>
        <w:t>o</w:t>
      </w:r>
      <w:r w:rsidR="00ED5607" w:rsidRPr="00606821">
        <w:rPr>
          <w:sz w:val="22"/>
          <w:szCs w:val="22"/>
        </w:rPr>
        <w:t>)</w:t>
      </w:r>
      <w:r w:rsidR="00ED5607" w:rsidRPr="00606821">
        <w:rPr>
          <w:spacing w:val="1"/>
          <w:sz w:val="22"/>
          <w:szCs w:val="22"/>
        </w:rPr>
        <w:t xml:space="preserve"> </w:t>
      </w:r>
      <w:r w:rsidR="00ED5607" w:rsidRPr="00606821">
        <w:rPr>
          <w:spacing w:val="-2"/>
          <w:sz w:val="22"/>
          <w:szCs w:val="22"/>
        </w:rPr>
        <w:t>k</w:t>
      </w:r>
      <w:r w:rsidR="00ED5607" w:rsidRPr="00606821">
        <w:rPr>
          <w:spacing w:val="1"/>
          <w:sz w:val="22"/>
          <w:szCs w:val="22"/>
        </w:rPr>
        <w:t>r</w:t>
      </w:r>
      <w:r w:rsidR="00ED5607" w:rsidRPr="00606821">
        <w:rPr>
          <w:sz w:val="22"/>
          <w:szCs w:val="22"/>
        </w:rPr>
        <w:t>a</w:t>
      </w:r>
      <w:r w:rsidR="00ED5607" w:rsidRPr="00606821">
        <w:rPr>
          <w:spacing w:val="-2"/>
          <w:sz w:val="22"/>
          <w:szCs w:val="22"/>
        </w:rPr>
        <w:t>u</w:t>
      </w:r>
      <w:r w:rsidR="00ED5607" w:rsidRPr="00606821">
        <w:rPr>
          <w:spacing w:val="1"/>
          <w:sz w:val="22"/>
          <w:szCs w:val="22"/>
        </w:rPr>
        <w:t>j</w:t>
      </w:r>
      <w:r w:rsidR="00ED5607" w:rsidRPr="00606821">
        <w:rPr>
          <w:sz w:val="22"/>
          <w:szCs w:val="22"/>
        </w:rPr>
        <w:t>osp</w:t>
      </w:r>
      <w:r w:rsidR="00ED5607" w:rsidRPr="00606821">
        <w:rPr>
          <w:spacing w:val="-2"/>
          <w:sz w:val="22"/>
          <w:szCs w:val="22"/>
        </w:rPr>
        <w:t>ū</w:t>
      </w:r>
      <w:r w:rsidR="00ED5607" w:rsidRPr="00606821">
        <w:rPr>
          <w:sz w:val="22"/>
          <w:szCs w:val="22"/>
        </w:rPr>
        <w:t>dį</w:t>
      </w:r>
      <w:r w:rsidR="00ED5607" w:rsidRPr="00606821">
        <w:rPr>
          <w:spacing w:val="1"/>
          <w:sz w:val="22"/>
          <w:szCs w:val="22"/>
        </w:rPr>
        <w:t xml:space="preserve"> </w:t>
      </w:r>
      <w:r w:rsidR="00ED5607" w:rsidRPr="00606821">
        <w:rPr>
          <w:spacing w:val="-4"/>
          <w:sz w:val="22"/>
          <w:szCs w:val="22"/>
        </w:rPr>
        <w:t>m</w:t>
      </w:r>
      <w:r w:rsidR="00ED5607" w:rsidRPr="00606821">
        <w:rPr>
          <w:sz w:val="22"/>
          <w:szCs w:val="22"/>
        </w:rPr>
        <w:t>a</w:t>
      </w:r>
      <w:r w:rsidR="00ED5607" w:rsidRPr="00606821">
        <w:rPr>
          <w:spacing w:val="-2"/>
          <w:sz w:val="22"/>
          <w:szCs w:val="22"/>
        </w:rPr>
        <w:t>ž</w:t>
      </w:r>
      <w:r w:rsidR="00ED5607" w:rsidRPr="00606821">
        <w:rPr>
          <w:spacing w:val="1"/>
          <w:sz w:val="22"/>
          <w:szCs w:val="22"/>
        </w:rPr>
        <w:t>i</w:t>
      </w:r>
      <w:r w:rsidR="00ED5607" w:rsidRPr="00606821">
        <w:rPr>
          <w:sz w:val="22"/>
          <w:szCs w:val="22"/>
        </w:rPr>
        <w:t>nan</w:t>
      </w:r>
      <w:r w:rsidR="00ED5607" w:rsidRPr="00606821">
        <w:rPr>
          <w:spacing w:val="-1"/>
          <w:sz w:val="22"/>
          <w:szCs w:val="22"/>
        </w:rPr>
        <w:t>t</w:t>
      </w:r>
      <w:r w:rsidR="00ED5607" w:rsidRPr="00606821">
        <w:rPr>
          <w:sz w:val="22"/>
          <w:szCs w:val="22"/>
        </w:rPr>
        <w:t>į po</w:t>
      </w:r>
      <w:r w:rsidR="00ED5607" w:rsidRPr="00606821">
        <w:rPr>
          <w:spacing w:val="-2"/>
          <w:sz w:val="22"/>
          <w:szCs w:val="22"/>
        </w:rPr>
        <w:t>v</w:t>
      </w:r>
      <w:r w:rsidR="00ED5607" w:rsidRPr="00606821">
        <w:rPr>
          <w:sz w:val="22"/>
          <w:szCs w:val="22"/>
        </w:rPr>
        <w:t>e</w:t>
      </w:r>
      <w:r w:rsidR="00ED5607" w:rsidRPr="00606821">
        <w:rPr>
          <w:spacing w:val="1"/>
          <w:sz w:val="22"/>
          <w:szCs w:val="22"/>
        </w:rPr>
        <w:t>i</w:t>
      </w:r>
      <w:r w:rsidR="00ED5607" w:rsidRPr="00606821">
        <w:rPr>
          <w:spacing w:val="-2"/>
          <w:sz w:val="22"/>
          <w:szCs w:val="22"/>
        </w:rPr>
        <w:t>k</w:t>
      </w:r>
      <w:r w:rsidR="00ED5607" w:rsidRPr="00606821">
        <w:rPr>
          <w:spacing w:val="1"/>
          <w:sz w:val="22"/>
          <w:szCs w:val="22"/>
        </w:rPr>
        <w:t>į</w:t>
      </w:r>
      <w:r w:rsidR="00ED5607" w:rsidRPr="00606821">
        <w:rPr>
          <w:sz w:val="22"/>
          <w:szCs w:val="22"/>
        </w:rPr>
        <w:t xml:space="preserve">. </w:t>
      </w:r>
      <w:r w:rsidR="00ED5607" w:rsidRPr="00606821">
        <w:rPr>
          <w:spacing w:val="-1"/>
          <w:sz w:val="22"/>
          <w:szCs w:val="22"/>
        </w:rPr>
        <w:t>B</w:t>
      </w:r>
      <w:r w:rsidR="00ED5607" w:rsidRPr="00606821">
        <w:rPr>
          <w:sz w:val="22"/>
          <w:szCs w:val="22"/>
        </w:rPr>
        <w:t>e</w:t>
      </w:r>
      <w:r w:rsidR="00ED5607" w:rsidRPr="00606821">
        <w:rPr>
          <w:spacing w:val="1"/>
          <w:sz w:val="22"/>
          <w:szCs w:val="22"/>
        </w:rPr>
        <w:t xml:space="preserve"> t</w:t>
      </w:r>
      <w:r w:rsidR="00ED5607" w:rsidRPr="00606821">
        <w:rPr>
          <w:sz w:val="22"/>
          <w:szCs w:val="22"/>
        </w:rPr>
        <w:t xml:space="preserve">o, </w:t>
      </w:r>
      <w:r w:rsidR="00ED5607" w:rsidRPr="00606821">
        <w:rPr>
          <w:spacing w:val="-4"/>
          <w:sz w:val="22"/>
          <w:szCs w:val="22"/>
        </w:rPr>
        <w:t>m</w:t>
      </w:r>
      <w:r w:rsidR="00ED5607" w:rsidRPr="00606821">
        <w:rPr>
          <w:sz w:val="22"/>
          <w:szCs w:val="22"/>
        </w:rPr>
        <w:t>a</w:t>
      </w:r>
      <w:r w:rsidR="00ED5607" w:rsidRPr="00606821">
        <w:rPr>
          <w:spacing w:val="-2"/>
          <w:sz w:val="22"/>
          <w:szCs w:val="22"/>
        </w:rPr>
        <w:t>ž</w:t>
      </w:r>
      <w:r w:rsidR="00ED5607" w:rsidRPr="00606821">
        <w:rPr>
          <w:sz w:val="22"/>
          <w:szCs w:val="22"/>
        </w:rPr>
        <w:t>ą</w:t>
      </w:r>
      <w:r w:rsidR="00ED5607" w:rsidRPr="00606821">
        <w:rPr>
          <w:spacing w:val="1"/>
          <w:sz w:val="22"/>
          <w:szCs w:val="22"/>
        </w:rPr>
        <w:t xml:space="preserve"> </w:t>
      </w:r>
      <w:r w:rsidR="00ED5607" w:rsidRPr="00606821">
        <w:rPr>
          <w:spacing w:val="-2"/>
          <w:sz w:val="22"/>
          <w:szCs w:val="22"/>
        </w:rPr>
        <w:t>k</w:t>
      </w:r>
      <w:r w:rsidR="00ED5607" w:rsidRPr="00606821">
        <w:rPr>
          <w:spacing w:val="1"/>
          <w:sz w:val="22"/>
          <w:szCs w:val="22"/>
        </w:rPr>
        <w:t>r</w:t>
      </w:r>
      <w:r w:rsidR="00ED5607" w:rsidRPr="00606821">
        <w:rPr>
          <w:sz w:val="22"/>
          <w:szCs w:val="22"/>
        </w:rPr>
        <w:t>a</w:t>
      </w:r>
      <w:r w:rsidR="00ED5607" w:rsidRPr="00606821">
        <w:rPr>
          <w:spacing w:val="-2"/>
          <w:sz w:val="22"/>
          <w:szCs w:val="22"/>
        </w:rPr>
        <w:t>u</w:t>
      </w:r>
      <w:r w:rsidR="00ED5607" w:rsidRPr="00606821">
        <w:rPr>
          <w:spacing w:val="3"/>
          <w:sz w:val="22"/>
          <w:szCs w:val="22"/>
        </w:rPr>
        <w:t>j</w:t>
      </w:r>
      <w:r w:rsidR="00ED5607" w:rsidRPr="00606821">
        <w:rPr>
          <w:spacing w:val="-2"/>
          <w:sz w:val="22"/>
          <w:szCs w:val="22"/>
        </w:rPr>
        <w:t>o</w:t>
      </w:r>
      <w:r w:rsidR="00ED5607" w:rsidRPr="00606821">
        <w:rPr>
          <w:sz w:val="22"/>
          <w:szCs w:val="22"/>
        </w:rPr>
        <w:t>spūdį</w:t>
      </w:r>
      <w:r w:rsidR="00ED5607" w:rsidRPr="00606821">
        <w:rPr>
          <w:spacing w:val="1"/>
          <w:sz w:val="22"/>
          <w:szCs w:val="22"/>
        </w:rPr>
        <w:t xml:space="preserve"> </w:t>
      </w:r>
      <w:r w:rsidR="00ED5607" w:rsidRPr="00606821">
        <w:rPr>
          <w:spacing w:val="-2"/>
          <w:sz w:val="22"/>
          <w:szCs w:val="22"/>
        </w:rPr>
        <w:t>g</w:t>
      </w:r>
      <w:r w:rsidR="00ED5607" w:rsidRPr="00606821">
        <w:rPr>
          <w:sz w:val="22"/>
          <w:szCs w:val="22"/>
        </w:rPr>
        <w:t>a</w:t>
      </w:r>
      <w:r w:rsidR="00ED5607" w:rsidRPr="00606821">
        <w:rPr>
          <w:spacing w:val="-1"/>
          <w:sz w:val="22"/>
          <w:szCs w:val="22"/>
        </w:rPr>
        <w:t>l</w:t>
      </w:r>
      <w:r w:rsidR="00ED5607" w:rsidRPr="00606821">
        <w:rPr>
          <w:sz w:val="22"/>
          <w:szCs w:val="22"/>
        </w:rPr>
        <w:t>i</w:t>
      </w:r>
      <w:r w:rsidR="00ED5607" w:rsidRPr="00606821">
        <w:rPr>
          <w:spacing w:val="1"/>
          <w:sz w:val="22"/>
          <w:szCs w:val="22"/>
        </w:rPr>
        <w:t xml:space="preserve"> </w:t>
      </w:r>
      <w:r w:rsidR="00ED5607" w:rsidRPr="00606821">
        <w:rPr>
          <w:spacing w:val="-2"/>
          <w:sz w:val="22"/>
          <w:szCs w:val="22"/>
        </w:rPr>
        <w:t>p</w:t>
      </w:r>
      <w:r w:rsidR="00ED5607" w:rsidRPr="00606821">
        <w:rPr>
          <w:sz w:val="22"/>
          <w:szCs w:val="22"/>
        </w:rPr>
        <w:t>asun</w:t>
      </w:r>
      <w:r w:rsidR="00ED5607" w:rsidRPr="00606821">
        <w:rPr>
          <w:spacing w:val="-2"/>
          <w:sz w:val="22"/>
          <w:szCs w:val="22"/>
        </w:rPr>
        <w:t>k</w:t>
      </w:r>
      <w:r w:rsidR="00ED5607" w:rsidRPr="00606821">
        <w:rPr>
          <w:spacing w:val="1"/>
          <w:sz w:val="22"/>
          <w:szCs w:val="22"/>
        </w:rPr>
        <w:t>i</w:t>
      </w:r>
      <w:r w:rsidR="00ED5607" w:rsidRPr="00606821">
        <w:rPr>
          <w:spacing w:val="-2"/>
          <w:sz w:val="22"/>
          <w:szCs w:val="22"/>
        </w:rPr>
        <w:t>n</w:t>
      </w:r>
      <w:r w:rsidR="00ED5607" w:rsidRPr="00606821">
        <w:rPr>
          <w:spacing w:val="1"/>
          <w:sz w:val="22"/>
          <w:szCs w:val="22"/>
        </w:rPr>
        <w:t>t</w:t>
      </w:r>
      <w:r w:rsidR="00ED5607" w:rsidRPr="00606821">
        <w:rPr>
          <w:sz w:val="22"/>
          <w:szCs w:val="22"/>
        </w:rPr>
        <w:t>i</w:t>
      </w:r>
      <w:r w:rsidR="00ED5607" w:rsidRPr="00606821">
        <w:rPr>
          <w:spacing w:val="1"/>
          <w:sz w:val="22"/>
          <w:szCs w:val="22"/>
        </w:rPr>
        <w:t xml:space="preserve"> </w:t>
      </w:r>
      <w:r w:rsidR="00ED5607" w:rsidRPr="00606821">
        <w:rPr>
          <w:spacing w:val="-2"/>
          <w:sz w:val="22"/>
          <w:szCs w:val="22"/>
        </w:rPr>
        <w:t>a</w:t>
      </w:r>
      <w:r w:rsidR="00ED5607" w:rsidRPr="00606821">
        <w:rPr>
          <w:spacing w:val="1"/>
          <w:sz w:val="22"/>
          <w:szCs w:val="22"/>
        </w:rPr>
        <w:t>l</w:t>
      </w:r>
      <w:r w:rsidR="00ED5607" w:rsidRPr="00606821">
        <w:rPr>
          <w:spacing w:val="-2"/>
          <w:sz w:val="22"/>
          <w:szCs w:val="22"/>
        </w:rPr>
        <w:t>k</w:t>
      </w:r>
      <w:r w:rsidR="00ED5607" w:rsidRPr="00606821">
        <w:rPr>
          <w:sz w:val="22"/>
          <w:szCs w:val="22"/>
        </w:rPr>
        <w:t>oho</w:t>
      </w:r>
      <w:r w:rsidR="00ED5607" w:rsidRPr="00606821">
        <w:rPr>
          <w:spacing w:val="1"/>
          <w:sz w:val="22"/>
          <w:szCs w:val="22"/>
        </w:rPr>
        <w:t>l</w:t>
      </w:r>
      <w:r w:rsidR="00ED5607" w:rsidRPr="00606821">
        <w:rPr>
          <w:spacing w:val="-1"/>
          <w:sz w:val="22"/>
          <w:szCs w:val="22"/>
        </w:rPr>
        <w:t>i</w:t>
      </w:r>
      <w:r w:rsidR="00ED5607" w:rsidRPr="00606821">
        <w:rPr>
          <w:sz w:val="22"/>
          <w:szCs w:val="22"/>
        </w:rPr>
        <w:t>s, b</w:t>
      </w:r>
      <w:r w:rsidR="00ED5607" w:rsidRPr="00606821">
        <w:rPr>
          <w:spacing w:val="-2"/>
          <w:sz w:val="22"/>
          <w:szCs w:val="22"/>
        </w:rPr>
        <w:t>a</w:t>
      </w:r>
      <w:r w:rsidR="00ED5607" w:rsidRPr="00606821">
        <w:rPr>
          <w:spacing w:val="1"/>
          <w:sz w:val="22"/>
          <w:szCs w:val="22"/>
        </w:rPr>
        <w:t>r</w:t>
      </w:r>
      <w:r w:rsidR="00ED5607" w:rsidRPr="00606821">
        <w:rPr>
          <w:sz w:val="22"/>
          <w:szCs w:val="22"/>
        </w:rPr>
        <w:t>b</w:t>
      </w:r>
      <w:r w:rsidR="00ED5607" w:rsidRPr="00606821">
        <w:rPr>
          <w:spacing w:val="-1"/>
          <w:sz w:val="22"/>
          <w:szCs w:val="22"/>
        </w:rPr>
        <w:t>i</w:t>
      </w:r>
      <w:r w:rsidR="00ED5607" w:rsidRPr="00606821">
        <w:rPr>
          <w:spacing w:val="1"/>
          <w:sz w:val="22"/>
          <w:szCs w:val="22"/>
        </w:rPr>
        <w:t>t</w:t>
      </w:r>
      <w:r w:rsidR="00ED5607" w:rsidRPr="00606821">
        <w:rPr>
          <w:spacing w:val="-2"/>
          <w:sz w:val="22"/>
          <w:szCs w:val="22"/>
        </w:rPr>
        <w:t>ū</w:t>
      </w:r>
      <w:r w:rsidR="00ED5607" w:rsidRPr="00606821">
        <w:rPr>
          <w:spacing w:val="1"/>
          <w:sz w:val="22"/>
          <w:szCs w:val="22"/>
        </w:rPr>
        <w:t>r</w:t>
      </w:r>
      <w:r w:rsidR="00ED5607" w:rsidRPr="00606821">
        <w:rPr>
          <w:sz w:val="22"/>
          <w:szCs w:val="22"/>
        </w:rPr>
        <w:t>a</w:t>
      </w:r>
      <w:r w:rsidR="00ED5607" w:rsidRPr="00606821">
        <w:rPr>
          <w:spacing w:val="-1"/>
          <w:sz w:val="22"/>
          <w:szCs w:val="22"/>
        </w:rPr>
        <w:t>t</w:t>
      </w:r>
      <w:r w:rsidR="00ED5607" w:rsidRPr="00606821">
        <w:rPr>
          <w:sz w:val="22"/>
          <w:szCs w:val="22"/>
        </w:rPr>
        <w:t>a</w:t>
      </w:r>
      <w:r w:rsidR="00ED5607" w:rsidRPr="00606821">
        <w:rPr>
          <w:spacing w:val="1"/>
          <w:sz w:val="22"/>
          <w:szCs w:val="22"/>
        </w:rPr>
        <w:t>i</w:t>
      </w:r>
      <w:r w:rsidR="00ED5607" w:rsidRPr="00606821">
        <w:rPr>
          <w:sz w:val="22"/>
          <w:szCs w:val="22"/>
        </w:rPr>
        <w:t>,</w:t>
      </w:r>
      <w:r w:rsidR="00ED5607" w:rsidRPr="00606821">
        <w:rPr>
          <w:spacing w:val="-2"/>
          <w:sz w:val="22"/>
          <w:szCs w:val="22"/>
        </w:rPr>
        <w:t xml:space="preserve"> </w:t>
      </w:r>
      <w:r w:rsidR="00ED5607" w:rsidRPr="00606821">
        <w:rPr>
          <w:sz w:val="22"/>
          <w:szCs w:val="22"/>
        </w:rPr>
        <w:t>na</w:t>
      </w:r>
      <w:r w:rsidR="00ED5607" w:rsidRPr="00606821">
        <w:rPr>
          <w:spacing w:val="1"/>
          <w:sz w:val="22"/>
          <w:szCs w:val="22"/>
        </w:rPr>
        <w:t>r</w:t>
      </w:r>
      <w:r w:rsidR="00ED5607" w:rsidRPr="00606821">
        <w:rPr>
          <w:spacing w:val="-2"/>
          <w:sz w:val="22"/>
          <w:szCs w:val="22"/>
        </w:rPr>
        <w:t>k</w:t>
      </w:r>
      <w:r w:rsidR="00ED5607" w:rsidRPr="00606821">
        <w:rPr>
          <w:sz w:val="22"/>
          <w:szCs w:val="22"/>
        </w:rPr>
        <w:t>o</w:t>
      </w:r>
      <w:r w:rsidR="00ED5607" w:rsidRPr="00606821">
        <w:rPr>
          <w:spacing w:val="-1"/>
          <w:sz w:val="22"/>
          <w:szCs w:val="22"/>
        </w:rPr>
        <w:t>t</w:t>
      </w:r>
      <w:r w:rsidR="00ED5607" w:rsidRPr="00606821">
        <w:rPr>
          <w:spacing w:val="1"/>
          <w:sz w:val="22"/>
          <w:szCs w:val="22"/>
        </w:rPr>
        <w:t>i</w:t>
      </w:r>
      <w:r w:rsidR="00ED5607" w:rsidRPr="00606821">
        <w:rPr>
          <w:spacing w:val="-2"/>
          <w:sz w:val="22"/>
          <w:szCs w:val="22"/>
        </w:rPr>
        <w:t>k</w:t>
      </w:r>
      <w:r w:rsidR="00ED5607" w:rsidRPr="00606821">
        <w:rPr>
          <w:sz w:val="22"/>
          <w:szCs w:val="22"/>
        </w:rPr>
        <w:t>ai</w:t>
      </w:r>
      <w:r w:rsidR="00ED5607" w:rsidRPr="00606821">
        <w:rPr>
          <w:spacing w:val="-1"/>
          <w:sz w:val="22"/>
          <w:szCs w:val="22"/>
        </w:rPr>
        <w:t xml:space="preserve"> </w:t>
      </w:r>
      <w:r w:rsidR="00ED5607" w:rsidRPr="00606821">
        <w:rPr>
          <w:sz w:val="22"/>
          <w:szCs w:val="22"/>
        </w:rPr>
        <w:t>ar</w:t>
      </w:r>
      <w:r w:rsidR="00ED5607" w:rsidRPr="00606821">
        <w:rPr>
          <w:spacing w:val="1"/>
          <w:sz w:val="22"/>
          <w:szCs w:val="22"/>
        </w:rPr>
        <w:t xml:space="preserve"> </w:t>
      </w:r>
      <w:r w:rsidR="00ED5607" w:rsidRPr="00606821">
        <w:rPr>
          <w:sz w:val="22"/>
          <w:szCs w:val="22"/>
        </w:rPr>
        <w:t>a</w:t>
      </w:r>
      <w:r w:rsidR="00ED5607" w:rsidRPr="00606821">
        <w:rPr>
          <w:spacing w:val="-2"/>
          <w:sz w:val="22"/>
          <w:szCs w:val="22"/>
        </w:rPr>
        <w:t>n</w:t>
      </w:r>
      <w:r w:rsidR="00ED5607" w:rsidRPr="00606821">
        <w:rPr>
          <w:spacing w:val="1"/>
          <w:sz w:val="22"/>
          <w:szCs w:val="22"/>
        </w:rPr>
        <w:t>t</w:t>
      </w:r>
      <w:r w:rsidR="00ED5607" w:rsidRPr="00606821">
        <w:rPr>
          <w:spacing w:val="-1"/>
          <w:sz w:val="22"/>
          <w:szCs w:val="22"/>
        </w:rPr>
        <w:t>i</w:t>
      </w:r>
      <w:r w:rsidR="00ED5607" w:rsidRPr="00606821">
        <w:rPr>
          <w:sz w:val="22"/>
          <w:szCs w:val="22"/>
        </w:rPr>
        <w:t>de</w:t>
      </w:r>
      <w:r w:rsidR="00ED5607" w:rsidRPr="00606821">
        <w:rPr>
          <w:spacing w:val="-2"/>
          <w:sz w:val="22"/>
          <w:szCs w:val="22"/>
        </w:rPr>
        <w:t>p</w:t>
      </w:r>
      <w:r w:rsidR="00ED5607" w:rsidRPr="00606821">
        <w:rPr>
          <w:spacing w:val="1"/>
          <w:sz w:val="22"/>
          <w:szCs w:val="22"/>
        </w:rPr>
        <w:t>r</w:t>
      </w:r>
      <w:r w:rsidR="00ED5607" w:rsidRPr="00606821">
        <w:rPr>
          <w:sz w:val="22"/>
          <w:szCs w:val="22"/>
        </w:rPr>
        <w:t>e</w:t>
      </w:r>
      <w:r w:rsidR="00ED5607" w:rsidRPr="00606821">
        <w:rPr>
          <w:spacing w:val="-2"/>
          <w:sz w:val="22"/>
          <w:szCs w:val="22"/>
        </w:rPr>
        <w:t>s</w:t>
      </w:r>
      <w:r w:rsidR="00ED5607" w:rsidRPr="00606821">
        <w:rPr>
          <w:sz w:val="22"/>
          <w:szCs w:val="22"/>
        </w:rPr>
        <w:t>an</w:t>
      </w:r>
      <w:r w:rsidR="00ED5607" w:rsidRPr="00606821">
        <w:rPr>
          <w:spacing w:val="-1"/>
          <w:sz w:val="22"/>
          <w:szCs w:val="22"/>
        </w:rPr>
        <w:t>t</w:t>
      </w:r>
      <w:r w:rsidR="00ED5607" w:rsidRPr="00606821">
        <w:rPr>
          <w:sz w:val="22"/>
          <w:szCs w:val="22"/>
        </w:rPr>
        <w:t>a</w:t>
      </w:r>
      <w:r w:rsidR="00ED5607" w:rsidRPr="00606821">
        <w:rPr>
          <w:spacing w:val="1"/>
          <w:sz w:val="22"/>
          <w:szCs w:val="22"/>
        </w:rPr>
        <w:t>i</w:t>
      </w:r>
      <w:r w:rsidR="00ED5607" w:rsidRPr="00606821">
        <w:rPr>
          <w:sz w:val="22"/>
          <w:szCs w:val="22"/>
        </w:rPr>
        <w:t xml:space="preserve">. </w:t>
      </w:r>
      <w:r w:rsidR="00ED5607" w:rsidRPr="00606821">
        <w:rPr>
          <w:spacing w:val="2"/>
          <w:sz w:val="22"/>
          <w:szCs w:val="22"/>
        </w:rPr>
        <w:t>T</w:t>
      </w:r>
      <w:r w:rsidR="00ED5607" w:rsidRPr="00606821">
        <w:rPr>
          <w:spacing w:val="-2"/>
          <w:sz w:val="22"/>
          <w:szCs w:val="22"/>
        </w:rPr>
        <w:t>a</w:t>
      </w:r>
      <w:r w:rsidR="00ED5607" w:rsidRPr="00606821">
        <w:rPr>
          <w:sz w:val="22"/>
          <w:szCs w:val="22"/>
        </w:rPr>
        <w:t>i</w:t>
      </w:r>
      <w:r w:rsidR="00ED5607" w:rsidRPr="00606821">
        <w:rPr>
          <w:spacing w:val="-1"/>
          <w:sz w:val="22"/>
          <w:szCs w:val="22"/>
        </w:rPr>
        <w:t xml:space="preserve"> </w:t>
      </w:r>
      <w:r w:rsidR="00ED5607" w:rsidRPr="00606821">
        <w:rPr>
          <w:spacing w:val="3"/>
          <w:sz w:val="22"/>
          <w:szCs w:val="22"/>
        </w:rPr>
        <w:t>J</w:t>
      </w:r>
      <w:r w:rsidR="00ED5607" w:rsidRPr="00606821">
        <w:rPr>
          <w:spacing w:val="-2"/>
          <w:sz w:val="22"/>
          <w:szCs w:val="22"/>
        </w:rPr>
        <w:t>ū</w:t>
      </w:r>
      <w:r w:rsidR="00ED5607" w:rsidRPr="00606821">
        <w:rPr>
          <w:sz w:val="22"/>
          <w:szCs w:val="22"/>
        </w:rPr>
        <w:t>s</w:t>
      </w:r>
      <w:r w:rsidR="00ED5607" w:rsidRPr="00606821">
        <w:rPr>
          <w:spacing w:val="1"/>
          <w:sz w:val="22"/>
          <w:szCs w:val="22"/>
        </w:rPr>
        <w:t xml:space="preserve"> </w:t>
      </w:r>
      <w:r w:rsidR="00ED5607" w:rsidRPr="00606821">
        <w:rPr>
          <w:spacing w:val="-2"/>
          <w:sz w:val="22"/>
          <w:szCs w:val="22"/>
        </w:rPr>
        <w:t>g</w:t>
      </w:r>
      <w:r w:rsidR="00ED5607" w:rsidRPr="00606821">
        <w:rPr>
          <w:sz w:val="22"/>
          <w:szCs w:val="22"/>
        </w:rPr>
        <w:t>a</w:t>
      </w:r>
      <w:r w:rsidR="00ED5607" w:rsidRPr="00606821">
        <w:rPr>
          <w:spacing w:val="1"/>
          <w:sz w:val="22"/>
          <w:szCs w:val="22"/>
        </w:rPr>
        <w:t>l</w:t>
      </w:r>
      <w:r w:rsidR="00ED5607" w:rsidRPr="00606821">
        <w:rPr>
          <w:spacing w:val="-1"/>
          <w:sz w:val="22"/>
          <w:szCs w:val="22"/>
        </w:rPr>
        <w:t>i</w:t>
      </w:r>
      <w:r w:rsidR="00ED5607" w:rsidRPr="00606821">
        <w:rPr>
          <w:spacing w:val="1"/>
          <w:sz w:val="22"/>
          <w:szCs w:val="22"/>
        </w:rPr>
        <w:t>t</w:t>
      </w:r>
      <w:r w:rsidR="00ED5607" w:rsidRPr="00606821">
        <w:rPr>
          <w:sz w:val="22"/>
          <w:szCs w:val="22"/>
        </w:rPr>
        <w:t>e</w:t>
      </w:r>
      <w:r w:rsidR="00ED5607" w:rsidRPr="00606821">
        <w:rPr>
          <w:spacing w:val="1"/>
          <w:sz w:val="22"/>
          <w:szCs w:val="22"/>
        </w:rPr>
        <w:t xml:space="preserve"> </w:t>
      </w:r>
      <w:r w:rsidR="00ED5607" w:rsidRPr="00606821">
        <w:rPr>
          <w:spacing w:val="-2"/>
          <w:sz w:val="22"/>
          <w:szCs w:val="22"/>
        </w:rPr>
        <w:t>p</w:t>
      </w:r>
      <w:r w:rsidR="00ED5607" w:rsidRPr="00606821">
        <w:rPr>
          <w:sz w:val="22"/>
          <w:szCs w:val="22"/>
        </w:rPr>
        <w:t>a</w:t>
      </w:r>
      <w:r w:rsidR="00ED5607" w:rsidRPr="00606821">
        <w:rPr>
          <w:spacing w:val="-2"/>
          <w:sz w:val="22"/>
          <w:szCs w:val="22"/>
        </w:rPr>
        <w:t>s</w:t>
      </w:r>
      <w:r w:rsidR="00ED5607" w:rsidRPr="00606821">
        <w:rPr>
          <w:spacing w:val="1"/>
          <w:sz w:val="22"/>
          <w:szCs w:val="22"/>
        </w:rPr>
        <w:t>t</w:t>
      </w:r>
      <w:r w:rsidR="00ED5607" w:rsidRPr="00606821">
        <w:rPr>
          <w:sz w:val="22"/>
          <w:szCs w:val="22"/>
        </w:rPr>
        <w:t>eb</w:t>
      </w:r>
      <w:r w:rsidR="00ED5607" w:rsidRPr="00606821">
        <w:rPr>
          <w:spacing w:val="-2"/>
          <w:sz w:val="22"/>
          <w:szCs w:val="22"/>
        </w:rPr>
        <w:t>ė</w:t>
      </w:r>
      <w:r w:rsidR="00ED5607" w:rsidRPr="00606821">
        <w:rPr>
          <w:spacing w:val="1"/>
          <w:sz w:val="22"/>
          <w:szCs w:val="22"/>
        </w:rPr>
        <w:t>t</w:t>
      </w:r>
      <w:r w:rsidR="00ED5607" w:rsidRPr="00606821">
        <w:rPr>
          <w:sz w:val="22"/>
          <w:szCs w:val="22"/>
        </w:rPr>
        <w:t>i</w:t>
      </w:r>
      <w:r w:rsidR="00ED5607" w:rsidRPr="00606821">
        <w:rPr>
          <w:spacing w:val="-1"/>
          <w:sz w:val="22"/>
          <w:szCs w:val="22"/>
        </w:rPr>
        <w:t xml:space="preserve"> </w:t>
      </w:r>
      <w:r w:rsidR="00ED5607" w:rsidRPr="00606821">
        <w:rPr>
          <w:spacing w:val="-2"/>
          <w:sz w:val="22"/>
          <w:szCs w:val="22"/>
        </w:rPr>
        <w:t>k</w:t>
      </w:r>
      <w:r w:rsidR="00ED5607" w:rsidRPr="00606821">
        <w:rPr>
          <w:sz w:val="22"/>
          <w:szCs w:val="22"/>
        </w:rPr>
        <w:t>a</w:t>
      </w:r>
      <w:r w:rsidR="00ED5607" w:rsidRPr="00606821">
        <w:rPr>
          <w:spacing w:val="1"/>
          <w:sz w:val="22"/>
          <w:szCs w:val="22"/>
        </w:rPr>
        <w:t>i</w:t>
      </w:r>
      <w:r w:rsidR="00ED5607" w:rsidRPr="00606821">
        <w:rPr>
          <w:sz w:val="22"/>
          <w:szCs w:val="22"/>
        </w:rPr>
        <w:t>p</w:t>
      </w:r>
      <w:r w:rsidR="00ED5607" w:rsidRPr="00606821">
        <w:rPr>
          <w:spacing w:val="-2"/>
          <w:sz w:val="22"/>
          <w:szCs w:val="22"/>
        </w:rPr>
        <w:t xml:space="preserve"> </w:t>
      </w:r>
      <w:r w:rsidR="00ED5607" w:rsidRPr="00606821">
        <w:rPr>
          <w:sz w:val="22"/>
          <w:szCs w:val="22"/>
        </w:rPr>
        <w:t>s</w:t>
      </w:r>
      <w:r w:rsidR="00ED5607" w:rsidRPr="00606821">
        <w:rPr>
          <w:spacing w:val="-2"/>
          <w:sz w:val="22"/>
          <w:szCs w:val="22"/>
        </w:rPr>
        <w:t>v</w:t>
      </w:r>
      <w:r w:rsidR="00ED5607" w:rsidRPr="00606821">
        <w:rPr>
          <w:sz w:val="22"/>
          <w:szCs w:val="22"/>
        </w:rPr>
        <w:t>a</w:t>
      </w:r>
      <w:r w:rsidR="00ED5607" w:rsidRPr="00606821">
        <w:rPr>
          <w:spacing w:val="1"/>
          <w:sz w:val="22"/>
          <w:szCs w:val="22"/>
        </w:rPr>
        <w:t>i</w:t>
      </w:r>
      <w:r w:rsidR="00ED5607" w:rsidRPr="00606821">
        <w:rPr>
          <w:spacing w:val="-2"/>
          <w:sz w:val="22"/>
          <w:szCs w:val="22"/>
        </w:rPr>
        <w:t>g</w:t>
      </w:r>
      <w:r w:rsidR="00ED5607" w:rsidRPr="00606821">
        <w:rPr>
          <w:sz w:val="22"/>
          <w:szCs w:val="22"/>
        </w:rPr>
        <w:t>u</w:t>
      </w:r>
      <w:r w:rsidR="00ED5607" w:rsidRPr="00606821">
        <w:rPr>
          <w:spacing w:val="1"/>
          <w:sz w:val="22"/>
          <w:szCs w:val="22"/>
        </w:rPr>
        <w:t>l</w:t>
      </w:r>
      <w:r w:rsidR="00ED5607" w:rsidRPr="00606821">
        <w:rPr>
          <w:sz w:val="22"/>
          <w:szCs w:val="22"/>
        </w:rPr>
        <w:t>į</w:t>
      </w:r>
      <w:r w:rsidR="00ED5607" w:rsidRPr="00606821">
        <w:rPr>
          <w:spacing w:val="1"/>
          <w:sz w:val="22"/>
          <w:szCs w:val="22"/>
        </w:rPr>
        <w:t xml:space="preserve"> </w:t>
      </w:r>
      <w:r w:rsidR="00ED5607" w:rsidRPr="00606821">
        <w:rPr>
          <w:spacing w:val="-2"/>
          <w:sz w:val="22"/>
          <w:szCs w:val="22"/>
        </w:rPr>
        <w:t>a</w:t>
      </w:r>
      <w:r w:rsidR="00ED5607" w:rsidRPr="00606821">
        <w:rPr>
          <w:spacing w:val="1"/>
          <w:sz w:val="22"/>
          <w:szCs w:val="22"/>
        </w:rPr>
        <w:t>t</w:t>
      </w:r>
      <w:r w:rsidR="00ED5607" w:rsidRPr="00606821">
        <w:rPr>
          <w:spacing w:val="-2"/>
          <w:sz w:val="22"/>
          <w:szCs w:val="22"/>
        </w:rPr>
        <w:t>s</w:t>
      </w:r>
      <w:r w:rsidR="00ED5607" w:rsidRPr="00606821">
        <w:rPr>
          <w:spacing w:val="1"/>
          <w:sz w:val="22"/>
          <w:szCs w:val="22"/>
        </w:rPr>
        <w:t>i</w:t>
      </w:r>
      <w:r w:rsidR="00ED5607" w:rsidRPr="00606821">
        <w:rPr>
          <w:sz w:val="22"/>
          <w:szCs w:val="22"/>
        </w:rPr>
        <w:t>s</w:t>
      </w:r>
      <w:r w:rsidR="00ED5607" w:rsidRPr="00606821">
        <w:rPr>
          <w:spacing w:val="-1"/>
          <w:sz w:val="22"/>
          <w:szCs w:val="22"/>
        </w:rPr>
        <w:t>t</w:t>
      </w:r>
      <w:r w:rsidR="00ED5607" w:rsidRPr="00606821">
        <w:rPr>
          <w:spacing w:val="-2"/>
          <w:sz w:val="22"/>
          <w:szCs w:val="22"/>
        </w:rPr>
        <w:t>o</w:t>
      </w:r>
      <w:r w:rsidR="00ED5607" w:rsidRPr="00606821">
        <w:rPr>
          <w:spacing w:val="3"/>
          <w:sz w:val="22"/>
          <w:szCs w:val="22"/>
        </w:rPr>
        <w:t>j</w:t>
      </w:r>
      <w:r w:rsidR="00ED5607" w:rsidRPr="00606821">
        <w:rPr>
          <w:spacing w:val="-2"/>
          <w:sz w:val="22"/>
          <w:szCs w:val="22"/>
        </w:rPr>
        <w:t>a</w:t>
      </w:r>
      <w:r w:rsidR="00ED5607" w:rsidRPr="00606821">
        <w:rPr>
          <w:sz w:val="22"/>
          <w:szCs w:val="22"/>
        </w:rPr>
        <w:t>n</w:t>
      </w:r>
      <w:r w:rsidR="00ED5607" w:rsidRPr="00606821">
        <w:rPr>
          <w:spacing w:val="1"/>
          <w:sz w:val="22"/>
          <w:szCs w:val="22"/>
        </w:rPr>
        <w:t>t</w:t>
      </w:r>
      <w:r w:rsidR="00ED5607" w:rsidRPr="00606821">
        <w:rPr>
          <w:sz w:val="22"/>
          <w:szCs w:val="22"/>
        </w:rPr>
        <w:t>.</w:t>
      </w:r>
      <w:r w:rsidR="00ED5607" w:rsidRPr="00B84FE7">
        <w:rPr>
          <w:spacing w:val="-2"/>
          <w:sz w:val="22"/>
        </w:rPr>
        <w:t xml:space="preserve"> </w:t>
      </w:r>
      <w:r w:rsidRPr="009B54A6">
        <w:rPr>
          <w:color w:val="000000"/>
          <w:sz w:val="22"/>
          <w:szCs w:val="22"/>
        </w:rPr>
        <w:t xml:space="preserve">Jeigu kitų kartu su </w:t>
      </w:r>
      <w:r w:rsidRPr="009B54A6">
        <w:rPr>
          <w:color w:val="000000"/>
          <w:sz w:val="22"/>
          <w:szCs w:val="22"/>
          <w:lang w:eastAsia="lt-LT"/>
        </w:rPr>
        <w:t>Telmisartan/Hydrochlorothiazide Sandoz</w:t>
      </w:r>
      <w:r w:rsidRPr="009B54A6">
        <w:rPr>
          <w:color w:val="000000"/>
          <w:sz w:val="22"/>
          <w:szCs w:val="22"/>
        </w:rPr>
        <w:t xml:space="preserve"> vartojamų vaistų dozę reikia keisti, būtina kreiptis į gydytoją patarimo.</w:t>
      </w:r>
    </w:p>
    <w:p w14:paraId="10DB51C8" w14:textId="77777777" w:rsidR="000E5428" w:rsidRPr="00B84FE7" w:rsidRDefault="000E5428" w:rsidP="00B84FE7">
      <w:pPr>
        <w:ind w:left="118" w:right="185"/>
      </w:pPr>
      <w:r w:rsidRPr="009B54A6">
        <w:rPr>
          <w:color w:val="000000"/>
          <w:sz w:val="22"/>
          <w:szCs w:val="22"/>
        </w:rPr>
        <w:t xml:space="preserve"> </w:t>
      </w:r>
    </w:p>
    <w:p w14:paraId="48DD2B6A"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Telmisartan/Hydrochlorothiazide Sandoz poveikį gali silpninti kartu vartojami NVNU (nesteroidiniai vaistai nuo uždegimo, pvz., aspirinas, ibuprofenas). </w:t>
      </w:r>
    </w:p>
    <w:p w14:paraId="67D75F77" w14:textId="77777777" w:rsidR="000E5428" w:rsidRPr="009B54A6" w:rsidRDefault="000E5428" w:rsidP="000E5428">
      <w:pPr>
        <w:autoSpaceDE w:val="0"/>
        <w:autoSpaceDN w:val="0"/>
        <w:adjustRightInd w:val="0"/>
        <w:rPr>
          <w:b/>
          <w:bCs/>
          <w:color w:val="000000"/>
          <w:sz w:val="22"/>
          <w:szCs w:val="22"/>
        </w:rPr>
      </w:pPr>
    </w:p>
    <w:p w14:paraId="4C764FE4" w14:textId="77777777" w:rsidR="000E5428" w:rsidRPr="009B54A6" w:rsidRDefault="000E5428" w:rsidP="000E5428">
      <w:pPr>
        <w:autoSpaceDE w:val="0"/>
        <w:autoSpaceDN w:val="0"/>
        <w:adjustRightInd w:val="0"/>
        <w:rPr>
          <w:color w:val="000000"/>
          <w:sz w:val="22"/>
          <w:szCs w:val="22"/>
        </w:rPr>
      </w:pPr>
      <w:r w:rsidRPr="009B54A6">
        <w:rPr>
          <w:b/>
          <w:bCs/>
          <w:color w:val="000000"/>
          <w:sz w:val="22"/>
          <w:szCs w:val="22"/>
        </w:rPr>
        <w:t xml:space="preserve">Nėštumas ir žindymo laikotarpis </w:t>
      </w:r>
    </w:p>
    <w:p w14:paraId="71E3BABD" w14:textId="77777777" w:rsidR="000E5428" w:rsidRPr="009B54A6" w:rsidRDefault="000E5428" w:rsidP="000E5428">
      <w:pPr>
        <w:autoSpaceDE w:val="0"/>
        <w:autoSpaceDN w:val="0"/>
        <w:adjustRightInd w:val="0"/>
        <w:rPr>
          <w:color w:val="000000"/>
          <w:sz w:val="22"/>
          <w:szCs w:val="22"/>
          <w:u w:val="single"/>
        </w:rPr>
      </w:pPr>
      <w:r w:rsidRPr="009B54A6">
        <w:rPr>
          <w:color w:val="000000"/>
          <w:sz w:val="22"/>
          <w:szCs w:val="22"/>
          <w:u w:val="single"/>
        </w:rPr>
        <w:lastRenderedPageBreak/>
        <w:t xml:space="preserve">Nėštumas </w:t>
      </w:r>
    </w:p>
    <w:p w14:paraId="487FC77E" w14:textId="77777777" w:rsidR="000E5428" w:rsidRPr="009B54A6" w:rsidRDefault="000E5428" w:rsidP="000E5428">
      <w:pPr>
        <w:autoSpaceDE w:val="0"/>
        <w:autoSpaceDN w:val="0"/>
        <w:adjustRightInd w:val="0"/>
        <w:rPr>
          <w:color w:val="000000"/>
          <w:sz w:val="22"/>
          <w:szCs w:val="22"/>
        </w:rPr>
      </w:pPr>
      <w:r w:rsidRPr="009B54A6">
        <w:rPr>
          <w:b/>
          <w:color w:val="000000"/>
          <w:sz w:val="22"/>
          <w:szCs w:val="22"/>
        </w:rPr>
        <w:t>Jeigu manote, kad esate (</w:t>
      </w:r>
      <w:r w:rsidRPr="009B54A6">
        <w:rPr>
          <w:b/>
          <w:color w:val="000000"/>
          <w:sz w:val="22"/>
          <w:szCs w:val="22"/>
          <w:u w:val="single"/>
        </w:rPr>
        <w:t>arba galbūt tapote</w:t>
      </w:r>
      <w:r w:rsidRPr="009B54A6">
        <w:rPr>
          <w:b/>
          <w:color w:val="000000"/>
          <w:sz w:val="22"/>
          <w:szCs w:val="22"/>
        </w:rPr>
        <w:t>) nėščia, turite pasakyti savo gydytojui</w:t>
      </w:r>
      <w:r w:rsidRPr="009B54A6">
        <w:rPr>
          <w:color w:val="000000"/>
          <w:sz w:val="22"/>
          <w:szCs w:val="22"/>
        </w:rPr>
        <w:t xml:space="preserve">. Jūsų gydytojas paprastai Jums patars </w:t>
      </w:r>
      <w:r w:rsidRPr="009B54A6">
        <w:rPr>
          <w:color w:val="000000"/>
          <w:sz w:val="22"/>
          <w:szCs w:val="22"/>
          <w:lang w:eastAsia="lt-LT"/>
        </w:rPr>
        <w:t>Telmisartan/Hydrochlorothiazide Sandoz</w:t>
      </w:r>
      <w:r w:rsidRPr="009B54A6">
        <w:rPr>
          <w:color w:val="000000"/>
          <w:sz w:val="22"/>
          <w:szCs w:val="22"/>
        </w:rPr>
        <w:t xml:space="preserve"> vartojimą nutraukti prieš pastojimą arba tuoj pat, kai tik sužinosite, kad tapote nėščia, ir patars vietoj </w:t>
      </w:r>
      <w:r w:rsidRPr="009B54A6">
        <w:rPr>
          <w:color w:val="000000"/>
          <w:sz w:val="22"/>
          <w:szCs w:val="22"/>
          <w:lang w:eastAsia="lt-LT"/>
        </w:rPr>
        <w:t>Telmisartan/Hydrochlorothiazide Sandoz</w:t>
      </w:r>
      <w:r w:rsidRPr="009B54A6">
        <w:rPr>
          <w:color w:val="000000"/>
          <w:sz w:val="22"/>
          <w:szCs w:val="22"/>
        </w:rPr>
        <w:t xml:space="preserve"> vartoti kitokio vaisto. Nėštumo laikotarpiu </w:t>
      </w:r>
      <w:r w:rsidRPr="009B54A6">
        <w:rPr>
          <w:color w:val="000000"/>
          <w:sz w:val="22"/>
          <w:szCs w:val="22"/>
          <w:lang w:eastAsia="lt-LT"/>
        </w:rPr>
        <w:t>Telmisartan/Hydrochlorothiazide Sandoz</w:t>
      </w:r>
      <w:r w:rsidRPr="009B54A6">
        <w:rPr>
          <w:color w:val="000000"/>
          <w:sz w:val="22"/>
          <w:szCs w:val="22"/>
        </w:rPr>
        <w:t xml:space="preserve"> vartoti nerekomenduojama. Jeigu nėščia esate daugiau negu tris mėnesius, </w:t>
      </w:r>
      <w:r w:rsidRPr="009B54A6">
        <w:rPr>
          <w:color w:val="000000"/>
          <w:sz w:val="22"/>
          <w:szCs w:val="22"/>
          <w:lang w:eastAsia="lt-LT"/>
        </w:rPr>
        <w:t>Telmisartan/Hydrochlorothiazide Sandoz</w:t>
      </w:r>
      <w:r w:rsidRPr="009B54A6">
        <w:rPr>
          <w:color w:val="000000"/>
          <w:sz w:val="22"/>
          <w:szCs w:val="22"/>
        </w:rPr>
        <w:t xml:space="preserve"> vartoti draudžiama, nes vartojamas po trečio nėštumo mėnesio šis vaistas gali sukelti sunkią Jūsų vaisiaus pažaidą. </w:t>
      </w:r>
    </w:p>
    <w:p w14:paraId="6914F6BA" w14:textId="77777777" w:rsidR="000E5428" w:rsidRPr="009B54A6" w:rsidRDefault="000E5428" w:rsidP="000E5428">
      <w:pPr>
        <w:autoSpaceDE w:val="0"/>
        <w:autoSpaceDN w:val="0"/>
        <w:adjustRightInd w:val="0"/>
        <w:rPr>
          <w:color w:val="000000"/>
          <w:sz w:val="22"/>
          <w:szCs w:val="22"/>
        </w:rPr>
      </w:pPr>
    </w:p>
    <w:p w14:paraId="644A221F" w14:textId="77777777" w:rsidR="000E5428" w:rsidRPr="009B54A6" w:rsidRDefault="000E5428" w:rsidP="000E5428">
      <w:pPr>
        <w:autoSpaceDE w:val="0"/>
        <w:autoSpaceDN w:val="0"/>
        <w:adjustRightInd w:val="0"/>
        <w:rPr>
          <w:color w:val="000000"/>
          <w:sz w:val="22"/>
          <w:szCs w:val="22"/>
          <w:u w:val="single"/>
        </w:rPr>
      </w:pPr>
      <w:r w:rsidRPr="009B54A6">
        <w:rPr>
          <w:color w:val="000000"/>
          <w:sz w:val="22"/>
          <w:szCs w:val="22"/>
          <w:u w:val="single"/>
        </w:rPr>
        <w:t xml:space="preserve">Žindymo laikotarpis </w:t>
      </w:r>
    </w:p>
    <w:p w14:paraId="0B0BF654"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Jeigu žindote arba norite pradėti žindyti kūdikį, pasakykite gydytojui. Žindyvėms </w:t>
      </w:r>
      <w:r w:rsidRPr="009B54A6">
        <w:rPr>
          <w:color w:val="000000"/>
          <w:sz w:val="22"/>
          <w:szCs w:val="22"/>
          <w:lang w:eastAsia="lt-LT"/>
        </w:rPr>
        <w:t>Telmisartan/Hydrochlorothiazide Sandoz</w:t>
      </w:r>
      <w:r w:rsidRPr="009B54A6">
        <w:rPr>
          <w:color w:val="000000"/>
          <w:sz w:val="22"/>
          <w:szCs w:val="22"/>
        </w:rPr>
        <w:t xml:space="preserve"> vartoti nerekomenduojama. </w:t>
      </w:r>
      <w:r w:rsidRPr="009B54A6">
        <w:rPr>
          <w:color w:val="000000"/>
          <w:sz w:val="22"/>
          <w:szCs w:val="22"/>
          <w:lang w:eastAsia="lt-LT"/>
        </w:rPr>
        <w:t>Jeigu norite žindyti kūdikį, ypač naujagimį ar neišnešiotą, gydytojas Jums gali parinkti kitokį gydymą</w:t>
      </w:r>
      <w:r w:rsidRPr="009B54A6">
        <w:rPr>
          <w:color w:val="000000"/>
          <w:sz w:val="22"/>
          <w:szCs w:val="22"/>
        </w:rPr>
        <w:t xml:space="preserve">. </w:t>
      </w:r>
    </w:p>
    <w:p w14:paraId="64F599AE" w14:textId="77777777" w:rsidR="000E5428" w:rsidRPr="009B54A6" w:rsidRDefault="000E5428" w:rsidP="000E5428">
      <w:pPr>
        <w:autoSpaceDE w:val="0"/>
        <w:autoSpaceDN w:val="0"/>
        <w:adjustRightInd w:val="0"/>
        <w:rPr>
          <w:b/>
          <w:bCs/>
          <w:color w:val="000000"/>
          <w:sz w:val="22"/>
          <w:szCs w:val="22"/>
        </w:rPr>
      </w:pPr>
    </w:p>
    <w:p w14:paraId="3D1585A6" w14:textId="77777777" w:rsidR="000E5428" w:rsidRPr="009B54A6" w:rsidRDefault="000E5428" w:rsidP="000E5428">
      <w:pPr>
        <w:autoSpaceDE w:val="0"/>
        <w:autoSpaceDN w:val="0"/>
        <w:adjustRightInd w:val="0"/>
        <w:rPr>
          <w:color w:val="000000"/>
          <w:sz w:val="22"/>
          <w:szCs w:val="22"/>
        </w:rPr>
      </w:pPr>
      <w:r w:rsidRPr="009B54A6">
        <w:rPr>
          <w:b/>
          <w:bCs/>
          <w:color w:val="000000"/>
          <w:sz w:val="22"/>
          <w:szCs w:val="22"/>
        </w:rPr>
        <w:t xml:space="preserve">Vairavimas ir mechanizmų valdymas </w:t>
      </w:r>
    </w:p>
    <w:p w14:paraId="7DB4F82F"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Vartodami </w:t>
      </w:r>
      <w:r w:rsidRPr="009B54A6">
        <w:rPr>
          <w:color w:val="000000"/>
          <w:sz w:val="22"/>
          <w:szCs w:val="22"/>
          <w:lang w:eastAsia="lt-LT"/>
        </w:rPr>
        <w:t>Telmisartan/Hydrochlorothiazide Sandoz</w:t>
      </w:r>
      <w:r w:rsidRPr="009B54A6">
        <w:rPr>
          <w:color w:val="000000"/>
          <w:sz w:val="22"/>
          <w:szCs w:val="22"/>
        </w:rPr>
        <w:t xml:space="preserve">, kai kurie žmonės gali justi galvos svaigimą arba nuovargį. Jeigu galvos svaigimas arba nuovargis pasireiškia, nevairuokite ir nevaldykite mechanizmų. </w:t>
      </w:r>
    </w:p>
    <w:p w14:paraId="22A21CD6" w14:textId="77777777" w:rsidR="000E5428" w:rsidRPr="009B54A6" w:rsidRDefault="000E5428" w:rsidP="000E5428">
      <w:pPr>
        <w:autoSpaceDE w:val="0"/>
        <w:autoSpaceDN w:val="0"/>
        <w:adjustRightInd w:val="0"/>
        <w:rPr>
          <w:b/>
          <w:bCs/>
          <w:color w:val="000000"/>
          <w:sz w:val="22"/>
          <w:szCs w:val="22"/>
        </w:rPr>
      </w:pPr>
    </w:p>
    <w:p w14:paraId="4038F7A9" w14:textId="77777777" w:rsidR="000E5428" w:rsidRPr="009B54A6" w:rsidRDefault="000E5428" w:rsidP="000E5428">
      <w:pPr>
        <w:autoSpaceDE w:val="0"/>
        <w:autoSpaceDN w:val="0"/>
        <w:adjustRightInd w:val="0"/>
        <w:rPr>
          <w:color w:val="000000"/>
          <w:sz w:val="22"/>
          <w:szCs w:val="22"/>
        </w:rPr>
      </w:pPr>
      <w:r w:rsidRPr="009B54A6">
        <w:rPr>
          <w:b/>
          <w:color w:val="000000"/>
          <w:sz w:val="22"/>
          <w:szCs w:val="22"/>
          <w:lang w:eastAsia="lt-LT"/>
        </w:rPr>
        <w:t>Telmisartan/Hydrochlorothiazide Sandoz</w:t>
      </w:r>
      <w:r w:rsidRPr="009B54A6">
        <w:rPr>
          <w:b/>
          <w:bCs/>
          <w:color w:val="000000"/>
          <w:sz w:val="22"/>
          <w:szCs w:val="22"/>
        </w:rPr>
        <w:t xml:space="preserve"> sudėtyje yra laktozės </w:t>
      </w:r>
    </w:p>
    <w:p w14:paraId="6481F7E4"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Jeigu netoleruojate kokių nors angliavandenių, kreipkitės į gydytoją prieš pradėdami vartoti </w:t>
      </w:r>
      <w:r w:rsidRPr="009B54A6">
        <w:rPr>
          <w:color w:val="000000"/>
          <w:sz w:val="22"/>
          <w:szCs w:val="22"/>
          <w:lang w:eastAsia="lt-LT"/>
        </w:rPr>
        <w:t>Telmisartan/Hydrochlorothiazide Sandoz</w:t>
      </w:r>
      <w:r w:rsidRPr="009B54A6">
        <w:rPr>
          <w:color w:val="000000"/>
          <w:sz w:val="22"/>
          <w:szCs w:val="22"/>
        </w:rPr>
        <w:t>.</w:t>
      </w:r>
    </w:p>
    <w:p w14:paraId="690FDC70" w14:textId="77777777" w:rsidR="000E5428" w:rsidRPr="009B54A6" w:rsidRDefault="000E5428" w:rsidP="000E5428">
      <w:pPr>
        <w:autoSpaceDE w:val="0"/>
        <w:autoSpaceDN w:val="0"/>
        <w:adjustRightInd w:val="0"/>
        <w:rPr>
          <w:color w:val="000000"/>
          <w:sz w:val="22"/>
          <w:szCs w:val="22"/>
        </w:rPr>
      </w:pPr>
    </w:p>
    <w:p w14:paraId="2088A322" w14:textId="77777777" w:rsidR="000E5428" w:rsidRPr="009B54A6" w:rsidRDefault="000E5428" w:rsidP="000E5428">
      <w:pPr>
        <w:autoSpaceDE w:val="0"/>
        <w:autoSpaceDN w:val="0"/>
        <w:adjustRightInd w:val="0"/>
        <w:rPr>
          <w:sz w:val="22"/>
          <w:szCs w:val="22"/>
          <w:lang w:eastAsia="lt-LT"/>
        </w:rPr>
      </w:pPr>
    </w:p>
    <w:p w14:paraId="34E71F27"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3.</w:t>
      </w:r>
      <w:r w:rsidRPr="009B54A6">
        <w:rPr>
          <w:b/>
          <w:bCs/>
          <w:sz w:val="22"/>
          <w:szCs w:val="22"/>
          <w:lang w:eastAsia="lt-LT"/>
        </w:rPr>
        <w:tab/>
      </w:r>
      <w:r w:rsidRPr="009B54A6">
        <w:rPr>
          <w:b/>
          <w:sz w:val="22"/>
          <w:szCs w:val="22"/>
          <w:lang w:eastAsia="lt-LT"/>
        </w:rPr>
        <w:t>Kaip vartoti Telmisartan/Hydrochlorothiazide Sandoz</w:t>
      </w:r>
    </w:p>
    <w:p w14:paraId="21A2DFCE" w14:textId="77777777" w:rsidR="000E5428" w:rsidRPr="009B54A6" w:rsidRDefault="000E5428" w:rsidP="000E5428">
      <w:pPr>
        <w:autoSpaceDE w:val="0"/>
        <w:autoSpaceDN w:val="0"/>
        <w:adjustRightInd w:val="0"/>
        <w:rPr>
          <w:sz w:val="22"/>
          <w:szCs w:val="22"/>
          <w:lang w:eastAsia="lt-LT"/>
        </w:rPr>
      </w:pPr>
    </w:p>
    <w:p w14:paraId="0070A400"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Telmisartan/Hydrochlorothiazide Sandoz visada vartokite tiksliai, kaip nurodė gydytojas. Jeigu abejojate, kreipkitės į gydytoją arba vaistininką.</w:t>
      </w:r>
    </w:p>
    <w:p w14:paraId="7C505662" w14:textId="77777777" w:rsidR="000E5428" w:rsidRPr="009B54A6" w:rsidRDefault="000E5428" w:rsidP="000E5428">
      <w:pPr>
        <w:autoSpaceDE w:val="0"/>
        <w:autoSpaceDN w:val="0"/>
        <w:adjustRightInd w:val="0"/>
        <w:rPr>
          <w:sz w:val="22"/>
          <w:szCs w:val="22"/>
          <w:lang w:eastAsia="lt-LT"/>
        </w:rPr>
      </w:pPr>
    </w:p>
    <w:p w14:paraId="310EEB42" w14:textId="0662F93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Rekomenduojama paros dozė yra viena </w:t>
      </w:r>
      <w:r w:rsidRPr="009B54A6">
        <w:rPr>
          <w:color w:val="000000"/>
          <w:sz w:val="22"/>
          <w:szCs w:val="22"/>
          <w:lang w:eastAsia="lt-LT"/>
        </w:rPr>
        <w:t>Telmisartan/Hydrochlorothiazide Sandoz</w:t>
      </w:r>
      <w:r w:rsidRPr="009B54A6">
        <w:rPr>
          <w:color w:val="000000"/>
          <w:sz w:val="22"/>
          <w:szCs w:val="22"/>
        </w:rPr>
        <w:t xml:space="preserve"> tabletė. Ją kiekvieną parą reikia stengtis gerti tokiu pačiu laiku. </w:t>
      </w:r>
      <w:r w:rsidRPr="009B54A6">
        <w:rPr>
          <w:color w:val="000000"/>
          <w:sz w:val="22"/>
          <w:szCs w:val="22"/>
          <w:lang w:eastAsia="lt-LT"/>
        </w:rPr>
        <w:t>Telmisartan/Hydrochlorothiazide Sandoz</w:t>
      </w:r>
      <w:r w:rsidRPr="009B54A6">
        <w:rPr>
          <w:color w:val="000000"/>
          <w:sz w:val="22"/>
          <w:szCs w:val="22"/>
        </w:rPr>
        <w:t xml:space="preserve"> galima gerti valgio metu arba nevalgius. Dengta tabletė nuryjama užsigeriant vandeniu arba kitokiu skysčiu, kuriame alkoholio nėra. </w:t>
      </w:r>
      <w:r w:rsidRPr="009B54A6">
        <w:rPr>
          <w:color w:val="000000"/>
          <w:sz w:val="22"/>
          <w:szCs w:val="22"/>
          <w:lang w:eastAsia="lt-LT"/>
        </w:rPr>
        <w:t xml:space="preserve">Telmisartan/Hydrochlorothiazide Sandoz </w:t>
      </w:r>
      <w:r w:rsidRPr="009B54A6">
        <w:rPr>
          <w:color w:val="000000"/>
          <w:sz w:val="22"/>
          <w:szCs w:val="22"/>
        </w:rPr>
        <w:t xml:space="preserve">svarbu gerti kiekvieną parą tol, kol gydytojas nurodys kitaip. </w:t>
      </w:r>
    </w:p>
    <w:p w14:paraId="24641985" w14:textId="77777777" w:rsidR="000E5428" w:rsidRPr="009B54A6" w:rsidRDefault="000E5428" w:rsidP="000E5428">
      <w:pPr>
        <w:autoSpaceDE w:val="0"/>
        <w:autoSpaceDN w:val="0"/>
        <w:adjustRightInd w:val="0"/>
        <w:rPr>
          <w:color w:val="000000"/>
          <w:sz w:val="22"/>
          <w:szCs w:val="22"/>
        </w:rPr>
      </w:pPr>
    </w:p>
    <w:p w14:paraId="2F33D54A"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Jeigu sutrikusi kepenų veikla, didesnės negu 40 mg/12,5 mg dozės kartą per parą gerti negalima. </w:t>
      </w:r>
    </w:p>
    <w:p w14:paraId="728A46C8" w14:textId="77777777" w:rsidR="000E5428" w:rsidRPr="009B54A6" w:rsidRDefault="000E5428" w:rsidP="000E5428">
      <w:pPr>
        <w:autoSpaceDE w:val="0"/>
        <w:autoSpaceDN w:val="0"/>
        <w:adjustRightInd w:val="0"/>
        <w:rPr>
          <w:color w:val="000000"/>
          <w:sz w:val="22"/>
          <w:szCs w:val="22"/>
        </w:rPr>
      </w:pPr>
    </w:p>
    <w:p w14:paraId="3DCA4AC3" w14:textId="77777777" w:rsidR="000E5428" w:rsidRPr="009B54A6" w:rsidRDefault="000E5428" w:rsidP="000E5428">
      <w:pPr>
        <w:autoSpaceDE w:val="0"/>
        <w:autoSpaceDN w:val="0"/>
        <w:adjustRightInd w:val="0"/>
        <w:rPr>
          <w:color w:val="000000"/>
          <w:sz w:val="22"/>
          <w:szCs w:val="22"/>
        </w:rPr>
      </w:pPr>
      <w:r w:rsidRPr="009B54A6">
        <w:rPr>
          <w:b/>
          <w:bCs/>
          <w:color w:val="000000"/>
          <w:sz w:val="22"/>
          <w:szCs w:val="22"/>
        </w:rPr>
        <w:t xml:space="preserve">Ką daryti pavartojus per didelę </w:t>
      </w:r>
      <w:r w:rsidRPr="009B54A6">
        <w:rPr>
          <w:b/>
          <w:color w:val="000000"/>
          <w:sz w:val="22"/>
          <w:szCs w:val="22"/>
          <w:lang w:eastAsia="lt-LT"/>
        </w:rPr>
        <w:t>Telmisartan/Hydrochlorothiazide Sandoz</w:t>
      </w:r>
      <w:r w:rsidRPr="009B54A6">
        <w:rPr>
          <w:b/>
          <w:bCs/>
          <w:color w:val="000000"/>
          <w:sz w:val="22"/>
          <w:szCs w:val="22"/>
        </w:rPr>
        <w:t xml:space="preserve"> dozę? </w:t>
      </w:r>
    </w:p>
    <w:p w14:paraId="14A2E818"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Atsitiktinai išgėrus per daug tablečių, būtina nedelsiant susisiekti su savo gydytoju, vaistininku arba vykti į artimiausios ligoninės skubios pagalbos skyrių. </w:t>
      </w:r>
    </w:p>
    <w:p w14:paraId="48AE9E9C" w14:textId="77777777" w:rsidR="000E5428" w:rsidRPr="009B54A6" w:rsidRDefault="000E5428" w:rsidP="000E5428">
      <w:pPr>
        <w:autoSpaceDE w:val="0"/>
        <w:autoSpaceDN w:val="0"/>
        <w:adjustRightInd w:val="0"/>
        <w:rPr>
          <w:color w:val="000000"/>
          <w:sz w:val="22"/>
          <w:szCs w:val="22"/>
        </w:rPr>
      </w:pPr>
    </w:p>
    <w:p w14:paraId="6E07A1DB" w14:textId="77777777" w:rsidR="000E5428" w:rsidRPr="009B54A6" w:rsidRDefault="000E5428" w:rsidP="000E5428">
      <w:pPr>
        <w:autoSpaceDE w:val="0"/>
        <w:autoSpaceDN w:val="0"/>
        <w:adjustRightInd w:val="0"/>
        <w:rPr>
          <w:color w:val="000000"/>
          <w:sz w:val="22"/>
          <w:szCs w:val="22"/>
        </w:rPr>
      </w:pPr>
      <w:r w:rsidRPr="009B54A6">
        <w:rPr>
          <w:b/>
          <w:bCs/>
          <w:color w:val="000000"/>
          <w:sz w:val="22"/>
          <w:szCs w:val="22"/>
        </w:rPr>
        <w:t xml:space="preserve">Pamiršus pavartoti </w:t>
      </w:r>
      <w:r w:rsidRPr="009B54A6">
        <w:rPr>
          <w:b/>
          <w:color w:val="000000"/>
          <w:sz w:val="22"/>
          <w:szCs w:val="22"/>
          <w:lang w:eastAsia="lt-LT"/>
        </w:rPr>
        <w:t>Telmisartan/Hydrochlorothiazide Sandoz</w:t>
      </w:r>
      <w:r w:rsidRPr="009B54A6">
        <w:rPr>
          <w:b/>
          <w:bCs/>
          <w:color w:val="000000"/>
          <w:sz w:val="22"/>
          <w:szCs w:val="22"/>
        </w:rPr>
        <w:t xml:space="preserve"> </w:t>
      </w:r>
    </w:p>
    <w:p w14:paraId="35D950EF"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Pamiršus vaisto išgerti įprastiniu laiku, nerimauti nereikėtų. Pamirštą tabletę gerkite tuoj pat, kai tik prisiminsite, o toliau vaisto vartokite įprastine tvarka. Jeigu jo neišgersite visą parą, kitą parą gerkite įprastinę dozę. </w:t>
      </w:r>
      <w:r w:rsidRPr="009B54A6">
        <w:rPr>
          <w:b/>
          <w:bCs/>
          <w:color w:val="000000"/>
          <w:sz w:val="22"/>
          <w:szCs w:val="22"/>
        </w:rPr>
        <w:t xml:space="preserve">Negalima </w:t>
      </w:r>
      <w:r w:rsidRPr="009B54A6">
        <w:rPr>
          <w:color w:val="000000"/>
          <w:sz w:val="22"/>
          <w:szCs w:val="22"/>
        </w:rPr>
        <w:t xml:space="preserve">vartoti dvigubos dozės norint kompensuoti praleistą dozę. </w:t>
      </w:r>
    </w:p>
    <w:p w14:paraId="6D02BCC2" w14:textId="77777777" w:rsidR="000E5428" w:rsidRPr="009B54A6" w:rsidRDefault="000E5428" w:rsidP="000E5428">
      <w:pPr>
        <w:autoSpaceDE w:val="0"/>
        <w:autoSpaceDN w:val="0"/>
        <w:adjustRightInd w:val="0"/>
        <w:rPr>
          <w:sz w:val="22"/>
          <w:szCs w:val="22"/>
        </w:rPr>
      </w:pPr>
    </w:p>
    <w:p w14:paraId="1D1059D0" w14:textId="77777777" w:rsidR="000E5428" w:rsidRPr="009B54A6" w:rsidRDefault="000E5428" w:rsidP="000E5428">
      <w:pPr>
        <w:autoSpaceDE w:val="0"/>
        <w:autoSpaceDN w:val="0"/>
        <w:adjustRightInd w:val="0"/>
        <w:rPr>
          <w:sz w:val="22"/>
          <w:szCs w:val="22"/>
          <w:lang w:eastAsia="lt-LT"/>
        </w:rPr>
      </w:pPr>
      <w:r w:rsidRPr="009B54A6">
        <w:rPr>
          <w:sz w:val="22"/>
          <w:szCs w:val="22"/>
        </w:rPr>
        <w:t>Jeigu kiltų daugiau klausimų dėl šio vaisto vartojimo, kreipkitės į gydytoją arba vaistininką.</w:t>
      </w:r>
    </w:p>
    <w:p w14:paraId="17523371" w14:textId="77777777" w:rsidR="000E5428" w:rsidRPr="009B54A6" w:rsidRDefault="000E5428" w:rsidP="000E5428">
      <w:pPr>
        <w:autoSpaceDE w:val="0"/>
        <w:autoSpaceDN w:val="0"/>
        <w:adjustRightInd w:val="0"/>
        <w:rPr>
          <w:b/>
          <w:bCs/>
          <w:sz w:val="22"/>
          <w:szCs w:val="22"/>
          <w:lang w:eastAsia="lt-LT"/>
        </w:rPr>
      </w:pPr>
    </w:p>
    <w:p w14:paraId="478C3657" w14:textId="77777777" w:rsidR="000E5428" w:rsidRPr="009B54A6" w:rsidRDefault="000E5428" w:rsidP="000E5428">
      <w:pPr>
        <w:autoSpaceDE w:val="0"/>
        <w:autoSpaceDN w:val="0"/>
        <w:adjustRightInd w:val="0"/>
        <w:rPr>
          <w:b/>
          <w:bCs/>
          <w:sz w:val="22"/>
          <w:szCs w:val="22"/>
          <w:lang w:eastAsia="lt-LT"/>
        </w:rPr>
      </w:pPr>
    </w:p>
    <w:p w14:paraId="690D7B99"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4.</w:t>
      </w:r>
      <w:r w:rsidRPr="009B54A6">
        <w:rPr>
          <w:b/>
          <w:bCs/>
          <w:sz w:val="22"/>
          <w:szCs w:val="22"/>
          <w:lang w:eastAsia="lt-LT"/>
        </w:rPr>
        <w:tab/>
        <w:t>Galimas šalutinis poveikis</w:t>
      </w:r>
    </w:p>
    <w:p w14:paraId="454B8E2C" w14:textId="77777777" w:rsidR="000E5428" w:rsidRPr="009B54A6" w:rsidRDefault="000E5428" w:rsidP="000E5428">
      <w:pPr>
        <w:autoSpaceDE w:val="0"/>
        <w:autoSpaceDN w:val="0"/>
        <w:adjustRightInd w:val="0"/>
        <w:rPr>
          <w:sz w:val="22"/>
          <w:szCs w:val="22"/>
          <w:lang w:eastAsia="lt-LT"/>
        </w:rPr>
      </w:pPr>
    </w:p>
    <w:p w14:paraId="7E9A15E8"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Šis vaistas, kaip ir visi kiti, gali sukelti ir šalutinį poveikį, nors jis pasireiškia ne visiems žmonėms.</w:t>
      </w:r>
    </w:p>
    <w:p w14:paraId="78476302" w14:textId="77777777" w:rsidR="000E5428" w:rsidRPr="009B54A6" w:rsidRDefault="000E5428" w:rsidP="000E5428">
      <w:pPr>
        <w:autoSpaceDE w:val="0"/>
        <w:autoSpaceDN w:val="0"/>
        <w:adjustRightInd w:val="0"/>
        <w:rPr>
          <w:sz w:val="22"/>
          <w:szCs w:val="22"/>
          <w:lang w:eastAsia="lt-LT"/>
        </w:rPr>
      </w:pPr>
    </w:p>
    <w:p w14:paraId="65AE3C22" w14:textId="77777777" w:rsidR="000E5428" w:rsidRPr="009B54A6" w:rsidRDefault="000E5428" w:rsidP="000E5428">
      <w:pPr>
        <w:autoSpaceDE w:val="0"/>
        <w:autoSpaceDN w:val="0"/>
        <w:adjustRightInd w:val="0"/>
        <w:rPr>
          <w:color w:val="000000"/>
          <w:sz w:val="22"/>
          <w:szCs w:val="22"/>
        </w:rPr>
      </w:pPr>
      <w:r w:rsidRPr="009B54A6">
        <w:rPr>
          <w:b/>
          <w:bCs/>
          <w:color w:val="000000"/>
          <w:sz w:val="22"/>
          <w:szCs w:val="22"/>
        </w:rPr>
        <w:t xml:space="preserve">Kai kuris šalutinis poveikis gali būti sunkus, todėl gali reikėti neatidėliotinos gydytojo pagalbos. </w:t>
      </w:r>
    </w:p>
    <w:p w14:paraId="6845E0A8" w14:textId="77777777" w:rsidR="000E5428" w:rsidRPr="009B54A6" w:rsidRDefault="000E5428" w:rsidP="000E5428">
      <w:pPr>
        <w:autoSpaceDE w:val="0"/>
        <w:autoSpaceDN w:val="0"/>
        <w:adjustRightInd w:val="0"/>
        <w:rPr>
          <w:color w:val="000000"/>
          <w:sz w:val="22"/>
          <w:szCs w:val="22"/>
        </w:rPr>
      </w:pPr>
    </w:p>
    <w:p w14:paraId="5BC873FB" w14:textId="77777777" w:rsidR="000E5428" w:rsidRPr="009B54A6" w:rsidRDefault="000E5428" w:rsidP="000E5428">
      <w:pPr>
        <w:autoSpaceDE w:val="0"/>
        <w:autoSpaceDN w:val="0"/>
        <w:adjustRightInd w:val="0"/>
        <w:rPr>
          <w:color w:val="000000"/>
          <w:sz w:val="22"/>
          <w:szCs w:val="22"/>
        </w:rPr>
      </w:pPr>
      <w:r w:rsidRPr="009B54A6">
        <w:rPr>
          <w:b/>
          <w:color w:val="000000"/>
          <w:sz w:val="22"/>
          <w:szCs w:val="22"/>
        </w:rPr>
        <w:t>Nedelsdami</w:t>
      </w:r>
      <w:r w:rsidRPr="009B54A6">
        <w:rPr>
          <w:color w:val="000000"/>
          <w:sz w:val="22"/>
          <w:szCs w:val="22"/>
        </w:rPr>
        <w:t xml:space="preserve"> turite kreiptis į savo gydytoją, jeigu atsiranda kuris nors iš šių simptomų: </w:t>
      </w:r>
    </w:p>
    <w:p w14:paraId="3416540D" w14:textId="77777777" w:rsidR="000E5428" w:rsidRPr="009B54A6" w:rsidRDefault="000E5428" w:rsidP="000E5428">
      <w:pPr>
        <w:autoSpaceDE w:val="0"/>
        <w:autoSpaceDN w:val="0"/>
        <w:adjustRightInd w:val="0"/>
        <w:rPr>
          <w:color w:val="000000"/>
          <w:sz w:val="22"/>
          <w:szCs w:val="22"/>
        </w:rPr>
      </w:pPr>
    </w:p>
    <w:p w14:paraId="57A357D4"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lastRenderedPageBreak/>
        <w:t xml:space="preserve">Sepsis* (kraujo užkrėtimas, t. y. sunki infekcinė liga, susijusi su viso organizmo uždegimine reakcija), greitas odos ir gleivinės sutinimas (angioneurozinė edema). Šis šalutinis poveikis yra retas (gali pasireikšti ne daugiau kaip 1 iš 1000 žmonių), tačiau itin sunkus. Jam pasireiškus, vaisto vartojimą turite nutraukti ir tuoj pat kreiptis į savo gydytoją. Jeigu minėtas šalutinis poveikis negydomas, jis gali būti mirtinas. Sepsio dažnio padidėjimas buvo stebėtas tik gydymo telmisartanu metu, tačiau gydymo Telmisartan/Hydrochlorothiazide Sandoz metu jo galimybės paneigti negalima. </w:t>
      </w:r>
    </w:p>
    <w:p w14:paraId="306D4971" w14:textId="77777777" w:rsidR="000E5428" w:rsidRPr="009B54A6" w:rsidRDefault="000E5428" w:rsidP="000E5428">
      <w:pPr>
        <w:autoSpaceDE w:val="0"/>
        <w:autoSpaceDN w:val="0"/>
        <w:adjustRightInd w:val="0"/>
        <w:rPr>
          <w:b/>
          <w:bCs/>
          <w:color w:val="000000"/>
          <w:sz w:val="22"/>
          <w:szCs w:val="22"/>
        </w:rPr>
      </w:pPr>
    </w:p>
    <w:p w14:paraId="6BA73D54" w14:textId="77777777" w:rsidR="000E5428" w:rsidRPr="009B54A6" w:rsidRDefault="000E5428" w:rsidP="000E5428">
      <w:pPr>
        <w:autoSpaceDE w:val="0"/>
        <w:autoSpaceDN w:val="0"/>
        <w:adjustRightInd w:val="0"/>
        <w:rPr>
          <w:color w:val="000000"/>
          <w:sz w:val="22"/>
          <w:szCs w:val="22"/>
        </w:rPr>
      </w:pPr>
      <w:r w:rsidRPr="009B54A6">
        <w:rPr>
          <w:b/>
          <w:bCs/>
          <w:color w:val="000000"/>
          <w:sz w:val="22"/>
          <w:szCs w:val="22"/>
        </w:rPr>
        <w:t xml:space="preserve">Galimas šalutinis Telmisartan/Hydrochlorothiazide Sandoz poveikis </w:t>
      </w:r>
    </w:p>
    <w:p w14:paraId="09E8B216" w14:textId="77777777" w:rsidR="000E5428" w:rsidRPr="009B54A6" w:rsidRDefault="000E5428" w:rsidP="000E5428">
      <w:pPr>
        <w:autoSpaceDE w:val="0"/>
        <w:autoSpaceDN w:val="0"/>
        <w:adjustRightInd w:val="0"/>
        <w:rPr>
          <w:color w:val="000000"/>
          <w:sz w:val="22"/>
          <w:szCs w:val="22"/>
        </w:rPr>
      </w:pPr>
      <w:r w:rsidRPr="009B54A6">
        <w:rPr>
          <w:color w:val="000000"/>
          <w:sz w:val="22"/>
          <w:szCs w:val="22"/>
          <w:u w:val="single"/>
        </w:rPr>
        <w:t>Dažnas šalutinis poveikis</w:t>
      </w:r>
      <w:r w:rsidRPr="009B54A6">
        <w:rPr>
          <w:color w:val="000000"/>
          <w:sz w:val="22"/>
          <w:szCs w:val="22"/>
        </w:rPr>
        <w:t xml:space="preserve"> (gali pasireikšti ne daugiau kaip 1 iš 10 žmonių) </w:t>
      </w:r>
    </w:p>
    <w:p w14:paraId="3F049F21"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 xml:space="preserve">Svaigulys. </w:t>
      </w:r>
    </w:p>
    <w:p w14:paraId="2F59841D" w14:textId="77777777" w:rsidR="000E5428" w:rsidRPr="009B54A6" w:rsidRDefault="000E5428" w:rsidP="000E5428">
      <w:pPr>
        <w:autoSpaceDE w:val="0"/>
        <w:autoSpaceDN w:val="0"/>
        <w:adjustRightInd w:val="0"/>
        <w:rPr>
          <w:color w:val="000000"/>
          <w:sz w:val="22"/>
          <w:szCs w:val="22"/>
          <w:u w:val="single"/>
        </w:rPr>
      </w:pPr>
    </w:p>
    <w:p w14:paraId="182E1F2F" w14:textId="77777777" w:rsidR="000E5428" w:rsidRPr="009B54A6" w:rsidRDefault="000E5428" w:rsidP="000E5428">
      <w:pPr>
        <w:autoSpaceDE w:val="0"/>
        <w:autoSpaceDN w:val="0"/>
        <w:adjustRightInd w:val="0"/>
        <w:rPr>
          <w:color w:val="000000"/>
          <w:sz w:val="22"/>
          <w:szCs w:val="22"/>
        </w:rPr>
      </w:pPr>
      <w:r w:rsidRPr="009B54A6">
        <w:rPr>
          <w:color w:val="000000"/>
          <w:sz w:val="22"/>
          <w:szCs w:val="22"/>
          <w:u w:val="single"/>
        </w:rPr>
        <w:t>Nedažnas šalutinis poveikis</w:t>
      </w:r>
      <w:r w:rsidRPr="009B54A6">
        <w:rPr>
          <w:color w:val="000000"/>
          <w:sz w:val="22"/>
          <w:szCs w:val="22"/>
        </w:rPr>
        <w:t xml:space="preserve"> (gali pasireikšti ne daugiau kaip 1 iš 100 žmonių) </w:t>
      </w:r>
    </w:p>
    <w:p w14:paraId="3C6F0EF6"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Kalio kiekio sumažėjimas kraujyje</w:t>
      </w:r>
    </w:p>
    <w:p w14:paraId="0B9DD8C0"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Nerimas</w:t>
      </w:r>
    </w:p>
    <w:p w14:paraId="4190E803"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Alpulys (sinkopė)</w:t>
      </w:r>
    </w:p>
    <w:p w14:paraId="6F217FA6"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Dilgčiojimo pojūtis</w:t>
      </w:r>
    </w:p>
    <w:p w14:paraId="732AE4DC"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Tirpulio pojūtis (parestezija)</w:t>
      </w:r>
    </w:p>
    <w:p w14:paraId="4F9AB8F1"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 xml:space="preserve">Sukimo pojūtis </w:t>
      </w:r>
      <w:r w:rsidRPr="009B54A6">
        <w:rPr>
          <w:i/>
          <w:color w:val="000000"/>
          <w:sz w:val="22"/>
          <w:szCs w:val="22"/>
        </w:rPr>
        <w:t>(vertigo)</w:t>
      </w:r>
    </w:p>
    <w:p w14:paraId="7DB5DA7A"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Dažnas širdies ritmas (tachikardija)</w:t>
      </w:r>
    </w:p>
    <w:p w14:paraId="448B6DDC"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Širdies ritmo sutrikimas</w:t>
      </w:r>
    </w:p>
    <w:p w14:paraId="34026E5C"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Mažas kraujospūdis</w:t>
      </w:r>
    </w:p>
    <w:p w14:paraId="5C50864D"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Staigus kraujospūdžio kritimas stojantis</w:t>
      </w:r>
    </w:p>
    <w:p w14:paraId="183D31BC"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Dusulys (dispnėja)</w:t>
      </w:r>
    </w:p>
    <w:p w14:paraId="7EA9B323"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Viduriavimas</w:t>
      </w:r>
    </w:p>
    <w:p w14:paraId="4F4A4E9C"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Burnos džiūvimas</w:t>
      </w:r>
    </w:p>
    <w:p w14:paraId="70B68B1D"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Vidurių pūtimas</w:t>
      </w:r>
    </w:p>
    <w:p w14:paraId="2603CC93"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Nugaros skausmas</w:t>
      </w:r>
    </w:p>
    <w:p w14:paraId="7ACBF2C0"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Raumenų spazmai</w:t>
      </w:r>
    </w:p>
    <w:p w14:paraId="7D2C974C"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Raumenų skausmas</w:t>
      </w:r>
    </w:p>
    <w:p w14:paraId="32B54003"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Erekcijos sutrikimas (negalėjimas erekciją sukelti ar palaikyti)</w:t>
      </w:r>
    </w:p>
    <w:p w14:paraId="6E65813D"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Krūtinės skausmas</w:t>
      </w:r>
    </w:p>
    <w:p w14:paraId="471BEC4F" w14:textId="77777777" w:rsidR="000E5428" w:rsidRPr="009B54A6" w:rsidRDefault="000E5428" w:rsidP="000E5428">
      <w:pPr>
        <w:numPr>
          <w:ilvl w:val="0"/>
          <w:numId w:val="30"/>
        </w:numPr>
        <w:autoSpaceDE w:val="0"/>
        <w:autoSpaceDN w:val="0"/>
        <w:adjustRightInd w:val="0"/>
        <w:ind w:left="567" w:hanging="567"/>
        <w:rPr>
          <w:color w:val="000000"/>
          <w:sz w:val="22"/>
          <w:szCs w:val="22"/>
        </w:rPr>
      </w:pPr>
      <w:r w:rsidRPr="009B54A6">
        <w:rPr>
          <w:color w:val="000000"/>
          <w:sz w:val="22"/>
          <w:szCs w:val="22"/>
        </w:rPr>
        <w:t xml:space="preserve">Šlapimo rūgšties kiekio padidėjimas kraujyje. </w:t>
      </w:r>
    </w:p>
    <w:p w14:paraId="154562F3" w14:textId="77777777" w:rsidR="000E5428" w:rsidRPr="009B54A6" w:rsidRDefault="000E5428" w:rsidP="000E5428">
      <w:pPr>
        <w:autoSpaceDE w:val="0"/>
        <w:autoSpaceDN w:val="0"/>
        <w:adjustRightInd w:val="0"/>
        <w:rPr>
          <w:color w:val="000000"/>
          <w:sz w:val="22"/>
          <w:szCs w:val="22"/>
        </w:rPr>
      </w:pPr>
    </w:p>
    <w:p w14:paraId="21F1CC5C" w14:textId="77777777" w:rsidR="000E5428" w:rsidRPr="009B54A6" w:rsidRDefault="000E5428" w:rsidP="000E5428">
      <w:pPr>
        <w:autoSpaceDE w:val="0"/>
        <w:autoSpaceDN w:val="0"/>
        <w:adjustRightInd w:val="0"/>
        <w:rPr>
          <w:color w:val="000000"/>
          <w:sz w:val="22"/>
          <w:szCs w:val="22"/>
        </w:rPr>
      </w:pPr>
      <w:r w:rsidRPr="009B54A6">
        <w:rPr>
          <w:color w:val="000000"/>
          <w:sz w:val="22"/>
          <w:szCs w:val="22"/>
          <w:u w:val="single"/>
        </w:rPr>
        <w:t>Retas šalutinis poveikis</w:t>
      </w:r>
      <w:r w:rsidRPr="009B54A6">
        <w:rPr>
          <w:color w:val="000000"/>
          <w:sz w:val="22"/>
          <w:szCs w:val="22"/>
        </w:rPr>
        <w:t xml:space="preserve"> (gali pasireikšti ne daugiau kaip 1 iš 1 000 žmonių) </w:t>
      </w:r>
    </w:p>
    <w:p w14:paraId="5439B538"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Bronchų uždegimas (bronchitas)</w:t>
      </w:r>
    </w:p>
    <w:p w14:paraId="44EA1057"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Sisteminės raudonosios vilkligės (liga, kurios metu organizmą puola nuosava imuninė sistema ir dėl to sukeliamas sąnarių skausmas, odos išbėrimas ir karščiavimas) suaktyvėjimas arba pasunkėjimas</w:t>
      </w:r>
    </w:p>
    <w:p w14:paraId="6281C221"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Gerklės skausmingumas</w:t>
      </w:r>
    </w:p>
    <w:p w14:paraId="270154BD"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Prienosinių ančių uždegimas (sinusitas)</w:t>
      </w:r>
    </w:p>
    <w:p w14:paraId="791CADF3"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Prislėgta nuotaika (depresija)</w:t>
      </w:r>
    </w:p>
    <w:p w14:paraId="5C4A3491"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Negalėjimas miegoti (nemiga)</w:t>
      </w:r>
    </w:p>
    <w:p w14:paraId="25CF9118"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Regos sutrikimas</w:t>
      </w:r>
    </w:p>
    <w:p w14:paraId="26FE0735"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Kvėpavimo pasunkėjimas</w:t>
      </w:r>
    </w:p>
    <w:p w14:paraId="7A674CA6"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Pilvo skausmas</w:t>
      </w:r>
    </w:p>
    <w:p w14:paraId="67F478AF"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Vidurių užkietėjimas</w:t>
      </w:r>
    </w:p>
    <w:p w14:paraId="28C6BF7F"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Pilvo išsipūtimas (virškinimo sutrikimas)</w:t>
      </w:r>
    </w:p>
    <w:p w14:paraId="6BAD3085"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Pykinimas</w:t>
      </w:r>
    </w:p>
    <w:p w14:paraId="6E2B3FCC"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Skrandžio uždegimas (gastritas)</w:t>
      </w:r>
    </w:p>
    <w:p w14:paraId="0C3B5B17"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Nenormali kepenų veikla (šis šalutinis poveikis labiau tikėtinas pacientams japonams)</w:t>
      </w:r>
    </w:p>
    <w:p w14:paraId="5C223D12"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Greitas odos ir gleivinės sutinimas, kuris gali būti ir mirtinas (angioneurozinė edema, kuri gali būti ir mirtina)</w:t>
      </w:r>
    </w:p>
    <w:p w14:paraId="288DD2D4"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Odos paraudimas (eritema)</w:t>
      </w:r>
    </w:p>
    <w:p w14:paraId="63DDC915"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Alerginė reakcija, pvz., niežulys ar išbėrimas</w:t>
      </w:r>
    </w:p>
    <w:p w14:paraId="4E782210"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Prakaitavimo padidėjimas</w:t>
      </w:r>
    </w:p>
    <w:p w14:paraId="71BFAE2E"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lastRenderedPageBreak/>
        <w:t>Dilgėlinė (urtikarija)</w:t>
      </w:r>
    </w:p>
    <w:p w14:paraId="618A09E7"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Sąnarių skausmas (artralgija)</w:t>
      </w:r>
    </w:p>
    <w:p w14:paraId="07AAD20A"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Galūnių skausmas</w:t>
      </w:r>
    </w:p>
    <w:p w14:paraId="3F488B6C"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Raumenų mėšlungis</w:t>
      </w:r>
    </w:p>
    <w:p w14:paraId="5D197424"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Liga, panaši į gripą</w:t>
      </w:r>
    </w:p>
    <w:p w14:paraId="348974FA"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Skausmas</w:t>
      </w:r>
    </w:p>
    <w:p w14:paraId="185963E1"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Šlapimo rūgšties kiekio padidėjimas</w:t>
      </w:r>
    </w:p>
    <w:p w14:paraId="38596609"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Mažas natrio kiekis</w:t>
      </w:r>
    </w:p>
    <w:p w14:paraId="58AC430E" w14:textId="77777777" w:rsidR="000E5428" w:rsidRPr="009B54A6" w:rsidRDefault="000E5428" w:rsidP="000E5428">
      <w:pPr>
        <w:numPr>
          <w:ilvl w:val="0"/>
          <w:numId w:val="31"/>
        </w:numPr>
        <w:autoSpaceDE w:val="0"/>
        <w:autoSpaceDN w:val="0"/>
        <w:adjustRightInd w:val="0"/>
        <w:ind w:left="567" w:hanging="567"/>
        <w:rPr>
          <w:color w:val="000000"/>
          <w:sz w:val="22"/>
          <w:szCs w:val="22"/>
        </w:rPr>
      </w:pPr>
      <w:r w:rsidRPr="009B54A6">
        <w:rPr>
          <w:color w:val="000000"/>
          <w:sz w:val="22"/>
          <w:szCs w:val="22"/>
        </w:rPr>
        <w:t xml:space="preserve">Kreatinino kiekio, kepenų fermentų ar kreatinfosfokinazės aktyvumo padidėjimas kraujyje. </w:t>
      </w:r>
    </w:p>
    <w:p w14:paraId="63955D7B" w14:textId="77777777" w:rsidR="000E5428" w:rsidRPr="009B54A6" w:rsidRDefault="000E5428" w:rsidP="000E5428">
      <w:pPr>
        <w:autoSpaceDE w:val="0"/>
        <w:autoSpaceDN w:val="0"/>
        <w:adjustRightInd w:val="0"/>
        <w:rPr>
          <w:color w:val="000000"/>
          <w:sz w:val="22"/>
          <w:szCs w:val="22"/>
        </w:rPr>
      </w:pPr>
    </w:p>
    <w:p w14:paraId="74301903"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Šalutinės reakcijos, kurios buvo pastebėtos gydant viena ar kita sudedamąja veikliąja medžiaga, galimos ir gydymo Telmisartan/Hydrochlorothiazide Sandoz metu, nors klinikinių šio vaisto tyrimų metu jos ir nepasireiškė. </w:t>
      </w:r>
    </w:p>
    <w:p w14:paraId="743C866B" w14:textId="77777777" w:rsidR="000E5428" w:rsidRPr="009B54A6" w:rsidRDefault="000E5428" w:rsidP="000E5428">
      <w:pPr>
        <w:autoSpaceDE w:val="0"/>
        <w:autoSpaceDN w:val="0"/>
        <w:adjustRightInd w:val="0"/>
        <w:rPr>
          <w:b/>
          <w:bCs/>
          <w:color w:val="000000"/>
          <w:sz w:val="22"/>
          <w:szCs w:val="22"/>
        </w:rPr>
      </w:pPr>
    </w:p>
    <w:p w14:paraId="50FD9A4D" w14:textId="77777777" w:rsidR="000E5428" w:rsidRPr="009B54A6" w:rsidRDefault="000E5428" w:rsidP="000E5428">
      <w:pPr>
        <w:autoSpaceDE w:val="0"/>
        <w:autoSpaceDN w:val="0"/>
        <w:adjustRightInd w:val="0"/>
        <w:rPr>
          <w:color w:val="000000"/>
          <w:sz w:val="22"/>
          <w:szCs w:val="22"/>
        </w:rPr>
      </w:pPr>
      <w:r w:rsidRPr="009B54A6">
        <w:rPr>
          <w:b/>
          <w:bCs/>
          <w:color w:val="000000"/>
          <w:sz w:val="22"/>
          <w:szCs w:val="22"/>
        </w:rPr>
        <w:t xml:space="preserve">Telmisartanas </w:t>
      </w:r>
    </w:p>
    <w:p w14:paraId="2C155750"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Pacientams, gydytiems vien telmisartanu, buvo pranešta apie toliau nurodytą papildomą šalutinį poveikį. </w:t>
      </w:r>
    </w:p>
    <w:p w14:paraId="49C35BA6" w14:textId="77777777" w:rsidR="000E5428" w:rsidRPr="009B54A6" w:rsidRDefault="000E5428" w:rsidP="000E5428">
      <w:pPr>
        <w:autoSpaceDE w:val="0"/>
        <w:autoSpaceDN w:val="0"/>
        <w:adjustRightInd w:val="0"/>
        <w:rPr>
          <w:color w:val="000000"/>
          <w:sz w:val="22"/>
          <w:szCs w:val="22"/>
          <w:u w:val="single"/>
        </w:rPr>
      </w:pPr>
    </w:p>
    <w:p w14:paraId="669FC2FF" w14:textId="77777777" w:rsidR="000E5428" w:rsidRPr="009B54A6" w:rsidRDefault="000E5428" w:rsidP="000E5428">
      <w:pPr>
        <w:autoSpaceDE w:val="0"/>
        <w:autoSpaceDN w:val="0"/>
        <w:adjustRightInd w:val="0"/>
        <w:rPr>
          <w:color w:val="000000"/>
          <w:sz w:val="22"/>
          <w:szCs w:val="22"/>
        </w:rPr>
      </w:pPr>
      <w:r w:rsidRPr="009B54A6">
        <w:rPr>
          <w:color w:val="000000"/>
          <w:sz w:val="22"/>
          <w:szCs w:val="22"/>
          <w:u w:val="single"/>
        </w:rPr>
        <w:t>Nedažnas šalutinis poveikis</w:t>
      </w:r>
      <w:r w:rsidRPr="009B54A6">
        <w:rPr>
          <w:color w:val="000000"/>
          <w:sz w:val="22"/>
          <w:szCs w:val="22"/>
        </w:rPr>
        <w:t xml:space="preserve"> (gali pasireikšti ne daugiau kaip 1 iš 100 žmonių) </w:t>
      </w:r>
    </w:p>
    <w:p w14:paraId="1A08ACB8"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Infekcinė viršutinių kvėpavimo takų liga (pvz., gerklės uždegimas, prienosinių ančių uždegimas, viršutinių kvėpavimo takų kataras), infekcinė šlapimo organų liga, per mažas raudonųjų kraujo ląstelių kiekis (anemija), didelis kalio kiekis, retas širdies ritmas (bradikardija), inkstų veiklos sutrikimas, įskaitant ūminį inkstų nepakankamumą, silpnumas, kosulys. </w:t>
      </w:r>
    </w:p>
    <w:p w14:paraId="59D6E0E4" w14:textId="77777777" w:rsidR="000E5428" w:rsidRPr="009B54A6" w:rsidRDefault="000E5428" w:rsidP="000E5428">
      <w:pPr>
        <w:autoSpaceDE w:val="0"/>
        <w:autoSpaceDN w:val="0"/>
        <w:adjustRightInd w:val="0"/>
        <w:rPr>
          <w:color w:val="000000"/>
          <w:sz w:val="22"/>
          <w:szCs w:val="22"/>
        </w:rPr>
      </w:pPr>
    </w:p>
    <w:p w14:paraId="237E60B3" w14:textId="77777777" w:rsidR="000E5428" w:rsidRPr="009B54A6" w:rsidRDefault="000E5428" w:rsidP="000E5428">
      <w:pPr>
        <w:autoSpaceDE w:val="0"/>
        <w:autoSpaceDN w:val="0"/>
        <w:adjustRightInd w:val="0"/>
        <w:rPr>
          <w:color w:val="000000"/>
          <w:sz w:val="22"/>
          <w:szCs w:val="22"/>
        </w:rPr>
      </w:pPr>
      <w:r w:rsidRPr="009B54A6">
        <w:rPr>
          <w:color w:val="000000"/>
          <w:sz w:val="22"/>
          <w:szCs w:val="22"/>
          <w:u w:val="single"/>
        </w:rPr>
        <w:t>Retas šalutinis poveikis</w:t>
      </w:r>
      <w:r w:rsidRPr="009B54A6">
        <w:rPr>
          <w:color w:val="000000"/>
          <w:sz w:val="22"/>
          <w:szCs w:val="22"/>
        </w:rPr>
        <w:t xml:space="preserve"> (gali pasireikšti ne daugiau kaip 1 iš 1000 žmonių) </w:t>
      </w:r>
    </w:p>
    <w:p w14:paraId="42506CA6"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Sepsis* (kraujo užkrėtimas, t. y. sunki infekcinė liga, susijusi su viso organizmo uždegimine reakcija, galinčia lemti mirtį), mažas kraujo plokštelių kiekis (trombocitopenija), tam tikrų baltųjų kraujo ląstelių kiekio padidėjimas (eozinofilija), sunki alerginė reakcija (pvz., jautrumo padidėjimas, anafilaksinė reakcija, medikamentinis išbėrimas), mažas cukraus kiekis kraujyje cukriniu diabetu sergantiems pacientams, skrandžio sutrikimas, egzema (odos sutrikimas), sąnarių skausmas (artralgija), sausgyslių uždegimas, hemoglobino (kraujo baltymo) kiekio sumažėjimas, somnolencija (mieguistumas). </w:t>
      </w:r>
    </w:p>
    <w:p w14:paraId="2264E9EF" w14:textId="77777777" w:rsidR="000E5428" w:rsidRPr="009B54A6" w:rsidRDefault="000E5428" w:rsidP="000E5428">
      <w:pPr>
        <w:autoSpaceDE w:val="0"/>
        <w:autoSpaceDN w:val="0"/>
        <w:adjustRightInd w:val="0"/>
        <w:rPr>
          <w:color w:val="000000"/>
          <w:sz w:val="22"/>
          <w:szCs w:val="22"/>
        </w:rPr>
      </w:pPr>
    </w:p>
    <w:p w14:paraId="146F3032" w14:textId="77777777" w:rsidR="000E5428" w:rsidRPr="009B54A6" w:rsidRDefault="000E5428" w:rsidP="000E5428">
      <w:pPr>
        <w:autoSpaceDE w:val="0"/>
        <w:autoSpaceDN w:val="0"/>
        <w:adjustRightInd w:val="0"/>
        <w:rPr>
          <w:color w:val="000000"/>
          <w:sz w:val="22"/>
          <w:szCs w:val="22"/>
        </w:rPr>
      </w:pPr>
      <w:r w:rsidRPr="009B54A6">
        <w:rPr>
          <w:color w:val="000000"/>
          <w:sz w:val="22"/>
          <w:szCs w:val="22"/>
          <w:u w:val="single"/>
        </w:rPr>
        <w:t>Labai retas šalutinis poveikis</w:t>
      </w:r>
      <w:r w:rsidRPr="009B54A6">
        <w:rPr>
          <w:color w:val="000000"/>
          <w:sz w:val="22"/>
          <w:szCs w:val="22"/>
        </w:rPr>
        <w:t xml:space="preserve"> (gali pasireikšti ne daugiau kaip 1 iš 10000 žmonių) </w:t>
      </w:r>
    </w:p>
    <w:p w14:paraId="0898B4C0"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Progresuojantis plaučių audinio randėjimas (intersticinė plaučių liga)**. </w:t>
      </w:r>
    </w:p>
    <w:p w14:paraId="655AE145" w14:textId="77777777" w:rsidR="000E5428" w:rsidRPr="009B54A6" w:rsidRDefault="000E5428" w:rsidP="000E5428">
      <w:pPr>
        <w:autoSpaceDE w:val="0"/>
        <w:autoSpaceDN w:val="0"/>
        <w:adjustRightInd w:val="0"/>
        <w:rPr>
          <w:color w:val="000000"/>
          <w:sz w:val="22"/>
          <w:szCs w:val="22"/>
        </w:rPr>
      </w:pPr>
    </w:p>
    <w:p w14:paraId="6A8104C2"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*Šis reiškinys galėjo būti atsitiktinis arba priklausomas nuo kol kas nežinomų mechanizmų. </w:t>
      </w:r>
    </w:p>
    <w:p w14:paraId="72A06782"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**Vaistiniu preparatu gydant po to, kai jis pateko į rinką, buvo intersticinės plaučių ligos, laikinai susijusios su telmisartano vartojimu, atvejų, tačiau priežastinis ryšys nebuvo ištirtas. </w:t>
      </w:r>
    </w:p>
    <w:p w14:paraId="0EAFC8B0" w14:textId="77777777" w:rsidR="000E5428" w:rsidRPr="009B54A6" w:rsidRDefault="000E5428" w:rsidP="000E5428">
      <w:pPr>
        <w:autoSpaceDE w:val="0"/>
        <w:autoSpaceDN w:val="0"/>
        <w:adjustRightInd w:val="0"/>
        <w:rPr>
          <w:b/>
          <w:bCs/>
          <w:color w:val="000000"/>
          <w:sz w:val="22"/>
          <w:szCs w:val="22"/>
        </w:rPr>
      </w:pPr>
    </w:p>
    <w:p w14:paraId="08B2AF21" w14:textId="77777777" w:rsidR="000E5428" w:rsidRPr="009B54A6" w:rsidRDefault="000E5428" w:rsidP="000E5428">
      <w:pPr>
        <w:autoSpaceDE w:val="0"/>
        <w:autoSpaceDN w:val="0"/>
        <w:adjustRightInd w:val="0"/>
        <w:rPr>
          <w:color w:val="000000"/>
          <w:sz w:val="22"/>
          <w:szCs w:val="22"/>
        </w:rPr>
      </w:pPr>
      <w:r w:rsidRPr="009B54A6">
        <w:rPr>
          <w:b/>
          <w:bCs/>
          <w:color w:val="000000"/>
          <w:sz w:val="22"/>
          <w:szCs w:val="22"/>
        </w:rPr>
        <w:t xml:space="preserve">Hidrochlorotiazidas </w:t>
      </w:r>
    </w:p>
    <w:p w14:paraId="49F53864"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 xml:space="preserve">Pacientams, gydytiems vien hidrochlorotiazidu, buvo pranešta apie toliau nurodytas papildomą šalutinį poveikį. </w:t>
      </w:r>
    </w:p>
    <w:p w14:paraId="5F811F08" w14:textId="77777777" w:rsidR="000E5428" w:rsidRPr="009B54A6" w:rsidRDefault="000E5428" w:rsidP="000E5428">
      <w:pPr>
        <w:autoSpaceDE w:val="0"/>
        <w:autoSpaceDN w:val="0"/>
        <w:adjustRightInd w:val="0"/>
        <w:rPr>
          <w:color w:val="000000"/>
          <w:sz w:val="22"/>
          <w:szCs w:val="22"/>
        </w:rPr>
      </w:pPr>
      <w:r w:rsidRPr="009B54A6">
        <w:rPr>
          <w:color w:val="000000"/>
          <w:sz w:val="22"/>
          <w:szCs w:val="22"/>
          <w:u w:val="single"/>
        </w:rPr>
        <w:t>Šalutinis poveikis, kurio dažnis nežinomas</w:t>
      </w:r>
      <w:r w:rsidRPr="009B54A6">
        <w:rPr>
          <w:color w:val="000000"/>
          <w:sz w:val="22"/>
          <w:szCs w:val="22"/>
        </w:rPr>
        <w:t xml:space="preserve"> (negali būti įvertintas pagal turimus duomenis)</w:t>
      </w:r>
    </w:p>
    <w:p w14:paraId="7790536A" w14:textId="77777777" w:rsidR="000E5428" w:rsidRPr="009B54A6" w:rsidRDefault="000E5428" w:rsidP="000E5428">
      <w:pPr>
        <w:autoSpaceDE w:val="0"/>
        <w:autoSpaceDN w:val="0"/>
        <w:adjustRightInd w:val="0"/>
        <w:rPr>
          <w:color w:val="000000"/>
          <w:sz w:val="22"/>
          <w:szCs w:val="22"/>
        </w:rPr>
      </w:pPr>
      <w:r w:rsidRPr="009B54A6">
        <w:rPr>
          <w:color w:val="000000"/>
          <w:sz w:val="22"/>
          <w:szCs w:val="22"/>
        </w:rPr>
        <w:t>Seilių liaukų uždegimas, kraujo ląstelių kiekio sumažėjimas kraujyje, įskaitant mažą raudonųjų ir baltųjų kraujo ląstelių kiekį, mažas kraujo plokštelių kiekis (trombocitopenija), sunki alerginė reakcija (pvz., jautrumo padidėjimas, anafilaksinė reakcija), apetito sumažėjimas arba praradimas, neramumas, apsvaigimas, daiktų matymas lyg per miglą arba lyg geltono atspalvio, regos susilpnėjimas ir akių skausmas (galimi ūminės miopijos ar uždaro kampo glaukomos požymiai), kraujagyslių uždegimas (nekrozinis vaskulitas), kasos uždegimas, virškinimo sutrikimas, odos ar akių pageltimas (gelta), į vilkligę panašus sindromas (būklė, primenanti ligą, kuri vadinama sistemine raudonąja vilklige ir kurios metu organizmą puola nuosava imuninė sistema), odos sutrikimai, pvz., odos kraujagyslių uždegimas, jautrumo saulės šviesai padidėjimas arba paviršinio odos sluoksnio pleiskanojimas ir lupimasis (toksinė epidermio nekrolizė), bendrojo pobūdžio silpnumas, inkstų uždegimas arba veiklos sutrikimas, gliukozės buvimas šlapime (glikozurija), karščiavimas, elektrolitų pusiausvyros sutrikimas, didelis cholesterolio kiekis kraujyje, kraujo tūrio sumažėjimas, gliukozės ar riebalų kiekio padidėjimas kraujyje.</w:t>
      </w:r>
    </w:p>
    <w:p w14:paraId="76DCFDB8" w14:textId="77777777" w:rsidR="000E5428" w:rsidRPr="009B54A6" w:rsidRDefault="000E5428" w:rsidP="000E5428">
      <w:pPr>
        <w:autoSpaceDE w:val="0"/>
        <w:autoSpaceDN w:val="0"/>
        <w:adjustRightInd w:val="0"/>
        <w:rPr>
          <w:color w:val="000000"/>
          <w:sz w:val="22"/>
          <w:szCs w:val="22"/>
        </w:rPr>
      </w:pPr>
    </w:p>
    <w:p w14:paraId="16FE718F" w14:textId="77777777" w:rsidR="000E5428" w:rsidRPr="009B54A6" w:rsidRDefault="000E5428" w:rsidP="000E5428">
      <w:pPr>
        <w:rPr>
          <w:b/>
          <w:sz w:val="22"/>
          <w:szCs w:val="22"/>
        </w:rPr>
      </w:pPr>
      <w:r w:rsidRPr="009B54A6">
        <w:rPr>
          <w:b/>
          <w:noProof/>
          <w:sz w:val="22"/>
          <w:szCs w:val="22"/>
        </w:rPr>
        <w:t>Pranešimas apie šalutinį poveikį</w:t>
      </w:r>
    </w:p>
    <w:p w14:paraId="3A573C36" w14:textId="6CA16121" w:rsidR="00ED5607" w:rsidRPr="00606821" w:rsidRDefault="00ED5607" w:rsidP="00ED5607">
      <w:pPr>
        <w:ind w:right="-449"/>
        <w:rPr>
          <w:noProof/>
          <w:sz w:val="22"/>
          <w:szCs w:val="22"/>
        </w:rPr>
      </w:pPr>
      <w:r w:rsidRPr="00B84FE7">
        <w:rPr>
          <w:sz w:val="22"/>
        </w:rPr>
        <w:t>Jeigu pasireiškė šalutinis poveikis, įskaitant šiame lapelyje nenurodytą, pasakykite gydytojui</w:t>
      </w:r>
      <w:r w:rsidRPr="00606821">
        <w:rPr>
          <w:sz w:val="22"/>
          <w:szCs w:val="22"/>
        </w:rPr>
        <w:t xml:space="preserve"> arba</w:t>
      </w:r>
      <w:r w:rsidRPr="00B84FE7">
        <w:rPr>
          <w:sz w:val="22"/>
        </w:rPr>
        <w:t xml:space="preserve"> vaistininkui arba slaugytojui. Apie šalutinį poveikį taip pat galite pranešti Valstybinei vaistų kontrolės tarnybai prie Lietuvos Respublikos sveikatos apsaugos ministerijos</w:t>
      </w:r>
      <w:r w:rsidRPr="00606821">
        <w:rPr>
          <w:sz w:val="22"/>
          <w:szCs w:val="22"/>
        </w:rPr>
        <w:t xml:space="preserve"> nemokamu t</w:t>
      </w:r>
      <w:r w:rsidRPr="00606821">
        <w:rPr>
          <w:sz w:val="22"/>
          <w:szCs w:val="22"/>
          <w:lang w:eastAsia="zh-CN"/>
        </w:rPr>
        <w:t>elefonu 8 800 73568</w:t>
      </w:r>
      <w:r w:rsidRPr="00606821">
        <w:rPr>
          <w:sz w:val="22"/>
          <w:szCs w:val="22"/>
        </w:rPr>
        <w:t xml:space="preserve"> arba užpildyti interneto svetainėje </w:t>
      </w:r>
      <w:hyperlink r:id="rId12" w:history="1">
        <w:r w:rsidRPr="00606821">
          <w:rPr>
            <w:rStyle w:val="Hipersaitas"/>
            <w:rFonts w:eastAsia="SimSun"/>
            <w:sz w:val="22"/>
            <w:szCs w:val="22"/>
          </w:rPr>
          <w:t>www.vvkt.lt</w:t>
        </w:r>
      </w:hyperlink>
      <w:r w:rsidRPr="00606821">
        <w:rPr>
          <w:sz w:val="22"/>
          <w:szCs w:val="22"/>
        </w:rPr>
        <w:t xml:space="preserve"> esančią formą ir pateikti ją Valstybinei vaistų kontrolės tarnybai prie Lietuvos Respublikos sveikatos apsaugos ministerijos vienu iš šių būdų: raštu (adresu</w:t>
      </w:r>
      <w:r w:rsidRPr="00B84FE7">
        <w:rPr>
          <w:sz w:val="22"/>
        </w:rPr>
        <w:t xml:space="preserve"> Žirmūnų g. 139A, LT</w:t>
      </w:r>
      <w:r w:rsidRPr="00606821">
        <w:rPr>
          <w:sz w:val="22"/>
          <w:szCs w:val="22"/>
        </w:rPr>
        <w:t>-</w:t>
      </w:r>
      <w:r w:rsidRPr="00B84FE7">
        <w:rPr>
          <w:sz w:val="22"/>
        </w:rPr>
        <w:t>09120 Vilnius</w:t>
      </w:r>
      <w:r w:rsidRPr="00606821">
        <w:rPr>
          <w:sz w:val="22"/>
          <w:szCs w:val="22"/>
        </w:rPr>
        <w:t xml:space="preserve">), </w:t>
      </w:r>
      <w:r w:rsidRPr="00606821">
        <w:rPr>
          <w:sz w:val="22"/>
          <w:szCs w:val="22"/>
          <w:lang w:eastAsia="zh-CN"/>
        </w:rPr>
        <w:t xml:space="preserve">nemokamu </w:t>
      </w:r>
      <w:r w:rsidRPr="00606821">
        <w:rPr>
          <w:sz w:val="22"/>
          <w:szCs w:val="22"/>
        </w:rPr>
        <w:t>fakso numeriu</w:t>
      </w:r>
      <w:r w:rsidRPr="00B84FE7">
        <w:rPr>
          <w:sz w:val="22"/>
        </w:rPr>
        <w:t xml:space="preserve"> 8 800 20131</w:t>
      </w:r>
      <w:r w:rsidRPr="00606821">
        <w:rPr>
          <w:sz w:val="22"/>
          <w:szCs w:val="22"/>
          <w:lang w:eastAsia="zh-CN"/>
        </w:rPr>
        <w:t>,</w:t>
      </w:r>
      <w:r w:rsidRPr="00B84FE7">
        <w:rPr>
          <w:sz w:val="22"/>
        </w:rPr>
        <w:t xml:space="preserve"> el. paštu</w:t>
      </w:r>
      <w:r w:rsidRPr="00606821">
        <w:rPr>
          <w:sz w:val="22"/>
          <w:szCs w:val="22"/>
        </w:rPr>
        <w:t xml:space="preserve"> </w:t>
      </w:r>
      <w:hyperlink r:id="rId13" w:history="1">
        <w:r w:rsidRPr="00B84FE7">
          <w:rPr>
            <w:rStyle w:val="Hipersaitas"/>
            <w:rFonts w:eastAsia="SimSun"/>
            <w:sz w:val="22"/>
          </w:rPr>
          <w:t>NepageidaujamaR@vvkt.lt</w:t>
        </w:r>
      </w:hyperlink>
      <w:r w:rsidRPr="00606821">
        <w:rPr>
          <w:sz w:val="22"/>
          <w:szCs w:val="22"/>
        </w:rPr>
        <w:t xml:space="preserve">, taip pat per Valstybinės vaistų kontrolės tarnybos prie Lietuvos Respublikos sveikatos apsaugos ministerijos interneto svetainę (adresu </w:t>
      </w:r>
      <w:hyperlink r:id="rId14" w:history="1">
        <w:r w:rsidRPr="00606821">
          <w:rPr>
            <w:rStyle w:val="Hipersaitas"/>
            <w:rFonts w:eastAsia="SimSun"/>
            <w:sz w:val="22"/>
            <w:szCs w:val="22"/>
          </w:rPr>
          <w:t>http://www.vvkt.lt</w:t>
        </w:r>
      </w:hyperlink>
      <w:r w:rsidRPr="00606821">
        <w:rPr>
          <w:sz w:val="22"/>
          <w:szCs w:val="22"/>
        </w:rPr>
        <w:t xml:space="preserve">). </w:t>
      </w:r>
      <w:r w:rsidRPr="00B84FE7">
        <w:rPr>
          <w:sz w:val="22"/>
        </w:rPr>
        <w:t>Pranešdami apie šalutinį poveikį galite mums padėti gauti daugiau informacijos apie šio vaisto saugumą.</w:t>
      </w:r>
    </w:p>
    <w:p w14:paraId="54E9DC95" w14:textId="77777777" w:rsidR="000E5428" w:rsidRPr="009B54A6" w:rsidRDefault="000E5428" w:rsidP="000E5428">
      <w:pPr>
        <w:autoSpaceDE w:val="0"/>
        <w:autoSpaceDN w:val="0"/>
        <w:adjustRightInd w:val="0"/>
        <w:rPr>
          <w:b/>
          <w:bCs/>
          <w:sz w:val="22"/>
          <w:szCs w:val="22"/>
        </w:rPr>
      </w:pPr>
    </w:p>
    <w:p w14:paraId="2AC012B4" w14:textId="77777777" w:rsidR="000E5428" w:rsidRPr="009B54A6" w:rsidRDefault="000E5428" w:rsidP="000E5428">
      <w:pPr>
        <w:rPr>
          <w:sz w:val="22"/>
          <w:szCs w:val="22"/>
        </w:rPr>
      </w:pPr>
    </w:p>
    <w:p w14:paraId="259A3D50"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5.</w:t>
      </w:r>
      <w:r w:rsidRPr="009B54A6">
        <w:rPr>
          <w:b/>
          <w:bCs/>
          <w:sz w:val="22"/>
          <w:szCs w:val="22"/>
          <w:lang w:eastAsia="lt-LT"/>
        </w:rPr>
        <w:tab/>
      </w:r>
      <w:r w:rsidRPr="009B54A6">
        <w:rPr>
          <w:b/>
          <w:sz w:val="22"/>
          <w:szCs w:val="22"/>
          <w:lang w:eastAsia="lt-LT"/>
        </w:rPr>
        <w:t>Kaip laikyti Telmisartan/Hydrochlorothiazide Sandoz</w:t>
      </w:r>
    </w:p>
    <w:p w14:paraId="292EE933" w14:textId="77777777" w:rsidR="000E5428" w:rsidRPr="009B54A6" w:rsidRDefault="000E5428" w:rsidP="000E5428">
      <w:pPr>
        <w:autoSpaceDE w:val="0"/>
        <w:autoSpaceDN w:val="0"/>
        <w:adjustRightInd w:val="0"/>
        <w:rPr>
          <w:b/>
          <w:bCs/>
          <w:sz w:val="22"/>
          <w:szCs w:val="22"/>
          <w:lang w:eastAsia="lt-LT"/>
        </w:rPr>
      </w:pPr>
    </w:p>
    <w:p w14:paraId="07B519C8"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Šį vaistą laikykite vaikams nepastebimoje ir nepasiekiamoje vietoje.</w:t>
      </w:r>
    </w:p>
    <w:p w14:paraId="49AAAF60" w14:textId="77777777" w:rsidR="000E5428" w:rsidRPr="009B54A6" w:rsidRDefault="000E5428" w:rsidP="000E5428">
      <w:pPr>
        <w:autoSpaceDE w:val="0"/>
        <w:autoSpaceDN w:val="0"/>
        <w:adjustRightInd w:val="0"/>
        <w:rPr>
          <w:sz w:val="22"/>
          <w:szCs w:val="22"/>
          <w:lang w:eastAsia="lt-LT"/>
        </w:rPr>
      </w:pPr>
    </w:p>
    <w:p w14:paraId="3416C5AD"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Ant dėžutės ir lizdinės plokštelės po „Tinka iki“ nurodytam tinkamumo laikui pasibaigus, šio vaisto vartoti negalima. Vaistas tinkamas vartoti iki paskutinės nurodyto mėnesio dienos.</w:t>
      </w:r>
    </w:p>
    <w:p w14:paraId="68AA427B" w14:textId="77777777" w:rsidR="000E5428" w:rsidRPr="009B54A6" w:rsidRDefault="000E5428" w:rsidP="000E5428">
      <w:pPr>
        <w:autoSpaceDE w:val="0"/>
        <w:autoSpaceDN w:val="0"/>
        <w:adjustRightInd w:val="0"/>
        <w:rPr>
          <w:sz w:val="22"/>
          <w:szCs w:val="22"/>
          <w:lang w:eastAsia="lt-LT"/>
        </w:rPr>
      </w:pPr>
    </w:p>
    <w:p w14:paraId="66C55135"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Laikyti ne aukštesnėje kaip 30 °C temperatūroje.</w:t>
      </w:r>
    </w:p>
    <w:p w14:paraId="3AC94701"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Laikyti gamintojo pakuotėje, kad preparatas būtų apsaugotas nuo drėgmės.</w:t>
      </w:r>
      <w:r w:rsidRPr="009B54A6">
        <w:rPr>
          <w:sz w:val="22"/>
          <w:szCs w:val="22"/>
        </w:rPr>
        <w:t xml:space="preserve"> </w:t>
      </w:r>
    </w:p>
    <w:p w14:paraId="56B5C8A7"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Pastebėjus bet kokių išvaizdos pokyčių, šio vaistinio preparato vartoti negalima.</w:t>
      </w:r>
    </w:p>
    <w:p w14:paraId="16DF9FF6" w14:textId="77777777" w:rsidR="000E5428" w:rsidRPr="009B54A6" w:rsidRDefault="000E5428" w:rsidP="000E5428">
      <w:pPr>
        <w:autoSpaceDE w:val="0"/>
        <w:autoSpaceDN w:val="0"/>
        <w:adjustRightInd w:val="0"/>
        <w:rPr>
          <w:sz w:val="22"/>
          <w:szCs w:val="22"/>
          <w:lang w:eastAsia="lt-LT"/>
        </w:rPr>
      </w:pPr>
    </w:p>
    <w:p w14:paraId="1C086C6C"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Vaistų negalima išmesti į kanalizaciją arba su buitinėmis atliekomis. Kaip išmesti nereikalingus vaistus, klauskite vaistininko. Šios priemonės padės apsaugoti aplinką.</w:t>
      </w:r>
    </w:p>
    <w:p w14:paraId="0A342CBA" w14:textId="77777777" w:rsidR="000E5428" w:rsidRPr="009B54A6" w:rsidRDefault="000E5428" w:rsidP="000E5428">
      <w:pPr>
        <w:autoSpaceDE w:val="0"/>
        <w:autoSpaceDN w:val="0"/>
        <w:adjustRightInd w:val="0"/>
        <w:rPr>
          <w:sz w:val="22"/>
          <w:szCs w:val="22"/>
          <w:lang w:eastAsia="lt-LT"/>
        </w:rPr>
      </w:pPr>
    </w:p>
    <w:p w14:paraId="0EA4859C" w14:textId="77777777" w:rsidR="000E5428" w:rsidRPr="009B54A6" w:rsidRDefault="000E5428" w:rsidP="000E5428">
      <w:pPr>
        <w:autoSpaceDE w:val="0"/>
        <w:autoSpaceDN w:val="0"/>
        <w:adjustRightInd w:val="0"/>
        <w:rPr>
          <w:sz w:val="22"/>
          <w:szCs w:val="22"/>
          <w:lang w:eastAsia="lt-LT"/>
        </w:rPr>
      </w:pPr>
    </w:p>
    <w:p w14:paraId="58A66153" w14:textId="77777777" w:rsidR="000E5428" w:rsidRPr="009B54A6" w:rsidRDefault="000E5428" w:rsidP="000E5428">
      <w:pPr>
        <w:autoSpaceDE w:val="0"/>
        <w:autoSpaceDN w:val="0"/>
        <w:adjustRightInd w:val="0"/>
        <w:rPr>
          <w:b/>
          <w:bCs/>
          <w:sz w:val="22"/>
          <w:szCs w:val="22"/>
          <w:lang w:eastAsia="lt-LT"/>
        </w:rPr>
      </w:pPr>
      <w:r w:rsidRPr="009B54A6">
        <w:rPr>
          <w:b/>
          <w:bCs/>
          <w:sz w:val="22"/>
          <w:szCs w:val="22"/>
          <w:lang w:eastAsia="lt-LT"/>
        </w:rPr>
        <w:t>6.</w:t>
      </w:r>
      <w:r w:rsidRPr="009B54A6">
        <w:rPr>
          <w:b/>
          <w:bCs/>
          <w:sz w:val="22"/>
          <w:szCs w:val="22"/>
          <w:lang w:eastAsia="lt-LT"/>
        </w:rPr>
        <w:tab/>
      </w:r>
      <w:r w:rsidRPr="009B54A6">
        <w:rPr>
          <w:b/>
          <w:sz w:val="22"/>
          <w:szCs w:val="22"/>
          <w:lang w:eastAsia="lt-LT"/>
        </w:rPr>
        <w:t>Pakuotės turinys ir kita informacija</w:t>
      </w:r>
    </w:p>
    <w:p w14:paraId="01F09B14" w14:textId="77777777" w:rsidR="000E5428" w:rsidRPr="009B54A6" w:rsidRDefault="000E5428" w:rsidP="000E5428">
      <w:pPr>
        <w:autoSpaceDE w:val="0"/>
        <w:autoSpaceDN w:val="0"/>
        <w:adjustRightInd w:val="0"/>
        <w:rPr>
          <w:sz w:val="22"/>
          <w:szCs w:val="22"/>
          <w:lang w:eastAsia="lt-LT"/>
        </w:rPr>
      </w:pPr>
    </w:p>
    <w:p w14:paraId="0679ED4A" w14:textId="77777777" w:rsidR="000E5428" w:rsidRPr="009B54A6" w:rsidRDefault="000E5428" w:rsidP="000E5428">
      <w:pPr>
        <w:autoSpaceDE w:val="0"/>
        <w:autoSpaceDN w:val="0"/>
        <w:adjustRightInd w:val="0"/>
        <w:rPr>
          <w:b/>
          <w:bCs/>
          <w:sz w:val="22"/>
          <w:szCs w:val="22"/>
          <w:lang w:eastAsia="lt-LT"/>
        </w:rPr>
      </w:pPr>
      <w:r w:rsidRPr="009B54A6">
        <w:rPr>
          <w:b/>
          <w:sz w:val="22"/>
          <w:szCs w:val="22"/>
          <w:lang w:eastAsia="lt-LT"/>
        </w:rPr>
        <w:t>Telmisartan/Hydrochlorothiazide Sandoz</w:t>
      </w:r>
      <w:r w:rsidRPr="009B54A6">
        <w:rPr>
          <w:b/>
          <w:bCs/>
          <w:sz w:val="22"/>
          <w:szCs w:val="22"/>
          <w:lang w:eastAsia="lt-LT"/>
        </w:rPr>
        <w:t xml:space="preserve"> sudėtis</w:t>
      </w:r>
    </w:p>
    <w:p w14:paraId="0E90EB02" w14:textId="77777777" w:rsidR="000E5428" w:rsidRPr="009B54A6" w:rsidRDefault="000E5428" w:rsidP="000E5428">
      <w:pPr>
        <w:rPr>
          <w:sz w:val="22"/>
          <w:szCs w:val="22"/>
        </w:rPr>
      </w:pPr>
    </w:p>
    <w:p w14:paraId="68945BE5" w14:textId="77777777" w:rsidR="000E5428" w:rsidRPr="009B54A6" w:rsidRDefault="000E5428" w:rsidP="000E5428">
      <w:pPr>
        <w:rPr>
          <w:sz w:val="22"/>
          <w:szCs w:val="22"/>
        </w:rPr>
      </w:pPr>
      <w:r w:rsidRPr="009B54A6">
        <w:rPr>
          <w:sz w:val="22"/>
          <w:szCs w:val="22"/>
          <w:lang w:eastAsia="lt-LT"/>
        </w:rPr>
        <w:t>Veikliosios medžiagos yra telmisartanas ir hidrochlorotiazidas.</w:t>
      </w:r>
      <w:r w:rsidRPr="009B54A6">
        <w:rPr>
          <w:sz w:val="22"/>
          <w:szCs w:val="22"/>
        </w:rPr>
        <w:t xml:space="preserve"> </w:t>
      </w:r>
    </w:p>
    <w:p w14:paraId="1E964948" w14:textId="77777777" w:rsidR="000E5428" w:rsidRPr="009B54A6" w:rsidRDefault="000E5428" w:rsidP="000E5428">
      <w:pPr>
        <w:rPr>
          <w:sz w:val="22"/>
          <w:szCs w:val="22"/>
        </w:rPr>
      </w:pPr>
    </w:p>
    <w:p w14:paraId="06860C4D"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Telmisartan/Hydrochlorothiazide Sandoz 40 mg/12,5 mg dengtos tabletės</w:t>
      </w:r>
    </w:p>
    <w:p w14:paraId="5F92A1D7" w14:textId="77777777" w:rsidR="000E5428" w:rsidRPr="009B54A6" w:rsidRDefault="000E5428" w:rsidP="000E5428">
      <w:pPr>
        <w:rPr>
          <w:sz w:val="22"/>
          <w:szCs w:val="22"/>
        </w:rPr>
      </w:pPr>
      <w:r w:rsidRPr="009B54A6">
        <w:rPr>
          <w:sz w:val="22"/>
          <w:szCs w:val="22"/>
        </w:rPr>
        <w:t>Kiekvienoje dengtoje tabletėje yra 40 mg telmisartano ir 12,5 mg hidrochlorotiazido.</w:t>
      </w:r>
    </w:p>
    <w:p w14:paraId="175793F8" w14:textId="77777777" w:rsidR="000E5428" w:rsidRPr="009B54A6" w:rsidRDefault="000E5428" w:rsidP="000E5428">
      <w:pPr>
        <w:rPr>
          <w:sz w:val="22"/>
          <w:szCs w:val="22"/>
        </w:rPr>
      </w:pPr>
    </w:p>
    <w:p w14:paraId="15D442ED" w14:textId="77777777" w:rsidR="000E5428" w:rsidRPr="009B54A6" w:rsidRDefault="000E5428" w:rsidP="000E5428">
      <w:pPr>
        <w:tabs>
          <w:tab w:val="left" w:pos="3060"/>
        </w:tabs>
        <w:autoSpaceDE w:val="0"/>
        <w:autoSpaceDN w:val="0"/>
        <w:adjustRightInd w:val="0"/>
        <w:rPr>
          <w:sz w:val="22"/>
          <w:szCs w:val="22"/>
          <w:highlight w:val="lightGray"/>
        </w:rPr>
      </w:pPr>
      <w:r w:rsidRPr="009B54A6">
        <w:rPr>
          <w:sz w:val="22"/>
          <w:szCs w:val="22"/>
          <w:highlight w:val="lightGray"/>
        </w:rPr>
        <w:t>Telmisartan/Hydrochlorothiazide Sandoz 80 mg/12,5 mg dengtos tabletės</w:t>
      </w:r>
    </w:p>
    <w:p w14:paraId="0B18298F" w14:textId="77777777" w:rsidR="000E5428" w:rsidRPr="009B54A6" w:rsidRDefault="000E5428" w:rsidP="000E5428">
      <w:pPr>
        <w:rPr>
          <w:sz w:val="22"/>
          <w:szCs w:val="22"/>
          <w:highlight w:val="lightGray"/>
        </w:rPr>
      </w:pPr>
      <w:r w:rsidRPr="009B54A6">
        <w:rPr>
          <w:sz w:val="22"/>
          <w:szCs w:val="22"/>
          <w:highlight w:val="lightGray"/>
        </w:rPr>
        <w:t>Kiekvienoje dengtoje tabletėje yra 80 mg telmisartano ir 12,5 mg hidrochlorotiazido.</w:t>
      </w:r>
    </w:p>
    <w:p w14:paraId="38FF13EA" w14:textId="77777777" w:rsidR="000E5428" w:rsidRPr="009B54A6" w:rsidRDefault="000E5428" w:rsidP="000E5428">
      <w:pPr>
        <w:rPr>
          <w:sz w:val="22"/>
          <w:szCs w:val="22"/>
          <w:highlight w:val="lightGray"/>
        </w:rPr>
      </w:pPr>
    </w:p>
    <w:p w14:paraId="2CABBDFE" w14:textId="77777777" w:rsidR="000E5428" w:rsidRPr="009B54A6" w:rsidRDefault="000E5428" w:rsidP="000E5428">
      <w:pPr>
        <w:tabs>
          <w:tab w:val="left" w:pos="3060"/>
        </w:tabs>
        <w:autoSpaceDE w:val="0"/>
        <w:autoSpaceDN w:val="0"/>
        <w:adjustRightInd w:val="0"/>
        <w:rPr>
          <w:sz w:val="22"/>
          <w:szCs w:val="22"/>
          <w:highlight w:val="lightGray"/>
        </w:rPr>
      </w:pPr>
      <w:r w:rsidRPr="009B54A6">
        <w:rPr>
          <w:sz w:val="22"/>
          <w:szCs w:val="22"/>
          <w:highlight w:val="lightGray"/>
        </w:rPr>
        <w:t>Telmisartan/Hydrochlorothiazide Sandoz 80 mg/25 mg dengtos tabletės</w:t>
      </w:r>
    </w:p>
    <w:p w14:paraId="53A485C6" w14:textId="77777777" w:rsidR="000E5428" w:rsidRPr="009B54A6" w:rsidRDefault="000E5428" w:rsidP="000E5428">
      <w:pPr>
        <w:rPr>
          <w:sz w:val="22"/>
          <w:szCs w:val="22"/>
        </w:rPr>
      </w:pPr>
      <w:r w:rsidRPr="009B54A6">
        <w:rPr>
          <w:sz w:val="22"/>
          <w:szCs w:val="22"/>
          <w:highlight w:val="lightGray"/>
        </w:rPr>
        <w:t>Kiekvienoje dengtoje tabletėje yra 80 mg telmisartano ir 25 mg hidrochlorotiazido.</w:t>
      </w:r>
    </w:p>
    <w:p w14:paraId="69ACE83A" w14:textId="77777777" w:rsidR="000E5428" w:rsidRPr="009B54A6" w:rsidRDefault="000E5428" w:rsidP="000E5428">
      <w:pPr>
        <w:autoSpaceDE w:val="0"/>
        <w:autoSpaceDN w:val="0"/>
        <w:adjustRightInd w:val="0"/>
        <w:rPr>
          <w:b/>
          <w:bCs/>
          <w:sz w:val="22"/>
          <w:szCs w:val="22"/>
          <w:lang w:eastAsia="lt-LT"/>
        </w:rPr>
      </w:pPr>
    </w:p>
    <w:p w14:paraId="2955D71B"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 xml:space="preserve">Pagalbinės medžiagos yra: </w:t>
      </w:r>
    </w:p>
    <w:p w14:paraId="5D29FF13" w14:textId="77777777" w:rsidR="000E5428" w:rsidRPr="009B54A6" w:rsidRDefault="000E5428" w:rsidP="000E5428">
      <w:pPr>
        <w:tabs>
          <w:tab w:val="left" w:pos="3060"/>
        </w:tabs>
        <w:autoSpaceDE w:val="0"/>
        <w:autoSpaceDN w:val="0"/>
        <w:adjustRightInd w:val="0"/>
        <w:rPr>
          <w:sz w:val="22"/>
          <w:szCs w:val="22"/>
        </w:rPr>
      </w:pPr>
      <w:r w:rsidRPr="009B54A6">
        <w:rPr>
          <w:sz w:val="22"/>
          <w:szCs w:val="22"/>
        </w:rPr>
        <w:t>Telmisartan/Hydrochlorothiazide Sandoz 40 mg/12,5 mg dengtos tabletės</w:t>
      </w:r>
    </w:p>
    <w:p w14:paraId="2F2B54B2"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b/>
          <w:sz w:val="22"/>
          <w:szCs w:val="22"/>
          <w:u w:val="single"/>
        </w:rPr>
        <w:t>Tabletės šerdis</w:t>
      </w:r>
      <w:r w:rsidRPr="009B54A6">
        <w:rPr>
          <w:rFonts w:eastAsia="TimesNewRoman"/>
          <w:sz w:val="22"/>
          <w:szCs w:val="22"/>
        </w:rPr>
        <w:t>: natrio hidroksidas, megliuminas, povidonas K 25 (E1201), laktozė monohidratas, povidonas K 30 (E1201), krospovidonas (A tipo) (E1202), bevandenė laktozė, magnio stearatas (E572).</w:t>
      </w:r>
    </w:p>
    <w:p w14:paraId="2C5CED82"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b/>
          <w:sz w:val="22"/>
          <w:szCs w:val="22"/>
          <w:u w:val="single"/>
        </w:rPr>
        <w:t>Dangalas</w:t>
      </w:r>
      <w:r w:rsidRPr="009B54A6">
        <w:rPr>
          <w:rFonts w:eastAsia="TimesNewRoman"/>
          <w:sz w:val="22"/>
          <w:szCs w:val="22"/>
        </w:rPr>
        <w:t>: polivinilo alkoholis (E1203), polietilenglikolis (E1521), bevandenis koloidinis silicio dioksidas (E551), citrinų rūgštis monohidratas (E330), geltonasis geležies oksidas (E172), raudonasis geležies oksidas (E172).</w:t>
      </w:r>
    </w:p>
    <w:p w14:paraId="04105A97" w14:textId="77777777" w:rsidR="000E5428" w:rsidRPr="009B54A6" w:rsidRDefault="000E5428" w:rsidP="000E5428">
      <w:pPr>
        <w:autoSpaceDE w:val="0"/>
        <w:autoSpaceDN w:val="0"/>
        <w:adjustRightInd w:val="0"/>
        <w:rPr>
          <w:rFonts w:eastAsia="TimesNewRoman"/>
          <w:sz w:val="22"/>
          <w:szCs w:val="22"/>
        </w:rPr>
      </w:pPr>
    </w:p>
    <w:p w14:paraId="026FF57A"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Telmisartan/Hydrochlorothiazide Sandoz 80 mg mg/12,5 mg dengtos tabletės</w:t>
      </w:r>
    </w:p>
    <w:p w14:paraId="1C28F9A7"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b/>
          <w:sz w:val="22"/>
          <w:szCs w:val="22"/>
          <w:highlight w:val="lightGray"/>
          <w:u w:val="single"/>
        </w:rPr>
        <w:t>Tabletės šerdis</w:t>
      </w:r>
      <w:r w:rsidRPr="009B54A6">
        <w:rPr>
          <w:rFonts w:eastAsia="TimesNewRoman"/>
          <w:sz w:val="22"/>
          <w:szCs w:val="22"/>
          <w:highlight w:val="lightGray"/>
        </w:rPr>
        <w:t>: natrio hidroksidas, megliuminas, povidonas K 25 (E1201), laktozė monohidratas, povidonas K 30 (E1201), krospovidonas (A tipo) (E1202), bevandenė laktozė, magnio stearatas (E572).</w:t>
      </w:r>
    </w:p>
    <w:p w14:paraId="6AFE3537"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b/>
          <w:sz w:val="22"/>
          <w:szCs w:val="22"/>
          <w:highlight w:val="lightGray"/>
          <w:u w:val="single"/>
        </w:rPr>
        <w:lastRenderedPageBreak/>
        <w:t>Dangalas</w:t>
      </w:r>
      <w:r w:rsidRPr="009B54A6">
        <w:rPr>
          <w:rFonts w:eastAsia="TimesNewRoman"/>
          <w:sz w:val="22"/>
          <w:szCs w:val="22"/>
          <w:highlight w:val="lightGray"/>
        </w:rPr>
        <w:t>: polivinilo alkoholis (E1203), polietilenglikolis (E1521), bevandenis koloidinis silicio dioksidas (E551), citrinų rūgštis monohidratas (E330).</w:t>
      </w:r>
    </w:p>
    <w:p w14:paraId="354C5CA4" w14:textId="77777777" w:rsidR="000E5428" w:rsidRPr="009B54A6" w:rsidRDefault="000E5428" w:rsidP="000E5428">
      <w:pPr>
        <w:autoSpaceDE w:val="0"/>
        <w:autoSpaceDN w:val="0"/>
        <w:adjustRightInd w:val="0"/>
        <w:rPr>
          <w:rFonts w:eastAsia="TimesNewRoman"/>
          <w:sz w:val="22"/>
          <w:szCs w:val="22"/>
          <w:highlight w:val="lightGray"/>
        </w:rPr>
      </w:pPr>
    </w:p>
    <w:p w14:paraId="4D8ADB84" w14:textId="77777777" w:rsidR="000E5428" w:rsidRPr="009B54A6" w:rsidRDefault="000E5428" w:rsidP="000E5428">
      <w:pPr>
        <w:autoSpaceDE w:val="0"/>
        <w:autoSpaceDN w:val="0"/>
        <w:adjustRightInd w:val="0"/>
        <w:rPr>
          <w:sz w:val="22"/>
          <w:szCs w:val="22"/>
          <w:highlight w:val="lightGray"/>
          <w:lang w:eastAsia="lt-LT"/>
        </w:rPr>
      </w:pPr>
      <w:r w:rsidRPr="009B54A6">
        <w:rPr>
          <w:sz w:val="22"/>
          <w:szCs w:val="22"/>
          <w:highlight w:val="lightGray"/>
          <w:lang w:eastAsia="lt-LT"/>
        </w:rPr>
        <w:t>Telmisartan/Hydrochlorothiazide Sandoz 80 mg/25 mg dengtos tabletės</w:t>
      </w:r>
    </w:p>
    <w:p w14:paraId="63142BEC" w14:textId="77777777" w:rsidR="000E5428" w:rsidRPr="009B54A6" w:rsidRDefault="000E5428" w:rsidP="000E5428">
      <w:pPr>
        <w:autoSpaceDE w:val="0"/>
        <w:autoSpaceDN w:val="0"/>
        <w:adjustRightInd w:val="0"/>
        <w:rPr>
          <w:rFonts w:eastAsia="TimesNewRoman"/>
          <w:sz w:val="22"/>
          <w:szCs w:val="22"/>
          <w:highlight w:val="lightGray"/>
        </w:rPr>
      </w:pPr>
      <w:r w:rsidRPr="009B54A6">
        <w:rPr>
          <w:rFonts w:eastAsia="TimesNewRoman"/>
          <w:b/>
          <w:sz w:val="22"/>
          <w:szCs w:val="22"/>
          <w:highlight w:val="lightGray"/>
          <w:u w:val="single"/>
        </w:rPr>
        <w:t>Tabletės šerdis</w:t>
      </w:r>
      <w:r w:rsidRPr="009B54A6">
        <w:rPr>
          <w:rFonts w:eastAsia="TimesNewRoman"/>
          <w:sz w:val="22"/>
          <w:szCs w:val="22"/>
          <w:highlight w:val="lightGray"/>
        </w:rPr>
        <w:t>: natrio hidroksidas, megliuminas, povidonas K 25 (E1201), laktozė monohidratas, povidonas K 30 (E1201), krospovidonas (A tipo) (E1202), bevandenė laktozė, magnio stearatas (E572).</w:t>
      </w:r>
    </w:p>
    <w:p w14:paraId="17E5D5D4" w14:textId="77777777" w:rsidR="000E5428" w:rsidRPr="009B54A6" w:rsidRDefault="000E5428" w:rsidP="000E5428">
      <w:pPr>
        <w:autoSpaceDE w:val="0"/>
        <w:autoSpaceDN w:val="0"/>
        <w:adjustRightInd w:val="0"/>
        <w:rPr>
          <w:rFonts w:eastAsia="TimesNewRoman"/>
          <w:sz w:val="22"/>
          <w:szCs w:val="22"/>
        </w:rPr>
      </w:pPr>
      <w:r w:rsidRPr="009B54A6">
        <w:rPr>
          <w:rFonts w:eastAsia="TimesNewRoman"/>
          <w:b/>
          <w:sz w:val="22"/>
          <w:szCs w:val="22"/>
          <w:highlight w:val="lightGray"/>
          <w:u w:val="single"/>
        </w:rPr>
        <w:t>Dangalas</w:t>
      </w:r>
      <w:r w:rsidRPr="009B54A6">
        <w:rPr>
          <w:rFonts w:eastAsia="TimesNewRoman"/>
          <w:sz w:val="22"/>
          <w:szCs w:val="22"/>
          <w:highlight w:val="lightGray"/>
        </w:rPr>
        <w:t>: polivinilo alkoholis (E1203), polietilenglikolis (E1521), bevandenis koloidinis silicio dioksidas (E551), citrinų rūgštis monohidratas (E330), geltonasis geležies oksidas (E172).</w:t>
      </w:r>
      <w:r w:rsidRPr="009B54A6">
        <w:rPr>
          <w:rFonts w:eastAsia="TimesNewRoman"/>
          <w:sz w:val="22"/>
          <w:szCs w:val="22"/>
        </w:rPr>
        <w:t xml:space="preserve"> </w:t>
      </w:r>
    </w:p>
    <w:p w14:paraId="6748D85E" w14:textId="77777777" w:rsidR="000E5428" w:rsidRPr="009B54A6" w:rsidRDefault="000E5428" w:rsidP="000E5428">
      <w:pPr>
        <w:autoSpaceDE w:val="0"/>
        <w:autoSpaceDN w:val="0"/>
        <w:adjustRightInd w:val="0"/>
        <w:rPr>
          <w:sz w:val="22"/>
          <w:szCs w:val="22"/>
          <w:lang w:eastAsia="lt-LT"/>
        </w:rPr>
      </w:pPr>
    </w:p>
    <w:p w14:paraId="70A16A62"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Daugiau informacijos apie laktozę žr. 2 skyriaus pabaigoje.</w:t>
      </w:r>
    </w:p>
    <w:p w14:paraId="7B7B2271" w14:textId="77777777" w:rsidR="000E5428" w:rsidRPr="009B54A6" w:rsidRDefault="000E5428" w:rsidP="000E5428">
      <w:pPr>
        <w:autoSpaceDE w:val="0"/>
        <w:autoSpaceDN w:val="0"/>
        <w:adjustRightInd w:val="0"/>
        <w:rPr>
          <w:sz w:val="22"/>
          <w:szCs w:val="22"/>
          <w:lang w:eastAsia="lt-LT"/>
        </w:rPr>
      </w:pPr>
    </w:p>
    <w:p w14:paraId="3DE5382B" w14:textId="77777777" w:rsidR="000E5428" w:rsidRPr="009B54A6" w:rsidRDefault="000E5428" w:rsidP="000E5428">
      <w:pPr>
        <w:autoSpaceDE w:val="0"/>
        <w:autoSpaceDN w:val="0"/>
        <w:adjustRightInd w:val="0"/>
        <w:rPr>
          <w:b/>
          <w:bCs/>
          <w:sz w:val="22"/>
          <w:szCs w:val="22"/>
          <w:lang w:eastAsia="lt-LT"/>
        </w:rPr>
      </w:pPr>
      <w:r w:rsidRPr="009B54A6">
        <w:rPr>
          <w:b/>
          <w:sz w:val="22"/>
          <w:szCs w:val="22"/>
        </w:rPr>
        <w:t>Telmisartan/Hydrochlorothiazide Sandoz</w:t>
      </w:r>
      <w:r w:rsidRPr="009B54A6">
        <w:rPr>
          <w:b/>
          <w:bCs/>
          <w:sz w:val="22"/>
          <w:szCs w:val="22"/>
          <w:lang w:eastAsia="lt-LT"/>
        </w:rPr>
        <w:t xml:space="preserve"> išvaizda ir kiekis pakuotėje</w:t>
      </w:r>
    </w:p>
    <w:p w14:paraId="1DA8B1D9" w14:textId="77777777" w:rsidR="000E5428" w:rsidRPr="009B54A6" w:rsidRDefault="000E5428" w:rsidP="000E5428">
      <w:pPr>
        <w:tabs>
          <w:tab w:val="left" w:pos="3060"/>
        </w:tabs>
        <w:autoSpaceDE w:val="0"/>
        <w:autoSpaceDN w:val="0"/>
        <w:adjustRightInd w:val="0"/>
        <w:rPr>
          <w:sz w:val="22"/>
          <w:szCs w:val="22"/>
        </w:rPr>
      </w:pPr>
    </w:p>
    <w:p w14:paraId="6BBB9EB5" w14:textId="77777777" w:rsidR="000E5428" w:rsidRPr="009B54A6" w:rsidRDefault="000E5428" w:rsidP="000E5428">
      <w:pPr>
        <w:tabs>
          <w:tab w:val="left" w:pos="3060"/>
        </w:tabs>
        <w:autoSpaceDE w:val="0"/>
        <w:autoSpaceDN w:val="0"/>
        <w:adjustRightInd w:val="0"/>
        <w:rPr>
          <w:rFonts w:eastAsia="TimesNewRoman"/>
          <w:sz w:val="22"/>
          <w:szCs w:val="22"/>
          <w:lang w:eastAsia="lt-LT"/>
        </w:rPr>
      </w:pPr>
      <w:r w:rsidRPr="009B54A6">
        <w:rPr>
          <w:sz w:val="22"/>
          <w:szCs w:val="22"/>
        </w:rPr>
        <w:t>Telmisartan/Hydrochlorothiazide Sandoz 40 mg/12,5 mg dengtos tabletės</w:t>
      </w:r>
      <w:r w:rsidRPr="009B54A6">
        <w:rPr>
          <w:rFonts w:eastAsia="TimesNewRoman"/>
          <w:sz w:val="22"/>
          <w:szCs w:val="22"/>
          <w:lang w:eastAsia="lt-LT"/>
        </w:rPr>
        <w:t xml:space="preserve"> </w:t>
      </w:r>
    </w:p>
    <w:p w14:paraId="17C46D88"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lang w:eastAsia="lt-LT"/>
        </w:rPr>
        <w:t>Raudonos, ovalios, abipus išgaubtos dengtos tabletės (12,4 mm x 6,2 mm), kurių vienoje pusėje įspaustas skaičius “40”, kitoje pusėje - “12,5”.</w:t>
      </w:r>
    </w:p>
    <w:p w14:paraId="65AAC3E9" w14:textId="77777777" w:rsidR="000E5428" w:rsidRPr="009B54A6" w:rsidRDefault="000E5428" w:rsidP="000E5428">
      <w:pPr>
        <w:tabs>
          <w:tab w:val="left" w:pos="3060"/>
        </w:tabs>
        <w:autoSpaceDE w:val="0"/>
        <w:autoSpaceDN w:val="0"/>
        <w:adjustRightInd w:val="0"/>
        <w:rPr>
          <w:sz w:val="22"/>
          <w:szCs w:val="22"/>
        </w:rPr>
      </w:pPr>
    </w:p>
    <w:p w14:paraId="632AA2C0" w14:textId="77777777" w:rsidR="000E5428" w:rsidRPr="009B54A6" w:rsidRDefault="000E5428" w:rsidP="000E5428">
      <w:pPr>
        <w:tabs>
          <w:tab w:val="left" w:pos="3060"/>
        </w:tabs>
        <w:autoSpaceDE w:val="0"/>
        <w:autoSpaceDN w:val="0"/>
        <w:adjustRightInd w:val="0"/>
        <w:rPr>
          <w:rFonts w:eastAsia="TimesNewRoman"/>
          <w:sz w:val="22"/>
          <w:szCs w:val="22"/>
          <w:highlight w:val="lightGray"/>
          <w:lang w:eastAsia="lt-LT"/>
        </w:rPr>
      </w:pPr>
      <w:r w:rsidRPr="009B54A6">
        <w:rPr>
          <w:sz w:val="22"/>
          <w:szCs w:val="22"/>
          <w:highlight w:val="lightGray"/>
        </w:rPr>
        <w:t>Telmisartan/Hydrochlorothiazide Sandoz 80 mg/12,5 mg dengtos tabletės</w:t>
      </w:r>
      <w:r w:rsidRPr="009B54A6">
        <w:rPr>
          <w:rFonts w:eastAsia="TimesNewRoman"/>
          <w:sz w:val="22"/>
          <w:szCs w:val="22"/>
          <w:highlight w:val="lightGray"/>
          <w:lang w:eastAsia="lt-LT"/>
        </w:rPr>
        <w:t xml:space="preserve"> </w:t>
      </w:r>
    </w:p>
    <w:p w14:paraId="75B2892C" w14:textId="77777777" w:rsidR="000E5428" w:rsidRPr="009B54A6" w:rsidRDefault="000E5428" w:rsidP="000E5428">
      <w:pPr>
        <w:autoSpaceDE w:val="0"/>
        <w:autoSpaceDN w:val="0"/>
        <w:adjustRightInd w:val="0"/>
        <w:rPr>
          <w:rFonts w:eastAsia="TimesNewRoman"/>
          <w:sz w:val="22"/>
          <w:szCs w:val="22"/>
          <w:highlight w:val="lightGray"/>
          <w:lang w:eastAsia="lt-LT"/>
        </w:rPr>
      </w:pPr>
      <w:r w:rsidRPr="009B54A6">
        <w:rPr>
          <w:rFonts w:eastAsia="TimesNewRoman"/>
          <w:sz w:val="22"/>
          <w:szCs w:val="22"/>
          <w:highlight w:val="lightGray"/>
          <w:lang w:eastAsia="lt-LT"/>
        </w:rPr>
        <w:t>Baltos arba beveik baltos, ovalios, abipus išgaubtos dengtos tabletės (15,4 mm x 8,0 mm), kurių vienoje pusėje įspaustas skaičius “80”, kitoje pusėje - “12,5”.</w:t>
      </w:r>
    </w:p>
    <w:p w14:paraId="5D454CA0" w14:textId="77777777" w:rsidR="000E5428" w:rsidRPr="009B54A6" w:rsidRDefault="000E5428" w:rsidP="000E5428">
      <w:pPr>
        <w:tabs>
          <w:tab w:val="left" w:pos="3060"/>
        </w:tabs>
        <w:autoSpaceDE w:val="0"/>
        <w:autoSpaceDN w:val="0"/>
        <w:adjustRightInd w:val="0"/>
        <w:rPr>
          <w:sz w:val="22"/>
          <w:szCs w:val="22"/>
          <w:highlight w:val="lightGray"/>
        </w:rPr>
      </w:pPr>
    </w:p>
    <w:p w14:paraId="469988D7" w14:textId="77777777" w:rsidR="000E5428" w:rsidRPr="009B54A6" w:rsidRDefault="000E5428" w:rsidP="000E5428">
      <w:pPr>
        <w:tabs>
          <w:tab w:val="left" w:pos="3060"/>
        </w:tabs>
        <w:autoSpaceDE w:val="0"/>
        <w:autoSpaceDN w:val="0"/>
        <w:adjustRightInd w:val="0"/>
        <w:rPr>
          <w:rFonts w:eastAsia="TimesNewRoman"/>
          <w:sz w:val="22"/>
          <w:szCs w:val="22"/>
          <w:highlight w:val="lightGray"/>
          <w:lang w:eastAsia="lt-LT"/>
        </w:rPr>
      </w:pPr>
      <w:r w:rsidRPr="009B54A6">
        <w:rPr>
          <w:sz w:val="22"/>
          <w:szCs w:val="22"/>
          <w:highlight w:val="lightGray"/>
        </w:rPr>
        <w:t>Telmisartan/Hydrochlorothiazide Sandoz 80 mg/25 mg dengtos tabletės</w:t>
      </w:r>
      <w:r w:rsidRPr="009B54A6">
        <w:rPr>
          <w:rFonts w:eastAsia="TimesNewRoman"/>
          <w:sz w:val="22"/>
          <w:szCs w:val="22"/>
          <w:highlight w:val="lightGray"/>
          <w:lang w:eastAsia="lt-LT"/>
        </w:rPr>
        <w:t xml:space="preserve"> </w:t>
      </w:r>
    </w:p>
    <w:p w14:paraId="0B237D78" w14:textId="77777777" w:rsidR="000E5428" w:rsidRPr="009B54A6" w:rsidRDefault="000E5428" w:rsidP="000E5428">
      <w:pPr>
        <w:autoSpaceDE w:val="0"/>
        <w:autoSpaceDN w:val="0"/>
        <w:adjustRightInd w:val="0"/>
        <w:rPr>
          <w:rFonts w:eastAsia="TimesNewRoman"/>
          <w:sz w:val="22"/>
          <w:szCs w:val="22"/>
          <w:lang w:eastAsia="lt-LT"/>
        </w:rPr>
      </w:pPr>
      <w:r w:rsidRPr="009B54A6">
        <w:rPr>
          <w:rFonts w:eastAsia="TimesNewRoman"/>
          <w:sz w:val="22"/>
          <w:szCs w:val="22"/>
          <w:highlight w:val="lightGray"/>
          <w:lang w:eastAsia="lt-LT"/>
        </w:rPr>
        <w:t>Geltonos, ovalios, abipus išgaubtos dengtos tabletės (15,4 mm x 8,0 mm), kurių vienoje pusėje įspaustas skaičius “80”, kitoje pusėje - “25”.</w:t>
      </w:r>
    </w:p>
    <w:p w14:paraId="6B912481" w14:textId="77777777" w:rsidR="000E5428" w:rsidRPr="009B54A6" w:rsidRDefault="000E5428" w:rsidP="000E5428">
      <w:pPr>
        <w:rPr>
          <w:sz w:val="22"/>
          <w:szCs w:val="22"/>
        </w:rPr>
      </w:pPr>
    </w:p>
    <w:p w14:paraId="3A3266BE"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Aliuminio/aliuminio lizdinės plokštelės, kuriose yra 7, 14, 28, 30, 50, 56, 60, 84, 90, 98 ar 100 dengtų tablečių.</w:t>
      </w:r>
    </w:p>
    <w:p w14:paraId="3A9C66DB" w14:textId="77777777" w:rsidR="000E5428" w:rsidRPr="009B54A6" w:rsidRDefault="000E5428" w:rsidP="000E5428">
      <w:pPr>
        <w:autoSpaceDE w:val="0"/>
        <w:autoSpaceDN w:val="0"/>
        <w:adjustRightInd w:val="0"/>
        <w:rPr>
          <w:sz w:val="22"/>
          <w:szCs w:val="22"/>
          <w:lang w:eastAsia="lt-LT"/>
        </w:rPr>
      </w:pPr>
    </w:p>
    <w:p w14:paraId="1D22C59D" w14:textId="77777777" w:rsidR="000E5428" w:rsidRPr="009B54A6" w:rsidRDefault="000E5428" w:rsidP="000E5428">
      <w:pPr>
        <w:autoSpaceDE w:val="0"/>
        <w:autoSpaceDN w:val="0"/>
        <w:adjustRightInd w:val="0"/>
        <w:rPr>
          <w:sz w:val="22"/>
          <w:szCs w:val="22"/>
          <w:lang w:eastAsia="lt-LT"/>
        </w:rPr>
      </w:pPr>
      <w:r w:rsidRPr="009B54A6">
        <w:rPr>
          <w:sz w:val="22"/>
          <w:szCs w:val="22"/>
          <w:lang w:eastAsia="lt-LT"/>
        </w:rPr>
        <w:t>Gali būti tiekiamos ne visų dydžių pakuotės.</w:t>
      </w:r>
    </w:p>
    <w:p w14:paraId="5A03DAA5" w14:textId="77777777" w:rsidR="000E5428" w:rsidRPr="009B54A6" w:rsidRDefault="000E5428" w:rsidP="000E5428">
      <w:pPr>
        <w:autoSpaceDE w:val="0"/>
        <w:autoSpaceDN w:val="0"/>
        <w:adjustRightInd w:val="0"/>
        <w:rPr>
          <w:b/>
          <w:bCs/>
          <w:sz w:val="22"/>
          <w:szCs w:val="22"/>
          <w:lang w:eastAsia="lt-LT"/>
        </w:rPr>
      </w:pPr>
    </w:p>
    <w:p w14:paraId="60E7D823" w14:textId="06180E87" w:rsidR="000E5428" w:rsidRPr="009B54A6" w:rsidRDefault="000E5428" w:rsidP="000E5428">
      <w:pPr>
        <w:tabs>
          <w:tab w:val="left" w:pos="0"/>
          <w:tab w:val="left" w:pos="567"/>
        </w:tabs>
        <w:rPr>
          <w:b/>
          <w:sz w:val="22"/>
          <w:szCs w:val="22"/>
        </w:rPr>
      </w:pPr>
      <w:r w:rsidRPr="009B54A6">
        <w:rPr>
          <w:b/>
          <w:sz w:val="22"/>
          <w:szCs w:val="22"/>
        </w:rPr>
        <w:t>R</w:t>
      </w:r>
      <w:r w:rsidR="00563B49">
        <w:rPr>
          <w:b/>
          <w:sz w:val="22"/>
          <w:szCs w:val="22"/>
        </w:rPr>
        <w:t xml:space="preserve">egistruotojas </w:t>
      </w:r>
      <w:r w:rsidR="00EC31B3">
        <w:rPr>
          <w:b/>
          <w:sz w:val="22"/>
          <w:szCs w:val="22"/>
        </w:rPr>
        <w:t>ir</w:t>
      </w:r>
      <w:r w:rsidRPr="009B54A6">
        <w:rPr>
          <w:b/>
          <w:sz w:val="22"/>
          <w:szCs w:val="22"/>
        </w:rPr>
        <w:t xml:space="preserve"> gamintojas</w:t>
      </w:r>
    </w:p>
    <w:p w14:paraId="395B9BA5" w14:textId="77777777" w:rsidR="000E5428" w:rsidRPr="009B54A6" w:rsidRDefault="000E5428" w:rsidP="000E5428">
      <w:pPr>
        <w:tabs>
          <w:tab w:val="left" w:pos="1260"/>
        </w:tabs>
        <w:rPr>
          <w:sz w:val="22"/>
          <w:szCs w:val="22"/>
        </w:rPr>
      </w:pPr>
    </w:p>
    <w:p w14:paraId="59191A2F" w14:textId="553ABC97" w:rsidR="000E5428" w:rsidRPr="009B54A6" w:rsidRDefault="000E5428" w:rsidP="000E5428">
      <w:pPr>
        <w:tabs>
          <w:tab w:val="left" w:pos="567"/>
        </w:tabs>
        <w:rPr>
          <w:sz w:val="22"/>
          <w:szCs w:val="22"/>
        </w:rPr>
      </w:pPr>
      <w:r w:rsidRPr="009B54A6">
        <w:rPr>
          <w:i/>
          <w:sz w:val="22"/>
          <w:szCs w:val="22"/>
        </w:rPr>
        <w:t>R</w:t>
      </w:r>
      <w:r w:rsidR="00563B49">
        <w:rPr>
          <w:i/>
          <w:sz w:val="22"/>
          <w:szCs w:val="22"/>
        </w:rPr>
        <w:t xml:space="preserve">egistruotojas </w:t>
      </w:r>
      <w:r w:rsidRPr="009B54A6">
        <w:rPr>
          <w:sz w:val="22"/>
          <w:szCs w:val="22"/>
        </w:rPr>
        <w:t>Sandoz d.d.</w:t>
      </w:r>
    </w:p>
    <w:p w14:paraId="330E5C62" w14:textId="77777777" w:rsidR="000E5428" w:rsidRPr="009B54A6" w:rsidRDefault="000E5428" w:rsidP="000E5428">
      <w:pPr>
        <w:tabs>
          <w:tab w:val="left" w:pos="567"/>
        </w:tabs>
        <w:rPr>
          <w:sz w:val="22"/>
          <w:szCs w:val="22"/>
        </w:rPr>
      </w:pPr>
      <w:r w:rsidRPr="009B54A6">
        <w:rPr>
          <w:sz w:val="22"/>
          <w:szCs w:val="22"/>
        </w:rPr>
        <w:t>Verovškova 57</w:t>
      </w:r>
    </w:p>
    <w:p w14:paraId="48FAF73D" w14:textId="77777777" w:rsidR="000E5428" w:rsidRPr="009B54A6" w:rsidRDefault="000E5428" w:rsidP="000E5428">
      <w:pPr>
        <w:tabs>
          <w:tab w:val="left" w:pos="567"/>
        </w:tabs>
        <w:rPr>
          <w:sz w:val="22"/>
          <w:szCs w:val="22"/>
        </w:rPr>
      </w:pPr>
      <w:r w:rsidRPr="009B54A6">
        <w:rPr>
          <w:sz w:val="22"/>
          <w:szCs w:val="22"/>
        </w:rPr>
        <w:t>SI-1000 Ljubljana</w:t>
      </w:r>
    </w:p>
    <w:p w14:paraId="5EEBBE9E" w14:textId="77777777" w:rsidR="000E5428" w:rsidRPr="009B54A6" w:rsidRDefault="000E5428" w:rsidP="000E5428">
      <w:pPr>
        <w:tabs>
          <w:tab w:val="left" w:pos="567"/>
        </w:tabs>
        <w:rPr>
          <w:sz w:val="22"/>
          <w:szCs w:val="22"/>
        </w:rPr>
      </w:pPr>
      <w:r w:rsidRPr="009B54A6">
        <w:rPr>
          <w:sz w:val="22"/>
          <w:szCs w:val="22"/>
        </w:rPr>
        <w:t>Slovėnija</w:t>
      </w:r>
      <w:r w:rsidRPr="009B54A6" w:rsidDel="00F22949">
        <w:rPr>
          <w:sz w:val="22"/>
          <w:szCs w:val="22"/>
        </w:rPr>
        <w:t xml:space="preserve"> </w:t>
      </w:r>
    </w:p>
    <w:p w14:paraId="14FC9CFA" w14:textId="77777777" w:rsidR="000E5428" w:rsidRPr="009B54A6" w:rsidRDefault="000E5428" w:rsidP="000E5428">
      <w:pPr>
        <w:tabs>
          <w:tab w:val="left" w:pos="1260"/>
        </w:tabs>
        <w:rPr>
          <w:sz w:val="22"/>
          <w:szCs w:val="22"/>
        </w:rPr>
      </w:pPr>
    </w:p>
    <w:p w14:paraId="3A1ED3AD" w14:textId="77777777" w:rsidR="000E5428" w:rsidRPr="009B54A6" w:rsidRDefault="000E5428" w:rsidP="000E5428">
      <w:pPr>
        <w:tabs>
          <w:tab w:val="left" w:pos="1260"/>
        </w:tabs>
        <w:rPr>
          <w:i/>
          <w:sz w:val="22"/>
          <w:szCs w:val="22"/>
        </w:rPr>
      </w:pPr>
      <w:r w:rsidRPr="009B54A6">
        <w:rPr>
          <w:i/>
          <w:sz w:val="22"/>
          <w:szCs w:val="22"/>
        </w:rPr>
        <w:t>Gamintojai</w:t>
      </w:r>
    </w:p>
    <w:p w14:paraId="4BAB57CF" w14:textId="77777777" w:rsidR="000E5428" w:rsidRPr="009B54A6" w:rsidRDefault="000E5428" w:rsidP="000E5428">
      <w:pPr>
        <w:tabs>
          <w:tab w:val="left" w:pos="1260"/>
        </w:tabs>
        <w:rPr>
          <w:bCs/>
          <w:sz w:val="22"/>
          <w:szCs w:val="22"/>
        </w:rPr>
      </w:pPr>
      <w:r w:rsidRPr="009B54A6">
        <w:rPr>
          <w:bCs/>
          <w:sz w:val="22"/>
          <w:szCs w:val="22"/>
        </w:rPr>
        <w:t>Lek Pharmaceuticals d.d.</w:t>
      </w:r>
    </w:p>
    <w:p w14:paraId="07547060" w14:textId="77777777" w:rsidR="000E5428" w:rsidRPr="009B54A6" w:rsidRDefault="000E5428" w:rsidP="000E5428">
      <w:pPr>
        <w:tabs>
          <w:tab w:val="left" w:pos="1260"/>
        </w:tabs>
        <w:rPr>
          <w:bCs/>
          <w:sz w:val="22"/>
          <w:szCs w:val="22"/>
        </w:rPr>
      </w:pPr>
      <w:r w:rsidRPr="009B54A6">
        <w:rPr>
          <w:bCs/>
          <w:sz w:val="22"/>
          <w:szCs w:val="22"/>
        </w:rPr>
        <w:t>Verovškova 57, 1526 Ljubljana</w:t>
      </w:r>
    </w:p>
    <w:p w14:paraId="4D67D3FD" w14:textId="77777777" w:rsidR="000E5428" w:rsidRPr="009B54A6" w:rsidRDefault="000E5428" w:rsidP="000E5428">
      <w:pPr>
        <w:tabs>
          <w:tab w:val="left" w:pos="1260"/>
        </w:tabs>
        <w:rPr>
          <w:bCs/>
          <w:sz w:val="22"/>
          <w:szCs w:val="22"/>
        </w:rPr>
      </w:pPr>
      <w:r w:rsidRPr="009B54A6">
        <w:rPr>
          <w:bCs/>
          <w:sz w:val="22"/>
          <w:szCs w:val="22"/>
        </w:rPr>
        <w:t>Slovėnija</w:t>
      </w:r>
    </w:p>
    <w:p w14:paraId="233C64D5" w14:textId="77777777" w:rsidR="000E5428" w:rsidRPr="009B54A6" w:rsidRDefault="000E5428" w:rsidP="000E5428">
      <w:pPr>
        <w:tabs>
          <w:tab w:val="left" w:pos="1260"/>
        </w:tabs>
        <w:rPr>
          <w:bCs/>
          <w:sz w:val="22"/>
          <w:szCs w:val="22"/>
        </w:rPr>
      </w:pPr>
    </w:p>
    <w:p w14:paraId="5EF503A3" w14:textId="77777777" w:rsidR="000E5428" w:rsidRPr="009B54A6" w:rsidRDefault="000E5428" w:rsidP="000E5428">
      <w:pPr>
        <w:tabs>
          <w:tab w:val="left" w:pos="1260"/>
        </w:tabs>
        <w:rPr>
          <w:bCs/>
          <w:sz w:val="22"/>
          <w:szCs w:val="22"/>
        </w:rPr>
      </w:pPr>
      <w:r w:rsidRPr="009B54A6">
        <w:rPr>
          <w:bCs/>
          <w:sz w:val="22"/>
          <w:szCs w:val="22"/>
        </w:rPr>
        <w:t>arba</w:t>
      </w:r>
    </w:p>
    <w:p w14:paraId="78997042" w14:textId="77777777" w:rsidR="000E5428" w:rsidRPr="009B54A6" w:rsidRDefault="000E5428" w:rsidP="000E5428">
      <w:pPr>
        <w:tabs>
          <w:tab w:val="left" w:pos="1260"/>
        </w:tabs>
        <w:rPr>
          <w:bCs/>
          <w:sz w:val="22"/>
          <w:szCs w:val="22"/>
        </w:rPr>
      </w:pPr>
    </w:p>
    <w:p w14:paraId="31749155" w14:textId="77777777" w:rsidR="000E5428" w:rsidRPr="009B54A6" w:rsidRDefault="000E5428" w:rsidP="000E5428">
      <w:pPr>
        <w:rPr>
          <w:sz w:val="22"/>
          <w:szCs w:val="22"/>
          <w:lang w:eastAsia="de-DE"/>
        </w:rPr>
      </w:pPr>
      <w:r w:rsidRPr="009B54A6">
        <w:rPr>
          <w:sz w:val="22"/>
          <w:szCs w:val="22"/>
          <w:lang w:eastAsia="de-DE"/>
        </w:rPr>
        <w:t xml:space="preserve">Lek S.A. </w:t>
      </w:r>
    </w:p>
    <w:p w14:paraId="5FF83F5F" w14:textId="77777777" w:rsidR="000E5428" w:rsidRPr="009B54A6" w:rsidRDefault="000E5428" w:rsidP="000E5428">
      <w:pPr>
        <w:tabs>
          <w:tab w:val="left" w:pos="1260"/>
        </w:tabs>
        <w:rPr>
          <w:sz w:val="22"/>
          <w:szCs w:val="22"/>
        </w:rPr>
      </w:pPr>
      <w:r w:rsidRPr="009B54A6">
        <w:rPr>
          <w:sz w:val="22"/>
          <w:szCs w:val="22"/>
        </w:rPr>
        <w:t>ul. Domaniewska 50 C, 02-672 Warszawa</w:t>
      </w:r>
    </w:p>
    <w:p w14:paraId="51A40304" w14:textId="77777777" w:rsidR="000E5428" w:rsidRPr="009B54A6" w:rsidRDefault="000E5428" w:rsidP="000E5428">
      <w:pPr>
        <w:tabs>
          <w:tab w:val="left" w:pos="1260"/>
        </w:tabs>
        <w:rPr>
          <w:sz w:val="22"/>
          <w:szCs w:val="22"/>
        </w:rPr>
      </w:pPr>
      <w:r w:rsidRPr="009B54A6">
        <w:rPr>
          <w:sz w:val="22"/>
          <w:szCs w:val="22"/>
        </w:rPr>
        <w:t>Lenkija</w:t>
      </w:r>
    </w:p>
    <w:p w14:paraId="1C1492B0" w14:textId="77777777" w:rsidR="000E5428" w:rsidRPr="009B54A6" w:rsidRDefault="000E5428" w:rsidP="000E5428">
      <w:pPr>
        <w:tabs>
          <w:tab w:val="left" w:pos="567"/>
        </w:tabs>
        <w:rPr>
          <w:sz w:val="22"/>
          <w:szCs w:val="22"/>
          <w:lang w:eastAsia="lt-LT"/>
        </w:rPr>
      </w:pPr>
    </w:p>
    <w:p w14:paraId="5C4C226F" w14:textId="77777777" w:rsidR="000E5428" w:rsidRPr="009B54A6" w:rsidRDefault="000E5428" w:rsidP="000E5428">
      <w:pPr>
        <w:tabs>
          <w:tab w:val="left" w:pos="567"/>
        </w:tabs>
        <w:rPr>
          <w:sz w:val="22"/>
          <w:szCs w:val="22"/>
          <w:lang w:eastAsia="lt-LT"/>
        </w:rPr>
      </w:pPr>
      <w:r w:rsidRPr="009B54A6">
        <w:rPr>
          <w:sz w:val="22"/>
          <w:szCs w:val="22"/>
          <w:lang w:eastAsia="lt-LT"/>
        </w:rPr>
        <w:t>arba</w:t>
      </w:r>
    </w:p>
    <w:p w14:paraId="6FD1D483" w14:textId="77777777" w:rsidR="000E5428" w:rsidRPr="009B54A6" w:rsidRDefault="000E5428" w:rsidP="000E5428">
      <w:pPr>
        <w:tabs>
          <w:tab w:val="left" w:pos="567"/>
        </w:tabs>
        <w:rPr>
          <w:sz w:val="22"/>
          <w:szCs w:val="22"/>
          <w:lang w:eastAsia="lt-LT"/>
        </w:rPr>
      </w:pPr>
    </w:p>
    <w:p w14:paraId="5FD29DC6" w14:textId="77777777" w:rsidR="000E5428" w:rsidRPr="009B54A6" w:rsidRDefault="000E5428" w:rsidP="000E5428">
      <w:pPr>
        <w:tabs>
          <w:tab w:val="left" w:pos="1260"/>
        </w:tabs>
        <w:rPr>
          <w:sz w:val="22"/>
          <w:szCs w:val="22"/>
        </w:rPr>
      </w:pPr>
      <w:r w:rsidRPr="009B54A6">
        <w:rPr>
          <w:sz w:val="22"/>
          <w:szCs w:val="22"/>
        </w:rPr>
        <w:t>Salutas Pharma GmbH</w:t>
      </w:r>
    </w:p>
    <w:p w14:paraId="2DFB9C42" w14:textId="77777777" w:rsidR="000E5428" w:rsidRPr="009B54A6" w:rsidRDefault="000E5428" w:rsidP="000E5428">
      <w:pPr>
        <w:tabs>
          <w:tab w:val="left" w:pos="1260"/>
        </w:tabs>
        <w:rPr>
          <w:sz w:val="22"/>
          <w:szCs w:val="22"/>
        </w:rPr>
      </w:pPr>
      <w:r w:rsidRPr="009B54A6">
        <w:rPr>
          <w:sz w:val="22"/>
          <w:szCs w:val="22"/>
        </w:rPr>
        <w:t>Otto-von-Guericke-Allee 1, 39179 Barleben</w:t>
      </w:r>
    </w:p>
    <w:p w14:paraId="28A655F6" w14:textId="77777777" w:rsidR="000E5428" w:rsidRPr="009B54A6" w:rsidRDefault="000E5428" w:rsidP="000E5428">
      <w:pPr>
        <w:tabs>
          <w:tab w:val="left" w:pos="1260"/>
        </w:tabs>
        <w:rPr>
          <w:sz w:val="22"/>
          <w:szCs w:val="22"/>
        </w:rPr>
      </w:pPr>
      <w:r w:rsidRPr="009B54A6">
        <w:rPr>
          <w:sz w:val="22"/>
          <w:szCs w:val="22"/>
        </w:rPr>
        <w:t>Vokietija</w:t>
      </w:r>
    </w:p>
    <w:p w14:paraId="103C8ADF" w14:textId="77777777" w:rsidR="000E5428" w:rsidRPr="009B54A6" w:rsidRDefault="000E5428" w:rsidP="000E5428">
      <w:pPr>
        <w:tabs>
          <w:tab w:val="left" w:pos="567"/>
        </w:tabs>
        <w:rPr>
          <w:sz w:val="22"/>
          <w:szCs w:val="22"/>
          <w:lang w:eastAsia="lt-LT"/>
        </w:rPr>
      </w:pPr>
    </w:p>
    <w:p w14:paraId="7DA851F1" w14:textId="77777777" w:rsidR="000E5428" w:rsidRPr="009B54A6" w:rsidRDefault="000E5428" w:rsidP="000E5428">
      <w:pPr>
        <w:tabs>
          <w:tab w:val="left" w:pos="567"/>
        </w:tabs>
        <w:rPr>
          <w:sz w:val="22"/>
          <w:szCs w:val="22"/>
          <w:lang w:eastAsia="lt-LT"/>
        </w:rPr>
      </w:pPr>
      <w:r w:rsidRPr="009B54A6">
        <w:rPr>
          <w:sz w:val="22"/>
          <w:szCs w:val="22"/>
          <w:lang w:eastAsia="lt-LT"/>
        </w:rPr>
        <w:t>arba</w:t>
      </w:r>
    </w:p>
    <w:p w14:paraId="3D5C8EF3" w14:textId="77777777" w:rsidR="000E5428" w:rsidRPr="009B54A6" w:rsidRDefault="000E5428" w:rsidP="000E5428">
      <w:pPr>
        <w:tabs>
          <w:tab w:val="left" w:pos="567"/>
        </w:tabs>
        <w:rPr>
          <w:sz w:val="22"/>
          <w:szCs w:val="22"/>
          <w:lang w:eastAsia="lt-LT"/>
        </w:rPr>
      </w:pPr>
    </w:p>
    <w:p w14:paraId="22E4D89F" w14:textId="77777777" w:rsidR="000E5428" w:rsidRPr="009B54A6" w:rsidRDefault="000E5428" w:rsidP="000E5428">
      <w:pPr>
        <w:rPr>
          <w:sz w:val="22"/>
          <w:szCs w:val="22"/>
        </w:rPr>
      </w:pPr>
      <w:r w:rsidRPr="009B54A6">
        <w:rPr>
          <w:sz w:val="22"/>
          <w:szCs w:val="22"/>
        </w:rPr>
        <w:lastRenderedPageBreak/>
        <w:t xml:space="preserve">S.C. Sandoz S.R.L. </w:t>
      </w:r>
    </w:p>
    <w:p w14:paraId="40570528" w14:textId="77777777" w:rsidR="000E5428" w:rsidRPr="009B54A6" w:rsidRDefault="000E5428" w:rsidP="000E5428">
      <w:pPr>
        <w:rPr>
          <w:sz w:val="22"/>
          <w:szCs w:val="22"/>
        </w:rPr>
      </w:pPr>
      <w:r w:rsidRPr="009B54A6">
        <w:rPr>
          <w:sz w:val="22"/>
          <w:szCs w:val="22"/>
        </w:rPr>
        <w:t xml:space="preserve">Str. Livezeni nr 7A </w:t>
      </w:r>
    </w:p>
    <w:p w14:paraId="656DAE9D" w14:textId="77777777" w:rsidR="000E5428" w:rsidRPr="009B54A6" w:rsidRDefault="000E5428" w:rsidP="000E5428">
      <w:pPr>
        <w:rPr>
          <w:sz w:val="22"/>
          <w:szCs w:val="22"/>
        </w:rPr>
      </w:pPr>
      <w:r w:rsidRPr="009B54A6">
        <w:rPr>
          <w:sz w:val="22"/>
          <w:szCs w:val="22"/>
        </w:rPr>
        <w:t xml:space="preserve">RO-540472, Targu Mures </w:t>
      </w:r>
    </w:p>
    <w:p w14:paraId="3BD0AA22" w14:textId="77777777" w:rsidR="000E5428" w:rsidRPr="009B54A6" w:rsidRDefault="000E5428" w:rsidP="000E5428">
      <w:pPr>
        <w:rPr>
          <w:sz w:val="22"/>
          <w:szCs w:val="22"/>
        </w:rPr>
      </w:pPr>
      <w:r w:rsidRPr="009B54A6">
        <w:rPr>
          <w:sz w:val="22"/>
          <w:szCs w:val="22"/>
        </w:rPr>
        <w:t>Rumunija</w:t>
      </w:r>
    </w:p>
    <w:p w14:paraId="4F1B9FCF" w14:textId="77777777" w:rsidR="000E5428" w:rsidRPr="009B54A6" w:rsidRDefault="000E5428" w:rsidP="000E5428">
      <w:pPr>
        <w:tabs>
          <w:tab w:val="left" w:pos="567"/>
        </w:tabs>
        <w:rPr>
          <w:sz w:val="22"/>
          <w:szCs w:val="22"/>
        </w:rPr>
      </w:pPr>
    </w:p>
    <w:p w14:paraId="71CEB0A6" w14:textId="544E4EE3" w:rsidR="000E5428" w:rsidRPr="009B54A6" w:rsidRDefault="000E5428" w:rsidP="000E5428">
      <w:pPr>
        <w:rPr>
          <w:noProof/>
          <w:sz w:val="22"/>
          <w:szCs w:val="22"/>
        </w:rPr>
      </w:pPr>
      <w:r w:rsidRPr="009B54A6">
        <w:rPr>
          <w:noProof/>
          <w:sz w:val="22"/>
          <w:szCs w:val="22"/>
        </w:rPr>
        <w:t xml:space="preserve">Jeigu apie šį vaistą norite sužinoti daugiau, kreipkitės į vietinį </w:t>
      </w:r>
      <w:r w:rsidR="00EC31B3">
        <w:rPr>
          <w:noProof/>
          <w:sz w:val="22"/>
          <w:szCs w:val="22"/>
        </w:rPr>
        <w:t>registruotojo</w:t>
      </w:r>
      <w:r w:rsidRPr="009B54A6">
        <w:rPr>
          <w:noProof/>
          <w:sz w:val="22"/>
          <w:szCs w:val="22"/>
        </w:rPr>
        <w:t xml:space="preserve"> atstovą.</w:t>
      </w:r>
    </w:p>
    <w:p w14:paraId="215BB217" w14:textId="77777777" w:rsidR="000E5428" w:rsidRPr="009B54A6" w:rsidRDefault="000E5428" w:rsidP="000E5428">
      <w:pPr>
        <w:rPr>
          <w:noProof/>
          <w:sz w:val="22"/>
          <w:szCs w:val="22"/>
        </w:rPr>
      </w:pPr>
    </w:p>
    <w:tbl>
      <w:tblPr>
        <w:tblW w:w="4678" w:type="dxa"/>
        <w:tblInd w:w="-34" w:type="dxa"/>
        <w:tblLayout w:type="fixed"/>
        <w:tblLook w:val="0000" w:firstRow="0" w:lastRow="0" w:firstColumn="0" w:lastColumn="0" w:noHBand="0" w:noVBand="0"/>
      </w:tblPr>
      <w:tblGrid>
        <w:gridCol w:w="4678"/>
      </w:tblGrid>
      <w:tr w:rsidR="000E5428" w:rsidRPr="009B54A6" w14:paraId="4EA49738" w14:textId="77777777" w:rsidTr="00010674">
        <w:tc>
          <w:tcPr>
            <w:tcW w:w="4678" w:type="dxa"/>
          </w:tcPr>
          <w:p w14:paraId="55CBD17B" w14:textId="77777777" w:rsidR="000E5428" w:rsidRPr="009B54A6" w:rsidRDefault="000E5428" w:rsidP="00010674">
            <w:pPr>
              <w:rPr>
                <w:noProof/>
                <w:sz w:val="22"/>
                <w:szCs w:val="22"/>
              </w:rPr>
            </w:pPr>
            <w:r w:rsidRPr="009B54A6">
              <w:rPr>
                <w:noProof/>
                <w:sz w:val="22"/>
                <w:szCs w:val="22"/>
              </w:rPr>
              <w:t>Sandoz Pharmaceuticals d.d. filialas</w:t>
            </w:r>
          </w:p>
          <w:p w14:paraId="07302D36" w14:textId="77777777" w:rsidR="000E5428" w:rsidRPr="009B54A6" w:rsidRDefault="000E5428" w:rsidP="00010674">
            <w:pPr>
              <w:rPr>
                <w:noProof/>
                <w:sz w:val="22"/>
                <w:szCs w:val="22"/>
              </w:rPr>
            </w:pPr>
            <w:r w:rsidRPr="009B54A6">
              <w:rPr>
                <w:noProof/>
                <w:sz w:val="22"/>
                <w:szCs w:val="22"/>
              </w:rPr>
              <w:t>Šeimyniškių 3A</w:t>
            </w:r>
          </w:p>
          <w:p w14:paraId="5E4315B5" w14:textId="5B35410A" w:rsidR="000E5428" w:rsidRPr="009B54A6" w:rsidRDefault="000E5428" w:rsidP="00010674">
            <w:pPr>
              <w:rPr>
                <w:noProof/>
                <w:sz w:val="22"/>
                <w:szCs w:val="22"/>
              </w:rPr>
            </w:pPr>
            <w:r w:rsidRPr="009B54A6">
              <w:rPr>
                <w:noProof/>
                <w:sz w:val="22"/>
                <w:szCs w:val="22"/>
              </w:rPr>
              <w:t>Vilnius LT</w:t>
            </w:r>
            <w:r w:rsidR="00EC31B3">
              <w:rPr>
                <w:noProof/>
                <w:sz w:val="22"/>
                <w:szCs w:val="22"/>
              </w:rPr>
              <w:t>-</w:t>
            </w:r>
            <w:r w:rsidRPr="009B54A6">
              <w:rPr>
                <w:noProof/>
                <w:sz w:val="22"/>
                <w:szCs w:val="22"/>
              </w:rPr>
              <w:t>09312, Lietuva</w:t>
            </w:r>
            <w:r w:rsidRPr="009B54A6">
              <w:rPr>
                <w:noProof/>
                <w:sz w:val="22"/>
                <w:szCs w:val="22"/>
              </w:rPr>
              <w:br/>
              <w:t>Telefonas +370 5 26 36 037</w:t>
            </w:r>
          </w:p>
        </w:tc>
      </w:tr>
    </w:tbl>
    <w:p w14:paraId="1B4A30B6" w14:textId="77777777" w:rsidR="000E5428" w:rsidRPr="009B54A6" w:rsidRDefault="000E5428" w:rsidP="000E5428">
      <w:pPr>
        <w:tabs>
          <w:tab w:val="left" w:pos="567"/>
        </w:tabs>
        <w:rPr>
          <w:sz w:val="22"/>
          <w:szCs w:val="22"/>
        </w:rPr>
      </w:pPr>
      <w:r w:rsidRPr="009B54A6">
        <w:rPr>
          <w:sz w:val="22"/>
          <w:szCs w:val="22"/>
        </w:rPr>
        <w:t>Faksas</w:t>
      </w:r>
      <w:r w:rsidRPr="009B54A6">
        <w:rPr>
          <w:sz w:val="22"/>
          <w:szCs w:val="22"/>
        </w:rPr>
        <w:tab/>
        <w:t xml:space="preserve">   +370 5 26 36 036</w:t>
      </w:r>
    </w:p>
    <w:p w14:paraId="083B8924" w14:textId="77777777" w:rsidR="000E5428" w:rsidRPr="009B54A6" w:rsidRDefault="000E5428" w:rsidP="000E5428">
      <w:pPr>
        <w:tabs>
          <w:tab w:val="left" w:pos="567"/>
        </w:tabs>
        <w:rPr>
          <w:sz w:val="22"/>
          <w:szCs w:val="22"/>
        </w:rPr>
      </w:pPr>
      <w:r w:rsidRPr="009B54A6">
        <w:rPr>
          <w:sz w:val="22"/>
          <w:szCs w:val="22"/>
        </w:rPr>
        <w:t>Nemokama linija pacientams +370 800 00877</w:t>
      </w:r>
    </w:p>
    <w:p w14:paraId="6F08E771" w14:textId="77777777" w:rsidR="000E5428" w:rsidRPr="009B54A6" w:rsidRDefault="000E5428" w:rsidP="000E5428">
      <w:pPr>
        <w:tabs>
          <w:tab w:val="left" w:pos="567"/>
        </w:tabs>
        <w:rPr>
          <w:sz w:val="22"/>
          <w:szCs w:val="22"/>
        </w:rPr>
      </w:pPr>
      <w:r w:rsidRPr="009B54A6">
        <w:rPr>
          <w:sz w:val="22"/>
          <w:szCs w:val="22"/>
        </w:rPr>
        <w:t xml:space="preserve">El. pašto adresas: </w:t>
      </w:r>
      <w:hyperlink r:id="rId15" w:history="1">
        <w:r w:rsidRPr="009B54A6">
          <w:rPr>
            <w:rStyle w:val="Hipersaitas"/>
            <w:sz w:val="22"/>
            <w:szCs w:val="22"/>
          </w:rPr>
          <w:t>info.lithuania@sandoz.com</w:t>
        </w:r>
      </w:hyperlink>
    </w:p>
    <w:p w14:paraId="43A3D130" w14:textId="77777777" w:rsidR="000E5428" w:rsidRPr="009B54A6" w:rsidRDefault="000E5428" w:rsidP="000E5428">
      <w:pPr>
        <w:tabs>
          <w:tab w:val="left" w:pos="567"/>
        </w:tabs>
        <w:rPr>
          <w:sz w:val="22"/>
          <w:szCs w:val="22"/>
        </w:rPr>
      </w:pPr>
    </w:p>
    <w:p w14:paraId="7E9CF114" w14:textId="1C655FCD" w:rsidR="000E5428" w:rsidRPr="009B54A6" w:rsidRDefault="000E5428" w:rsidP="000E5428">
      <w:pPr>
        <w:rPr>
          <w:b/>
          <w:sz w:val="22"/>
          <w:szCs w:val="22"/>
          <w:lang w:eastAsia="ja-JP"/>
        </w:rPr>
      </w:pPr>
      <w:r w:rsidRPr="009B54A6">
        <w:rPr>
          <w:b/>
          <w:sz w:val="22"/>
          <w:szCs w:val="22"/>
          <w:lang w:eastAsia="ja-JP"/>
        </w:rPr>
        <w:t>Ši</w:t>
      </w:r>
      <w:r w:rsidR="00B84FE7">
        <w:rPr>
          <w:b/>
          <w:sz w:val="22"/>
          <w:szCs w:val="22"/>
          <w:lang w:eastAsia="ja-JP"/>
        </w:rPr>
        <w:t>s</w:t>
      </w:r>
      <w:r w:rsidRPr="009B54A6">
        <w:rPr>
          <w:b/>
          <w:sz w:val="22"/>
          <w:szCs w:val="22"/>
          <w:lang w:eastAsia="ja-JP"/>
        </w:rPr>
        <w:t xml:space="preserve"> vaistini</w:t>
      </w:r>
      <w:r w:rsidR="00B84FE7">
        <w:rPr>
          <w:b/>
          <w:sz w:val="22"/>
          <w:szCs w:val="22"/>
          <w:lang w:eastAsia="ja-JP"/>
        </w:rPr>
        <w:t>s</w:t>
      </w:r>
      <w:r w:rsidRPr="009B54A6">
        <w:rPr>
          <w:b/>
          <w:sz w:val="22"/>
          <w:szCs w:val="22"/>
          <w:lang w:eastAsia="ja-JP"/>
        </w:rPr>
        <w:t xml:space="preserve"> preparat</w:t>
      </w:r>
      <w:r w:rsidR="00B84FE7">
        <w:rPr>
          <w:b/>
          <w:sz w:val="22"/>
          <w:szCs w:val="22"/>
          <w:lang w:eastAsia="ja-JP"/>
        </w:rPr>
        <w:t>as</w:t>
      </w:r>
      <w:r w:rsidRPr="009B54A6">
        <w:rPr>
          <w:b/>
          <w:sz w:val="22"/>
          <w:szCs w:val="22"/>
          <w:lang w:eastAsia="ja-JP"/>
        </w:rPr>
        <w:t xml:space="preserve"> EEE valstybėse narėse </w:t>
      </w:r>
      <w:r w:rsidR="00B84FE7">
        <w:rPr>
          <w:b/>
          <w:sz w:val="22"/>
          <w:szCs w:val="22"/>
          <w:lang w:eastAsia="ja-JP"/>
        </w:rPr>
        <w:t>registruotas</w:t>
      </w:r>
      <w:r w:rsidRPr="009B54A6">
        <w:rPr>
          <w:b/>
          <w:sz w:val="22"/>
          <w:szCs w:val="22"/>
          <w:lang w:eastAsia="ja-JP"/>
        </w:rPr>
        <w:t xml:space="preserve"> tokiais pavadinimais:</w:t>
      </w:r>
    </w:p>
    <w:p w14:paraId="65D999E1" w14:textId="77777777" w:rsidR="000E5428" w:rsidRPr="009B54A6" w:rsidRDefault="000E5428" w:rsidP="000E5428">
      <w:pPr>
        <w:autoSpaceDE w:val="0"/>
        <w:autoSpaceDN w:val="0"/>
        <w:adjustRightInd w:val="0"/>
        <w:ind w:left="1134" w:hanging="1134"/>
        <w:rPr>
          <w:rFonts w:eastAsia="TimesNewRoman"/>
          <w:sz w:val="22"/>
          <w:szCs w:val="22"/>
        </w:rPr>
      </w:pPr>
      <w:r w:rsidRPr="009B54A6">
        <w:rPr>
          <w:sz w:val="22"/>
          <w:szCs w:val="22"/>
        </w:rPr>
        <w:t xml:space="preserve">Austrija </w:t>
      </w:r>
      <w:r w:rsidRPr="009B54A6">
        <w:rPr>
          <w:sz w:val="22"/>
          <w:szCs w:val="22"/>
        </w:rPr>
        <w:tab/>
      </w:r>
      <w:r w:rsidR="00EC31B3">
        <w:rPr>
          <w:sz w:val="22"/>
          <w:szCs w:val="22"/>
        </w:rPr>
        <w:tab/>
      </w:r>
      <w:r w:rsidRPr="009B54A6">
        <w:rPr>
          <w:rFonts w:eastAsia="TimesNewRoman"/>
          <w:sz w:val="22"/>
          <w:szCs w:val="22"/>
        </w:rPr>
        <w:t>Telmisartan/Hydrochlorothiazid Sandoz 40 mg/12,5 mg – überzogene Tabletten</w:t>
      </w:r>
    </w:p>
    <w:p w14:paraId="67F13244"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Telmisartan/Hydrochlorothiazid Sandoz 80 mg/12,5 mg – überzogene Tabletten</w:t>
      </w:r>
    </w:p>
    <w:p w14:paraId="2B223944"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Telmisartan/HydrochlorothiazidSandoz 80 mg/25 mg – überzogene Tabletten</w:t>
      </w:r>
    </w:p>
    <w:p w14:paraId="5AFBA205" w14:textId="77777777" w:rsidR="000E5428" w:rsidRPr="009B54A6" w:rsidRDefault="000E5428" w:rsidP="000E5428">
      <w:pPr>
        <w:autoSpaceDE w:val="0"/>
        <w:autoSpaceDN w:val="0"/>
        <w:adjustRightInd w:val="0"/>
        <w:ind w:left="1134" w:hanging="1134"/>
        <w:rPr>
          <w:rFonts w:eastAsia="TimesNewRoman"/>
          <w:sz w:val="22"/>
          <w:szCs w:val="22"/>
        </w:rPr>
      </w:pPr>
      <w:r w:rsidRPr="009B54A6">
        <w:rPr>
          <w:sz w:val="22"/>
          <w:szCs w:val="22"/>
        </w:rPr>
        <w:t xml:space="preserve">Belgija </w:t>
      </w:r>
      <w:r w:rsidRPr="009B54A6">
        <w:rPr>
          <w:sz w:val="22"/>
          <w:szCs w:val="22"/>
        </w:rPr>
        <w:tab/>
      </w:r>
      <w:r w:rsidR="00EC31B3">
        <w:rPr>
          <w:sz w:val="22"/>
          <w:szCs w:val="22"/>
        </w:rPr>
        <w:tab/>
      </w:r>
      <w:r w:rsidRPr="009B54A6">
        <w:rPr>
          <w:rFonts w:eastAsia="TimesNewRoman"/>
          <w:sz w:val="22"/>
          <w:szCs w:val="22"/>
        </w:rPr>
        <w:t>Telmisartan/Hydrochloorthiazide Sandoz 40/12,5 mg omhulde tablet</w:t>
      </w:r>
    </w:p>
    <w:p w14:paraId="02837C20"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Telmisartan/Hydrochloorthiazide Sandoz 80/12,5 mg omhulde tablet</w:t>
      </w:r>
    </w:p>
    <w:p w14:paraId="093D9718"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Telmisartan/Hydrochloorthiazide Sandoz 80/25 mg omhulde tablet</w:t>
      </w:r>
    </w:p>
    <w:p w14:paraId="1ADA216E" w14:textId="77777777" w:rsidR="000E5428" w:rsidRPr="009B54A6" w:rsidRDefault="000E5428" w:rsidP="000E5428">
      <w:pPr>
        <w:autoSpaceDE w:val="0"/>
        <w:autoSpaceDN w:val="0"/>
        <w:adjustRightInd w:val="0"/>
        <w:ind w:left="1134" w:hanging="1134"/>
        <w:rPr>
          <w:rFonts w:eastAsia="TimesNewRoman"/>
          <w:sz w:val="22"/>
          <w:szCs w:val="22"/>
        </w:rPr>
      </w:pPr>
      <w:r w:rsidRPr="009B54A6">
        <w:rPr>
          <w:rFonts w:eastAsia="TimesNewRoman"/>
          <w:sz w:val="22"/>
          <w:szCs w:val="22"/>
        </w:rPr>
        <w:t>Bulgarija</w:t>
      </w:r>
      <w:r w:rsidRPr="009B54A6">
        <w:rPr>
          <w:rFonts w:eastAsia="TimesNewRoman"/>
          <w:sz w:val="22"/>
          <w:szCs w:val="22"/>
        </w:rPr>
        <w:tab/>
      </w:r>
      <w:r w:rsidR="00EC31B3">
        <w:rPr>
          <w:rFonts w:eastAsia="TimesNewRoman"/>
          <w:sz w:val="22"/>
          <w:szCs w:val="22"/>
        </w:rPr>
        <w:tab/>
      </w:r>
      <w:r w:rsidRPr="009B54A6">
        <w:rPr>
          <w:rFonts w:eastAsia="TimesNewRoman"/>
          <w:sz w:val="22"/>
          <w:szCs w:val="22"/>
        </w:rPr>
        <w:t>Telmisartan/Hydrochlorthiazide Sandoz 40/12.5 mg coated tablets</w:t>
      </w:r>
    </w:p>
    <w:p w14:paraId="3D413BCA"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Telmisartan/Hydrochlorthiazide Sandoz 80/12.5 mg caoted tablets</w:t>
      </w:r>
    </w:p>
    <w:p w14:paraId="0A9F7FE0" w14:textId="77777777" w:rsidR="000E5428" w:rsidRPr="009B54A6" w:rsidRDefault="000E5428" w:rsidP="000E5428">
      <w:pPr>
        <w:autoSpaceDE w:val="0"/>
        <w:autoSpaceDN w:val="0"/>
        <w:adjustRightInd w:val="0"/>
        <w:ind w:left="1134" w:hanging="1134"/>
        <w:rPr>
          <w:rFonts w:eastAsia="TimesNewRoman"/>
          <w:sz w:val="22"/>
          <w:szCs w:val="22"/>
        </w:rPr>
      </w:pPr>
      <w:r w:rsidRPr="009B54A6">
        <w:rPr>
          <w:sz w:val="22"/>
          <w:szCs w:val="22"/>
        </w:rPr>
        <w:t xml:space="preserve">Čekija </w:t>
      </w:r>
      <w:r w:rsidRPr="009B54A6">
        <w:rPr>
          <w:sz w:val="22"/>
          <w:szCs w:val="22"/>
        </w:rPr>
        <w:tab/>
      </w:r>
      <w:r w:rsidR="00EC31B3">
        <w:rPr>
          <w:sz w:val="22"/>
          <w:szCs w:val="22"/>
        </w:rPr>
        <w:tab/>
      </w:r>
      <w:r w:rsidRPr="009B54A6">
        <w:rPr>
          <w:rFonts w:eastAsia="TimesNewRoman"/>
          <w:sz w:val="22"/>
          <w:szCs w:val="22"/>
        </w:rPr>
        <w:t>Telmisartan/Hydrochlorothiazid Sandoz 80 mg/12,5 mg</w:t>
      </w:r>
    </w:p>
    <w:p w14:paraId="23F97B1C"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Telmisartan/Hydrochlorothiazid Sandoz 80 mg/25 mg</w:t>
      </w:r>
    </w:p>
    <w:p w14:paraId="34F4A6A2" w14:textId="77777777" w:rsidR="000E5428" w:rsidRPr="009B54A6" w:rsidRDefault="000E5428" w:rsidP="000E5428">
      <w:pPr>
        <w:autoSpaceDE w:val="0"/>
        <w:autoSpaceDN w:val="0"/>
        <w:adjustRightInd w:val="0"/>
        <w:ind w:left="1134" w:hanging="1134"/>
        <w:rPr>
          <w:rFonts w:eastAsia="TimesNewRoman"/>
          <w:sz w:val="22"/>
          <w:szCs w:val="22"/>
        </w:rPr>
      </w:pPr>
      <w:r w:rsidRPr="009B54A6">
        <w:rPr>
          <w:sz w:val="22"/>
          <w:szCs w:val="22"/>
        </w:rPr>
        <w:t>Estija</w:t>
      </w:r>
      <w:r w:rsidRPr="009B54A6">
        <w:rPr>
          <w:sz w:val="22"/>
          <w:szCs w:val="22"/>
        </w:rPr>
        <w:tab/>
      </w:r>
      <w:r w:rsidR="00EC31B3">
        <w:rPr>
          <w:sz w:val="22"/>
          <w:szCs w:val="22"/>
        </w:rPr>
        <w:tab/>
      </w:r>
      <w:r w:rsidRPr="009B54A6">
        <w:rPr>
          <w:rFonts w:eastAsia="TimesNewRoman"/>
          <w:sz w:val="22"/>
          <w:szCs w:val="22"/>
        </w:rPr>
        <w:t>Telmisartan/Hydrochlorothiazide Sandoz</w:t>
      </w:r>
    </w:p>
    <w:p w14:paraId="28A956F1"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Telmisartan/Hydrochlorothiazide Sandoz</w:t>
      </w:r>
    </w:p>
    <w:p w14:paraId="037916F9"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Telmisartan/Hydrochlorothiazide Sandoz</w:t>
      </w:r>
    </w:p>
    <w:p w14:paraId="57730381" w14:textId="77777777" w:rsidR="000E5428" w:rsidRPr="009B54A6" w:rsidRDefault="000E5428" w:rsidP="000E5428">
      <w:pPr>
        <w:autoSpaceDE w:val="0"/>
        <w:autoSpaceDN w:val="0"/>
        <w:adjustRightInd w:val="0"/>
        <w:ind w:left="1134" w:hanging="1134"/>
        <w:rPr>
          <w:rFonts w:eastAsia="TimesNewRoman"/>
          <w:sz w:val="22"/>
          <w:szCs w:val="22"/>
        </w:rPr>
      </w:pPr>
      <w:r w:rsidRPr="009B54A6">
        <w:rPr>
          <w:sz w:val="22"/>
          <w:szCs w:val="22"/>
        </w:rPr>
        <w:t xml:space="preserve">Graikija  </w:t>
      </w:r>
      <w:r w:rsidRPr="009B54A6">
        <w:rPr>
          <w:sz w:val="22"/>
          <w:szCs w:val="22"/>
        </w:rPr>
        <w:tab/>
      </w:r>
      <w:r w:rsidR="00EC31B3">
        <w:rPr>
          <w:sz w:val="22"/>
          <w:szCs w:val="22"/>
        </w:rPr>
        <w:tab/>
      </w:r>
      <w:r w:rsidRPr="009B54A6">
        <w:rPr>
          <w:rFonts w:eastAsia="TimesNewRoman"/>
          <w:sz w:val="22"/>
          <w:szCs w:val="22"/>
        </w:rPr>
        <w:t>Telmisartan / Hydrochlorothiazide Sandoz</w:t>
      </w:r>
    </w:p>
    <w:p w14:paraId="725A5CC7" w14:textId="77777777" w:rsidR="000E5428" w:rsidRPr="009B54A6" w:rsidRDefault="000E5428" w:rsidP="000E5428">
      <w:pPr>
        <w:autoSpaceDE w:val="0"/>
        <w:autoSpaceDN w:val="0"/>
        <w:adjustRightInd w:val="0"/>
        <w:ind w:left="1134" w:hanging="1134"/>
        <w:rPr>
          <w:rFonts w:eastAsia="TimesNewRoman"/>
          <w:sz w:val="22"/>
          <w:szCs w:val="22"/>
        </w:rPr>
      </w:pPr>
      <w:r w:rsidRPr="009B54A6">
        <w:rPr>
          <w:sz w:val="22"/>
          <w:szCs w:val="22"/>
        </w:rPr>
        <w:t xml:space="preserve">Ispanija </w:t>
      </w:r>
      <w:r w:rsidRPr="009B54A6">
        <w:rPr>
          <w:sz w:val="22"/>
          <w:szCs w:val="22"/>
        </w:rPr>
        <w:tab/>
      </w:r>
      <w:r w:rsidR="00EC31B3">
        <w:rPr>
          <w:sz w:val="22"/>
          <w:szCs w:val="22"/>
        </w:rPr>
        <w:tab/>
      </w:r>
      <w:r w:rsidRPr="009B54A6">
        <w:rPr>
          <w:rFonts w:eastAsia="TimesNewRoman"/>
          <w:sz w:val="22"/>
          <w:szCs w:val="22"/>
        </w:rPr>
        <w:t>Telmisartán/Hidroclorotiazida Sandoz 40mg/12, 5mg comprimidos recubiertos EFG</w:t>
      </w:r>
    </w:p>
    <w:p w14:paraId="0FA6343C"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Telmisartán/Hidroclorotiazida Sandoz 80mg/12, 5mg comprimid recubiertos EFG</w:t>
      </w:r>
    </w:p>
    <w:p w14:paraId="762E91AC"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Telmisartán/Hidroclorotiazida Sandoz 80mg/25 mg comprimid recubiertos EFG</w:t>
      </w:r>
    </w:p>
    <w:p w14:paraId="7397764E" w14:textId="77777777" w:rsidR="000E5428" w:rsidRPr="009B54A6" w:rsidRDefault="000E5428" w:rsidP="000E5428">
      <w:pPr>
        <w:autoSpaceDE w:val="0"/>
        <w:autoSpaceDN w:val="0"/>
        <w:adjustRightInd w:val="0"/>
        <w:ind w:left="1134" w:hanging="1134"/>
        <w:rPr>
          <w:rFonts w:eastAsia="TimesNewRoman"/>
          <w:sz w:val="22"/>
          <w:szCs w:val="22"/>
        </w:rPr>
      </w:pPr>
      <w:r w:rsidRPr="009B54A6">
        <w:rPr>
          <w:rFonts w:eastAsia="TimesNewRoman"/>
          <w:sz w:val="22"/>
          <w:szCs w:val="22"/>
        </w:rPr>
        <w:t>Italija</w:t>
      </w:r>
      <w:r w:rsidRPr="009B54A6">
        <w:rPr>
          <w:rFonts w:eastAsia="TimesNewRoman"/>
          <w:sz w:val="22"/>
          <w:szCs w:val="22"/>
        </w:rPr>
        <w:tab/>
      </w:r>
      <w:r w:rsidR="00EC31B3">
        <w:rPr>
          <w:rFonts w:eastAsia="TimesNewRoman"/>
          <w:sz w:val="22"/>
          <w:szCs w:val="22"/>
        </w:rPr>
        <w:tab/>
      </w:r>
      <w:r w:rsidRPr="009B54A6">
        <w:rPr>
          <w:rFonts w:eastAsia="TimesNewRoman"/>
          <w:sz w:val="22"/>
          <w:szCs w:val="22"/>
        </w:rPr>
        <w:t>Telmisartan e Idroclorotiazide Sandoz</w:t>
      </w:r>
    </w:p>
    <w:p w14:paraId="14A2943C"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 e Idroclorotiazide Sandoz</w:t>
      </w:r>
    </w:p>
    <w:p w14:paraId="3C1D8C0D"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 e Idroclorotiazide Sandoz</w:t>
      </w:r>
    </w:p>
    <w:p w14:paraId="19620D99" w14:textId="77777777" w:rsidR="000E5428" w:rsidRPr="009B54A6" w:rsidRDefault="000E5428" w:rsidP="00B84FE7">
      <w:pPr>
        <w:tabs>
          <w:tab w:val="left" w:pos="1134"/>
        </w:tabs>
        <w:autoSpaceDE w:val="0"/>
        <w:autoSpaceDN w:val="0"/>
        <w:adjustRightInd w:val="0"/>
        <w:rPr>
          <w:rFonts w:eastAsia="TimesNewRoman"/>
          <w:sz w:val="22"/>
          <w:szCs w:val="22"/>
        </w:rPr>
      </w:pPr>
      <w:r w:rsidRPr="009B54A6">
        <w:rPr>
          <w:sz w:val="22"/>
          <w:szCs w:val="22"/>
        </w:rPr>
        <w:t xml:space="preserve">Kipras </w:t>
      </w:r>
      <w:r w:rsidRPr="009B54A6">
        <w:rPr>
          <w:sz w:val="22"/>
          <w:szCs w:val="22"/>
        </w:rPr>
        <w:tab/>
      </w:r>
      <w:r w:rsidR="00EC31B3">
        <w:rPr>
          <w:sz w:val="22"/>
          <w:szCs w:val="22"/>
        </w:rPr>
        <w:tab/>
      </w:r>
      <w:r w:rsidRPr="009B54A6">
        <w:rPr>
          <w:rFonts w:eastAsia="TimesNewRoman"/>
          <w:sz w:val="22"/>
          <w:szCs w:val="22"/>
        </w:rPr>
        <w:t>Telmisartan/hydrochlorothiazide Sandoz 40/12.5 mg coated tablets</w:t>
      </w:r>
    </w:p>
    <w:p w14:paraId="61B0739B" w14:textId="77777777" w:rsidR="000E5428" w:rsidRPr="009B54A6" w:rsidRDefault="000E5428" w:rsidP="00B84FE7">
      <w:pPr>
        <w:tabs>
          <w:tab w:val="left" w:pos="1134"/>
        </w:tabs>
        <w:autoSpaceDE w:val="0"/>
        <w:autoSpaceDN w:val="0"/>
        <w:adjustRightInd w:val="0"/>
        <w:rPr>
          <w:rFonts w:eastAsia="TimesNewRoman"/>
          <w:sz w:val="22"/>
          <w:szCs w:val="22"/>
        </w:rPr>
      </w:pPr>
      <w:r w:rsidRPr="009B54A6">
        <w:rPr>
          <w:rFonts w:eastAsia="TimesNewRoman"/>
          <w:sz w:val="22"/>
          <w:szCs w:val="22"/>
        </w:rPr>
        <w:tab/>
      </w:r>
      <w:r w:rsidRPr="009B54A6">
        <w:rPr>
          <w:rFonts w:eastAsia="TimesNewRoman"/>
          <w:sz w:val="22"/>
          <w:szCs w:val="22"/>
        </w:rPr>
        <w:tab/>
        <w:t>Telmisartan/hydrochlorothiazide Sandoz 80/12.5 mg coated tablets</w:t>
      </w:r>
    </w:p>
    <w:p w14:paraId="494FF705" w14:textId="77777777" w:rsidR="000E5428" w:rsidRPr="009B54A6" w:rsidRDefault="000E5428" w:rsidP="00B84FE7">
      <w:pPr>
        <w:tabs>
          <w:tab w:val="left" w:pos="1134"/>
        </w:tabs>
        <w:autoSpaceDE w:val="0"/>
        <w:autoSpaceDN w:val="0"/>
        <w:adjustRightInd w:val="0"/>
        <w:rPr>
          <w:rFonts w:eastAsia="TimesNewRoman"/>
          <w:sz w:val="22"/>
          <w:szCs w:val="22"/>
        </w:rPr>
      </w:pPr>
      <w:r w:rsidRPr="009B54A6">
        <w:rPr>
          <w:rFonts w:eastAsia="TimesNewRoman"/>
          <w:sz w:val="22"/>
          <w:szCs w:val="22"/>
        </w:rPr>
        <w:tab/>
      </w:r>
      <w:r w:rsidRPr="009B54A6">
        <w:rPr>
          <w:rFonts w:eastAsia="TimesNewRoman"/>
          <w:sz w:val="22"/>
          <w:szCs w:val="22"/>
        </w:rPr>
        <w:tab/>
        <w:t>Telmisartan/hydrochlorothiazide Sandoz 80/25  mg coated tablets</w:t>
      </w:r>
    </w:p>
    <w:p w14:paraId="1BC4625F" w14:textId="77777777" w:rsidR="000E5428" w:rsidRPr="009B54A6" w:rsidRDefault="000E5428" w:rsidP="00B84FE7">
      <w:pPr>
        <w:tabs>
          <w:tab w:val="left" w:pos="1134"/>
        </w:tabs>
        <w:autoSpaceDE w:val="0"/>
        <w:autoSpaceDN w:val="0"/>
        <w:adjustRightInd w:val="0"/>
        <w:rPr>
          <w:rFonts w:eastAsia="TimesNewRoman"/>
          <w:sz w:val="22"/>
          <w:szCs w:val="22"/>
        </w:rPr>
      </w:pPr>
      <w:r w:rsidRPr="009B54A6">
        <w:rPr>
          <w:sz w:val="22"/>
          <w:szCs w:val="22"/>
        </w:rPr>
        <w:t xml:space="preserve">Latvija </w:t>
      </w:r>
      <w:r w:rsidRPr="009B54A6">
        <w:rPr>
          <w:sz w:val="22"/>
          <w:szCs w:val="22"/>
        </w:rPr>
        <w:tab/>
      </w:r>
      <w:r w:rsidR="00EC31B3">
        <w:rPr>
          <w:sz w:val="22"/>
          <w:szCs w:val="22"/>
        </w:rPr>
        <w:tab/>
      </w:r>
      <w:r w:rsidRPr="009B54A6">
        <w:rPr>
          <w:rFonts w:eastAsia="TimesNewRoman"/>
          <w:sz w:val="22"/>
          <w:szCs w:val="22"/>
        </w:rPr>
        <w:t>Telmisartan/Hydrochlorothiazide Sandoz 40 mg/12,5 mg apvalkotās tabletes</w:t>
      </w:r>
    </w:p>
    <w:p w14:paraId="57FE8B09"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Telmisartan/Hydrochlorothiazide Sandoz 80 mg/12,5 mg apvalkotās tabletes</w:t>
      </w:r>
    </w:p>
    <w:p w14:paraId="5B28BEC5"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Telmisartan/Hydrochlorothiazide Sandoz 80 mg/25 mg apvalkotās tabletes</w:t>
      </w:r>
    </w:p>
    <w:p w14:paraId="452B77FD" w14:textId="77777777" w:rsidR="000E5428" w:rsidRPr="009B54A6" w:rsidRDefault="000E5428" w:rsidP="00B84FE7">
      <w:pPr>
        <w:tabs>
          <w:tab w:val="left" w:pos="1134"/>
        </w:tabs>
        <w:autoSpaceDE w:val="0"/>
        <w:autoSpaceDN w:val="0"/>
        <w:adjustRightInd w:val="0"/>
        <w:rPr>
          <w:rFonts w:eastAsia="TimesNewRoman"/>
          <w:sz w:val="22"/>
          <w:szCs w:val="22"/>
        </w:rPr>
      </w:pPr>
      <w:r w:rsidRPr="009B54A6">
        <w:rPr>
          <w:sz w:val="22"/>
          <w:szCs w:val="22"/>
        </w:rPr>
        <w:t xml:space="preserve">Lenkija </w:t>
      </w:r>
      <w:r w:rsidRPr="009B54A6">
        <w:rPr>
          <w:sz w:val="22"/>
          <w:szCs w:val="22"/>
        </w:rPr>
        <w:tab/>
      </w:r>
      <w:r w:rsidR="00EC31B3">
        <w:rPr>
          <w:sz w:val="22"/>
          <w:szCs w:val="22"/>
        </w:rPr>
        <w:tab/>
      </w:r>
      <w:r w:rsidRPr="009B54A6">
        <w:rPr>
          <w:rFonts w:eastAsia="TimesNewRoman"/>
          <w:sz w:val="22"/>
          <w:szCs w:val="22"/>
        </w:rPr>
        <w:t>Telmisartan /Hydrochlorothiazide Sandoz</w:t>
      </w:r>
      <w:r w:rsidRPr="009B54A6">
        <w:rPr>
          <w:sz w:val="22"/>
          <w:szCs w:val="22"/>
        </w:rPr>
        <w:t xml:space="preserve"> </w:t>
      </w:r>
    </w:p>
    <w:p w14:paraId="2FA6F862" w14:textId="77777777" w:rsidR="000E5428" w:rsidRPr="009B54A6" w:rsidRDefault="000E5428" w:rsidP="00B84FE7">
      <w:pPr>
        <w:tabs>
          <w:tab w:val="left" w:pos="1134"/>
        </w:tabs>
        <w:autoSpaceDE w:val="0"/>
        <w:autoSpaceDN w:val="0"/>
        <w:adjustRightInd w:val="0"/>
        <w:rPr>
          <w:rFonts w:eastAsia="TimesNewRoman"/>
          <w:sz w:val="22"/>
          <w:szCs w:val="22"/>
        </w:rPr>
      </w:pPr>
      <w:r w:rsidRPr="009B54A6">
        <w:rPr>
          <w:sz w:val="22"/>
          <w:szCs w:val="22"/>
        </w:rPr>
        <w:t xml:space="preserve">Lietuva </w:t>
      </w:r>
      <w:r w:rsidRPr="009B54A6">
        <w:rPr>
          <w:sz w:val="22"/>
          <w:szCs w:val="22"/>
        </w:rPr>
        <w:tab/>
      </w:r>
      <w:r w:rsidR="00EC31B3">
        <w:rPr>
          <w:sz w:val="22"/>
          <w:szCs w:val="22"/>
        </w:rPr>
        <w:tab/>
      </w:r>
      <w:r w:rsidRPr="009B54A6">
        <w:rPr>
          <w:rFonts w:eastAsia="TimesNewRoman"/>
          <w:sz w:val="22"/>
          <w:szCs w:val="22"/>
        </w:rPr>
        <w:t>Telmisartan/Hydrochlorothiazide Sandoz 40mg/12,5 mg dengtos tabletės</w:t>
      </w:r>
    </w:p>
    <w:p w14:paraId="3393886A"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Telmisartan/Hydrochlorothiazide Sandoz 80mg/12,5 mg dengtos tabletės</w:t>
      </w:r>
    </w:p>
    <w:p w14:paraId="3DE528EB" w14:textId="77777777" w:rsidR="000E5428" w:rsidRPr="009B54A6" w:rsidRDefault="000E5428" w:rsidP="00B84FE7">
      <w:pPr>
        <w:autoSpaceDE w:val="0"/>
        <w:autoSpaceDN w:val="0"/>
        <w:adjustRightInd w:val="0"/>
        <w:ind w:left="873" w:firstLine="567"/>
        <w:rPr>
          <w:rFonts w:eastAsia="TimesNewRoman"/>
          <w:sz w:val="22"/>
          <w:szCs w:val="22"/>
        </w:rPr>
      </w:pPr>
      <w:r w:rsidRPr="009B54A6">
        <w:rPr>
          <w:rFonts w:eastAsia="TimesNewRoman"/>
          <w:sz w:val="22"/>
          <w:szCs w:val="22"/>
        </w:rPr>
        <w:t>Telmisartan/Hydrochlorothiazide Sandoz 80mg/25 mg dengtos tabletės</w:t>
      </w:r>
    </w:p>
    <w:p w14:paraId="1B5F941E" w14:textId="77777777" w:rsidR="000E5428" w:rsidRPr="009B54A6" w:rsidRDefault="000E5428" w:rsidP="000E5428">
      <w:pPr>
        <w:autoSpaceDE w:val="0"/>
        <w:autoSpaceDN w:val="0"/>
        <w:adjustRightInd w:val="0"/>
        <w:rPr>
          <w:sz w:val="22"/>
          <w:szCs w:val="22"/>
        </w:rPr>
      </w:pPr>
      <w:r w:rsidRPr="009B54A6">
        <w:rPr>
          <w:sz w:val="22"/>
          <w:szCs w:val="22"/>
        </w:rPr>
        <w:tab/>
      </w:r>
      <w:r w:rsidRPr="009B54A6">
        <w:rPr>
          <w:sz w:val="22"/>
          <w:szCs w:val="22"/>
        </w:rPr>
        <w:tab/>
      </w:r>
      <w:r w:rsidRPr="009B54A6">
        <w:rPr>
          <w:sz w:val="22"/>
          <w:szCs w:val="22"/>
        </w:rPr>
        <w:tab/>
      </w:r>
    </w:p>
    <w:p w14:paraId="3CC20715" w14:textId="77777777" w:rsidR="000E5428" w:rsidRPr="009B54A6" w:rsidRDefault="000E5428" w:rsidP="000E5428">
      <w:pPr>
        <w:autoSpaceDE w:val="0"/>
        <w:autoSpaceDN w:val="0"/>
        <w:adjustRightInd w:val="0"/>
        <w:ind w:left="1134" w:hanging="1134"/>
        <w:rPr>
          <w:rFonts w:eastAsia="TimesNewRoman"/>
          <w:sz w:val="22"/>
          <w:szCs w:val="22"/>
        </w:rPr>
      </w:pPr>
      <w:r w:rsidRPr="009B54A6">
        <w:rPr>
          <w:sz w:val="22"/>
          <w:szCs w:val="22"/>
        </w:rPr>
        <w:t xml:space="preserve">Liuksemburgas </w:t>
      </w:r>
      <w:r w:rsidRPr="009B54A6">
        <w:rPr>
          <w:sz w:val="22"/>
          <w:szCs w:val="22"/>
        </w:rPr>
        <w:tab/>
      </w:r>
      <w:r w:rsidRPr="009B54A6">
        <w:rPr>
          <w:rFonts w:eastAsia="TimesNewRoman"/>
          <w:sz w:val="22"/>
          <w:szCs w:val="22"/>
        </w:rPr>
        <w:t>Telmisartan/Hydrochloorthiazide Sandoz 40/12,5 mg comprimé enrobé</w:t>
      </w:r>
    </w:p>
    <w:p w14:paraId="7A9695B4" w14:textId="77777777" w:rsidR="000E5428" w:rsidRPr="009B54A6" w:rsidRDefault="000E5428" w:rsidP="000E5428">
      <w:pPr>
        <w:autoSpaceDE w:val="0"/>
        <w:autoSpaceDN w:val="0"/>
        <w:adjustRightInd w:val="0"/>
        <w:ind w:left="567" w:hanging="567"/>
        <w:rPr>
          <w:rFonts w:eastAsia="TimesNewRoman"/>
          <w:sz w:val="22"/>
          <w:szCs w:val="22"/>
        </w:rPr>
      </w:pPr>
      <w:r w:rsidRPr="009B54A6">
        <w:rPr>
          <w:rFonts w:eastAsia="TimesNewRoman"/>
          <w:sz w:val="22"/>
          <w:szCs w:val="22"/>
        </w:rPr>
        <w:tab/>
      </w:r>
      <w:r w:rsidRPr="009B54A6">
        <w:rPr>
          <w:rFonts w:eastAsia="TimesNewRoman"/>
          <w:sz w:val="22"/>
          <w:szCs w:val="22"/>
        </w:rPr>
        <w:tab/>
      </w:r>
      <w:r w:rsidRPr="009B54A6">
        <w:rPr>
          <w:rFonts w:eastAsia="TimesNewRoman"/>
          <w:sz w:val="22"/>
          <w:szCs w:val="22"/>
        </w:rPr>
        <w:tab/>
        <w:t>Telmisartan/Hydrochloorthiazide Sandoz 80/12,5 mg comprimé enrobé</w:t>
      </w:r>
    </w:p>
    <w:p w14:paraId="7DFA1BDD" w14:textId="77777777" w:rsidR="000E5428" w:rsidRPr="009B54A6" w:rsidRDefault="000E5428" w:rsidP="000E5428">
      <w:pPr>
        <w:autoSpaceDE w:val="0"/>
        <w:autoSpaceDN w:val="0"/>
        <w:adjustRightInd w:val="0"/>
        <w:ind w:left="567" w:hanging="567"/>
        <w:rPr>
          <w:rFonts w:eastAsia="TimesNewRoman"/>
          <w:sz w:val="22"/>
          <w:szCs w:val="22"/>
        </w:rPr>
      </w:pPr>
      <w:r w:rsidRPr="009B54A6">
        <w:rPr>
          <w:rFonts w:eastAsia="TimesNewRoman"/>
          <w:sz w:val="22"/>
          <w:szCs w:val="22"/>
        </w:rPr>
        <w:tab/>
      </w:r>
      <w:r w:rsidRPr="009B54A6">
        <w:rPr>
          <w:rFonts w:eastAsia="TimesNewRoman"/>
          <w:sz w:val="22"/>
          <w:szCs w:val="22"/>
        </w:rPr>
        <w:tab/>
      </w:r>
      <w:r w:rsidRPr="009B54A6">
        <w:rPr>
          <w:rFonts w:eastAsia="TimesNewRoman"/>
          <w:sz w:val="22"/>
          <w:szCs w:val="22"/>
        </w:rPr>
        <w:tab/>
        <w:t>Telmisartan/Hydrochloorthiazide Sandoz 80/ 25 mg comprimé enrobé</w:t>
      </w:r>
    </w:p>
    <w:p w14:paraId="7F0BE8B0" w14:textId="7818F3F7" w:rsidR="000E5428" w:rsidRPr="009B54A6" w:rsidRDefault="000E5428" w:rsidP="000E5428">
      <w:pPr>
        <w:autoSpaceDE w:val="0"/>
        <w:autoSpaceDN w:val="0"/>
        <w:adjustRightInd w:val="0"/>
        <w:ind w:left="567" w:hanging="567"/>
        <w:rPr>
          <w:rFonts w:eastAsia="TimesNewRoman"/>
          <w:sz w:val="22"/>
          <w:szCs w:val="22"/>
        </w:rPr>
      </w:pPr>
      <w:r w:rsidRPr="009B54A6">
        <w:rPr>
          <w:sz w:val="22"/>
          <w:szCs w:val="22"/>
        </w:rPr>
        <w:t>Niderlandai</w:t>
      </w:r>
      <w:r w:rsidRPr="009B54A6">
        <w:rPr>
          <w:sz w:val="22"/>
          <w:szCs w:val="22"/>
        </w:rPr>
        <w:tab/>
      </w:r>
      <w:r w:rsidRPr="009B54A6">
        <w:rPr>
          <w:rFonts w:eastAsia="TimesNewRoman"/>
          <w:sz w:val="22"/>
          <w:szCs w:val="22"/>
        </w:rPr>
        <w:t>Telmisartan/Hydrochloorthiazide Sandoz 40/12,5 mg, omhulde tabletten</w:t>
      </w:r>
    </w:p>
    <w:p w14:paraId="06EAAE70" w14:textId="77777777" w:rsidR="000E5428" w:rsidRPr="009B54A6" w:rsidRDefault="000E5428" w:rsidP="00B84FE7">
      <w:pPr>
        <w:tabs>
          <w:tab w:val="left" w:pos="1418"/>
        </w:tabs>
        <w:autoSpaceDE w:val="0"/>
        <w:autoSpaceDN w:val="0"/>
        <w:adjustRightInd w:val="0"/>
        <w:ind w:left="1418"/>
        <w:rPr>
          <w:rFonts w:eastAsia="TimesNewRoman"/>
          <w:sz w:val="22"/>
          <w:szCs w:val="22"/>
        </w:rPr>
      </w:pPr>
      <w:r w:rsidRPr="009B54A6">
        <w:rPr>
          <w:rFonts w:eastAsia="TimesNewRoman"/>
          <w:sz w:val="22"/>
          <w:szCs w:val="22"/>
        </w:rPr>
        <w:t>Telmisartan/Hydrochloorthiazide Sandoz 80/12,5 mg, omhulde tabletten</w:t>
      </w:r>
    </w:p>
    <w:p w14:paraId="7432B3F5" w14:textId="77777777" w:rsidR="000E5428" w:rsidRPr="009B54A6" w:rsidRDefault="000E5428" w:rsidP="00B84FE7">
      <w:pPr>
        <w:tabs>
          <w:tab w:val="left" w:pos="1418"/>
        </w:tabs>
        <w:autoSpaceDE w:val="0"/>
        <w:autoSpaceDN w:val="0"/>
        <w:adjustRightInd w:val="0"/>
        <w:ind w:left="1418"/>
        <w:rPr>
          <w:rFonts w:eastAsia="TimesNewRoman"/>
          <w:sz w:val="22"/>
          <w:szCs w:val="22"/>
        </w:rPr>
      </w:pPr>
      <w:r w:rsidRPr="009B54A6">
        <w:rPr>
          <w:rFonts w:eastAsia="TimesNewRoman"/>
          <w:sz w:val="22"/>
          <w:szCs w:val="22"/>
        </w:rPr>
        <w:t>Telmisartan/Hydrochloorthiazide Sandoz 80/25 mg, omhulde tablett</w:t>
      </w:r>
    </w:p>
    <w:p w14:paraId="151B5F61" w14:textId="70544948" w:rsidR="000E5428" w:rsidRPr="009B54A6" w:rsidRDefault="000E5428" w:rsidP="000E5428">
      <w:pPr>
        <w:autoSpaceDE w:val="0"/>
        <w:autoSpaceDN w:val="0"/>
        <w:adjustRightInd w:val="0"/>
        <w:rPr>
          <w:sz w:val="22"/>
          <w:szCs w:val="22"/>
        </w:rPr>
      </w:pPr>
      <w:r w:rsidRPr="009B54A6">
        <w:rPr>
          <w:sz w:val="22"/>
          <w:szCs w:val="22"/>
        </w:rPr>
        <w:t>Portugalija</w:t>
      </w:r>
      <w:r w:rsidRPr="009B54A6">
        <w:rPr>
          <w:sz w:val="22"/>
          <w:szCs w:val="22"/>
        </w:rPr>
        <w:tab/>
      </w:r>
      <w:r w:rsidRPr="009B54A6">
        <w:rPr>
          <w:rFonts w:eastAsia="TimesNewRoman"/>
          <w:sz w:val="22"/>
          <w:szCs w:val="22"/>
        </w:rPr>
        <w:t>Telmisartan + Hidroclorotiazida</w:t>
      </w:r>
      <w:r w:rsidRPr="009B54A6">
        <w:rPr>
          <w:sz w:val="22"/>
          <w:szCs w:val="22"/>
        </w:rPr>
        <w:t xml:space="preserve"> Sandoz</w:t>
      </w:r>
    </w:p>
    <w:p w14:paraId="5626CB07" w14:textId="77777777" w:rsidR="000E5428" w:rsidRPr="009B54A6" w:rsidRDefault="000E5428" w:rsidP="000E5428">
      <w:pPr>
        <w:autoSpaceDE w:val="0"/>
        <w:autoSpaceDN w:val="0"/>
        <w:adjustRightInd w:val="0"/>
        <w:ind w:left="1418" w:hanging="1418"/>
        <w:rPr>
          <w:rFonts w:eastAsia="TimesNewRoman"/>
          <w:sz w:val="22"/>
          <w:szCs w:val="22"/>
        </w:rPr>
      </w:pPr>
      <w:r w:rsidRPr="009B54A6">
        <w:rPr>
          <w:sz w:val="22"/>
          <w:szCs w:val="22"/>
        </w:rPr>
        <w:t xml:space="preserve">Prancūzija  </w:t>
      </w:r>
      <w:r w:rsidRPr="009B54A6">
        <w:rPr>
          <w:sz w:val="22"/>
          <w:szCs w:val="22"/>
        </w:rPr>
        <w:tab/>
      </w:r>
      <w:r w:rsidRPr="009B54A6">
        <w:rPr>
          <w:sz w:val="22"/>
          <w:szCs w:val="22"/>
        </w:rPr>
        <w:tab/>
      </w:r>
      <w:r w:rsidRPr="009B54A6">
        <w:rPr>
          <w:rFonts w:eastAsia="TimesNewRoman"/>
          <w:sz w:val="22"/>
          <w:szCs w:val="22"/>
        </w:rPr>
        <w:t>TELMISARTAN /HYDROCHLOROTHIAZIDE SANDOZ  40 mg/12,5 mg, comprimé enrobé</w:t>
      </w:r>
    </w:p>
    <w:p w14:paraId="2947ADA0" w14:textId="77777777" w:rsidR="000E5428" w:rsidRPr="009B54A6" w:rsidRDefault="000E5428" w:rsidP="00B84FE7">
      <w:pPr>
        <w:autoSpaceDE w:val="0"/>
        <w:autoSpaceDN w:val="0"/>
        <w:adjustRightInd w:val="0"/>
        <w:ind w:left="1418"/>
        <w:rPr>
          <w:rFonts w:eastAsia="TimesNewRoman"/>
          <w:sz w:val="22"/>
          <w:szCs w:val="22"/>
        </w:rPr>
      </w:pPr>
      <w:r w:rsidRPr="009B54A6">
        <w:rPr>
          <w:rFonts w:eastAsia="TimesNewRoman"/>
          <w:sz w:val="22"/>
          <w:szCs w:val="22"/>
        </w:rPr>
        <w:lastRenderedPageBreak/>
        <w:t>TELMISARTAN /HYDROCHLOROTHIAZIDE SANDOZ  80 mg/12,5 mg, comprimé enrobé</w:t>
      </w:r>
    </w:p>
    <w:p w14:paraId="3DDCA40C" w14:textId="77777777" w:rsidR="000E5428" w:rsidRPr="009B54A6" w:rsidRDefault="000E5428" w:rsidP="000E5428">
      <w:pPr>
        <w:autoSpaceDE w:val="0"/>
        <w:autoSpaceDN w:val="0"/>
        <w:adjustRightInd w:val="0"/>
        <w:ind w:left="1418"/>
        <w:rPr>
          <w:rFonts w:eastAsia="TimesNewRoman"/>
          <w:sz w:val="22"/>
          <w:szCs w:val="22"/>
        </w:rPr>
      </w:pPr>
      <w:r w:rsidRPr="009B54A6">
        <w:rPr>
          <w:rFonts w:eastAsia="TimesNewRoman"/>
          <w:sz w:val="22"/>
          <w:szCs w:val="22"/>
        </w:rPr>
        <w:t>TELMISARTAN / HYDROCHLOROTHIAZIDE SANDO 80 mg/25 mg, comprimé enrobé</w:t>
      </w:r>
    </w:p>
    <w:p w14:paraId="548E40CB" w14:textId="6C8C476A" w:rsidR="000E5428" w:rsidRPr="009B54A6" w:rsidRDefault="000E5428" w:rsidP="000E5428">
      <w:pPr>
        <w:autoSpaceDE w:val="0"/>
        <w:autoSpaceDN w:val="0"/>
        <w:adjustRightInd w:val="0"/>
        <w:rPr>
          <w:rFonts w:eastAsia="TimesNewRoman"/>
          <w:sz w:val="22"/>
          <w:szCs w:val="22"/>
        </w:rPr>
      </w:pPr>
      <w:r w:rsidRPr="009B54A6">
        <w:rPr>
          <w:sz w:val="22"/>
          <w:szCs w:val="22"/>
        </w:rPr>
        <w:t xml:space="preserve">Slovakija </w:t>
      </w:r>
      <w:r w:rsidRPr="009B54A6">
        <w:rPr>
          <w:sz w:val="22"/>
          <w:szCs w:val="22"/>
        </w:rPr>
        <w:tab/>
      </w:r>
      <w:r w:rsidRPr="009B54A6">
        <w:rPr>
          <w:rFonts w:eastAsia="TimesNewRoman"/>
          <w:sz w:val="22"/>
          <w:szCs w:val="22"/>
        </w:rPr>
        <w:t>Telmisartan/Hydrochlorotiazid Sandoz 80 mg/12,5 mg</w:t>
      </w:r>
    </w:p>
    <w:p w14:paraId="70587CD1" w14:textId="77777777" w:rsidR="000E5428" w:rsidRPr="009B54A6" w:rsidRDefault="000E5428" w:rsidP="00B84FE7">
      <w:pPr>
        <w:autoSpaceDE w:val="0"/>
        <w:autoSpaceDN w:val="0"/>
        <w:adjustRightInd w:val="0"/>
        <w:ind w:left="1418"/>
        <w:rPr>
          <w:rFonts w:eastAsia="TimesNewRoman"/>
          <w:sz w:val="22"/>
          <w:szCs w:val="22"/>
        </w:rPr>
      </w:pPr>
      <w:r w:rsidRPr="009B54A6">
        <w:rPr>
          <w:rFonts w:eastAsia="TimesNewRoman"/>
          <w:sz w:val="22"/>
          <w:szCs w:val="22"/>
        </w:rPr>
        <w:t>Telmisartan/Hydrochlorotiazid Sandoz 80 mg/25 mg</w:t>
      </w:r>
    </w:p>
    <w:p w14:paraId="0DB94C4C" w14:textId="77777777" w:rsidR="000E5428" w:rsidRPr="009B54A6" w:rsidRDefault="000E5428" w:rsidP="00B84FE7">
      <w:pPr>
        <w:autoSpaceDE w:val="0"/>
        <w:autoSpaceDN w:val="0"/>
        <w:adjustRightInd w:val="0"/>
        <w:ind w:left="1418"/>
        <w:rPr>
          <w:rFonts w:eastAsia="TimesNewRoman"/>
          <w:sz w:val="22"/>
          <w:szCs w:val="22"/>
        </w:rPr>
      </w:pPr>
      <w:r w:rsidRPr="009B54A6">
        <w:rPr>
          <w:rFonts w:eastAsia="TimesNewRoman"/>
          <w:sz w:val="22"/>
          <w:szCs w:val="22"/>
        </w:rPr>
        <w:t>Telmisartan/Hydrochlorotiazid Sandoz 40 mg/12,5</w:t>
      </w:r>
    </w:p>
    <w:p w14:paraId="18B0C884" w14:textId="5C9C9BE0" w:rsidR="000E5428" w:rsidRPr="009B54A6" w:rsidRDefault="000E5428" w:rsidP="000E5428">
      <w:pPr>
        <w:autoSpaceDE w:val="0"/>
        <w:autoSpaceDN w:val="0"/>
        <w:adjustRightInd w:val="0"/>
        <w:rPr>
          <w:rFonts w:eastAsia="TimesNewRoman"/>
          <w:sz w:val="22"/>
          <w:szCs w:val="22"/>
        </w:rPr>
      </w:pPr>
      <w:r w:rsidRPr="009B54A6">
        <w:rPr>
          <w:sz w:val="22"/>
          <w:szCs w:val="22"/>
        </w:rPr>
        <w:t>Slovėnija</w:t>
      </w:r>
      <w:r w:rsidRPr="009B54A6">
        <w:rPr>
          <w:sz w:val="22"/>
          <w:szCs w:val="22"/>
        </w:rPr>
        <w:tab/>
      </w:r>
      <w:r w:rsidRPr="009B54A6">
        <w:rPr>
          <w:rFonts w:eastAsia="TimesNewRoman"/>
          <w:sz w:val="22"/>
          <w:szCs w:val="22"/>
        </w:rPr>
        <w:t>Telmisartan /hidroklorotiazid Lek 40/12,5 mg obložene tablete;</w:t>
      </w:r>
    </w:p>
    <w:p w14:paraId="51093FAD" w14:textId="77777777" w:rsidR="000E5428" w:rsidRPr="009B54A6" w:rsidRDefault="000E5428" w:rsidP="00B84FE7">
      <w:pPr>
        <w:autoSpaceDE w:val="0"/>
        <w:autoSpaceDN w:val="0"/>
        <w:adjustRightInd w:val="0"/>
        <w:ind w:left="1134" w:firstLine="284"/>
        <w:rPr>
          <w:rFonts w:eastAsia="TimesNewRoman"/>
          <w:sz w:val="22"/>
          <w:szCs w:val="22"/>
        </w:rPr>
      </w:pPr>
      <w:r w:rsidRPr="009B54A6">
        <w:rPr>
          <w:rFonts w:eastAsia="TimesNewRoman"/>
          <w:sz w:val="22"/>
          <w:szCs w:val="22"/>
        </w:rPr>
        <w:t>Telmisartan /hidroklorotiazid Lek 80/12,5 mg obložene tablete;</w:t>
      </w:r>
    </w:p>
    <w:p w14:paraId="6ADCB3E0" w14:textId="77777777" w:rsidR="000E5428" w:rsidRPr="009B54A6" w:rsidRDefault="000E5428" w:rsidP="00B84FE7">
      <w:pPr>
        <w:autoSpaceDE w:val="0"/>
        <w:autoSpaceDN w:val="0"/>
        <w:adjustRightInd w:val="0"/>
        <w:ind w:left="1134" w:firstLine="284"/>
        <w:rPr>
          <w:sz w:val="22"/>
          <w:szCs w:val="22"/>
        </w:rPr>
      </w:pPr>
      <w:r w:rsidRPr="009B54A6">
        <w:rPr>
          <w:rFonts w:eastAsia="TimesNewRoman"/>
          <w:sz w:val="22"/>
          <w:szCs w:val="22"/>
        </w:rPr>
        <w:t>Telmisartan /hidroklorotiazid Lek 80/ 25 mg obložene tablete;</w:t>
      </w:r>
    </w:p>
    <w:p w14:paraId="2FED8506" w14:textId="7F14CFA4" w:rsidR="000E5428" w:rsidRPr="009B54A6" w:rsidRDefault="000E5428" w:rsidP="000E5428">
      <w:pPr>
        <w:autoSpaceDE w:val="0"/>
        <w:autoSpaceDN w:val="0"/>
        <w:adjustRightInd w:val="0"/>
        <w:rPr>
          <w:rFonts w:eastAsia="TimesNewRoman"/>
          <w:sz w:val="22"/>
          <w:szCs w:val="22"/>
        </w:rPr>
      </w:pPr>
      <w:r w:rsidRPr="009B54A6">
        <w:rPr>
          <w:sz w:val="22"/>
          <w:szCs w:val="22"/>
        </w:rPr>
        <w:t>Suomija</w:t>
      </w:r>
      <w:r w:rsidRPr="009B54A6">
        <w:rPr>
          <w:sz w:val="22"/>
          <w:szCs w:val="22"/>
        </w:rPr>
        <w:tab/>
        <w:t>T</w:t>
      </w:r>
      <w:r w:rsidRPr="009B54A6">
        <w:rPr>
          <w:rFonts w:eastAsia="TimesNewRoman"/>
          <w:sz w:val="22"/>
          <w:szCs w:val="22"/>
        </w:rPr>
        <w:t>elmisartan/Hydrochlorothiazide Sandoz</w:t>
      </w:r>
    </w:p>
    <w:p w14:paraId="4614F957" w14:textId="5C6EBCAA" w:rsidR="000E5428" w:rsidRPr="009B54A6" w:rsidRDefault="000E5428" w:rsidP="00B84FE7">
      <w:pPr>
        <w:autoSpaceDE w:val="0"/>
        <w:autoSpaceDN w:val="0"/>
        <w:adjustRightInd w:val="0"/>
        <w:ind w:left="1440" w:hanging="1440"/>
        <w:rPr>
          <w:rFonts w:eastAsia="TimesNewRoman"/>
          <w:sz w:val="22"/>
          <w:szCs w:val="22"/>
        </w:rPr>
      </w:pPr>
      <w:r w:rsidRPr="009B54A6">
        <w:rPr>
          <w:sz w:val="22"/>
          <w:szCs w:val="22"/>
        </w:rPr>
        <w:t>Vokietija</w:t>
      </w:r>
      <w:r w:rsidRPr="009B54A6">
        <w:rPr>
          <w:sz w:val="22"/>
          <w:szCs w:val="22"/>
        </w:rPr>
        <w:tab/>
      </w:r>
      <w:r w:rsidRPr="009B54A6">
        <w:rPr>
          <w:rFonts w:eastAsia="TimesNewRoman"/>
          <w:sz w:val="22"/>
          <w:szCs w:val="22"/>
        </w:rPr>
        <w:t>Telmisartan/Hydrochlorothiazid - 1 A Pharma 40/12,5 mg überzogene Tabletten</w:t>
      </w:r>
    </w:p>
    <w:p w14:paraId="2DAE675B" w14:textId="77777777" w:rsidR="000E5428" w:rsidRPr="009B54A6" w:rsidRDefault="000E5428" w:rsidP="00B84FE7">
      <w:pPr>
        <w:autoSpaceDE w:val="0"/>
        <w:autoSpaceDN w:val="0"/>
        <w:adjustRightInd w:val="0"/>
        <w:ind w:left="1418"/>
        <w:rPr>
          <w:rFonts w:eastAsia="TimesNewRoman"/>
          <w:sz w:val="22"/>
          <w:szCs w:val="22"/>
        </w:rPr>
      </w:pPr>
      <w:r w:rsidRPr="009B54A6">
        <w:rPr>
          <w:rFonts w:eastAsia="TimesNewRoman"/>
          <w:sz w:val="22"/>
          <w:szCs w:val="22"/>
        </w:rPr>
        <w:t>Telmisartan/Hydrochlorothiazid - 1 A Pharma 80/12,5 mg überzogene Tabletten</w:t>
      </w:r>
    </w:p>
    <w:p w14:paraId="16BFE55A" w14:textId="77777777" w:rsidR="000E5428" w:rsidRPr="009B54A6" w:rsidRDefault="000E5428" w:rsidP="00B84FE7">
      <w:pPr>
        <w:autoSpaceDE w:val="0"/>
        <w:autoSpaceDN w:val="0"/>
        <w:adjustRightInd w:val="0"/>
        <w:ind w:left="1134" w:firstLine="284"/>
        <w:rPr>
          <w:rFonts w:eastAsia="TimesNewRoman"/>
          <w:sz w:val="22"/>
          <w:szCs w:val="22"/>
        </w:rPr>
      </w:pPr>
      <w:r w:rsidRPr="009B54A6">
        <w:rPr>
          <w:rFonts w:eastAsia="TimesNewRoman"/>
          <w:sz w:val="22"/>
          <w:szCs w:val="22"/>
        </w:rPr>
        <w:t>Telmisartan/Hydrochlorothiazid - 1 A Pharma 80/25 mg überzoge Tabletten</w:t>
      </w:r>
    </w:p>
    <w:p w14:paraId="5ACE789F" w14:textId="77777777" w:rsidR="000E5428" w:rsidRPr="009B54A6" w:rsidRDefault="000E5428" w:rsidP="000E5428">
      <w:pPr>
        <w:autoSpaceDE w:val="0"/>
        <w:autoSpaceDN w:val="0"/>
        <w:adjustRightInd w:val="0"/>
        <w:ind w:left="2268" w:firstLine="567"/>
        <w:rPr>
          <w:rFonts w:eastAsia="TimesNewRoman"/>
          <w:sz w:val="22"/>
          <w:szCs w:val="22"/>
        </w:rPr>
      </w:pPr>
    </w:p>
    <w:p w14:paraId="3DF65E2D" w14:textId="77777777" w:rsidR="000E5428" w:rsidRPr="009B54A6" w:rsidRDefault="000E5428" w:rsidP="000E5428">
      <w:pPr>
        <w:tabs>
          <w:tab w:val="left" w:pos="567"/>
        </w:tabs>
        <w:rPr>
          <w:sz w:val="22"/>
          <w:szCs w:val="22"/>
        </w:rPr>
      </w:pPr>
    </w:p>
    <w:p w14:paraId="2F87CC33" w14:textId="1A8C1820" w:rsidR="000E5428" w:rsidRPr="009B54A6" w:rsidRDefault="000E5428" w:rsidP="000E5428">
      <w:pPr>
        <w:tabs>
          <w:tab w:val="left" w:pos="567"/>
        </w:tabs>
        <w:rPr>
          <w:b/>
          <w:sz w:val="22"/>
          <w:szCs w:val="22"/>
        </w:rPr>
      </w:pPr>
      <w:r w:rsidRPr="009B54A6">
        <w:rPr>
          <w:b/>
          <w:sz w:val="22"/>
          <w:szCs w:val="22"/>
        </w:rPr>
        <w:t xml:space="preserve">Šis pakuotės lapelis paskutinį kartą peržiūrėtas </w:t>
      </w:r>
      <w:r w:rsidR="00E62E9B">
        <w:rPr>
          <w:b/>
          <w:sz w:val="22"/>
          <w:szCs w:val="22"/>
        </w:rPr>
        <w:t>2015-12-30</w:t>
      </w:r>
    </w:p>
    <w:p w14:paraId="07B190EE" w14:textId="77777777" w:rsidR="000E5428" w:rsidRPr="009B54A6" w:rsidRDefault="000E5428" w:rsidP="000E5428">
      <w:pPr>
        <w:rPr>
          <w:noProof/>
          <w:sz w:val="22"/>
          <w:szCs w:val="22"/>
        </w:rPr>
      </w:pPr>
    </w:p>
    <w:p w14:paraId="4211AA1E" w14:textId="77777777" w:rsidR="000E5428" w:rsidRPr="009B54A6" w:rsidRDefault="000E5428" w:rsidP="000E5428">
      <w:pPr>
        <w:numPr>
          <w:ilvl w:val="12"/>
          <w:numId w:val="0"/>
        </w:numPr>
        <w:tabs>
          <w:tab w:val="left" w:pos="567"/>
        </w:tabs>
        <w:ind w:right="-2"/>
        <w:rPr>
          <w:snapToGrid w:val="0"/>
          <w:sz w:val="22"/>
          <w:szCs w:val="22"/>
        </w:rPr>
      </w:pPr>
      <w:r w:rsidRPr="009B54A6">
        <w:rPr>
          <w:snapToGrid w:val="0"/>
          <w:sz w:val="22"/>
          <w:szCs w:val="22"/>
        </w:rPr>
        <w:t>Išsami informacija apie šį vaistą pateikiama Valstybinės vaistų kontrolės tarnybos prie Lietuvos Respublikos sveikatos apsaugos ministerijos tinklalapyje</w:t>
      </w:r>
      <w:r w:rsidRPr="009B54A6">
        <w:rPr>
          <w:i/>
          <w:snapToGrid w:val="0"/>
          <w:sz w:val="22"/>
          <w:szCs w:val="22"/>
        </w:rPr>
        <w:t xml:space="preserve"> </w:t>
      </w:r>
      <w:hyperlink r:id="rId16" w:history="1">
        <w:r w:rsidRPr="009B54A6">
          <w:rPr>
            <w:rFonts w:eastAsia="SimSun"/>
            <w:snapToGrid w:val="0"/>
            <w:color w:val="0000FF"/>
            <w:sz w:val="22"/>
            <w:szCs w:val="22"/>
            <w:u w:val="single"/>
          </w:rPr>
          <w:t>http://www.vvkt.lt/</w:t>
        </w:r>
      </w:hyperlink>
      <w:r w:rsidRPr="009B54A6">
        <w:rPr>
          <w:snapToGrid w:val="0"/>
          <w:sz w:val="22"/>
          <w:szCs w:val="22"/>
        </w:rPr>
        <w:t>.</w:t>
      </w:r>
    </w:p>
    <w:p w14:paraId="3AB80875" w14:textId="77777777" w:rsidR="000E5428" w:rsidRPr="009B54A6" w:rsidRDefault="000E5428" w:rsidP="000E5428">
      <w:pPr>
        <w:numPr>
          <w:ilvl w:val="12"/>
          <w:numId w:val="0"/>
        </w:numPr>
        <w:tabs>
          <w:tab w:val="left" w:pos="567"/>
        </w:tabs>
        <w:ind w:right="-2"/>
        <w:rPr>
          <w:noProof/>
          <w:color w:val="0000FF"/>
          <w:sz w:val="22"/>
          <w:szCs w:val="22"/>
        </w:rPr>
      </w:pPr>
    </w:p>
    <w:p w14:paraId="412935E3" w14:textId="77777777" w:rsidR="000E5428" w:rsidRPr="009B54A6" w:rsidRDefault="000E5428" w:rsidP="000E5428">
      <w:pPr>
        <w:rPr>
          <w:sz w:val="22"/>
          <w:szCs w:val="22"/>
        </w:rPr>
      </w:pPr>
      <w:bookmarkStart w:id="6" w:name="_GoBack"/>
      <w:bookmarkEnd w:id="6"/>
      <w:permStart w:id="664605260" w:edGrp="everyone"/>
      <w:permEnd w:id="664605260"/>
    </w:p>
    <w:p w14:paraId="650526F2" w14:textId="77777777" w:rsidR="000E5428" w:rsidRPr="009B54A6" w:rsidRDefault="000E5428" w:rsidP="000E5428">
      <w:pPr>
        <w:rPr>
          <w:sz w:val="22"/>
          <w:szCs w:val="22"/>
        </w:rPr>
      </w:pPr>
    </w:p>
    <w:p w14:paraId="11B3F7D2" w14:textId="77777777" w:rsidR="00B04DC1" w:rsidRPr="00B84FE7" w:rsidRDefault="00B04DC1"/>
    <w:sectPr w:rsidR="00B04DC1" w:rsidRPr="00B84FE7" w:rsidSect="00010674">
      <w:headerReference w:type="default" r:id="rId17"/>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905DC" w14:textId="77777777" w:rsidR="0041276F" w:rsidRDefault="0041276F">
      <w:r>
        <w:separator/>
      </w:r>
    </w:p>
  </w:endnote>
  <w:endnote w:type="continuationSeparator" w:id="0">
    <w:p w14:paraId="3A272B2B" w14:textId="77777777" w:rsidR="0041276F" w:rsidRDefault="0041276F">
      <w:r>
        <w:continuationSeparator/>
      </w:r>
    </w:p>
  </w:endnote>
  <w:endnote w:type="continuationNotice" w:id="1">
    <w:p w14:paraId="73BD4553" w14:textId="77777777" w:rsidR="0041276F" w:rsidRDefault="00412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6E7F7" w14:textId="77777777" w:rsidR="009A43FB" w:rsidRDefault="009A43FB" w:rsidP="000106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6DBCCF" w14:textId="77777777" w:rsidR="009A43FB" w:rsidRDefault="009A43FB" w:rsidP="0001067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9E0AD" w14:textId="77777777" w:rsidR="009A43FB" w:rsidRDefault="009A43FB" w:rsidP="000106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5281">
      <w:rPr>
        <w:rStyle w:val="Puslapionumeris"/>
        <w:noProof/>
      </w:rPr>
      <w:t>39</w:t>
    </w:r>
    <w:r>
      <w:rPr>
        <w:rStyle w:val="Puslapionumeris"/>
      </w:rPr>
      <w:fldChar w:fldCharType="end"/>
    </w:r>
  </w:p>
  <w:p w14:paraId="288D069E" w14:textId="77777777" w:rsidR="009A43FB" w:rsidRDefault="009A43FB" w:rsidP="0001067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F1D21" w14:textId="77777777" w:rsidR="0041276F" w:rsidRDefault="0041276F">
      <w:r>
        <w:separator/>
      </w:r>
    </w:p>
  </w:footnote>
  <w:footnote w:type="continuationSeparator" w:id="0">
    <w:p w14:paraId="0ED49B18" w14:textId="77777777" w:rsidR="0041276F" w:rsidRDefault="0041276F">
      <w:r>
        <w:continuationSeparator/>
      </w:r>
    </w:p>
  </w:footnote>
  <w:footnote w:type="continuationNotice" w:id="1">
    <w:p w14:paraId="1E6D7EC4" w14:textId="77777777" w:rsidR="0041276F" w:rsidRDefault="004127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F6B8A" w14:textId="77777777" w:rsidR="00606821" w:rsidRDefault="006068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2EE0"/>
    <w:multiLevelType w:val="hybridMultilevel"/>
    <w:tmpl w:val="F022F9EE"/>
    <w:lvl w:ilvl="0" w:tplc="82EAB634">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06453A03"/>
    <w:multiLevelType w:val="hybridMultilevel"/>
    <w:tmpl w:val="3664E3E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88519F9"/>
    <w:multiLevelType w:val="hybridMultilevel"/>
    <w:tmpl w:val="583C60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B4B3224"/>
    <w:multiLevelType w:val="hybridMultilevel"/>
    <w:tmpl w:val="802E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53ADB"/>
    <w:multiLevelType w:val="hybridMultilevel"/>
    <w:tmpl w:val="4552D9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02F7191"/>
    <w:multiLevelType w:val="hybridMultilevel"/>
    <w:tmpl w:val="0C4893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203B3F01"/>
    <w:multiLevelType w:val="hybridMultilevel"/>
    <w:tmpl w:val="588676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2D50A53"/>
    <w:multiLevelType w:val="hybridMultilevel"/>
    <w:tmpl w:val="01A8FFFC"/>
    <w:lvl w:ilvl="0" w:tplc="2BD00DFC">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6114E"/>
    <w:multiLevelType w:val="hybridMultilevel"/>
    <w:tmpl w:val="14705F2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27E66FD1"/>
    <w:multiLevelType w:val="hybridMultilevel"/>
    <w:tmpl w:val="F68872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9B13134"/>
    <w:multiLevelType w:val="hybridMultilevel"/>
    <w:tmpl w:val="9AD09B34"/>
    <w:lvl w:ilvl="0" w:tplc="FFFFFFFF">
      <w:start w:val="1"/>
      <w:numFmt w:val="bullet"/>
      <w:pStyle w:val="Agendaindenteda"/>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2">
    <w:nsid w:val="2B1E6789"/>
    <w:multiLevelType w:val="hybridMultilevel"/>
    <w:tmpl w:val="A2CC09F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0F02CEA"/>
    <w:multiLevelType w:val="hybridMultilevel"/>
    <w:tmpl w:val="7E68BA7C"/>
    <w:lvl w:ilvl="0" w:tplc="9DB244F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BDC4D8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31721C66"/>
    <w:multiLevelType w:val="hybridMultilevel"/>
    <w:tmpl w:val="BEEC01BE"/>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45D19B4"/>
    <w:multiLevelType w:val="hybridMultilevel"/>
    <w:tmpl w:val="76C0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A2D5D"/>
    <w:multiLevelType w:val="hybridMultilevel"/>
    <w:tmpl w:val="09EC13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8E329E8"/>
    <w:multiLevelType w:val="hybridMultilevel"/>
    <w:tmpl w:val="D314570E"/>
    <w:lvl w:ilvl="0" w:tplc="AE3CE148">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0845C50"/>
    <w:multiLevelType w:val="hybridMultilevel"/>
    <w:tmpl w:val="426EDA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42A91A21"/>
    <w:multiLevelType w:val="hybridMultilevel"/>
    <w:tmpl w:val="22A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72647E"/>
    <w:multiLevelType w:val="hybridMultilevel"/>
    <w:tmpl w:val="22BCFB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460A3D0B"/>
    <w:multiLevelType w:val="hybridMultilevel"/>
    <w:tmpl w:val="0A4C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69860534"/>
    <w:multiLevelType w:val="hybridMultilevel"/>
    <w:tmpl w:val="018CB8EE"/>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BA1928"/>
    <w:multiLevelType w:val="hybridMultilevel"/>
    <w:tmpl w:val="AB9E783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6CCD3534"/>
    <w:multiLevelType w:val="multilevel"/>
    <w:tmpl w:val="7280F22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1814323"/>
    <w:multiLevelType w:val="hybridMultilevel"/>
    <w:tmpl w:val="BA863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72573388"/>
    <w:multiLevelType w:val="hybridMultilevel"/>
    <w:tmpl w:val="549EA8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73F12DF3"/>
    <w:multiLevelType w:val="hybridMultilevel"/>
    <w:tmpl w:val="0FF44CB2"/>
    <w:lvl w:ilvl="0" w:tplc="FAD2E75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77FD6CA3"/>
    <w:multiLevelType w:val="hybridMultilevel"/>
    <w:tmpl w:val="E41CB698"/>
    <w:lvl w:ilvl="0" w:tplc="384AFB56">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6D7EBA"/>
    <w:multiLevelType w:val="hybridMultilevel"/>
    <w:tmpl w:val="DEC007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22"/>
  </w:num>
  <w:num w:numId="4">
    <w:abstractNumId w:val="11"/>
  </w:num>
  <w:num w:numId="5">
    <w:abstractNumId w:val="1"/>
  </w:num>
  <w:num w:numId="6">
    <w:abstractNumId w:val="9"/>
  </w:num>
  <w:num w:numId="7">
    <w:abstractNumId w:val="26"/>
  </w:num>
  <w:num w:numId="8">
    <w:abstractNumId w:val="16"/>
  </w:num>
  <w:num w:numId="9">
    <w:abstractNumId w:val="31"/>
  </w:num>
  <w:num w:numId="10">
    <w:abstractNumId w:val="12"/>
  </w:num>
  <w:num w:numId="11">
    <w:abstractNumId w:val="28"/>
  </w:num>
  <w:num w:numId="12">
    <w:abstractNumId w:val="6"/>
  </w:num>
  <w:num w:numId="13">
    <w:abstractNumId w:val="20"/>
  </w:num>
  <w:num w:numId="14">
    <w:abstractNumId w:val="5"/>
  </w:num>
  <w:num w:numId="15">
    <w:abstractNumId w:val="25"/>
  </w:num>
  <w:num w:numId="16">
    <w:abstractNumId w:val="2"/>
  </w:num>
  <w:num w:numId="17">
    <w:abstractNumId w:val="4"/>
  </w:num>
  <w:num w:numId="18">
    <w:abstractNumId w:val="27"/>
  </w:num>
  <w:num w:numId="19">
    <w:abstractNumId w:val="10"/>
  </w:num>
  <w:num w:numId="20">
    <w:abstractNumId w:val="29"/>
  </w:num>
  <w:num w:numId="21">
    <w:abstractNumId w:val="23"/>
  </w:num>
  <w:num w:numId="22">
    <w:abstractNumId w:val="32"/>
  </w:num>
  <w:num w:numId="23">
    <w:abstractNumId w:val="14"/>
  </w:num>
  <w:num w:numId="24">
    <w:abstractNumId w:val="17"/>
  </w:num>
  <w:num w:numId="25">
    <w:abstractNumId w:val="8"/>
  </w:num>
  <w:num w:numId="26">
    <w:abstractNumId w:val="18"/>
  </w:num>
  <w:num w:numId="27">
    <w:abstractNumId w:val="24"/>
  </w:num>
  <w:num w:numId="28">
    <w:abstractNumId w:val="3"/>
  </w:num>
  <w:num w:numId="29">
    <w:abstractNumId w:val="30"/>
  </w:num>
  <w:num w:numId="30">
    <w:abstractNumId w:val="21"/>
  </w:num>
  <w:num w:numId="31">
    <w:abstractNumId w:val="19"/>
  </w:num>
  <w:num w:numId="32">
    <w:abstractNumId w:val="1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Full" w:cryptAlgorithmClass="hash" w:cryptAlgorithmType="typeAny" w:cryptAlgorithmSid="4" w:cryptSpinCount="100000" w:hash="XOkpMc8uzm8Qn6EfnPVvl5bjl6o=" w:salt="wplmN+BJCjysiRSwc7y+M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428"/>
    <w:rsid w:val="00010674"/>
    <w:rsid w:val="00016C99"/>
    <w:rsid w:val="00034886"/>
    <w:rsid w:val="0003712E"/>
    <w:rsid w:val="00041F9E"/>
    <w:rsid w:val="00043BEA"/>
    <w:rsid w:val="00054C01"/>
    <w:rsid w:val="000575EC"/>
    <w:rsid w:val="00071C62"/>
    <w:rsid w:val="0008266A"/>
    <w:rsid w:val="000861E6"/>
    <w:rsid w:val="000976F0"/>
    <w:rsid w:val="000C0B4B"/>
    <w:rsid w:val="000C56F1"/>
    <w:rsid w:val="000C6996"/>
    <w:rsid w:val="000E5428"/>
    <w:rsid w:val="000F1994"/>
    <w:rsid w:val="000F2472"/>
    <w:rsid w:val="000F466F"/>
    <w:rsid w:val="0010540F"/>
    <w:rsid w:val="00113300"/>
    <w:rsid w:val="00145E76"/>
    <w:rsid w:val="001472A8"/>
    <w:rsid w:val="00177840"/>
    <w:rsid w:val="001945BB"/>
    <w:rsid w:val="001C00C0"/>
    <w:rsid w:val="001C7519"/>
    <w:rsid w:val="001F1D51"/>
    <w:rsid w:val="001F3EBD"/>
    <w:rsid w:val="001F7303"/>
    <w:rsid w:val="00234CAB"/>
    <w:rsid w:val="00240088"/>
    <w:rsid w:val="002603F7"/>
    <w:rsid w:val="00265958"/>
    <w:rsid w:val="0027429C"/>
    <w:rsid w:val="002752B8"/>
    <w:rsid w:val="0028572D"/>
    <w:rsid w:val="00297BFD"/>
    <w:rsid w:val="002A72BC"/>
    <w:rsid w:val="002B153D"/>
    <w:rsid w:val="003006B5"/>
    <w:rsid w:val="00303C70"/>
    <w:rsid w:val="003106D7"/>
    <w:rsid w:val="0033509B"/>
    <w:rsid w:val="00381E43"/>
    <w:rsid w:val="00385BD8"/>
    <w:rsid w:val="00391137"/>
    <w:rsid w:val="003C1560"/>
    <w:rsid w:val="003F1C50"/>
    <w:rsid w:val="00405B4E"/>
    <w:rsid w:val="0041276F"/>
    <w:rsid w:val="00432462"/>
    <w:rsid w:val="00447508"/>
    <w:rsid w:val="00456C57"/>
    <w:rsid w:val="00473EF9"/>
    <w:rsid w:val="004A3D42"/>
    <w:rsid w:val="004B1E3B"/>
    <w:rsid w:val="004B3FD5"/>
    <w:rsid w:val="004C119E"/>
    <w:rsid w:val="004C24D2"/>
    <w:rsid w:val="00506CC8"/>
    <w:rsid w:val="00520689"/>
    <w:rsid w:val="00526B76"/>
    <w:rsid w:val="005570CA"/>
    <w:rsid w:val="00563355"/>
    <w:rsid w:val="00563B49"/>
    <w:rsid w:val="00563F8E"/>
    <w:rsid w:val="0057136E"/>
    <w:rsid w:val="005D5281"/>
    <w:rsid w:val="005D529D"/>
    <w:rsid w:val="005F18F4"/>
    <w:rsid w:val="00606821"/>
    <w:rsid w:val="0061184C"/>
    <w:rsid w:val="00612C92"/>
    <w:rsid w:val="006345EA"/>
    <w:rsid w:val="006406D7"/>
    <w:rsid w:val="00656818"/>
    <w:rsid w:val="00661957"/>
    <w:rsid w:val="00671FC6"/>
    <w:rsid w:val="00676F74"/>
    <w:rsid w:val="006A06A0"/>
    <w:rsid w:val="006A1A66"/>
    <w:rsid w:val="006B5852"/>
    <w:rsid w:val="006C4592"/>
    <w:rsid w:val="006D02B6"/>
    <w:rsid w:val="007216CF"/>
    <w:rsid w:val="00737B40"/>
    <w:rsid w:val="00745EC5"/>
    <w:rsid w:val="00751628"/>
    <w:rsid w:val="00760B4C"/>
    <w:rsid w:val="00773D8F"/>
    <w:rsid w:val="007A1A3F"/>
    <w:rsid w:val="007B21D5"/>
    <w:rsid w:val="007B69D5"/>
    <w:rsid w:val="007C28E2"/>
    <w:rsid w:val="007E3198"/>
    <w:rsid w:val="007F358F"/>
    <w:rsid w:val="008169C2"/>
    <w:rsid w:val="008412E6"/>
    <w:rsid w:val="008525F1"/>
    <w:rsid w:val="00856005"/>
    <w:rsid w:val="0086077F"/>
    <w:rsid w:val="00867969"/>
    <w:rsid w:val="00876818"/>
    <w:rsid w:val="008777EB"/>
    <w:rsid w:val="008C2B87"/>
    <w:rsid w:val="008F1CA5"/>
    <w:rsid w:val="008F28DB"/>
    <w:rsid w:val="009523B7"/>
    <w:rsid w:val="0096677B"/>
    <w:rsid w:val="0097725D"/>
    <w:rsid w:val="00986DA4"/>
    <w:rsid w:val="009A43FB"/>
    <w:rsid w:val="009B36F0"/>
    <w:rsid w:val="009B54A6"/>
    <w:rsid w:val="009C2F72"/>
    <w:rsid w:val="009C3E42"/>
    <w:rsid w:val="00A02CA6"/>
    <w:rsid w:val="00A26503"/>
    <w:rsid w:val="00A323ED"/>
    <w:rsid w:val="00A32BFE"/>
    <w:rsid w:val="00A379DF"/>
    <w:rsid w:val="00A44E59"/>
    <w:rsid w:val="00A536C1"/>
    <w:rsid w:val="00A55495"/>
    <w:rsid w:val="00A70F9C"/>
    <w:rsid w:val="00A81C89"/>
    <w:rsid w:val="00A86DFC"/>
    <w:rsid w:val="00A91232"/>
    <w:rsid w:val="00AA78F5"/>
    <w:rsid w:val="00AB726F"/>
    <w:rsid w:val="00AC62A1"/>
    <w:rsid w:val="00AE5CC2"/>
    <w:rsid w:val="00AF3669"/>
    <w:rsid w:val="00B04DC1"/>
    <w:rsid w:val="00B10AFD"/>
    <w:rsid w:val="00B12CC3"/>
    <w:rsid w:val="00B4673C"/>
    <w:rsid w:val="00B63A45"/>
    <w:rsid w:val="00B75A84"/>
    <w:rsid w:val="00B84FE7"/>
    <w:rsid w:val="00B87465"/>
    <w:rsid w:val="00B91F21"/>
    <w:rsid w:val="00BB148A"/>
    <w:rsid w:val="00BB7883"/>
    <w:rsid w:val="00BC420A"/>
    <w:rsid w:val="00BD74B2"/>
    <w:rsid w:val="00BF231D"/>
    <w:rsid w:val="00C05269"/>
    <w:rsid w:val="00C0621D"/>
    <w:rsid w:val="00C321F4"/>
    <w:rsid w:val="00C376A5"/>
    <w:rsid w:val="00C47212"/>
    <w:rsid w:val="00C50427"/>
    <w:rsid w:val="00C559D6"/>
    <w:rsid w:val="00C55A78"/>
    <w:rsid w:val="00C83BF7"/>
    <w:rsid w:val="00C8463F"/>
    <w:rsid w:val="00C95BA3"/>
    <w:rsid w:val="00CA65F4"/>
    <w:rsid w:val="00CC2B8A"/>
    <w:rsid w:val="00CE3307"/>
    <w:rsid w:val="00D077F9"/>
    <w:rsid w:val="00D11305"/>
    <w:rsid w:val="00D2132B"/>
    <w:rsid w:val="00D574B9"/>
    <w:rsid w:val="00D61C0A"/>
    <w:rsid w:val="00D86F9C"/>
    <w:rsid w:val="00D9601F"/>
    <w:rsid w:val="00DA5C68"/>
    <w:rsid w:val="00DC0095"/>
    <w:rsid w:val="00DD05B2"/>
    <w:rsid w:val="00DD0A35"/>
    <w:rsid w:val="00DD3D81"/>
    <w:rsid w:val="00DD7D88"/>
    <w:rsid w:val="00DE7D2B"/>
    <w:rsid w:val="00DF53F6"/>
    <w:rsid w:val="00E026B5"/>
    <w:rsid w:val="00E02EB6"/>
    <w:rsid w:val="00E126FC"/>
    <w:rsid w:val="00E26CDB"/>
    <w:rsid w:val="00E32C3A"/>
    <w:rsid w:val="00E46CCE"/>
    <w:rsid w:val="00E62E9B"/>
    <w:rsid w:val="00E8368C"/>
    <w:rsid w:val="00EA1833"/>
    <w:rsid w:val="00EA4ECC"/>
    <w:rsid w:val="00EB0661"/>
    <w:rsid w:val="00EC0912"/>
    <w:rsid w:val="00EC31B3"/>
    <w:rsid w:val="00ED5607"/>
    <w:rsid w:val="00EE1490"/>
    <w:rsid w:val="00EE58FD"/>
    <w:rsid w:val="00EF2036"/>
    <w:rsid w:val="00EF4172"/>
    <w:rsid w:val="00EF6ED0"/>
    <w:rsid w:val="00F017F4"/>
    <w:rsid w:val="00F46691"/>
    <w:rsid w:val="00F5761A"/>
    <w:rsid w:val="00FB2E85"/>
    <w:rsid w:val="00FC6E8D"/>
    <w:rsid w:val="00FD1AC7"/>
    <w:rsid w:val="00FE4AEC"/>
    <w:rsid w:val="00FE5AE0"/>
    <w:rsid w:val="00FE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qFormat/>
    <w:rsid w:val="000E5428"/>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0E5428"/>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0E5428"/>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0E5428"/>
    <w:pPr>
      <w:keepNext/>
      <w:spacing w:before="240" w:after="60"/>
      <w:outlineLvl w:val="2"/>
    </w:pPr>
    <w:rPr>
      <w:rFonts w:ascii="Arial" w:hAnsi="Arial"/>
      <w:b/>
      <w:bCs/>
      <w:sz w:val="26"/>
      <w:szCs w:val="26"/>
      <w:lang w:val="x-none" w:eastAsia="x-none"/>
    </w:rPr>
  </w:style>
  <w:style w:type="paragraph" w:styleId="Antrat4">
    <w:name w:val="heading 4"/>
    <w:basedOn w:val="prastasis"/>
    <w:next w:val="prastasis"/>
    <w:link w:val="Antrat4Diagrama"/>
    <w:qFormat/>
    <w:rsid w:val="000E5428"/>
    <w:pPr>
      <w:keepNext/>
      <w:jc w:val="both"/>
      <w:outlineLvl w:val="3"/>
    </w:pPr>
    <w:rPr>
      <w:sz w:val="20"/>
      <w:szCs w:val="20"/>
      <w:u w:val="single"/>
      <w:lang w:val="x-none" w:eastAsia="lt-LT"/>
    </w:rPr>
  </w:style>
  <w:style w:type="paragraph" w:styleId="Antrat5">
    <w:name w:val="heading 5"/>
    <w:basedOn w:val="prastasis"/>
    <w:next w:val="prastasis"/>
    <w:link w:val="Antrat5Diagrama"/>
    <w:qFormat/>
    <w:rsid w:val="000E5428"/>
    <w:pPr>
      <w:spacing w:before="240" w:after="60"/>
      <w:outlineLvl w:val="4"/>
    </w:pPr>
    <w:rPr>
      <w:b/>
      <w:bCs/>
      <w:i/>
      <w:iCs/>
      <w:sz w:val="26"/>
      <w:szCs w:val="26"/>
      <w:lang w:val="x-none" w:eastAsia="lt-LT"/>
    </w:rPr>
  </w:style>
  <w:style w:type="paragraph" w:styleId="Antrat6">
    <w:name w:val="heading 6"/>
    <w:basedOn w:val="prastasis"/>
    <w:next w:val="prastasis"/>
    <w:link w:val="Antrat6Diagrama"/>
    <w:qFormat/>
    <w:rsid w:val="000E5428"/>
    <w:pPr>
      <w:spacing w:before="240" w:after="60"/>
      <w:outlineLvl w:val="5"/>
    </w:pPr>
    <w:rPr>
      <w:b/>
      <w:bCs/>
      <w:sz w:val="20"/>
      <w:szCs w:val="20"/>
      <w:lang w:val="x-none" w:eastAsia="lt-LT"/>
    </w:rPr>
  </w:style>
  <w:style w:type="paragraph" w:styleId="Antrat7">
    <w:name w:val="heading 7"/>
    <w:basedOn w:val="prastasis"/>
    <w:next w:val="prastasis"/>
    <w:link w:val="Antrat7Diagrama"/>
    <w:qFormat/>
    <w:rsid w:val="000E5428"/>
    <w:pPr>
      <w:keepNext/>
      <w:outlineLvl w:val="6"/>
    </w:pPr>
    <w:rPr>
      <w:b/>
      <w:i/>
      <w:iCs/>
      <w:sz w:val="22"/>
      <w:szCs w:val="20"/>
    </w:rPr>
  </w:style>
  <w:style w:type="paragraph" w:styleId="Antrat8">
    <w:name w:val="heading 8"/>
    <w:basedOn w:val="prastasis"/>
    <w:next w:val="prastasis"/>
    <w:link w:val="Antrat8Diagrama"/>
    <w:qFormat/>
    <w:rsid w:val="000E5428"/>
    <w:pPr>
      <w:keepNext/>
      <w:outlineLvl w:val="7"/>
    </w:pPr>
    <w:rPr>
      <w:bCs/>
      <w:sz w:val="22"/>
      <w:szCs w:val="20"/>
    </w:rPr>
  </w:style>
  <w:style w:type="paragraph" w:styleId="Antrat9">
    <w:name w:val="heading 9"/>
    <w:basedOn w:val="prastasis"/>
    <w:next w:val="prastasis"/>
    <w:link w:val="Antrat9Diagrama"/>
    <w:qFormat/>
    <w:rsid w:val="000E5428"/>
    <w:pPr>
      <w:spacing w:before="240" w:after="60"/>
      <w:outlineLvl w:val="8"/>
    </w:pPr>
    <w:rPr>
      <w:rFonts w:ascii="Arial" w:hAnsi="Arial" w:cs="Arial"/>
      <w:b/>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5428"/>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0E5428"/>
    <w:rPr>
      <w:rFonts w:ascii="Arial" w:eastAsia="Times New Roman" w:hAnsi="Arial" w:cs="Times New Roman"/>
      <w:b/>
      <w:bCs/>
      <w:i/>
      <w:iCs/>
      <w:sz w:val="28"/>
      <w:szCs w:val="28"/>
      <w:lang w:val="x-none" w:eastAsia="x-none"/>
    </w:rPr>
  </w:style>
  <w:style w:type="character" w:customStyle="1" w:styleId="Antrat3Diagrama">
    <w:name w:val="Antraštė 3 Diagrama"/>
    <w:basedOn w:val="Numatytasispastraiposriftas"/>
    <w:link w:val="Antrat3"/>
    <w:rsid w:val="000E5428"/>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rsid w:val="000E5428"/>
    <w:rPr>
      <w:rFonts w:ascii="Times New Roman" w:eastAsia="Times New Roman" w:hAnsi="Times New Roman" w:cs="Times New Roman"/>
      <w:sz w:val="20"/>
      <w:szCs w:val="20"/>
      <w:u w:val="single"/>
      <w:lang w:val="x-none" w:eastAsia="lt-LT"/>
    </w:rPr>
  </w:style>
  <w:style w:type="character" w:customStyle="1" w:styleId="Antrat5Diagrama">
    <w:name w:val="Antraštė 5 Diagrama"/>
    <w:basedOn w:val="Numatytasispastraiposriftas"/>
    <w:link w:val="Antrat5"/>
    <w:rsid w:val="000E5428"/>
    <w:rPr>
      <w:rFonts w:ascii="Times New Roman" w:eastAsia="Times New Roman" w:hAnsi="Times New Roman" w:cs="Times New Roman"/>
      <w:b/>
      <w:bCs/>
      <w:i/>
      <w:iCs/>
      <w:sz w:val="26"/>
      <w:szCs w:val="26"/>
      <w:lang w:val="x-none" w:eastAsia="lt-LT"/>
    </w:rPr>
  </w:style>
  <w:style w:type="character" w:customStyle="1" w:styleId="Antrat6Diagrama">
    <w:name w:val="Antraštė 6 Diagrama"/>
    <w:basedOn w:val="Numatytasispastraiposriftas"/>
    <w:link w:val="Antrat6"/>
    <w:rsid w:val="000E5428"/>
    <w:rPr>
      <w:rFonts w:ascii="Times New Roman" w:eastAsia="Times New Roman" w:hAnsi="Times New Roman" w:cs="Times New Roman"/>
      <w:b/>
      <w:bCs/>
      <w:sz w:val="20"/>
      <w:szCs w:val="20"/>
      <w:lang w:val="x-none" w:eastAsia="lt-LT"/>
    </w:rPr>
  </w:style>
  <w:style w:type="character" w:customStyle="1" w:styleId="Antrat7Diagrama">
    <w:name w:val="Antraštė 7 Diagrama"/>
    <w:basedOn w:val="Numatytasispastraiposriftas"/>
    <w:link w:val="Antrat7"/>
    <w:rsid w:val="000E5428"/>
    <w:rPr>
      <w:rFonts w:ascii="Times New Roman" w:eastAsia="Times New Roman" w:hAnsi="Times New Roman" w:cs="Times New Roman"/>
      <w:b/>
      <w:i/>
      <w:iCs/>
      <w:szCs w:val="20"/>
      <w:lang w:val="lt-LT"/>
    </w:rPr>
  </w:style>
  <w:style w:type="character" w:customStyle="1" w:styleId="Antrat8Diagrama">
    <w:name w:val="Antraštė 8 Diagrama"/>
    <w:basedOn w:val="Numatytasispastraiposriftas"/>
    <w:link w:val="Antrat8"/>
    <w:rsid w:val="000E5428"/>
    <w:rPr>
      <w:rFonts w:ascii="Times New Roman" w:eastAsia="Times New Roman" w:hAnsi="Times New Roman" w:cs="Times New Roman"/>
      <w:bCs/>
      <w:szCs w:val="20"/>
      <w:lang w:val="lt-LT"/>
    </w:rPr>
  </w:style>
  <w:style w:type="character" w:customStyle="1" w:styleId="Antrat9Diagrama">
    <w:name w:val="Antraštė 9 Diagrama"/>
    <w:basedOn w:val="Numatytasispastraiposriftas"/>
    <w:link w:val="Antrat9"/>
    <w:rsid w:val="000E5428"/>
    <w:rPr>
      <w:rFonts w:ascii="Arial" w:eastAsia="Times New Roman" w:hAnsi="Arial" w:cs="Arial"/>
      <w:b/>
      <w:lang w:val="lt-LT" w:eastAsia="lt-LT"/>
    </w:rPr>
  </w:style>
  <w:style w:type="character" w:styleId="Hipersaitas">
    <w:name w:val="Hyperlink"/>
    <w:uiPriority w:val="99"/>
    <w:rsid w:val="000E5428"/>
    <w:rPr>
      <w:color w:val="0000FF"/>
      <w:u w:val="single"/>
    </w:rPr>
  </w:style>
  <w:style w:type="paragraph" w:customStyle="1" w:styleId="PI-1EMEASMCA">
    <w:name w:val="PI-1 EMEA_SMCA"/>
    <w:basedOn w:val="Antrat2"/>
    <w:link w:val="PI-1EMEASMCAChar"/>
    <w:autoRedefine/>
    <w:rsid w:val="000E5428"/>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0E5428"/>
    <w:rPr>
      <w:rFonts w:ascii="Times New Roman" w:eastAsia="Times New Roman" w:hAnsi="Times New Roman" w:cs="Times New Roman"/>
      <w:b/>
      <w:lang w:val="x-none" w:eastAsia="x-none"/>
    </w:rPr>
  </w:style>
  <w:style w:type="paragraph" w:customStyle="1" w:styleId="PI-1labEMEASMCA">
    <w:name w:val="PI-1_lab EMEA_SMCA"/>
    <w:basedOn w:val="prastasis"/>
    <w:link w:val="PI-1labEMEASMCAChar"/>
    <w:autoRedefine/>
    <w:rsid w:val="000E5428"/>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0E5428"/>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0E5428"/>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0E5428"/>
    <w:rPr>
      <w:lang w:val="x-none" w:eastAsia="x-none"/>
    </w:rPr>
  </w:style>
  <w:style w:type="character" w:customStyle="1" w:styleId="BTEMEASMCAChar">
    <w:name w:val="BT EMEA_SMCA Char"/>
    <w:link w:val="BTEMEASMCA"/>
    <w:rsid w:val="000E5428"/>
    <w:rPr>
      <w:rFonts w:ascii="Times New Roman" w:eastAsia="Times New Roman" w:hAnsi="Times New Roman" w:cs="Times New Roman"/>
      <w:sz w:val="24"/>
      <w:szCs w:val="24"/>
      <w:lang w:val="x-none" w:eastAsia="x-none"/>
    </w:rPr>
  </w:style>
  <w:style w:type="paragraph" w:customStyle="1" w:styleId="TTEMEASMCA">
    <w:name w:val="TT EMEA_SMCA"/>
    <w:basedOn w:val="Antrat1"/>
    <w:link w:val="TTEMEASMCAChar"/>
    <w:autoRedefine/>
    <w:rsid w:val="000E5428"/>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0E5428"/>
    <w:rPr>
      <w:rFonts w:ascii="Times New Roman" w:eastAsia="Times New Roman" w:hAnsi="Times New Roman" w:cs="Times New Roman"/>
      <w:b/>
      <w:caps/>
      <w:sz w:val="20"/>
      <w:szCs w:val="20"/>
      <w:lang w:eastAsia="x-none"/>
    </w:rPr>
  </w:style>
  <w:style w:type="paragraph" w:customStyle="1" w:styleId="BTAnIIEMEASMCA">
    <w:name w:val="BT(AnII) EMEA_SMCA"/>
    <w:basedOn w:val="Debesliotekstas"/>
    <w:autoRedefine/>
    <w:rsid w:val="000E5428"/>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0E5428"/>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0E5428"/>
    <w:rPr>
      <w:rFonts w:ascii="Tahoma" w:eastAsia="Times New Roman" w:hAnsi="Tahoma" w:cs="Times New Roman"/>
      <w:sz w:val="16"/>
      <w:szCs w:val="16"/>
      <w:lang w:val="x-none" w:eastAsia="x-none"/>
    </w:rPr>
  </w:style>
  <w:style w:type="paragraph" w:customStyle="1" w:styleId="BT-EMEASMCA">
    <w:name w:val="BT- EMEA_SMCA"/>
    <w:basedOn w:val="BTEMEASMCA"/>
    <w:autoRedefine/>
    <w:rsid w:val="000E5428"/>
    <w:pPr>
      <w:numPr>
        <w:numId w:val="1"/>
      </w:numPr>
      <w:tabs>
        <w:tab w:val="clear" w:pos="720"/>
        <w:tab w:val="num" w:pos="540"/>
      </w:tabs>
      <w:ind w:left="540" w:hanging="540"/>
    </w:pPr>
    <w:rPr>
      <w:iCs/>
      <w:sz w:val="22"/>
      <w:szCs w:val="22"/>
    </w:rPr>
  </w:style>
  <w:style w:type="paragraph" w:customStyle="1" w:styleId="PI-3EMEASMCA">
    <w:name w:val="PI-3 EMEA_SMCA"/>
    <w:basedOn w:val="prastasis"/>
    <w:autoRedefine/>
    <w:rsid w:val="000E5428"/>
    <w:pPr>
      <w:spacing w:line="220" w:lineRule="exact"/>
    </w:pPr>
    <w:rPr>
      <w:b/>
      <w:bCs/>
      <w:sz w:val="22"/>
      <w:szCs w:val="22"/>
    </w:rPr>
  </w:style>
  <w:style w:type="paragraph" w:customStyle="1" w:styleId="BTbEMEASMCA">
    <w:name w:val="BT(b) EMEA_SMCA"/>
    <w:basedOn w:val="BTEMEASMCA"/>
    <w:autoRedefine/>
    <w:rsid w:val="000E5428"/>
    <w:rPr>
      <w:b/>
    </w:rPr>
  </w:style>
  <w:style w:type="paragraph" w:customStyle="1" w:styleId="BTbeEMEASMCA">
    <w:name w:val="BT(be) EMEA_SMCA"/>
    <w:basedOn w:val="BTEMEASMCA"/>
    <w:autoRedefine/>
    <w:rsid w:val="000E5428"/>
    <w:pPr>
      <w:jc w:val="center"/>
    </w:pPr>
    <w:rPr>
      <w:b/>
    </w:rPr>
  </w:style>
  <w:style w:type="paragraph" w:customStyle="1" w:styleId="BTeEMEASMCA">
    <w:name w:val="BT(e) EMEA_SMCA"/>
    <w:basedOn w:val="BTEMEASMCA"/>
    <w:autoRedefine/>
    <w:rsid w:val="000E5428"/>
    <w:pPr>
      <w:jc w:val="center"/>
    </w:pPr>
  </w:style>
  <w:style w:type="paragraph" w:customStyle="1" w:styleId="BTgEMEASMCA">
    <w:name w:val="BT(g) EMEA_SMCA"/>
    <w:basedOn w:val="BTEMEASMCA"/>
    <w:link w:val="BTgEMEASMCAChar"/>
    <w:autoRedefine/>
    <w:rsid w:val="000E5428"/>
    <w:rPr>
      <w:i/>
      <w:color w:val="008000"/>
    </w:rPr>
  </w:style>
  <w:style w:type="character" w:customStyle="1" w:styleId="BTgEMEASMCAChar">
    <w:name w:val="BT(g) EMEA_SMCA Char"/>
    <w:link w:val="BTgEMEASMCA"/>
    <w:rsid w:val="000E5428"/>
    <w:rPr>
      <w:rFonts w:ascii="Times New Roman" w:eastAsia="Times New Roman" w:hAnsi="Times New Roman" w:cs="Times New Roman"/>
      <w:i/>
      <w:color w:val="008000"/>
      <w:sz w:val="24"/>
      <w:szCs w:val="24"/>
      <w:lang w:val="x-none" w:eastAsia="x-none"/>
    </w:rPr>
  </w:style>
  <w:style w:type="paragraph" w:customStyle="1" w:styleId="BTuEMEASMCA">
    <w:name w:val="BT(u) EMEA_SMCA"/>
    <w:basedOn w:val="BTEMEASMCA"/>
    <w:autoRedefine/>
    <w:rsid w:val="000E5428"/>
    <w:rPr>
      <w:u w:val="single"/>
    </w:rPr>
  </w:style>
  <w:style w:type="paragraph" w:styleId="Dokumentostruktra">
    <w:name w:val="Document Map"/>
    <w:basedOn w:val="prastasis"/>
    <w:link w:val="DokumentostruktraDiagrama"/>
    <w:semiHidden/>
    <w:rsid w:val="000E5428"/>
    <w:pPr>
      <w:shd w:val="clear" w:color="auto" w:fill="000080"/>
    </w:pPr>
    <w:rPr>
      <w:rFonts w:ascii="Tahoma" w:hAnsi="Tahoma"/>
      <w:sz w:val="20"/>
      <w:szCs w:val="20"/>
      <w:lang w:val="x-none" w:eastAsia="x-none"/>
    </w:rPr>
  </w:style>
  <w:style w:type="character" w:customStyle="1" w:styleId="DokumentostruktraDiagrama">
    <w:name w:val="Dokumento struktūra Diagrama"/>
    <w:basedOn w:val="Numatytasispastraiposriftas"/>
    <w:link w:val="Dokumentostruktra"/>
    <w:semiHidden/>
    <w:rsid w:val="000E5428"/>
    <w:rPr>
      <w:rFonts w:ascii="Tahoma" w:eastAsia="Times New Roman" w:hAnsi="Tahoma" w:cs="Times New Roman"/>
      <w:sz w:val="20"/>
      <w:szCs w:val="20"/>
      <w:shd w:val="clear" w:color="auto" w:fill="000080"/>
      <w:lang w:val="x-none" w:eastAsia="x-none"/>
    </w:rPr>
  </w:style>
  <w:style w:type="paragraph" w:styleId="Pagrindinistekstas">
    <w:name w:val="Body Text"/>
    <w:basedOn w:val="prastasis"/>
    <w:link w:val="PagrindinistekstasDiagrama"/>
    <w:rsid w:val="000E5428"/>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rsid w:val="000E5428"/>
    <w:rPr>
      <w:rFonts w:ascii="Times New Roman" w:eastAsia="Times New Roman" w:hAnsi="Times New Roman" w:cs="Times New Roman"/>
      <w:sz w:val="20"/>
      <w:szCs w:val="20"/>
      <w:lang w:val="x-none" w:eastAsia="lt-LT"/>
    </w:rPr>
  </w:style>
  <w:style w:type="paragraph" w:styleId="Pagrindinistekstas3">
    <w:name w:val="Body Text 3"/>
    <w:basedOn w:val="prastasis"/>
    <w:link w:val="Pagrindinistekstas3Diagrama"/>
    <w:rsid w:val="000E5428"/>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0E5428"/>
    <w:rPr>
      <w:rFonts w:ascii="Times New Roman" w:eastAsia="Times New Roman" w:hAnsi="Times New Roman" w:cs="Times New Roman"/>
      <w:sz w:val="16"/>
      <w:szCs w:val="16"/>
      <w:lang w:val="x-none" w:eastAsia="x-none"/>
    </w:rPr>
  </w:style>
  <w:style w:type="paragraph" w:customStyle="1" w:styleId="Default">
    <w:name w:val="Default"/>
    <w:rsid w:val="000E542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orat">
    <w:name w:val="footer"/>
    <w:basedOn w:val="prastasis"/>
    <w:link w:val="PoratDiagrama"/>
    <w:rsid w:val="000E5428"/>
    <w:pPr>
      <w:tabs>
        <w:tab w:val="center" w:pos="4153"/>
        <w:tab w:val="right" w:pos="8306"/>
      </w:tabs>
    </w:pPr>
    <w:rPr>
      <w:sz w:val="20"/>
      <w:szCs w:val="20"/>
      <w:lang w:val="x-none" w:eastAsia="lt-LT"/>
    </w:rPr>
  </w:style>
  <w:style w:type="character" w:customStyle="1" w:styleId="PoratDiagrama">
    <w:name w:val="Poraštė Diagrama"/>
    <w:basedOn w:val="Numatytasispastraiposriftas"/>
    <w:link w:val="Porat"/>
    <w:rsid w:val="000E5428"/>
    <w:rPr>
      <w:rFonts w:ascii="Times New Roman" w:eastAsia="Times New Roman" w:hAnsi="Times New Roman" w:cs="Times New Roman"/>
      <w:sz w:val="20"/>
      <w:szCs w:val="20"/>
      <w:lang w:val="x-none" w:eastAsia="lt-LT"/>
    </w:rPr>
  </w:style>
  <w:style w:type="paragraph" w:styleId="Pagrindinistekstas2">
    <w:name w:val="Body Text 2"/>
    <w:basedOn w:val="prastasis"/>
    <w:link w:val="Pagrindinistekstas2Diagrama"/>
    <w:rsid w:val="000E5428"/>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0E5428"/>
    <w:rPr>
      <w:rFonts w:ascii="Times New Roman" w:eastAsia="Times New Roman" w:hAnsi="Times New Roman" w:cs="Times New Roman"/>
      <w:sz w:val="24"/>
      <w:szCs w:val="24"/>
      <w:lang w:val="x-none" w:eastAsia="x-none"/>
    </w:rPr>
  </w:style>
  <w:style w:type="paragraph" w:styleId="Antrats">
    <w:name w:val="header"/>
    <w:basedOn w:val="Default"/>
    <w:next w:val="Default"/>
    <w:link w:val="AntratsDiagrama"/>
    <w:rsid w:val="000E5428"/>
    <w:rPr>
      <w:color w:val="auto"/>
      <w:lang w:val="x-none"/>
    </w:rPr>
  </w:style>
  <w:style w:type="character" w:customStyle="1" w:styleId="AntratsDiagrama">
    <w:name w:val="Antraštės Diagrama"/>
    <w:basedOn w:val="Numatytasispastraiposriftas"/>
    <w:link w:val="Antrats"/>
    <w:rsid w:val="000E5428"/>
    <w:rPr>
      <w:rFonts w:ascii="Times New Roman" w:eastAsia="Times New Roman" w:hAnsi="Times New Roman" w:cs="Times New Roman"/>
      <w:sz w:val="24"/>
      <w:szCs w:val="24"/>
      <w:lang w:val="x-none" w:eastAsia="lt-LT"/>
    </w:rPr>
  </w:style>
  <w:style w:type="character" w:styleId="Puslapionumeris">
    <w:name w:val="page number"/>
    <w:rsid w:val="000E5428"/>
  </w:style>
  <w:style w:type="paragraph" w:styleId="Komentarotekstas">
    <w:name w:val="annotation text"/>
    <w:basedOn w:val="prastasis"/>
    <w:link w:val="KomentarotekstasDiagrama"/>
    <w:rsid w:val="000E5428"/>
    <w:rPr>
      <w:sz w:val="20"/>
      <w:szCs w:val="20"/>
      <w:lang w:val="x-none" w:eastAsia="x-none"/>
    </w:rPr>
  </w:style>
  <w:style w:type="character" w:customStyle="1" w:styleId="KomentarotekstasDiagrama">
    <w:name w:val="Komentaro tekstas Diagrama"/>
    <w:basedOn w:val="Numatytasispastraiposriftas"/>
    <w:link w:val="Komentarotekstas"/>
    <w:rsid w:val="000E5428"/>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rsid w:val="000E5428"/>
    <w:rPr>
      <w:b/>
      <w:bCs/>
    </w:rPr>
  </w:style>
  <w:style w:type="character" w:customStyle="1" w:styleId="KomentarotemaDiagrama">
    <w:name w:val="Komentaro tema Diagrama"/>
    <w:basedOn w:val="KomentarotekstasDiagrama"/>
    <w:link w:val="Komentarotema"/>
    <w:rsid w:val="000E5428"/>
    <w:rPr>
      <w:rFonts w:ascii="Times New Roman" w:eastAsia="Times New Roman" w:hAnsi="Times New Roman" w:cs="Times New Roman"/>
      <w:b/>
      <w:bCs/>
      <w:sz w:val="20"/>
      <w:szCs w:val="20"/>
      <w:lang w:val="x-none" w:eastAsia="x-none"/>
    </w:rPr>
  </w:style>
  <w:style w:type="paragraph" w:customStyle="1" w:styleId="prastasiniatinklio">
    <w:name w:val="Įprastas (žiniatinklio)"/>
    <w:basedOn w:val="prastasis"/>
    <w:unhideWhenUsed/>
    <w:rsid w:val="000E5428"/>
    <w:pPr>
      <w:spacing w:before="100" w:beforeAutospacing="1" w:after="75"/>
    </w:pPr>
    <w:rPr>
      <w:color w:val="000000"/>
      <w:lang w:val="en-US"/>
    </w:rPr>
  </w:style>
  <w:style w:type="paragraph" w:styleId="Pavadinimas">
    <w:name w:val="Title"/>
    <w:basedOn w:val="Default"/>
    <w:next w:val="Default"/>
    <w:link w:val="PavadinimasDiagrama"/>
    <w:qFormat/>
    <w:rsid w:val="000E5428"/>
    <w:rPr>
      <w:color w:val="auto"/>
      <w:lang w:val="x-none"/>
    </w:rPr>
  </w:style>
  <w:style w:type="character" w:customStyle="1" w:styleId="PavadinimasDiagrama">
    <w:name w:val="Pavadinimas Diagrama"/>
    <w:basedOn w:val="Numatytasispastraiposriftas"/>
    <w:link w:val="Pavadinimas"/>
    <w:rsid w:val="000E5428"/>
    <w:rPr>
      <w:rFonts w:ascii="Times New Roman" w:eastAsia="Times New Roman" w:hAnsi="Times New Roman" w:cs="Times New Roman"/>
      <w:sz w:val="24"/>
      <w:szCs w:val="24"/>
      <w:lang w:val="x-none" w:eastAsia="lt-LT"/>
    </w:rPr>
  </w:style>
  <w:style w:type="character" w:customStyle="1" w:styleId="CharChar1">
    <w:name w:val="Char Char1"/>
    <w:rsid w:val="000E5428"/>
    <w:rPr>
      <w:sz w:val="22"/>
      <w:lang w:val="lt-LT" w:eastAsia="lt-LT" w:bidi="ar-SA"/>
    </w:rPr>
  </w:style>
  <w:style w:type="numbering" w:customStyle="1" w:styleId="Sraonra1">
    <w:name w:val="Sąrašo nėra1"/>
    <w:next w:val="Sraonra"/>
    <w:uiPriority w:val="99"/>
    <w:semiHidden/>
    <w:unhideWhenUsed/>
    <w:rsid w:val="000E5428"/>
  </w:style>
  <w:style w:type="numbering" w:customStyle="1" w:styleId="NoList1">
    <w:name w:val="No List1"/>
    <w:next w:val="Sraonra"/>
    <w:semiHidden/>
    <w:rsid w:val="000E5428"/>
  </w:style>
  <w:style w:type="paragraph" w:styleId="Puslapioinaostekstas">
    <w:name w:val="footnote text"/>
    <w:basedOn w:val="prastasis"/>
    <w:next w:val="prastasis"/>
    <w:link w:val="PuslapioinaostekstasDiagrama"/>
    <w:rsid w:val="000E5428"/>
    <w:rPr>
      <w:rFonts w:ascii="TimesLT" w:hAnsi="TimesLT"/>
      <w:b/>
      <w:sz w:val="20"/>
      <w:szCs w:val="20"/>
      <w:lang w:val="en-GB" w:eastAsia="lt-LT"/>
    </w:rPr>
  </w:style>
  <w:style w:type="character" w:customStyle="1" w:styleId="PuslapioinaostekstasDiagrama">
    <w:name w:val="Puslapio išnašos tekstas Diagrama"/>
    <w:basedOn w:val="Numatytasispastraiposriftas"/>
    <w:link w:val="Puslapioinaostekstas"/>
    <w:rsid w:val="000E5428"/>
    <w:rPr>
      <w:rFonts w:ascii="TimesLT" w:eastAsia="Times New Roman" w:hAnsi="TimesLT" w:cs="Times New Roman"/>
      <w:b/>
      <w:sz w:val="20"/>
      <w:szCs w:val="20"/>
      <w:lang w:val="en-GB" w:eastAsia="lt-LT"/>
    </w:rPr>
  </w:style>
  <w:style w:type="character" w:customStyle="1" w:styleId="TTEMEASMCADiagrama">
    <w:name w:val="TT EMEA_SMCA Diagrama"/>
    <w:rsid w:val="000E5428"/>
    <w:rPr>
      <w:rFonts w:ascii="Times New Roman" w:hAnsi="Times New Roman"/>
      <w:caps/>
    </w:rPr>
  </w:style>
  <w:style w:type="character" w:customStyle="1" w:styleId="BTEMEASMCADiagrama">
    <w:name w:val="BT EMEA_SMCA Diagrama"/>
    <w:rsid w:val="000E5428"/>
    <w:rPr>
      <w:rFonts w:ascii="Times New Roman" w:hAnsi="Times New Roman"/>
      <w:b/>
      <w:noProof/>
      <w:lang w:val="lt-LT"/>
    </w:rPr>
  </w:style>
  <w:style w:type="paragraph" w:customStyle="1" w:styleId="EMEABodyText">
    <w:name w:val="EMEA Body Text"/>
    <w:basedOn w:val="prastasis"/>
    <w:link w:val="EMEABodyTextChar"/>
    <w:rsid w:val="000E5428"/>
    <w:rPr>
      <w:b/>
      <w:sz w:val="22"/>
      <w:szCs w:val="20"/>
      <w:lang w:val="en-GB"/>
    </w:rPr>
  </w:style>
  <w:style w:type="character" w:customStyle="1" w:styleId="EMEABodyTextChar">
    <w:name w:val="EMEA Body Text Char"/>
    <w:link w:val="EMEABodyText"/>
    <w:rsid w:val="000E5428"/>
    <w:rPr>
      <w:rFonts w:ascii="Times New Roman" w:eastAsia="Times New Roman" w:hAnsi="Times New Roman" w:cs="Times New Roman"/>
      <w:b/>
      <w:szCs w:val="20"/>
      <w:lang w:val="en-GB"/>
    </w:rPr>
  </w:style>
  <w:style w:type="paragraph" w:customStyle="1" w:styleId="NormalLatinArial">
    <w:name w:val="Normal + (Latin) Arial"/>
    <w:aliases w:val="(Complex) Arial,9 pt"/>
    <w:basedOn w:val="Default"/>
    <w:next w:val="Default"/>
    <w:rsid w:val="000E5428"/>
    <w:pPr>
      <w:widowControl/>
      <w:numPr>
        <w:numId w:val="2"/>
      </w:numPr>
      <w:tabs>
        <w:tab w:val="clear" w:pos="567"/>
      </w:tabs>
      <w:ind w:left="0" w:firstLine="0"/>
    </w:pPr>
    <w:rPr>
      <w:b/>
      <w:color w:val="auto"/>
      <w:lang w:val="en-US" w:eastAsia="en-US"/>
    </w:rPr>
  </w:style>
  <w:style w:type="character" w:styleId="Komentaronuoroda">
    <w:name w:val="annotation reference"/>
    <w:rsid w:val="000E5428"/>
    <w:rPr>
      <w:sz w:val="16"/>
      <w:szCs w:val="16"/>
    </w:rPr>
  </w:style>
  <w:style w:type="paragraph" w:styleId="Pagrindiniotekstotrauka">
    <w:name w:val="Body Text Indent"/>
    <w:basedOn w:val="prastasis"/>
    <w:link w:val="PagrindiniotekstotraukaDiagrama"/>
    <w:rsid w:val="000E5428"/>
    <w:pPr>
      <w:spacing w:after="120"/>
      <w:ind w:left="283"/>
    </w:pPr>
    <w:rPr>
      <w:b/>
      <w:sz w:val="22"/>
      <w:szCs w:val="20"/>
      <w:lang w:eastAsia="lt-LT"/>
    </w:rPr>
  </w:style>
  <w:style w:type="character" w:customStyle="1" w:styleId="PagrindiniotekstotraukaDiagrama">
    <w:name w:val="Pagrindinio teksto įtrauka Diagrama"/>
    <w:basedOn w:val="Numatytasispastraiposriftas"/>
    <w:link w:val="Pagrindiniotekstotrauka"/>
    <w:rsid w:val="000E5428"/>
    <w:rPr>
      <w:rFonts w:ascii="Times New Roman" w:eastAsia="Times New Roman" w:hAnsi="Times New Roman" w:cs="Times New Roman"/>
      <w:b/>
      <w:szCs w:val="20"/>
      <w:lang w:val="lt-LT" w:eastAsia="lt-LT"/>
    </w:rPr>
  </w:style>
  <w:style w:type="paragraph" w:customStyle="1" w:styleId="Text">
    <w:name w:val="Text"/>
    <w:basedOn w:val="prastasis"/>
    <w:rsid w:val="000E5428"/>
    <w:pPr>
      <w:spacing w:before="120"/>
      <w:jc w:val="both"/>
    </w:pPr>
    <w:rPr>
      <w:b/>
      <w:szCs w:val="20"/>
      <w:lang w:val="en-US"/>
    </w:rPr>
  </w:style>
  <w:style w:type="table" w:styleId="Lentelstinklelis">
    <w:name w:val="Table Grid"/>
    <w:basedOn w:val="prastojilentel"/>
    <w:rsid w:val="000E5428"/>
    <w:pPr>
      <w:tabs>
        <w:tab w:val="left" w:pos="567"/>
      </w:tabs>
      <w:spacing w:after="0" w:line="260" w:lineRule="exact"/>
    </w:pPr>
    <w:rPr>
      <w:rFonts w:ascii="Times New Roman" w:eastAsia="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prastasis"/>
    <w:rsid w:val="000E5428"/>
    <w:pPr>
      <w:spacing w:before="40" w:after="20"/>
      <w:ind w:left="425" w:hanging="425"/>
    </w:pPr>
    <w:rPr>
      <w:b/>
      <w:szCs w:val="20"/>
      <w:lang w:val="en-US"/>
    </w:rPr>
  </w:style>
  <w:style w:type="numbering" w:customStyle="1" w:styleId="NoList2">
    <w:name w:val="No List2"/>
    <w:next w:val="Sraonra"/>
    <w:semiHidden/>
    <w:rsid w:val="000E5428"/>
  </w:style>
  <w:style w:type="paragraph" w:customStyle="1" w:styleId="mdTblEntryMod">
    <w:name w:val="md_Tbl Entry/Mod"/>
    <w:basedOn w:val="prastasis"/>
    <w:rsid w:val="000E5428"/>
    <w:pPr>
      <w:keepNext/>
      <w:keepLines/>
      <w:spacing w:line="259" w:lineRule="atLeast"/>
    </w:pPr>
    <w:rPr>
      <w:b/>
      <w:sz w:val="20"/>
      <w:szCs w:val="20"/>
      <w:lang w:val="en-US"/>
    </w:rPr>
  </w:style>
  <w:style w:type="paragraph" w:styleId="Pagrindiniotekstotrauka3">
    <w:name w:val="Body Text Indent 3"/>
    <w:basedOn w:val="prastasis"/>
    <w:link w:val="Pagrindiniotekstotrauka3Diagrama"/>
    <w:rsid w:val="000E5428"/>
    <w:pPr>
      <w:spacing w:after="120"/>
      <w:ind w:left="283"/>
    </w:pPr>
    <w:rPr>
      <w:rFonts w:ascii="Arial" w:hAnsi="Arial"/>
      <w:b/>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0E5428"/>
    <w:rPr>
      <w:rFonts w:ascii="Arial" w:eastAsia="Times New Roman" w:hAnsi="Arial" w:cs="Times New Roman"/>
      <w:b/>
      <w:sz w:val="16"/>
      <w:szCs w:val="16"/>
      <w:lang w:val="en-GB" w:eastAsia="de-DE"/>
    </w:rPr>
  </w:style>
  <w:style w:type="paragraph" w:customStyle="1" w:styleId="Cmsor">
    <w:name w:val="Címsor"/>
    <w:basedOn w:val="prastasis"/>
    <w:next w:val="Pagrindinistekstas"/>
    <w:rsid w:val="000E5428"/>
    <w:pPr>
      <w:keepNext/>
      <w:suppressAutoHyphens/>
      <w:spacing w:before="240" w:after="120"/>
    </w:pPr>
    <w:rPr>
      <w:rFonts w:ascii="Albany" w:hAnsi="Albany" w:cs="Albany"/>
      <w:b/>
      <w:noProof/>
      <w:color w:val="000000"/>
      <w:sz w:val="28"/>
      <w:szCs w:val="28"/>
      <w:lang w:val="hu-HU" w:eastAsia="lt-LT"/>
    </w:rPr>
  </w:style>
  <w:style w:type="paragraph" w:customStyle="1" w:styleId="knZulassung02">
    <w:name w:val="knZulassung02"/>
    <w:basedOn w:val="prastasis"/>
    <w:rsid w:val="000E5428"/>
    <w:pPr>
      <w:spacing w:after="240"/>
      <w:ind w:left="1843" w:right="284"/>
      <w:jc w:val="both"/>
    </w:pPr>
    <w:rPr>
      <w:rFonts w:ascii="Arial" w:hAnsi="Arial"/>
      <w:b/>
      <w:szCs w:val="20"/>
      <w:lang w:val="de-DE" w:eastAsia="de-DE"/>
    </w:rPr>
  </w:style>
  <w:style w:type="paragraph" w:customStyle="1" w:styleId="Agendaindenteda">
    <w:name w:val="Agenda indented a)"/>
    <w:basedOn w:val="prastasis"/>
    <w:rsid w:val="000E5428"/>
    <w:pPr>
      <w:numPr>
        <w:numId w:val="4"/>
      </w:numPr>
    </w:pPr>
    <w:rPr>
      <w:b/>
      <w:sz w:val="20"/>
      <w:szCs w:val="20"/>
      <w:lang w:val="en-GB"/>
    </w:rPr>
  </w:style>
  <w:style w:type="paragraph" w:customStyle="1" w:styleId="Char">
    <w:name w:val="Char"/>
    <w:basedOn w:val="prastasis"/>
    <w:rsid w:val="000E5428"/>
    <w:pPr>
      <w:spacing w:after="160" w:line="240" w:lineRule="exact"/>
    </w:pPr>
    <w:rPr>
      <w:rFonts w:ascii="Verdana" w:hAnsi="Verdana" w:cs="Verdana"/>
      <w:b/>
      <w:sz w:val="20"/>
      <w:szCs w:val="20"/>
      <w:lang w:val="en-GB"/>
    </w:rPr>
  </w:style>
  <w:style w:type="paragraph" w:customStyle="1" w:styleId="Turinioantrat1">
    <w:name w:val="Turinio antraštė1"/>
    <w:basedOn w:val="prastasis"/>
    <w:qFormat/>
    <w:rsid w:val="000E5428"/>
    <w:pPr>
      <w:tabs>
        <w:tab w:val="left" w:pos="7649"/>
        <w:tab w:val="left" w:pos="7920"/>
      </w:tabs>
      <w:spacing w:after="240" w:line="359" w:lineRule="atLeast"/>
    </w:pPr>
    <w:rPr>
      <w:rFonts w:ascii="Times" w:hAnsi="Times"/>
      <w:sz w:val="22"/>
      <w:szCs w:val="20"/>
      <w:lang w:val="en-US"/>
    </w:rPr>
  </w:style>
  <w:style w:type="paragraph" w:customStyle="1" w:styleId="mdTblEntryC">
    <w:name w:val="md_Tbl Entry/C"/>
    <w:basedOn w:val="prastasis"/>
    <w:rsid w:val="000E5428"/>
    <w:pPr>
      <w:keepNext/>
      <w:keepLines/>
      <w:spacing w:line="259" w:lineRule="atLeast"/>
      <w:jc w:val="center"/>
    </w:pPr>
    <w:rPr>
      <w:b/>
      <w:sz w:val="20"/>
      <w:szCs w:val="20"/>
      <w:lang w:val="en-US"/>
    </w:rPr>
  </w:style>
  <w:style w:type="paragraph" w:customStyle="1" w:styleId="FigFootnote">
    <w:name w:val="Fig Footnote"/>
    <w:basedOn w:val="prastasis"/>
    <w:next w:val="prastasis"/>
    <w:rsid w:val="000E5428"/>
    <w:pPr>
      <w:keepNext/>
      <w:keepLines/>
      <w:spacing w:line="259" w:lineRule="atLeast"/>
      <w:ind w:left="2304"/>
    </w:pPr>
    <w:rPr>
      <w:b/>
      <w:sz w:val="20"/>
      <w:szCs w:val="20"/>
      <w:lang w:val="en-US"/>
    </w:rPr>
  </w:style>
  <w:style w:type="paragraph" w:customStyle="1" w:styleId="msolistparagraph0">
    <w:name w:val="msolistparagraph"/>
    <w:basedOn w:val="prastasis"/>
    <w:rsid w:val="000E5428"/>
    <w:pPr>
      <w:ind w:left="720"/>
    </w:pPr>
    <w:rPr>
      <w:rFonts w:ascii="Calibri" w:hAnsi="Calibri"/>
      <w:b/>
      <w:sz w:val="22"/>
      <w:szCs w:val="22"/>
      <w:lang w:val="en-US"/>
    </w:rPr>
  </w:style>
  <w:style w:type="paragraph" w:customStyle="1" w:styleId="CM6">
    <w:name w:val="CM6"/>
    <w:basedOn w:val="prastasis"/>
    <w:next w:val="prastasis"/>
    <w:rsid w:val="000E5428"/>
    <w:pPr>
      <w:widowControl w:val="0"/>
      <w:autoSpaceDE w:val="0"/>
      <w:autoSpaceDN w:val="0"/>
      <w:adjustRightInd w:val="0"/>
      <w:spacing w:line="253" w:lineRule="atLeast"/>
    </w:pPr>
    <w:rPr>
      <w:b/>
      <w:lang w:val="de-DE" w:eastAsia="de-DE"/>
    </w:rPr>
  </w:style>
  <w:style w:type="paragraph" w:customStyle="1" w:styleId="TextTi10">
    <w:name w:val="Text:Ti10"/>
    <w:basedOn w:val="prastasis"/>
    <w:rsid w:val="000E5428"/>
    <w:rPr>
      <w:b/>
      <w:sz w:val="22"/>
      <w:szCs w:val="20"/>
      <w:lang w:val="en-US"/>
    </w:rPr>
  </w:style>
  <w:style w:type="paragraph" w:customStyle="1" w:styleId="StyleTextTi12AsianMSMincho9ptBold">
    <w:name w:val="Style Text:Ti12 + (Asian) MS Mincho 9 pt Bold"/>
    <w:basedOn w:val="prastasis"/>
    <w:rsid w:val="000E5428"/>
    <w:pPr>
      <w:spacing w:line="280" w:lineRule="atLeast"/>
    </w:pPr>
    <w:rPr>
      <w:rFonts w:eastAsia="MS Mincho"/>
      <w:bCs/>
      <w:sz w:val="18"/>
      <w:lang w:val="en-US" w:eastAsia="de-DE"/>
    </w:rPr>
  </w:style>
  <w:style w:type="paragraph" w:customStyle="1" w:styleId="Annex">
    <w:name w:val="Annex"/>
    <w:basedOn w:val="prastasis"/>
    <w:next w:val="prastasis"/>
    <w:rsid w:val="000E5428"/>
    <w:pPr>
      <w:jc w:val="center"/>
    </w:pPr>
    <w:rPr>
      <w:sz w:val="22"/>
      <w:szCs w:val="20"/>
      <w:lang w:val="en-US" w:eastAsia="ja-JP"/>
    </w:rPr>
  </w:style>
  <w:style w:type="paragraph" w:customStyle="1" w:styleId="Description">
    <w:name w:val="Description"/>
    <w:basedOn w:val="prastasis"/>
    <w:next w:val="prastasis"/>
    <w:rsid w:val="000E5428"/>
    <w:rPr>
      <w:b/>
      <w:sz w:val="22"/>
      <w:szCs w:val="20"/>
      <w:lang w:val="en-US" w:eastAsia="ja-JP"/>
    </w:rPr>
  </w:style>
  <w:style w:type="paragraph" w:styleId="Turinioantrat">
    <w:name w:val="TOC Heading"/>
    <w:basedOn w:val="prastasis"/>
    <w:qFormat/>
    <w:rsid w:val="000E5428"/>
    <w:pPr>
      <w:tabs>
        <w:tab w:val="left" w:pos="7649"/>
        <w:tab w:val="left" w:pos="7920"/>
      </w:tabs>
      <w:spacing w:after="240" w:line="359" w:lineRule="atLeast"/>
    </w:pPr>
    <w:rPr>
      <w:rFonts w:ascii="Times" w:hAnsi="Times"/>
      <w:sz w:val="22"/>
      <w:szCs w:val="20"/>
      <w:lang w:val="en-US"/>
    </w:rPr>
  </w:style>
  <w:style w:type="table" w:customStyle="1" w:styleId="TableGrid1">
    <w:name w:val="Table Grid1"/>
    <w:basedOn w:val="prastojilentel"/>
    <w:next w:val="Lentelstinklelis"/>
    <w:rsid w:val="000E5428"/>
    <w:pPr>
      <w:spacing w:after="0" w:line="240" w:lineRule="auto"/>
    </w:pPr>
    <w:rPr>
      <w:rFonts w:ascii="Times New Roman" w:eastAsia="Times New Roman" w:hAnsi="Times New Roman" w:cs="Times New Roman"/>
      <w:b/>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rsid w:val="000E5428"/>
    <w:pPr>
      <w:tabs>
        <w:tab w:val="left" w:pos="567"/>
      </w:tabs>
    </w:pPr>
    <w:rPr>
      <w:b/>
      <w:sz w:val="22"/>
      <w:szCs w:val="20"/>
      <w:lang w:val="en-GB"/>
    </w:rPr>
  </w:style>
  <w:style w:type="character" w:customStyle="1" w:styleId="DokumentoinaostekstasDiagrama">
    <w:name w:val="Dokumento išnašos tekstas Diagrama"/>
    <w:basedOn w:val="Numatytasispastraiposriftas"/>
    <w:link w:val="Dokumentoinaostekstas"/>
    <w:rsid w:val="000E5428"/>
    <w:rPr>
      <w:rFonts w:ascii="Times New Roman" w:eastAsia="Times New Roman" w:hAnsi="Times New Roman" w:cs="Times New Roman"/>
      <w:b/>
      <w:szCs w:val="20"/>
      <w:lang w:val="en-GB"/>
    </w:rPr>
  </w:style>
  <w:style w:type="paragraph" w:styleId="Sraopastraipa">
    <w:name w:val="List Paragraph"/>
    <w:basedOn w:val="prastasis"/>
    <w:uiPriority w:val="34"/>
    <w:qFormat/>
    <w:rsid w:val="000E5428"/>
    <w:pPr>
      <w:spacing w:after="200" w:line="276" w:lineRule="auto"/>
      <w:ind w:left="720"/>
      <w:contextualSpacing/>
    </w:pPr>
    <w:rPr>
      <w:sz w:val="22"/>
      <w:szCs w:val="22"/>
    </w:rPr>
  </w:style>
  <w:style w:type="paragraph" w:customStyle="1" w:styleId="Bodycopy">
    <w:name w:val="Body copy"/>
    <w:basedOn w:val="Antrats"/>
    <w:rsid w:val="000E5428"/>
    <w:pPr>
      <w:widowControl/>
      <w:autoSpaceDE/>
      <w:autoSpaceDN/>
      <w:adjustRightInd/>
      <w:spacing w:after="100" w:afterAutospacing="1"/>
    </w:pPr>
    <w:rPr>
      <w:lang w:val="en-GB" w:eastAsia="en-US"/>
    </w:rPr>
  </w:style>
  <w:style w:type="paragraph" w:customStyle="1" w:styleId="Turinioantrat2">
    <w:name w:val="Turinio antraštė2"/>
    <w:basedOn w:val="prastasis"/>
    <w:qFormat/>
    <w:rsid w:val="000E5428"/>
    <w:pPr>
      <w:tabs>
        <w:tab w:val="left" w:pos="7649"/>
        <w:tab w:val="left" w:pos="7920"/>
      </w:tabs>
      <w:spacing w:after="240" w:line="359" w:lineRule="atLeast"/>
    </w:pPr>
    <w:rPr>
      <w:rFonts w:ascii="Times" w:hAnsi="Times"/>
      <w:b/>
      <w:sz w:val="22"/>
      <w:szCs w:val="20"/>
      <w:lang w:val="en-US"/>
    </w:rPr>
  </w:style>
  <w:style w:type="paragraph" w:styleId="Pataisymai">
    <w:name w:val="Revision"/>
    <w:hidden/>
    <w:uiPriority w:val="99"/>
    <w:semiHidden/>
    <w:rsid w:val="000E5428"/>
    <w:pPr>
      <w:spacing w:after="0" w:line="240" w:lineRule="auto"/>
    </w:pPr>
    <w:rPr>
      <w:rFonts w:ascii="Times New Roman" w:eastAsia="Times New Roman" w:hAnsi="Times New Roman" w:cs="Times New Roman"/>
      <w:sz w:val="24"/>
      <w:szCs w:val="24"/>
      <w:lang w:val="lt-LT"/>
    </w:rPr>
  </w:style>
  <w:style w:type="paragraph" w:customStyle="1" w:styleId="CharChar">
    <w:name w:val="Char Char"/>
    <w:basedOn w:val="prastasis"/>
    <w:next w:val="prastasis"/>
    <w:rsid w:val="000E5428"/>
    <w:pPr>
      <w:spacing w:after="160"/>
      <w:jc w:val="both"/>
    </w:pPr>
    <w:rPr>
      <w:szCs w:val="20"/>
      <w:lang w:val="en-GB"/>
    </w:rPr>
  </w:style>
  <w:style w:type="numbering" w:customStyle="1" w:styleId="Sraonra2">
    <w:name w:val="Sąrašo nėra2"/>
    <w:next w:val="Sraonra"/>
    <w:uiPriority w:val="99"/>
    <w:semiHidden/>
    <w:unhideWhenUsed/>
    <w:rsid w:val="000E5428"/>
  </w:style>
  <w:style w:type="paragraph" w:customStyle="1" w:styleId="BullHead">
    <w:name w:val="Bull Head"/>
    <w:basedOn w:val="prastasis"/>
    <w:autoRedefine/>
    <w:rsid w:val="000E5428"/>
    <w:pPr>
      <w:numPr>
        <w:numId w:val="21"/>
      </w:numPr>
      <w:shd w:val="clear" w:color="000000" w:fill="FFFFFF"/>
      <w:tabs>
        <w:tab w:val="clear" w:pos="504"/>
        <w:tab w:val="left" w:pos="562"/>
      </w:tabs>
      <w:spacing w:after="240"/>
      <w:ind w:left="562" w:hanging="562"/>
    </w:pPr>
    <w:rPr>
      <w:b/>
      <w:bCs/>
      <w:color w:val="000000"/>
      <w:lang w:val="en-GB"/>
    </w:rPr>
  </w:style>
  <w:style w:type="paragraph" w:customStyle="1" w:styleId="Postspace">
    <w:name w:val="Postspace"/>
    <w:basedOn w:val="prastasis"/>
    <w:autoRedefine/>
    <w:rsid w:val="000E5428"/>
    <w:pPr>
      <w:spacing w:after="220"/>
    </w:pPr>
    <w:rPr>
      <w:lang w:val="en-GB"/>
    </w:rPr>
  </w:style>
  <w:style w:type="paragraph" w:customStyle="1" w:styleId="listdash">
    <w:name w:val="list:dash"/>
    <w:basedOn w:val="prastasis"/>
    <w:rsid w:val="000E5428"/>
    <w:pPr>
      <w:numPr>
        <w:numId w:val="22"/>
      </w:numPr>
      <w:spacing w:after="240"/>
    </w:pPr>
    <w:rPr>
      <w:lang w:val="en-GB"/>
    </w:rPr>
  </w:style>
  <w:style w:type="paragraph" w:customStyle="1" w:styleId="TableCell">
    <w:name w:val="TableCell"/>
    <w:basedOn w:val="prastasis"/>
    <w:rsid w:val="000E5428"/>
    <w:rPr>
      <w:lang w:val="en-GB"/>
    </w:rPr>
  </w:style>
  <w:style w:type="character" w:customStyle="1" w:styleId="CSIchar">
    <w:name w:val="CSIchar"/>
    <w:rsid w:val="000E5428"/>
    <w:rPr>
      <w:bdr w:val="none" w:sz="0" w:space="0" w:color="auto"/>
      <w:shd w:val="clear" w:color="auto" w:fill="CCCCCC"/>
    </w:rPr>
  </w:style>
  <w:style w:type="table" w:customStyle="1" w:styleId="Lentelstinklelis1">
    <w:name w:val="Lentelės tinklelis1"/>
    <w:basedOn w:val="prastojilentel"/>
    <w:next w:val="Lentelstinklelis"/>
    <w:rsid w:val="000E542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qFormat/>
    <w:rsid w:val="000E5428"/>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0E5428"/>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0E5428"/>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0E5428"/>
    <w:pPr>
      <w:keepNext/>
      <w:spacing w:before="240" w:after="60"/>
      <w:outlineLvl w:val="2"/>
    </w:pPr>
    <w:rPr>
      <w:rFonts w:ascii="Arial" w:hAnsi="Arial"/>
      <w:b/>
      <w:bCs/>
      <w:sz w:val="26"/>
      <w:szCs w:val="26"/>
      <w:lang w:val="x-none" w:eastAsia="x-none"/>
    </w:rPr>
  </w:style>
  <w:style w:type="paragraph" w:styleId="Antrat4">
    <w:name w:val="heading 4"/>
    <w:basedOn w:val="prastasis"/>
    <w:next w:val="prastasis"/>
    <w:link w:val="Antrat4Diagrama"/>
    <w:qFormat/>
    <w:rsid w:val="000E5428"/>
    <w:pPr>
      <w:keepNext/>
      <w:jc w:val="both"/>
      <w:outlineLvl w:val="3"/>
    </w:pPr>
    <w:rPr>
      <w:sz w:val="20"/>
      <w:szCs w:val="20"/>
      <w:u w:val="single"/>
      <w:lang w:val="x-none" w:eastAsia="lt-LT"/>
    </w:rPr>
  </w:style>
  <w:style w:type="paragraph" w:styleId="Antrat5">
    <w:name w:val="heading 5"/>
    <w:basedOn w:val="prastasis"/>
    <w:next w:val="prastasis"/>
    <w:link w:val="Antrat5Diagrama"/>
    <w:qFormat/>
    <w:rsid w:val="000E5428"/>
    <w:pPr>
      <w:spacing w:before="240" w:after="60"/>
      <w:outlineLvl w:val="4"/>
    </w:pPr>
    <w:rPr>
      <w:b/>
      <w:bCs/>
      <w:i/>
      <w:iCs/>
      <w:sz w:val="26"/>
      <w:szCs w:val="26"/>
      <w:lang w:val="x-none" w:eastAsia="lt-LT"/>
    </w:rPr>
  </w:style>
  <w:style w:type="paragraph" w:styleId="Antrat6">
    <w:name w:val="heading 6"/>
    <w:basedOn w:val="prastasis"/>
    <w:next w:val="prastasis"/>
    <w:link w:val="Antrat6Diagrama"/>
    <w:qFormat/>
    <w:rsid w:val="000E5428"/>
    <w:pPr>
      <w:spacing w:before="240" w:after="60"/>
      <w:outlineLvl w:val="5"/>
    </w:pPr>
    <w:rPr>
      <w:b/>
      <w:bCs/>
      <w:sz w:val="20"/>
      <w:szCs w:val="20"/>
      <w:lang w:val="x-none" w:eastAsia="lt-LT"/>
    </w:rPr>
  </w:style>
  <w:style w:type="paragraph" w:styleId="Antrat7">
    <w:name w:val="heading 7"/>
    <w:basedOn w:val="prastasis"/>
    <w:next w:val="prastasis"/>
    <w:link w:val="Antrat7Diagrama"/>
    <w:qFormat/>
    <w:rsid w:val="000E5428"/>
    <w:pPr>
      <w:keepNext/>
      <w:outlineLvl w:val="6"/>
    </w:pPr>
    <w:rPr>
      <w:b/>
      <w:i/>
      <w:iCs/>
      <w:sz w:val="22"/>
      <w:szCs w:val="20"/>
    </w:rPr>
  </w:style>
  <w:style w:type="paragraph" w:styleId="Antrat8">
    <w:name w:val="heading 8"/>
    <w:basedOn w:val="prastasis"/>
    <w:next w:val="prastasis"/>
    <w:link w:val="Antrat8Diagrama"/>
    <w:qFormat/>
    <w:rsid w:val="000E5428"/>
    <w:pPr>
      <w:keepNext/>
      <w:outlineLvl w:val="7"/>
    </w:pPr>
    <w:rPr>
      <w:bCs/>
      <w:sz w:val="22"/>
      <w:szCs w:val="20"/>
    </w:rPr>
  </w:style>
  <w:style w:type="paragraph" w:styleId="Antrat9">
    <w:name w:val="heading 9"/>
    <w:basedOn w:val="prastasis"/>
    <w:next w:val="prastasis"/>
    <w:link w:val="Antrat9Diagrama"/>
    <w:qFormat/>
    <w:rsid w:val="000E5428"/>
    <w:pPr>
      <w:spacing w:before="240" w:after="60"/>
      <w:outlineLvl w:val="8"/>
    </w:pPr>
    <w:rPr>
      <w:rFonts w:ascii="Arial" w:hAnsi="Arial" w:cs="Arial"/>
      <w:b/>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5428"/>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0E5428"/>
    <w:rPr>
      <w:rFonts w:ascii="Arial" w:eastAsia="Times New Roman" w:hAnsi="Arial" w:cs="Times New Roman"/>
      <w:b/>
      <w:bCs/>
      <w:i/>
      <w:iCs/>
      <w:sz w:val="28"/>
      <w:szCs w:val="28"/>
      <w:lang w:val="x-none" w:eastAsia="x-none"/>
    </w:rPr>
  </w:style>
  <w:style w:type="character" w:customStyle="1" w:styleId="Antrat3Diagrama">
    <w:name w:val="Antraštė 3 Diagrama"/>
    <w:basedOn w:val="Numatytasispastraiposriftas"/>
    <w:link w:val="Antrat3"/>
    <w:rsid w:val="000E5428"/>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rsid w:val="000E5428"/>
    <w:rPr>
      <w:rFonts w:ascii="Times New Roman" w:eastAsia="Times New Roman" w:hAnsi="Times New Roman" w:cs="Times New Roman"/>
      <w:sz w:val="20"/>
      <w:szCs w:val="20"/>
      <w:u w:val="single"/>
      <w:lang w:val="x-none" w:eastAsia="lt-LT"/>
    </w:rPr>
  </w:style>
  <w:style w:type="character" w:customStyle="1" w:styleId="Antrat5Diagrama">
    <w:name w:val="Antraštė 5 Diagrama"/>
    <w:basedOn w:val="Numatytasispastraiposriftas"/>
    <w:link w:val="Antrat5"/>
    <w:rsid w:val="000E5428"/>
    <w:rPr>
      <w:rFonts w:ascii="Times New Roman" w:eastAsia="Times New Roman" w:hAnsi="Times New Roman" w:cs="Times New Roman"/>
      <w:b/>
      <w:bCs/>
      <w:i/>
      <w:iCs/>
      <w:sz w:val="26"/>
      <w:szCs w:val="26"/>
      <w:lang w:val="x-none" w:eastAsia="lt-LT"/>
    </w:rPr>
  </w:style>
  <w:style w:type="character" w:customStyle="1" w:styleId="Antrat6Diagrama">
    <w:name w:val="Antraštė 6 Diagrama"/>
    <w:basedOn w:val="Numatytasispastraiposriftas"/>
    <w:link w:val="Antrat6"/>
    <w:rsid w:val="000E5428"/>
    <w:rPr>
      <w:rFonts w:ascii="Times New Roman" w:eastAsia="Times New Roman" w:hAnsi="Times New Roman" w:cs="Times New Roman"/>
      <w:b/>
      <w:bCs/>
      <w:sz w:val="20"/>
      <w:szCs w:val="20"/>
      <w:lang w:val="x-none" w:eastAsia="lt-LT"/>
    </w:rPr>
  </w:style>
  <w:style w:type="character" w:customStyle="1" w:styleId="Antrat7Diagrama">
    <w:name w:val="Antraštė 7 Diagrama"/>
    <w:basedOn w:val="Numatytasispastraiposriftas"/>
    <w:link w:val="Antrat7"/>
    <w:rsid w:val="000E5428"/>
    <w:rPr>
      <w:rFonts w:ascii="Times New Roman" w:eastAsia="Times New Roman" w:hAnsi="Times New Roman" w:cs="Times New Roman"/>
      <w:b/>
      <w:i/>
      <w:iCs/>
      <w:szCs w:val="20"/>
      <w:lang w:val="lt-LT"/>
    </w:rPr>
  </w:style>
  <w:style w:type="character" w:customStyle="1" w:styleId="Antrat8Diagrama">
    <w:name w:val="Antraštė 8 Diagrama"/>
    <w:basedOn w:val="Numatytasispastraiposriftas"/>
    <w:link w:val="Antrat8"/>
    <w:rsid w:val="000E5428"/>
    <w:rPr>
      <w:rFonts w:ascii="Times New Roman" w:eastAsia="Times New Roman" w:hAnsi="Times New Roman" w:cs="Times New Roman"/>
      <w:bCs/>
      <w:szCs w:val="20"/>
      <w:lang w:val="lt-LT"/>
    </w:rPr>
  </w:style>
  <w:style w:type="character" w:customStyle="1" w:styleId="Antrat9Diagrama">
    <w:name w:val="Antraštė 9 Diagrama"/>
    <w:basedOn w:val="Numatytasispastraiposriftas"/>
    <w:link w:val="Antrat9"/>
    <w:rsid w:val="000E5428"/>
    <w:rPr>
      <w:rFonts w:ascii="Arial" w:eastAsia="Times New Roman" w:hAnsi="Arial" w:cs="Arial"/>
      <w:b/>
      <w:lang w:val="lt-LT" w:eastAsia="lt-LT"/>
    </w:rPr>
  </w:style>
  <w:style w:type="character" w:styleId="Hipersaitas">
    <w:name w:val="Hyperlink"/>
    <w:uiPriority w:val="99"/>
    <w:rsid w:val="000E5428"/>
    <w:rPr>
      <w:color w:val="0000FF"/>
      <w:u w:val="single"/>
    </w:rPr>
  </w:style>
  <w:style w:type="paragraph" w:customStyle="1" w:styleId="PI-1EMEASMCA">
    <w:name w:val="PI-1 EMEA_SMCA"/>
    <w:basedOn w:val="Antrat2"/>
    <w:link w:val="PI-1EMEASMCAChar"/>
    <w:autoRedefine/>
    <w:rsid w:val="000E5428"/>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0E5428"/>
    <w:rPr>
      <w:rFonts w:ascii="Times New Roman" w:eastAsia="Times New Roman" w:hAnsi="Times New Roman" w:cs="Times New Roman"/>
      <w:b/>
      <w:lang w:val="x-none" w:eastAsia="x-none"/>
    </w:rPr>
  </w:style>
  <w:style w:type="paragraph" w:customStyle="1" w:styleId="PI-1labEMEASMCA">
    <w:name w:val="PI-1_lab EMEA_SMCA"/>
    <w:basedOn w:val="prastasis"/>
    <w:link w:val="PI-1labEMEASMCAChar"/>
    <w:autoRedefine/>
    <w:rsid w:val="000E5428"/>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0E5428"/>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0E5428"/>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0E5428"/>
    <w:rPr>
      <w:lang w:val="x-none" w:eastAsia="x-none"/>
    </w:rPr>
  </w:style>
  <w:style w:type="character" w:customStyle="1" w:styleId="BTEMEASMCAChar">
    <w:name w:val="BT EMEA_SMCA Char"/>
    <w:link w:val="BTEMEASMCA"/>
    <w:rsid w:val="000E5428"/>
    <w:rPr>
      <w:rFonts w:ascii="Times New Roman" w:eastAsia="Times New Roman" w:hAnsi="Times New Roman" w:cs="Times New Roman"/>
      <w:sz w:val="24"/>
      <w:szCs w:val="24"/>
      <w:lang w:val="x-none" w:eastAsia="x-none"/>
    </w:rPr>
  </w:style>
  <w:style w:type="paragraph" w:customStyle="1" w:styleId="TTEMEASMCA">
    <w:name w:val="TT EMEA_SMCA"/>
    <w:basedOn w:val="Antrat1"/>
    <w:link w:val="TTEMEASMCAChar"/>
    <w:autoRedefine/>
    <w:rsid w:val="000E5428"/>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0E5428"/>
    <w:rPr>
      <w:rFonts w:ascii="Times New Roman" w:eastAsia="Times New Roman" w:hAnsi="Times New Roman" w:cs="Times New Roman"/>
      <w:b/>
      <w:caps/>
      <w:sz w:val="20"/>
      <w:szCs w:val="20"/>
      <w:lang w:eastAsia="x-none"/>
    </w:rPr>
  </w:style>
  <w:style w:type="paragraph" w:customStyle="1" w:styleId="BTAnIIEMEASMCA">
    <w:name w:val="BT(AnII) EMEA_SMCA"/>
    <w:basedOn w:val="Debesliotekstas"/>
    <w:autoRedefine/>
    <w:rsid w:val="000E5428"/>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0E5428"/>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0E5428"/>
    <w:rPr>
      <w:rFonts w:ascii="Tahoma" w:eastAsia="Times New Roman" w:hAnsi="Tahoma" w:cs="Times New Roman"/>
      <w:sz w:val="16"/>
      <w:szCs w:val="16"/>
      <w:lang w:val="x-none" w:eastAsia="x-none"/>
    </w:rPr>
  </w:style>
  <w:style w:type="paragraph" w:customStyle="1" w:styleId="BT-EMEASMCA">
    <w:name w:val="BT- EMEA_SMCA"/>
    <w:basedOn w:val="BTEMEASMCA"/>
    <w:autoRedefine/>
    <w:rsid w:val="000E5428"/>
    <w:pPr>
      <w:numPr>
        <w:numId w:val="1"/>
      </w:numPr>
      <w:tabs>
        <w:tab w:val="clear" w:pos="720"/>
        <w:tab w:val="num" w:pos="540"/>
      </w:tabs>
      <w:ind w:left="540" w:hanging="540"/>
    </w:pPr>
    <w:rPr>
      <w:iCs/>
      <w:sz w:val="22"/>
      <w:szCs w:val="22"/>
    </w:rPr>
  </w:style>
  <w:style w:type="paragraph" w:customStyle="1" w:styleId="PI-3EMEASMCA">
    <w:name w:val="PI-3 EMEA_SMCA"/>
    <w:basedOn w:val="prastasis"/>
    <w:autoRedefine/>
    <w:rsid w:val="000E5428"/>
    <w:pPr>
      <w:spacing w:line="220" w:lineRule="exact"/>
    </w:pPr>
    <w:rPr>
      <w:b/>
      <w:bCs/>
      <w:sz w:val="22"/>
      <w:szCs w:val="22"/>
    </w:rPr>
  </w:style>
  <w:style w:type="paragraph" w:customStyle="1" w:styleId="BTbEMEASMCA">
    <w:name w:val="BT(b) EMEA_SMCA"/>
    <w:basedOn w:val="BTEMEASMCA"/>
    <w:autoRedefine/>
    <w:rsid w:val="000E5428"/>
    <w:rPr>
      <w:b/>
    </w:rPr>
  </w:style>
  <w:style w:type="paragraph" w:customStyle="1" w:styleId="BTbeEMEASMCA">
    <w:name w:val="BT(be) EMEA_SMCA"/>
    <w:basedOn w:val="BTEMEASMCA"/>
    <w:autoRedefine/>
    <w:rsid w:val="000E5428"/>
    <w:pPr>
      <w:jc w:val="center"/>
    </w:pPr>
    <w:rPr>
      <w:b/>
    </w:rPr>
  </w:style>
  <w:style w:type="paragraph" w:customStyle="1" w:styleId="BTeEMEASMCA">
    <w:name w:val="BT(e) EMEA_SMCA"/>
    <w:basedOn w:val="BTEMEASMCA"/>
    <w:autoRedefine/>
    <w:rsid w:val="000E5428"/>
    <w:pPr>
      <w:jc w:val="center"/>
    </w:pPr>
  </w:style>
  <w:style w:type="paragraph" w:customStyle="1" w:styleId="BTgEMEASMCA">
    <w:name w:val="BT(g) EMEA_SMCA"/>
    <w:basedOn w:val="BTEMEASMCA"/>
    <w:link w:val="BTgEMEASMCAChar"/>
    <w:autoRedefine/>
    <w:rsid w:val="000E5428"/>
    <w:rPr>
      <w:i/>
      <w:color w:val="008000"/>
    </w:rPr>
  </w:style>
  <w:style w:type="character" w:customStyle="1" w:styleId="BTgEMEASMCAChar">
    <w:name w:val="BT(g) EMEA_SMCA Char"/>
    <w:link w:val="BTgEMEASMCA"/>
    <w:rsid w:val="000E5428"/>
    <w:rPr>
      <w:rFonts w:ascii="Times New Roman" w:eastAsia="Times New Roman" w:hAnsi="Times New Roman" w:cs="Times New Roman"/>
      <w:i/>
      <w:color w:val="008000"/>
      <w:sz w:val="24"/>
      <w:szCs w:val="24"/>
      <w:lang w:val="x-none" w:eastAsia="x-none"/>
    </w:rPr>
  </w:style>
  <w:style w:type="paragraph" w:customStyle="1" w:styleId="BTuEMEASMCA">
    <w:name w:val="BT(u) EMEA_SMCA"/>
    <w:basedOn w:val="BTEMEASMCA"/>
    <w:autoRedefine/>
    <w:rsid w:val="000E5428"/>
    <w:rPr>
      <w:u w:val="single"/>
    </w:rPr>
  </w:style>
  <w:style w:type="paragraph" w:styleId="Dokumentostruktra">
    <w:name w:val="Document Map"/>
    <w:basedOn w:val="prastasis"/>
    <w:link w:val="DokumentostruktraDiagrama"/>
    <w:semiHidden/>
    <w:rsid w:val="000E5428"/>
    <w:pPr>
      <w:shd w:val="clear" w:color="auto" w:fill="000080"/>
    </w:pPr>
    <w:rPr>
      <w:rFonts w:ascii="Tahoma" w:hAnsi="Tahoma"/>
      <w:sz w:val="20"/>
      <w:szCs w:val="20"/>
      <w:lang w:val="x-none" w:eastAsia="x-none"/>
    </w:rPr>
  </w:style>
  <w:style w:type="character" w:customStyle="1" w:styleId="DokumentostruktraDiagrama">
    <w:name w:val="Dokumento struktūra Diagrama"/>
    <w:basedOn w:val="Numatytasispastraiposriftas"/>
    <w:link w:val="Dokumentostruktra"/>
    <w:semiHidden/>
    <w:rsid w:val="000E5428"/>
    <w:rPr>
      <w:rFonts w:ascii="Tahoma" w:eastAsia="Times New Roman" w:hAnsi="Tahoma" w:cs="Times New Roman"/>
      <w:sz w:val="20"/>
      <w:szCs w:val="20"/>
      <w:shd w:val="clear" w:color="auto" w:fill="000080"/>
      <w:lang w:val="x-none" w:eastAsia="x-none"/>
    </w:rPr>
  </w:style>
  <w:style w:type="paragraph" w:styleId="Pagrindinistekstas">
    <w:name w:val="Body Text"/>
    <w:basedOn w:val="prastasis"/>
    <w:link w:val="PagrindinistekstasDiagrama"/>
    <w:rsid w:val="000E5428"/>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rsid w:val="000E5428"/>
    <w:rPr>
      <w:rFonts w:ascii="Times New Roman" w:eastAsia="Times New Roman" w:hAnsi="Times New Roman" w:cs="Times New Roman"/>
      <w:sz w:val="20"/>
      <w:szCs w:val="20"/>
      <w:lang w:val="x-none" w:eastAsia="lt-LT"/>
    </w:rPr>
  </w:style>
  <w:style w:type="paragraph" w:styleId="Pagrindinistekstas3">
    <w:name w:val="Body Text 3"/>
    <w:basedOn w:val="prastasis"/>
    <w:link w:val="Pagrindinistekstas3Diagrama"/>
    <w:rsid w:val="000E5428"/>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0E5428"/>
    <w:rPr>
      <w:rFonts w:ascii="Times New Roman" w:eastAsia="Times New Roman" w:hAnsi="Times New Roman" w:cs="Times New Roman"/>
      <w:sz w:val="16"/>
      <w:szCs w:val="16"/>
      <w:lang w:val="x-none" w:eastAsia="x-none"/>
    </w:rPr>
  </w:style>
  <w:style w:type="paragraph" w:customStyle="1" w:styleId="Default">
    <w:name w:val="Default"/>
    <w:rsid w:val="000E542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orat">
    <w:name w:val="footer"/>
    <w:basedOn w:val="prastasis"/>
    <w:link w:val="PoratDiagrama"/>
    <w:rsid w:val="000E5428"/>
    <w:pPr>
      <w:tabs>
        <w:tab w:val="center" w:pos="4153"/>
        <w:tab w:val="right" w:pos="8306"/>
      </w:tabs>
    </w:pPr>
    <w:rPr>
      <w:sz w:val="20"/>
      <w:szCs w:val="20"/>
      <w:lang w:val="x-none" w:eastAsia="lt-LT"/>
    </w:rPr>
  </w:style>
  <w:style w:type="character" w:customStyle="1" w:styleId="PoratDiagrama">
    <w:name w:val="Poraštė Diagrama"/>
    <w:basedOn w:val="Numatytasispastraiposriftas"/>
    <w:link w:val="Porat"/>
    <w:rsid w:val="000E5428"/>
    <w:rPr>
      <w:rFonts w:ascii="Times New Roman" w:eastAsia="Times New Roman" w:hAnsi="Times New Roman" w:cs="Times New Roman"/>
      <w:sz w:val="20"/>
      <w:szCs w:val="20"/>
      <w:lang w:val="x-none" w:eastAsia="lt-LT"/>
    </w:rPr>
  </w:style>
  <w:style w:type="paragraph" w:styleId="Pagrindinistekstas2">
    <w:name w:val="Body Text 2"/>
    <w:basedOn w:val="prastasis"/>
    <w:link w:val="Pagrindinistekstas2Diagrama"/>
    <w:rsid w:val="000E5428"/>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0E5428"/>
    <w:rPr>
      <w:rFonts w:ascii="Times New Roman" w:eastAsia="Times New Roman" w:hAnsi="Times New Roman" w:cs="Times New Roman"/>
      <w:sz w:val="24"/>
      <w:szCs w:val="24"/>
      <w:lang w:val="x-none" w:eastAsia="x-none"/>
    </w:rPr>
  </w:style>
  <w:style w:type="paragraph" w:styleId="Antrats">
    <w:name w:val="header"/>
    <w:basedOn w:val="Default"/>
    <w:next w:val="Default"/>
    <w:link w:val="AntratsDiagrama"/>
    <w:rsid w:val="000E5428"/>
    <w:rPr>
      <w:color w:val="auto"/>
      <w:lang w:val="x-none"/>
    </w:rPr>
  </w:style>
  <w:style w:type="character" w:customStyle="1" w:styleId="AntratsDiagrama">
    <w:name w:val="Antraštės Diagrama"/>
    <w:basedOn w:val="Numatytasispastraiposriftas"/>
    <w:link w:val="Antrats"/>
    <w:rsid w:val="000E5428"/>
    <w:rPr>
      <w:rFonts w:ascii="Times New Roman" w:eastAsia="Times New Roman" w:hAnsi="Times New Roman" w:cs="Times New Roman"/>
      <w:sz w:val="24"/>
      <w:szCs w:val="24"/>
      <w:lang w:val="x-none" w:eastAsia="lt-LT"/>
    </w:rPr>
  </w:style>
  <w:style w:type="character" w:styleId="Puslapionumeris">
    <w:name w:val="page number"/>
    <w:rsid w:val="000E5428"/>
  </w:style>
  <w:style w:type="paragraph" w:styleId="Komentarotekstas">
    <w:name w:val="annotation text"/>
    <w:basedOn w:val="prastasis"/>
    <w:link w:val="KomentarotekstasDiagrama"/>
    <w:rsid w:val="000E5428"/>
    <w:rPr>
      <w:sz w:val="20"/>
      <w:szCs w:val="20"/>
      <w:lang w:val="x-none" w:eastAsia="x-none"/>
    </w:rPr>
  </w:style>
  <w:style w:type="character" w:customStyle="1" w:styleId="KomentarotekstasDiagrama">
    <w:name w:val="Komentaro tekstas Diagrama"/>
    <w:basedOn w:val="Numatytasispastraiposriftas"/>
    <w:link w:val="Komentarotekstas"/>
    <w:rsid w:val="000E5428"/>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rsid w:val="000E5428"/>
    <w:rPr>
      <w:b/>
      <w:bCs/>
    </w:rPr>
  </w:style>
  <w:style w:type="character" w:customStyle="1" w:styleId="KomentarotemaDiagrama">
    <w:name w:val="Komentaro tema Diagrama"/>
    <w:basedOn w:val="KomentarotekstasDiagrama"/>
    <w:link w:val="Komentarotema"/>
    <w:rsid w:val="000E5428"/>
    <w:rPr>
      <w:rFonts w:ascii="Times New Roman" w:eastAsia="Times New Roman" w:hAnsi="Times New Roman" w:cs="Times New Roman"/>
      <w:b/>
      <w:bCs/>
      <w:sz w:val="20"/>
      <w:szCs w:val="20"/>
      <w:lang w:val="x-none" w:eastAsia="x-none"/>
    </w:rPr>
  </w:style>
  <w:style w:type="paragraph" w:customStyle="1" w:styleId="prastasiniatinklio">
    <w:name w:val="Įprastas (žiniatinklio)"/>
    <w:basedOn w:val="prastasis"/>
    <w:unhideWhenUsed/>
    <w:rsid w:val="000E5428"/>
    <w:pPr>
      <w:spacing w:before="100" w:beforeAutospacing="1" w:after="75"/>
    </w:pPr>
    <w:rPr>
      <w:color w:val="000000"/>
      <w:lang w:val="en-US"/>
    </w:rPr>
  </w:style>
  <w:style w:type="paragraph" w:styleId="Pavadinimas">
    <w:name w:val="Title"/>
    <w:basedOn w:val="Default"/>
    <w:next w:val="Default"/>
    <w:link w:val="PavadinimasDiagrama"/>
    <w:qFormat/>
    <w:rsid w:val="000E5428"/>
    <w:rPr>
      <w:color w:val="auto"/>
      <w:lang w:val="x-none"/>
    </w:rPr>
  </w:style>
  <w:style w:type="character" w:customStyle="1" w:styleId="PavadinimasDiagrama">
    <w:name w:val="Pavadinimas Diagrama"/>
    <w:basedOn w:val="Numatytasispastraiposriftas"/>
    <w:link w:val="Pavadinimas"/>
    <w:rsid w:val="000E5428"/>
    <w:rPr>
      <w:rFonts w:ascii="Times New Roman" w:eastAsia="Times New Roman" w:hAnsi="Times New Roman" w:cs="Times New Roman"/>
      <w:sz w:val="24"/>
      <w:szCs w:val="24"/>
      <w:lang w:val="x-none" w:eastAsia="lt-LT"/>
    </w:rPr>
  </w:style>
  <w:style w:type="character" w:customStyle="1" w:styleId="CharChar1">
    <w:name w:val="Char Char1"/>
    <w:rsid w:val="000E5428"/>
    <w:rPr>
      <w:sz w:val="22"/>
      <w:lang w:val="lt-LT" w:eastAsia="lt-LT" w:bidi="ar-SA"/>
    </w:rPr>
  </w:style>
  <w:style w:type="numbering" w:customStyle="1" w:styleId="Sraonra1">
    <w:name w:val="Sąrašo nėra1"/>
    <w:next w:val="Sraonra"/>
    <w:uiPriority w:val="99"/>
    <w:semiHidden/>
    <w:unhideWhenUsed/>
    <w:rsid w:val="000E5428"/>
  </w:style>
  <w:style w:type="numbering" w:customStyle="1" w:styleId="NoList1">
    <w:name w:val="No List1"/>
    <w:next w:val="Sraonra"/>
    <w:semiHidden/>
    <w:rsid w:val="000E5428"/>
  </w:style>
  <w:style w:type="paragraph" w:styleId="Puslapioinaostekstas">
    <w:name w:val="footnote text"/>
    <w:basedOn w:val="prastasis"/>
    <w:next w:val="prastasis"/>
    <w:link w:val="PuslapioinaostekstasDiagrama"/>
    <w:rsid w:val="000E5428"/>
    <w:rPr>
      <w:rFonts w:ascii="TimesLT" w:hAnsi="TimesLT"/>
      <w:b/>
      <w:sz w:val="20"/>
      <w:szCs w:val="20"/>
      <w:lang w:val="en-GB" w:eastAsia="lt-LT"/>
    </w:rPr>
  </w:style>
  <w:style w:type="character" w:customStyle="1" w:styleId="PuslapioinaostekstasDiagrama">
    <w:name w:val="Puslapio išnašos tekstas Diagrama"/>
    <w:basedOn w:val="Numatytasispastraiposriftas"/>
    <w:link w:val="Puslapioinaostekstas"/>
    <w:rsid w:val="000E5428"/>
    <w:rPr>
      <w:rFonts w:ascii="TimesLT" w:eastAsia="Times New Roman" w:hAnsi="TimesLT" w:cs="Times New Roman"/>
      <w:b/>
      <w:sz w:val="20"/>
      <w:szCs w:val="20"/>
      <w:lang w:val="en-GB" w:eastAsia="lt-LT"/>
    </w:rPr>
  </w:style>
  <w:style w:type="character" w:customStyle="1" w:styleId="TTEMEASMCADiagrama">
    <w:name w:val="TT EMEA_SMCA Diagrama"/>
    <w:rsid w:val="000E5428"/>
    <w:rPr>
      <w:rFonts w:ascii="Times New Roman" w:hAnsi="Times New Roman"/>
      <w:caps/>
    </w:rPr>
  </w:style>
  <w:style w:type="character" w:customStyle="1" w:styleId="BTEMEASMCADiagrama">
    <w:name w:val="BT EMEA_SMCA Diagrama"/>
    <w:rsid w:val="000E5428"/>
    <w:rPr>
      <w:rFonts w:ascii="Times New Roman" w:hAnsi="Times New Roman"/>
      <w:b/>
      <w:noProof/>
      <w:lang w:val="lt-LT"/>
    </w:rPr>
  </w:style>
  <w:style w:type="paragraph" w:customStyle="1" w:styleId="EMEABodyText">
    <w:name w:val="EMEA Body Text"/>
    <w:basedOn w:val="prastasis"/>
    <w:link w:val="EMEABodyTextChar"/>
    <w:rsid w:val="000E5428"/>
    <w:rPr>
      <w:b/>
      <w:sz w:val="22"/>
      <w:szCs w:val="20"/>
      <w:lang w:val="en-GB"/>
    </w:rPr>
  </w:style>
  <w:style w:type="character" w:customStyle="1" w:styleId="EMEABodyTextChar">
    <w:name w:val="EMEA Body Text Char"/>
    <w:link w:val="EMEABodyText"/>
    <w:rsid w:val="000E5428"/>
    <w:rPr>
      <w:rFonts w:ascii="Times New Roman" w:eastAsia="Times New Roman" w:hAnsi="Times New Roman" w:cs="Times New Roman"/>
      <w:b/>
      <w:szCs w:val="20"/>
      <w:lang w:val="en-GB"/>
    </w:rPr>
  </w:style>
  <w:style w:type="paragraph" w:customStyle="1" w:styleId="NormalLatinArial">
    <w:name w:val="Normal + (Latin) Arial"/>
    <w:aliases w:val="(Complex) Arial,9 pt"/>
    <w:basedOn w:val="Default"/>
    <w:next w:val="Default"/>
    <w:rsid w:val="000E5428"/>
    <w:pPr>
      <w:widowControl/>
      <w:numPr>
        <w:numId w:val="2"/>
      </w:numPr>
      <w:tabs>
        <w:tab w:val="clear" w:pos="567"/>
      </w:tabs>
      <w:ind w:left="0" w:firstLine="0"/>
    </w:pPr>
    <w:rPr>
      <w:b/>
      <w:color w:val="auto"/>
      <w:lang w:val="en-US" w:eastAsia="en-US"/>
    </w:rPr>
  </w:style>
  <w:style w:type="character" w:styleId="Komentaronuoroda">
    <w:name w:val="annotation reference"/>
    <w:rsid w:val="000E5428"/>
    <w:rPr>
      <w:sz w:val="16"/>
      <w:szCs w:val="16"/>
    </w:rPr>
  </w:style>
  <w:style w:type="paragraph" w:styleId="Pagrindiniotekstotrauka">
    <w:name w:val="Body Text Indent"/>
    <w:basedOn w:val="prastasis"/>
    <w:link w:val="PagrindiniotekstotraukaDiagrama"/>
    <w:rsid w:val="000E5428"/>
    <w:pPr>
      <w:spacing w:after="120"/>
      <w:ind w:left="283"/>
    </w:pPr>
    <w:rPr>
      <w:b/>
      <w:sz w:val="22"/>
      <w:szCs w:val="20"/>
      <w:lang w:eastAsia="lt-LT"/>
    </w:rPr>
  </w:style>
  <w:style w:type="character" w:customStyle="1" w:styleId="PagrindiniotekstotraukaDiagrama">
    <w:name w:val="Pagrindinio teksto įtrauka Diagrama"/>
    <w:basedOn w:val="Numatytasispastraiposriftas"/>
    <w:link w:val="Pagrindiniotekstotrauka"/>
    <w:rsid w:val="000E5428"/>
    <w:rPr>
      <w:rFonts w:ascii="Times New Roman" w:eastAsia="Times New Roman" w:hAnsi="Times New Roman" w:cs="Times New Roman"/>
      <w:b/>
      <w:szCs w:val="20"/>
      <w:lang w:val="lt-LT" w:eastAsia="lt-LT"/>
    </w:rPr>
  </w:style>
  <w:style w:type="paragraph" w:customStyle="1" w:styleId="Text">
    <w:name w:val="Text"/>
    <w:basedOn w:val="prastasis"/>
    <w:rsid w:val="000E5428"/>
    <w:pPr>
      <w:spacing w:before="120"/>
      <w:jc w:val="both"/>
    </w:pPr>
    <w:rPr>
      <w:b/>
      <w:szCs w:val="20"/>
      <w:lang w:val="en-US"/>
    </w:rPr>
  </w:style>
  <w:style w:type="table" w:styleId="Lentelstinklelis">
    <w:name w:val="Table Grid"/>
    <w:basedOn w:val="prastojilentel"/>
    <w:rsid w:val="000E5428"/>
    <w:pPr>
      <w:tabs>
        <w:tab w:val="left" w:pos="567"/>
      </w:tabs>
      <w:spacing w:after="0" w:line="260" w:lineRule="exact"/>
    </w:pPr>
    <w:rPr>
      <w:rFonts w:ascii="Times New Roman" w:eastAsia="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prastasis"/>
    <w:rsid w:val="000E5428"/>
    <w:pPr>
      <w:spacing w:before="40" w:after="20"/>
      <w:ind w:left="425" w:hanging="425"/>
    </w:pPr>
    <w:rPr>
      <w:b/>
      <w:szCs w:val="20"/>
      <w:lang w:val="en-US"/>
    </w:rPr>
  </w:style>
  <w:style w:type="numbering" w:customStyle="1" w:styleId="NoList2">
    <w:name w:val="No List2"/>
    <w:next w:val="Sraonra"/>
    <w:semiHidden/>
    <w:rsid w:val="000E5428"/>
  </w:style>
  <w:style w:type="paragraph" w:customStyle="1" w:styleId="mdTblEntryMod">
    <w:name w:val="md_Tbl Entry/Mod"/>
    <w:basedOn w:val="prastasis"/>
    <w:rsid w:val="000E5428"/>
    <w:pPr>
      <w:keepNext/>
      <w:keepLines/>
      <w:spacing w:line="259" w:lineRule="atLeast"/>
    </w:pPr>
    <w:rPr>
      <w:b/>
      <w:sz w:val="20"/>
      <w:szCs w:val="20"/>
      <w:lang w:val="en-US"/>
    </w:rPr>
  </w:style>
  <w:style w:type="paragraph" w:styleId="Pagrindiniotekstotrauka3">
    <w:name w:val="Body Text Indent 3"/>
    <w:basedOn w:val="prastasis"/>
    <w:link w:val="Pagrindiniotekstotrauka3Diagrama"/>
    <w:rsid w:val="000E5428"/>
    <w:pPr>
      <w:spacing w:after="120"/>
      <w:ind w:left="283"/>
    </w:pPr>
    <w:rPr>
      <w:rFonts w:ascii="Arial" w:hAnsi="Arial"/>
      <w:b/>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0E5428"/>
    <w:rPr>
      <w:rFonts w:ascii="Arial" w:eastAsia="Times New Roman" w:hAnsi="Arial" w:cs="Times New Roman"/>
      <w:b/>
      <w:sz w:val="16"/>
      <w:szCs w:val="16"/>
      <w:lang w:val="en-GB" w:eastAsia="de-DE"/>
    </w:rPr>
  </w:style>
  <w:style w:type="paragraph" w:customStyle="1" w:styleId="Cmsor">
    <w:name w:val="Címsor"/>
    <w:basedOn w:val="prastasis"/>
    <w:next w:val="Pagrindinistekstas"/>
    <w:rsid w:val="000E5428"/>
    <w:pPr>
      <w:keepNext/>
      <w:suppressAutoHyphens/>
      <w:spacing w:before="240" w:after="120"/>
    </w:pPr>
    <w:rPr>
      <w:rFonts w:ascii="Albany" w:hAnsi="Albany" w:cs="Albany"/>
      <w:b/>
      <w:noProof/>
      <w:color w:val="000000"/>
      <w:sz w:val="28"/>
      <w:szCs w:val="28"/>
      <w:lang w:val="hu-HU" w:eastAsia="lt-LT"/>
    </w:rPr>
  </w:style>
  <w:style w:type="paragraph" w:customStyle="1" w:styleId="knZulassung02">
    <w:name w:val="knZulassung02"/>
    <w:basedOn w:val="prastasis"/>
    <w:rsid w:val="000E5428"/>
    <w:pPr>
      <w:spacing w:after="240"/>
      <w:ind w:left="1843" w:right="284"/>
      <w:jc w:val="both"/>
    </w:pPr>
    <w:rPr>
      <w:rFonts w:ascii="Arial" w:hAnsi="Arial"/>
      <w:b/>
      <w:szCs w:val="20"/>
      <w:lang w:val="de-DE" w:eastAsia="de-DE"/>
    </w:rPr>
  </w:style>
  <w:style w:type="paragraph" w:customStyle="1" w:styleId="Agendaindenteda">
    <w:name w:val="Agenda indented a)"/>
    <w:basedOn w:val="prastasis"/>
    <w:rsid w:val="000E5428"/>
    <w:pPr>
      <w:numPr>
        <w:numId w:val="4"/>
      </w:numPr>
    </w:pPr>
    <w:rPr>
      <w:b/>
      <w:sz w:val="20"/>
      <w:szCs w:val="20"/>
      <w:lang w:val="en-GB"/>
    </w:rPr>
  </w:style>
  <w:style w:type="paragraph" w:customStyle="1" w:styleId="Char">
    <w:name w:val="Char"/>
    <w:basedOn w:val="prastasis"/>
    <w:rsid w:val="000E5428"/>
    <w:pPr>
      <w:spacing w:after="160" w:line="240" w:lineRule="exact"/>
    </w:pPr>
    <w:rPr>
      <w:rFonts w:ascii="Verdana" w:hAnsi="Verdana" w:cs="Verdana"/>
      <w:b/>
      <w:sz w:val="20"/>
      <w:szCs w:val="20"/>
      <w:lang w:val="en-GB"/>
    </w:rPr>
  </w:style>
  <w:style w:type="paragraph" w:customStyle="1" w:styleId="Turinioantrat1">
    <w:name w:val="Turinio antraštė1"/>
    <w:basedOn w:val="prastasis"/>
    <w:qFormat/>
    <w:rsid w:val="000E5428"/>
    <w:pPr>
      <w:tabs>
        <w:tab w:val="left" w:pos="7649"/>
        <w:tab w:val="left" w:pos="7920"/>
      </w:tabs>
      <w:spacing w:after="240" w:line="359" w:lineRule="atLeast"/>
    </w:pPr>
    <w:rPr>
      <w:rFonts w:ascii="Times" w:hAnsi="Times"/>
      <w:sz w:val="22"/>
      <w:szCs w:val="20"/>
      <w:lang w:val="en-US"/>
    </w:rPr>
  </w:style>
  <w:style w:type="paragraph" w:customStyle="1" w:styleId="mdTblEntryC">
    <w:name w:val="md_Tbl Entry/C"/>
    <w:basedOn w:val="prastasis"/>
    <w:rsid w:val="000E5428"/>
    <w:pPr>
      <w:keepNext/>
      <w:keepLines/>
      <w:spacing w:line="259" w:lineRule="atLeast"/>
      <w:jc w:val="center"/>
    </w:pPr>
    <w:rPr>
      <w:b/>
      <w:sz w:val="20"/>
      <w:szCs w:val="20"/>
      <w:lang w:val="en-US"/>
    </w:rPr>
  </w:style>
  <w:style w:type="paragraph" w:customStyle="1" w:styleId="FigFootnote">
    <w:name w:val="Fig Footnote"/>
    <w:basedOn w:val="prastasis"/>
    <w:next w:val="prastasis"/>
    <w:rsid w:val="000E5428"/>
    <w:pPr>
      <w:keepNext/>
      <w:keepLines/>
      <w:spacing w:line="259" w:lineRule="atLeast"/>
      <w:ind w:left="2304"/>
    </w:pPr>
    <w:rPr>
      <w:b/>
      <w:sz w:val="20"/>
      <w:szCs w:val="20"/>
      <w:lang w:val="en-US"/>
    </w:rPr>
  </w:style>
  <w:style w:type="paragraph" w:customStyle="1" w:styleId="msolistparagraph0">
    <w:name w:val="msolistparagraph"/>
    <w:basedOn w:val="prastasis"/>
    <w:rsid w:val="000E5428"/>
    <w:pPr>
      <w:ind w:left="720"/>
    </w:pPr>
    <w:rPr>
      <w:rFonts w:ascii="Calibri" w:hAnsi="Calibri"/>
      <w:b/>
      <w:sz w:val="22"/>
      <w:szCs w:val="22"/>
      <w:lang w:val="en-US"/>
    </w:rPr>
  </w:style>
  <w:style w:type="paragraph" w:customStyle="1" w:styleId="CM6">
    <w:name w:val="CM6"/>
    <w:basedOn w:val="prastasis"/>
    <w:next w:val="prastasis"/>
    <w:rsid w:val="000E5428"/>
    <w:pPr>
      <w:widowControl w:val="0"/>
      <w:autoSpaceDE w:val="0"/>
      <w:autoSpaceDN w:val="0"/>
      <w:adjustRightInd w:val="0"/>
      <w:spacing w:line="253" w:lineRule="atLeast"/>
    </w:pPr>
    <w:rPr>
      <w:b/>
      <w:lang w:val="de-DE" w:eastAsia="de-DE"/>
    </w:rPr>
  </w:style>
  <w:style w:type="paragraph" w:customStyle="1" w:styleId="TextTi10">
    <w:name w:val="Text:Ti10"/>
    <w:basedOn w:val="prastasis"/>
    <w:rsid w:val="000E5428"/>
    <w:rPr>
      <w:b/>
      <w:sz w:val="22"/>
      <w:szCs w:val="20"/>
      <w:lang w:val="en-US"/>
    </w:rPr>
  </w:style>
  <w:style w:type="paragraph" w:customStyle="1" w:styleId="StyleTextTi12AsianMSMincho9ptBold">
    <w:name w:val="Style Text:Ti12 + (Asian) MS Mincho 9 pt Bold"/>
    <w:basedOn w:val="prastasis"/>
    <w:rsid w:val="000E5428"/>
    <w:pPr>
      <w:spacing w:line="280" w:lineRule="atLeast"/>
    </w:pPr>
    <w:rPr>
      <w:rFonts w:eastAsia="MS Mincho"/>
      <w:bCs/>
      <w:sz w:val="18"/>
      <w:lang w:val="en-US" w:eastAsia="de-DE"/>
    </w:rPr>
  </w:style>
  <w:style w:type="paragraph" w:customStyle="1" w:styleId="Annex">
    <w:name w:val="Annex"/>
    <w:basedOn w:val="prastasis"/>
    <w:next w:val="prastasis"/>
    <w:rsid w:val="000E5428"/>
    <w:pPr>
      <w:jc w:val="center"/>
    </w:pPr>
    <w:rPr>
      <w:sz w:val="22"/>
      <w:szCs w:val="20"/>
      <w:lang w:val="en-US" w:eastAsia="ja-JP"/>
    </w:rPr>
  </w:style>
  <w:style w:type="paragraph" w:customStyle="1" w:styleId="Description">
    <w:name w:val="Description"/>
    <w:basedOn w:val="prastasis"/>
    <w:next w:val="prastasis"/>
    <w:rsid w:val="000E5428"/>
    <w:rPr>
      <w:b/>
      <w:sz w:val="22"/>
      <w:szCs w:val="20"/>
      <w:lang w:val="en-US" w:eastAsia="ja-JP"/>
    </w:rPr>
  </w:style>
  <w:style w:type="paragraph" w:styleId="Turinioantrat">
    <w:name w:val="TOC Heading"/>
    <w:basedOn w:val="prastasis"/>
    <w:qFormat/>
    <w:rsid w:val="000E5428"/>
    <w:pPr>
      <w:tabs>
        <w:tab w:val="left" w:pos="7649"/>
        <w:tab w:val="left" w:pos="7920"/>
      </w:tabs>
      <w:spacing w:after="240" w:line="359" w:lineRule="atLeast"/>
    </w:pPr>
    <w:rPr>
      <w:rFonts w:ascii="Times" w:hAnsi="Times"/>
      <w:sz w:val="22"/>
      <w:szCs w:val="20"/>
      <w:lang w:val="en-US"/>
    </w:rPr>
  </w:style>
  <w:style w:type="table" w:customStyle="1" w:styleId="TableGrid1">
    <w:name w:val="Table Grid1"/>
    <w:basedOn w:val="prastojilentel"/>
    <w:next w:val="Lentelstinklelis"/>
    <w:rsid w:val="000E5428"/>
    <w:pPr>
      <w:spacing w:after="0" w:line="240" w:lineRule="auto"/>
    </w:pPr>
    <w:rPr>
      <w:rFonts w:ascii="Times New Roman" w:eastAsia="Times New Roman" w:hAnsi="Times New Roman" w:cs="Times New Roman"/>
      <w:b/>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rsid w:val="000E5428"/>
    <w:pPr>
      <w:tabs>
        <w:tab w:val="left" w:pos="567"/>
      </w:tabs>
    </w:pPr>
    <w:rPr>
      <w:b/>
      <w:sz w:val="22"/>
      <w:szCs w:val="20"/>
      <w:lang w:val="en-GB"/>
    </w:rPr>
  </w:style>
  <w:style w:type="character" w:customStyle="1" w:styleId="DokumentoinaostekstasDiagrama">
    <w:name w:val="Dokumento išnašos tekstas Diagrama"/>
    <w:basedOn w:val="Numatytasispastraiposriftas"/>
    <w:link w:val="Dokumentoinaostekstas"/>
    <w:rsid w:val="000E5428"/>
    <w:rPr>
      <w:rFonts w:ascii="Times New Roman" w:eastAsia="Times New Roman" w:hAnsi="Times New Roman" w:cs="Times New Roman"/>
      <w:b/>
      <w:szCs w:val="20"/>
      <w:lang w:val="en-GB"/>
    </w:rPr>
  </w:style>
  <w:style w:type="paragraph" w:styleId="Sraopastraipa">
    <w:name w:val="List Paragraph"/>
    <w:basedOn w:val="prastasis"/>
    <w:uiPriority w:val="34"/>
    <w:qFormat/>
    <w:rsid w:val="000E5428"/>
    <w:pPr>
      <w:spacing w:after="200" w:line="276" w:lineRule="auto"/>
      <w:ind w:left="720"/>
      <w:contextualSpacing/>
    </w:pPr>
    <w:rPr>
      <w:sz w:val="22"/>
      <w:szCs w:val="22"/>
    </w:rPr>
  </w:style>
  <w:style w:type="paragraph" w:customStyle="1" w:styleId="Bodycopy">
    <w:name w:val="Body copy"/>
    <w:basedOn w:val="Antrats"/>
    <w:rsid w:val="000E5428"/>
    <w:pPr>
      <w:widowControl/>
      <w:autoSpaceDE/>
      <w:autoSpaceDN/>
      <w:adjustRightInd/>
      <w:spacing w:after="100" w:afterAutospacing="1"/>
    </w:pPr>
    <w:rPr>
      <w:lang w:val="en-GB" w:eastAsia="en-US"/>
    </w:rPr>
  </w:style>
  <w:style w:type="paragraph" w:customStyle="1" w:styleId="Turinioantrat2">
    <w:name w:val="Turinio antraštė2"/>
    <w:basedOn w:val="prastasis"/>
    <w:qFormat/>
    <w:rsid w:val="000E5428"/>
    <w:pPr>
      <w:tabs>
        <w:tab w:val="left" w:pos="7649"/>
        <w:tab w:val="left" w:pos="7920"/>
      </w:tabs>
      <w:spacing w:after="240" w:line="359" w:lineRule="atLeast"/>
    </w:pPr>
    <w:rPr>
      <w:rFonts w:ascii="Times" w:hAnsi="Times"/>
      <w:b/>
      <w:sz w:val="22"/>
      <w:szCs w:val="20"/>
      <w:lang w:val="en-US"/>
    </w:rPr>
  </w:style>
  <w:style w:type="paragraph" w:styleId="Pataisymai">
    <w:name w:val="Revision"/>
    <w:hidden/>
    <w:uiPriority w:val="99"/>
    <w:semiHidden/>
    <w:rsid w:val="000E5428"/>
    <w:pPr>
      <w:spacing w:after="0" w:line="240" w:lineRule="auto"/>
    </w:pPr>
    <w:rPr>
      <w:rFonts w:ascii="Times New Roman" w:eastAsia="Times New Roman" w:hAnsi="Times New Roman" w:cs="Times New Roman"/>
      <w:sz w:val="24"/>
      <w:szCs w:val="24"/>
      <w:lang w:val="lt-LT"/>
    </w:rPr>
  </w:style>
  <w:style w:type="paragraph" w:customStyle="1" w:styleId="CharChar">
    <w:name w:val="Char Char"/>
    <w:basedOn w:val="prastasis"/>
    <w:next w:val="prastasis"/>
    <w:rsid w:val="000E5428"/>
    <w:pPr>
      <w:spacing w:after="160"/>
      <w:jc w:val="both"/>
    </w:pPr>
    <w:rPr>
      <w:szCs w:val="20"/>
      <w:lang w:val="en-GB"/>
    </w:rPr>
  </w:style>
  <w:style w:type="numbering" w:customStyle="1" w:styleId="Sraonra2">
    <w:name w:val="Sąrašo nėra2"/>
    <w:next w:val="Sraonra"/>
    <w:uiPriority w:val="99"/>
    <w:semiHidden/>
    <w:unhideWhenUsed/>
    <w:rsid w:val="000E5428"/>
  </w:style>
  <w:style w:type="paragraph" w:customStyle="1" w:styleId="BullHead">
    <w:name w:val="Bull Head"/>
    <w:basedOn w:val="prastasis"/>
    <w:autoRedefine/>
    <w:rsid w:val="000E5428"/>
    <w:pPr>
      <w:numPr>
        <w:numId w:val="21"/>
      </w:numPr>
      <w:shd w:val="clear" w:color="000000" w:fill="FFFFFF"/>
      <w:tabs>
        <w:tab w:val="clear" w:pos="504"/>
        <w:tab w:val="left" w:pos="562"/>
      </w:tabs>
      <w:spacing w:after="240"/>
      <w:ind w:left="562" w:hanging="562"/>
    </w:pPr>
    <w:rPr>
      <w:b/>
      <w:bCs/>
      <w:color w:val="000000"/>
      <w:lang w:val="en-GB"/>
    </w:rPr>
  </w:style>
  <w:style w:type="paragraph" w:customStyle="1" w:styleId="Postspace">
    <w:name w:val="Postspace"/>
    <w:basedOn w:val="prastasis"/>
    <w:autoRedefine/>
    <w:rsid w:val="000E5428"/>
    <w:pPr>
      <w:spacing w:after="220"/>
    </w:pPr>
    <w:rPr>
      <w:lang w:val="en-GB"/>
    </w:rPr>
  </w:style>
  <w:style w:type="paragraph" w:customStyle="1" w:styleId="listdash">
    <w:name w:val="list:dash"/>
    <w:basedOn w:val="prastasis"/>
    <w:rsid w:val="000E5428"/>
    <w:pPr>
      <w:numPr>
        <w:numId w:val="22"/>
      </w:numPr>
      <w:spacing w:after="240"/>
    </w:pPr>
    <w:rPr>
      <w:lang w:val="en-GB"/>
    </w:rPr>
  </w:style>
  <w:style w:type="paragraph" w:customStyle="1" w:styleId="TableCell">
    <w:name w:val="TableCell"/>
    <w:basedOn w:val="prastasis"/>
    <w:rsid w:val="000E5428"/>
    <w:rPr>
      <w:lang w:val="en-GB"/>
    </w:rPr>
  </w:style>
  <w:style w:type="character" w:customStyle="1" w:styleId="CSIchar">
    <w:name w:val="CSIchar"/>
    <w:rsid w:val="000E5428"/>
    <w:rPr>
      <w:bdr w:val="none" w:sz="0" w:space="0" w:color="auto"/>
      <w:shd w:val="clear" w:color="auto" w:fill="CCCCCC"/>
    </w:rPr>
  </w:style>
  <w:style w:type="table" w:customStyle="1" w:styleId="Lentelstinklelis1">
    <w:name w:val="Lentelės tinklelis1"/>
    <w:basedOn w:val="prastojilentel"/>
    <w:next w:val="Lentelstinklelis"/>
    <w:rsid w:val="000E542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mailto:info.lithuania@sandoz.com" TargetMode="Externa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79D52-8FE4-4DE5-BDF2-5DD8A167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58991</Words>
  <Characters>33625</Characters>
  <Application>Microsoft Office Word</Application>
  <DocSecurity>8</DocSecurity>
  <Lines>280</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92432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3</cp:revision>
  <dcterms:created xsi:type="dcterms:W3CDTF">2016-01-04T06:45:00Z</dcterms:created>
  <dcterms:modified xsi:type="dcterms:W3CDTF">2016-01-04T06:45:00Z</dcterms:modified>
</cp:coreProperties>
</file>