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94CE" w14:textId="77777777" w:rsidR="00522FD8" w:rsidRPr="008A39EB" w:rsidRDefault="00522FD8" w:rsidP="00522FD8">
      <w:pPr>
        <w:tabs>
          <w:tab w:val="left" w:pos="567"/>
        </w:tabs>
        <w:spacing w:after="0" w:line="240" w:lineRule="auto"/>
        <w:jc w:val="center"/>
        <w:outlineLvl w:val="0"/>
        <w:rPr>
          <w:rFonts w:ascii="Times New Roman" w:hAnsi="Times New Roman"/>
          <w:b/>
          <w:caps/>
        </w:rPr>
      </w:pPr>
      <w:bookmarkStart w:id="0" w:name="_Toc129243263"/>
      <w:bookmarkStart w:id="1" w:name="_Toc129243138"/>
      <w:r w:rsidRPr="008A39EB">
        <w:rPr>
          <w:rFonts w:ascii="Times New Roman" w:hAnsi="Times New Roman"/>
          <w:b/>
          <w:iCs/>
        </w:rPr>
        <w:t>Pakuotės lapelis: informacija vartotojui</w:t>
      </w:r>
      <w:r w:rsidRPr="008A39EB">
        <w:rPr>
          <w:rFonts w:ascii="Times New Roman" w:hAnsi="Times New Roman"/>
          <w:b/>
        </w:rPr>
        <w:t xml:space="preserve"> </w:t>
      </w:r>
      <w:bookmarkEnd w:id="0"/>
      <w:bookmarkEnd w:id="1"/>
    </w:p>
    <w:p w14:paraId="4A6F575C" w14:textId="77777777" w:rsidR="00522FD8" w:rsidRPr="008A39EB" w:rsidRDefault="00522FD8" w:rsidP="00522FD8">
      <w:pPr>
        <w:spacing w:after="0" w:line="240" w:lineRule="auto"/>
        <w:rPr>
          <w:rFonts w:ascii="Times New Roman" w:hAnsi="Times New Roman"/>
          <w:noProof/>
        </w:rPr>
      </w:pPr>
    </w:p>
    <w:p w14:paraId="2C774AED" w14:textId="77777777" w:rsidR="00522FD8" w:rsidRPr="008A39EB" w:rsidRDefault="00522FD8" w:rsidP="00522FD8">
      <w:pPr>
        <w:spacing w:after="0" w:line="240" w:lineRule="auto"/>
        <w:jc w:val="center"/>
        <w:rPr>
          <w:rFonts w:ascii="Times New Roman" w:hAnsi="Times New Roman"/>
          <w:b/>
          <w:noProof/>
        </w:rPr>
      </w:pPr>
      <w:r w:rsidRPr="008A39EB">
        <w:rPr>
          <w:rFonts w:ascii="Times New Roman" w:hAnsi="Times New Roman"/>
          <w:b/>
          <w:noProof/>
        </w:rPr>
        <w:t>Memantine Orion 10 mg plėvele dengtos tabletės</w:t>
      </w:r>
    </w:p>
    <w:p w14:paraId="778239CA" w14:textId="77777777" w:rsidR="00522FD8" w:rsidRPr="008A39EB" w:rsidRDefault="00522FD8" w:rsidP="00522FD8">
      <w:pPr>
        <w:spacing w:after="0" w:line="240" w:lineRule="auto"/>
        <w:jc w:val="center"/>
        <w:rPr>
          <w:rFonts w:ascii="Times New Roman" w:hAnsi="Times New Roman"/>
          <w:b/>
          <w:noProof/>
        </w:rPr>
      </w:pPr>
      <w:r w:rsidRPr="00767BA5">
        <w:rPr>
          <w:rFonts w:ascii="Times New Roman" w:hAnsi="Times New Roman"/>
          <w:b/>
          <w:noProof/>
          <w:highlight w:val="lightGray"/>
        </w:rPr>
        <w:t>Memantine Orion 20 mg plėvele dengtos tabletės</w:t>
      </w:r>
    </w:p>
    <w:p w14:paraId="59EFF676" w14:textId="77777777" w:rsidR="00522FD8" w:rsidRPr="008A39EB" w:rsidRDefault="00522FD8" w:rsidP="00522FD8">
      <w:pPr>
        <w:spacing w:after="0" w:line="240" w:lineRule="auto"/>
        <w:jc w:val="center"/>
        <w:rPr>
          <w:rFonts w:ascii="Times New Roman" w:hAnsi="Times New Roman"/>
          <w:noProof/>
        </w:rPr>
      </w:pPr>
      <w:r w:rsidRPr="008A39EB">
        <w:rPr>
          <w:rFonts w:ascii="Times New Roman" w:hAnsi="Times New Roman"/>
          <w:noProof/>
        </w:rPr>
        <w:t>Memantino hidrochloridas</w:t>
      </w:r>
    </w:p>
    <w:p w14:paraId="65CF0546" w14:textId="77777777" w:rsidR="00522FD8" w:rsidRPr="008A39EB" w:rsidRDefault="00522FD8" w:rsidP="00522FD8">
      <w:pPr>
        <w:spacing w:after="0" w:line="240" w:lineRule="auto"/>
        <w:rPr>
          <w:rFonts w:ascii="Times New Roman" w:hAnsi="Times New Roman"/>
          <w:noProof/>
        </w:rPr>
      </w:pPr>
    </w:p>
    <w:p w14:paraId="520A4AA9" w14:textId="77777777" w:rsidR="00522FD8" w:rsidRPr="008A39EB" w:rsidRDefault="00522FD8" w:rsidP="00522FD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A39EB">
        <w:rPr>
          <w:rFonts w:ascii="Times New Roman" w:hAnsi="Times New Roman"/>
          <w:b/>
          <w:noProof/>
        </w:rPr>
        <w:t>Atidžiai perskaitykite visą šį lapelį, prieš pradėdami vartoti vaistą, nes jame pateikiama Jums svarbi informacija.</w:t>
      </w:r>
    </w:p>
    <w:p w14:paraId="6FDF1560" w14:textId="77777777" w:rsidR="00522FD8" w:rsidRPr="008A39EB" w:rsidRDefault="00522FD8" w:rsidP="00522FD8">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Neišmeskite šio lapelio, nes vėl gali prireikti jį perskaityti.</w:t>
      </w:r>
    </w:p>
    <w:p w14:paraId="5C43F7DD" w14:textId="77777777" w:rsidR="00522FD8" w:rsidRPr="008A39EB" w:rsidRDefault="00522FD8" w:rsidP="00522FD8">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Jeigu kiltų daugiau klausimų, kreipkitės į gydytoją arba vaistininką.</w:t>
      </w:r>
    </w:p>
    <w:p w14:paraId="3688BA05" w14:textId="77777777" w:rsidR="00522FD8" w:rsidRPr="008A39EB" w:rsidRDefault="00522FD8" w:rsidP="00522FD8">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Šis vaistas skirtas tik Jums, todėl kitiems žmonėms jo duoti negalima. Vaistas gali jiems pakenkti (net tiems, kurių ligos požymiai yra tokie patys kaip Jūsų).</w:t>
      </w:r>
    </w:p>
    <w:p w14:paraId="36551866" w14:textId="77777777" w:rsidR="00522FD8" w:rsidRPr="008A39EB" w:rsidRDefault="00522FD8" w:rsidP="00522FD8">
      <w:pPr>
        <w:numPr>
          <w:ilvl w:val="0"/>
          <w:numId w:val="1"/>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noProof/>
        </w:rPr>
      </w:pPr>
      <w:r w:rsidRPr="008A39EB">
        <w:rPr>
          <w:rFonts w:ascii="Times New Roman" w:hAnsi="Times New Roman"/>
          <w:noProof/>
        </w:rPr>
        <w:t>Jeigu pasireiškė šalutinis poveikis (net jeigu jis šiame lapelyje nenurodytas), kreipkitės į gydytoją arba vaistininką. Žr. 4 skyrių.</w:t>
      </w:r>
    </w:p>
    <w:p w14:paraId="7995DEF0" w14:textId="77777777" w:rsidR="00522FD8" w:rsidRPr="008A39EB" w:rsidRDefault="00522FD8" w:rsidP="00522FD8">
      <w:pPr>
        <w:spacing w:after="0" w:line="240" w:lineRule="auto"/>
        <w:rPr>
          <w:rFonts w:ascii="Times New Roman" w:hAnsi="Times New Roman"/>
          <w:noProof/>
        </w:rPr>
      </w:pPr>
    </w:p>
    <w:p w14:paraId="05968DE2" w14:textId="77777777" w:rsidR="00522FD8" w:rsidRPr="008A39EB" w:rsidRDefault="00522FD8" w:rsidP="00522FD8">
      <w:pPr>
        <w:spacing w:after="0" w:line="240" w:lineRule="auto"/>
        <w:rPr>
          <w:rFonts w:ascii="Times New Roman" w:hAnsi="Times New Roman"/>
          <w:noProof/>
        </w:rPr>
      </w:pPr>
    </w:p>
    <w:p w14:paraId="7BCDD1C4" w14:textId="77777777" w:rsidR="00522FD8" w:rsidRPr="008A39EB" w:rsidRDefault="00522FD8" w:rsidP="00522FD8">
      <w:pPr>
        <w:keepNext/>
        <w:tabs>
          <w:tab w:val="left" w:pos="567"/>
        </w:tabs>
        <w:spacing w:after="0" w:line="240" w:lineRule="auto"/>
        <w:jc w:val="both"/>
        <w:outlineLvl w:val="3"/>
        <w:rPr>
          <w:rFonts w:ascii="Times New Roman" w:eastAsia="SimSun" w:hAnsi="Times New Roman"/>
          <w:b/>
          <w:noProof/>
        </w:rPr>
      </w:pPr>
      <w:r w:rsidRPr="008A39EB">
        <w:rPr>
          <w:rFonts w:ascii="Times New Roman" w:eastAsia="SimSun" w:hAnsi="Times New Roman"/>
          <w:b/>
          <w:noProof/>
        </w:rPr>
        <w:t>Apie ką rašoma šiame lapelyje?</w:t>
      </w:r>
    </w:p>
    <w:p w14:paraId="21F55506" w14:textId="77777777" w:rsidR="00522FD8" w:rsidRPr="008A39EB" w:rsidRDefault="00522FD8" w:rsidP="00522FD8">
      <w:pPr>
        <w:tabs>
          <w:tab w:val="left" w:pos="567"/>
        </w:tabs>
        <w:spacing w:after="0" w:line="240" w:lineRule="auto"/>
        <w:rPr>
          <w:rFonts w:ascii="Times New Roman" w:hAnsi="Times New Roman"/>
          <w:noProof/>
        </w:rPr>
      </w:pPr>
      <w:r w:rsidRPr="008A39EB">
        <w:rPr>
          <w:rFonts w:ascii="Times New Roman" w:hAnsi="Times New Roman"/>
          <w:noProof/>
        </w:rPr>
        <w:t>1.</w:t>
      </w:r>
      <w:r w:rsidRPr="008A39EB">
        <w:rPr>
          <w:rFonts w:ascii="Times New Roman" w:hAnsi="Times New Roman"/>
          <w:noProof/>
        </w:rPr>
        <w:tab/>
        <w:t>Kas yra Memantine Orion ir kam jis vartojamas</w:t>
      </w:r>
    </w:p>
    <w:p w14:paraId="5BCB94BB" w14:textId="77777777" w:rsidR="00522FD8" w:rsidRPr="008A39EB" w:rsidRDefault="00522FD8" w:rsidP="00522FD8">
      <w:pPr>
        <w:tabs>
          <w:tab w:val="left" w:pos="567"/>
        </w:tabs>
        <w:spacing w:after="0" w:line="240" w:lineRule="auto"/>
        <w:rPr>
          <w:rFonts w:ascii="Times New Roman" w:hAnsi="Times New Roman"/>
          <w:noProof/>
        </w:rPr>
      </w:pPr>
      <w:r w:rsidRPr="008A39EB">
        <w:rPr>
          <w:rFonts w:ascii="Times New Roman" w:hAnsi="Times New Roman"/>
          <w:noProof/>
        </w:rPr>
        <w:t>2.</w:t>
      </w:r>
      <w:r w:rsidRPr="008A39EB">
        <w:rPr>
          <w:rFonts w:ascii="Times New Roman" w:hAnsi="Times New Roman"/>
          <w:noProof/>
        </w:rPr>
        <w:tab/>
        <w:t>Kas žinotina prieš vartojant Memantine Orion</w:t>
      </w:r>
    </w:p>
    <w:p w14:paraId="2C15A3B3" w14:textId="77777777" w:rsidR="00522FD8" w:rsidRPr="008A39EB" w:rsidRDefault="00522FD8" w:rsidP="00522FD8">
      <w:pPr>
        <w:tabs>
          <w:tab w:val="left" w:pos="567"/>
        </w:tabs>
        <w:spacing w:after="0" w:line="240" w:lineRule="auto"/>
        <w:rPr>
          <w:rFonts w:ascii="Times New Roman" w:hAnsi="Times New Roman"/>
          <w:noProof/>
        </w:rPr>
      </w:pPr>
      <w:r w:rsidRPr="008A39EB">
        <w:rPr>
          <w:rFonts w:ascii="Times New Roman" w:hAnsi="Times New Roman"/>
          <w:noProof/>
        </w:rPr>
        <w:t>3.</w:t>
      </w:r>
      <w:r w:rsidRPr="008A39EB">
        <w:rPr>
          <w:rFonts w:ascii="Times New Roman" w:hAnsi="Times New Roman"/>
          <w:noProof/>
        </w:rPr>
        <w:tab/>
        <w:t>Kaip vartoti Memantine Orion</w:t>
      </w:r>
    </w:p>
    <w:p w14:paraId="5535D4BB" w14:textId="77777777" w:rsidR="00522FD8" w:rsidRPr="008A39EB" w:rsidRDefault="00522FD8" w:rsidP="00522FD8">
      <w:pPr>
        <w:tabs>
          <w:tab w:val="left" w:pos="567"/>
        </w:tabs>
        <w:spacing w:after="0" w:line="240" w:lineRule="auto"/>
        <w:rPr>
          <w:rFonts w:ascii="Times New Roman" w:hAnsi="Times New Roman"/>
          <w:noProof/>
        </w:rPr>
      </w:pPr>
      <w:r w:rsidRPr="008A39EB">
        <w:rPr>
          <w:rFonts w:ascii="Times New Roman" w:hAnsi="Times New Roman"/>
          <w:noProof/>
        </w:rPr>
        <w:t>4.</w:t>
      </w:r>
      <w:r w:rsidRPr="008A39EB">
        <w:rPr>
          <w:rFonts w:ascii="Times New Roman" w:hAnsi="Times New Roman"/>
          <w:noProof/>
        </w:rPr>
        <w:tab/>
        <w:t>Galimas šalutinis poveikis</w:t>
      </w:r>
    </w:p>
    <w:p w14:paraId="0D2EE773" w14:textId="77777777" w:rsidR="00522FD8" w:rsidRPr="008A39EB" w:rsidRDefault="00522FD8" w:rsidP="00522FD8">
      <w:pPr>
        <w:tabs>
          <w:tab w:val="left" w:pos="567"/>
        </w:tabs>
        <w:spacing w:after="0" w:line="240" w:lineRule="auto"/>
        <w:rPr>
          <w:rFonts w:ascii="Times New Roman" w:hAnsi="Times New Roman"/>
          <w:noProof/>
        </w:rPr>
      </w:pPr>
      <w:r w:rsidRPr="008A39EB">
        <w:rPr>
          <w:rFonts w:ascii="Times New Roman" w:hAnsi="Times New Roman"/>
          <w:noProof/>
        </w:rPr>
        <w:t>5.</w:t>
      </w:r>
      <w:r w:rsidRPr="008A39EB">
        <w:rPr>
          <w:rFonts w:ascii="Times New Roman" w:hAnsi="Times New Roman"/>
          <w:noProof/>
        </w:rPr>
        <w:tab/>
        <w:t>Kaip laikyti Memantine Orion</w:t>
      </w:r>
    </w:p>
    <w:p w14:paraId="5B71CE43" w14:textId="77777777" w:rsidR="00522FD8" w:rsidRPr="008A39EB" w:rsidRDefault="00522FD8" w:rsidP="00522FD8">
      <w:pPr>
        <w:tabs>
          <w:tab w:val="left" w:pos="567"/>
        </w:tabs>
        <w:spacing w:after="0" w:line="240" w:lineRule="auto"/>
        <w:rPr>
          <w:rFonts w:ascii="Times New Roman" w:hAnsi="Times New Roman"/>
        </w:rPr>
      </w:pPr>
      <w:r w:rsidRPr="008A39EB">
        <w:rPr>
          <w:rFonts w:ascii="Times New Roman" w:hAnsi="Times New Roman"/>
        </w:rPr>
        <w:t>6.</w:t>
      </w:r>
      <w:r w:rsidRPr="008A39EB">
        <w:rPr>
          <w:rFonts w:ascii="Times New Roman" w:hAnsi="Times New Roman"/>
        </w:rPr>
        <w:tab/>
      </w:r>
      <w:r w:rsidRPr="008A39EB">
        <w:rPr>
          <w:rFonts w:ascii="Times New Roman" w:hAnsi="Times New Roman"/>
          <w:noProof/>
        </w:rPr>
        <w:t>Pakuotės turinys ir kita informacija</w:t>
      </w:r>
    </w:p>
    <w:p w14:paraId="3802D5FA" w14:textId="77777777" w:rsidR="00522FD8" w:rsidRPr="008A39EB" w:rsidRDefault="00522FD8" w:rsidP="00522FD8">
      <w:pPr>
        <w:spacing w:after="0" w:line="240" w:lineRule="auto"/>
        <w:rPr>
          <w:rFonts w:ascii="Times New Roman" w:hAnsi="Times New Roman"/>
          <w:noProof/>
        </w:rPr>
      </w:pPr>
    </w:p>
    <w:p w14:paraId="5FD7B867" w14:textId="77777777" w:rsidR="00522FD8" w:rsidRPr="008A39EB" w:rsidRDefault="00522FD8" w:rsidP="00522FD8">
      <w:pPr>
        <w:spacing w:after="0" w:line="240" w:lineRule="auto"/>
        <w:rPr>
          <w:rFonts w:ascii="Times New Roman" w:hAnsi="Times New Roman"/>
          <w:noProof/>
        </w:rPr>
      </w:pPr>
    </w:p>
    <w:p w14:paraId="71CA266D" w14:textId="77777777" w:rsidR="00522FD8" w:rsidRPr="008A39EB" w:rsidRDefault="00522FD8" w:rsidP="00522FD8">
      <w:pPr>
        <w:keepNext/>
        <w:tabs>
          <w:tab w:val="left" w:pos="567"/>
        </w:tabs>
        <w:spacing w:after="0" w:line="240" w:lineRule="auto"/>
        <w:outlineLvl w:val="1"/>
        <w:rPr>
          <w:rFonts w:ascii="Times New Roman" w:hAnsi="Times New Roman"/>
          <w:b/>
        </w:rPr>
      </w:pPr>
      <w:bookmarkStart w:id="2" w:name="_Toc129243264"/>
      <w:bookmarkStart w:id="3" w:name="_Toc129243139"/>
      <w:r w:rsidRPr="008A39EB">
        <w:rPr>
          <w:rFonts w:ascii="Times New Roman" w:hAnsi="Times New Roman"/>
          <w:b/>
        </w:rPr>
        <w:t>1.</w:t>
      </w:r>
      <w:r w:rsidRPr="008A39EB">
        <w:rPr>
          <w:rFonts w:ascii="Times New Roman" w:hAnsi="Times New Roman"/>
          <w:b/>
        </w:rPr>
        <w:tab/>
        <w:t xml:space="preserve">Kas yra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r w:rsidRPr="008A39EB">
        <w:rPr>
          <w:rFonts w:ascii="Times New Roman" w:hAnsi="Times New Roman"/>
          <w:b/>
        </w:rPr>
        <w:t xml:space="preserve"> ir kam jis vartojamas</w:t>
      </w:r>
      <w:bookmarkEnd w:id="2"/>
      <w:bookmarkEnd w:id="3"/>
    </w:p>
    <w:p w14:paraId="733109B9" w14:textId="77777777" w:rsidR="00522FD8" w:rsidRPr="008A39EB" w:rsidRDefault="00522FD8" w:rsidP="00522FD8">
      <w:pPr>
        <w:spacing w:after="0" w:line="240" w:lineRule="auto"/>
        <w:rPr>
          <w:rFonts w:ascii="Times New Roman" w:hAnsi="Times New Roman"/>
          <w:noProof/>
        </w:rPr>
      </w:pPr>
    </w:p>
    <w:p w14:paraId="3B4EEE3A"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Memantine Orion </w:t>
      </w:r>
      <w:r>
        <w:rPr>
          <w:rFonts w:ascii="Times New Roman" w:hAnsi="Times New Roman"/>
          <w:noProof/>
        </w:rPr>
        <w:t xml:space="preserve">sudėtyje yra veikliosios medžiagos memantino hidrochlorido. Jis </w:t>
      </w:r>
      <w:r w:rsidRPr="008A39EB">
        <w:rPr>
          <w:rFonts w:ascii="Times New Roman" w:hAnsi="Times New Roman"/>
          <w:noProof/>
        </w:rPr>
        <w:t xml:space="preserve">priklauso vaistų, kurie vadinami priešdemenciniais, grupei. </w:t>
      </w:r>
    </w:p>
    <w:p w14:paraId="5E15EFD3"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Atmintis, sergant Alzheimerio liga, prarandama dėl impulsų perdavimo galvos smegenyse sutrikimo. Smegenyse yra N-metil-D-aspartatui (NMDA) jautrių receptorių, kurie dalyvauja perduodant nervinį impulsą, svarbų mokymuisi ir atminčiai. Memantine Orion priklauso vaistų, vadinamų NMDA receptorių antagonistais, grupei. Veikdamas šiuos receptorius, Memantine Orion gerina nervinių impulsų perdavimą ir atmintį. </w:t>
      </w:r>
    </w:p>
    <w:p w14:paraId="0A9E59CE" w14:textId="77777777" w:rsidR="00522FD8" w:rsidRPr="008A39EB" w:rsidRDefault="00522FD8" w:rsidP="00522FD8">
      <w:pPr>
        <w:spacing w:after="0" w:line="240" w:lineRule="auto"/>
        <w:rPr>
          <w:rFonts w:ascii="Times New Roman" w:hAnsi="Times New Roman"/>
          <w:noProof/>
        </w:rPr>
      </w:pPr>
    </w:p>
    <w:p w14:paraId="77E7F9BE"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Memantine Orion gydomi </w:t>
      </w:r>
      <w:r>
        <w:rPr>
          <w:rFonts w:ascii="Times New Roman" w:hAnsi="Times New Roman"/>
          <w:noProof/>
        </w:rPr>
        <w:t xml:space="preserve">suaugę </w:t>
      </w:r>
      <w:r w:rsidRPr="008A39EB">
        <w:rPr>
          <w:rFonts w:ascii="Times New Roman" w:hAnsi="Times New Roman"/>
          <w:noProof/>
        </w:rPr>
        <w:t>pacientai, sergantys vidutinio sunkumo ir sunkia Alzheimerio liga.</w:t>
      </w:r>
    </w:p>
    <w:p w14:paraId="1964D9EC" w14:textId="77777777" w:rsidR="00522FD8" w:rsidRPr="008A39EB" w:rsidRDefault="00522FD8" w:rsidP="00522FD8">
      <w:pPr>
        <w:spacing w:after="0" w:line="240" w:lineRule="auto"/>
        <w:rPr>
          <w:rFonts w:ascii="Times New Roman" w:hAnsi="Times New Roman"/>
          <w:noProof/>
        </w:rPr>
      </w:pPr>
    </w:p>
    <w:p w14:paraId="4D08FBCA" w14:textId="77777777" w:rsidR="00522FD8" w:rsidRPr="008A39EB" w:rsidRDefault="00522FD8" w:rsidP="00522FD8">
      <w:pPr>
        <w:spacing w:after="0" w:line="240" w:lineRule="auto"/>
        <w:rPr>
          <w:rFonts w:ascii="Times New Roman" w:hAnsi="Times New Roman"/>
          <w:noProof/>
        </w:rPr>
      </w:pPr>
    </w:p>
    <w:p w14:paraId="6CB0520A" w14:textId="77777777" w:rsidR="00522FD8" w:rsidRPr="008A39EB" w:rsidRDefault="00522FD8" w:rsidP="00522FD8">
      <w:pPr>
        <w:keepNext/>
        <w:tabs>
          <w:tab w:val="left" w:pos="567"/>
        </w:tabs>
        <w:spacing w:after="0" w:line="240" w:lineRule="auto"/>
        <w:outlineLvl w:val="1"/>
        <w:rPr>
          <w:rFonts w:ascii="Times New Roman" w:hAnsi="Times New Roman"/>
          <w:b/>
        </w:rPr>
      </w:pPr>
      <w:bookmarkStart w:id="4" w:name="_Toc129243265"/>
      <w:bookmarkStart w:id="5" w:name="_Toc129243140"/>
      <w:r w:rsidRPr="008A39EB">
        <w:rPr>
          <w:rFonts w:ascii="Times New Roman" w:hAnsi="Times New Roman"/>
          <w:b/>
        </w:rPr>
        <w:t>2.</w:t>
      </w:r>
      <w:r w:rsidRPr="008A39EB">
        <w:rPr>
          <w:rFonts w:ascii="Times New Roman" w:hAnsi="Times New Roman"/>
          <w:b/>
        </w:rPr>
        <w:tab/>
        <w:t xml:space="preserve">Kas žinotina prieš vartojant </w:t>
      </w:r>
      <w:bookmarkEnd w:id="4"/>
      <w:bookmarkEnd w:id="5"/>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43484BC9" w14:textId="77777777" w:rsidR="00522FD8" w:rsidRPr="008A39EB" w:rsidRDefault="00522FD8" w:rsidP="00522FD8">
      <w:pPr>
        <w:spacing w:after="0" w:line="240" w:lineRule="auto"/>
        <w:rPr>
          <w:rFonts w:ascii="Times New Roman" w:hAnsi="Times New Roman"/>
          <w:noProof/>
        </w:rPr>
      </w:pPr>
    </w:p>
    <w:p w14:paraId="47902520" w14:textId="77777777" w:rsidR="00522FD8" w:rsidRPr="008A39EB" w:rsidRDefault="00522FD8" w:rsidP="00522FD8">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vartoti negalima:</w:t>
      </w:r>
    </w:p>
    <w:p w14:paraId="7FED24EC" w14:textId="77777777" w:rsidR="00522FD8" w:rsidRPr="008A39EB" w:rsidRDefault="00522FD8" w:rsidP="00522FD8">
      <w:pPr>
        <w:numPr>
          <w:ilvl w:val="0"/>
          <w:numId w:val="2"/>
        </w:numPr>
        <w:spacing w:after="0" w:line="240" w:lineRule="auto"/>
        <w:ind w:left="567" w:hanging="567"/>
        <w:rPr>
          <w:rFonts w:ascii="Times New Roman" w:hAnsi="Times New Roman"/>
          <w:noProof/>
        </w:rPr>
      </w:pPr>
      <w:r w:rsidRPr="008A39EB">
        <w:rPr>
          <w:rFonts w:ascii="Times New Roman" w:hAnsi="Times New Roman"/>
          <w:noProof/>
        </w:rPr>
        <w:t>jeigu yra alergija memantino hidrochloridui arba bet kuriai pagalbinei šio vaisto medžiagai (jos išvardytos 6 skyriuje).</w:t>
      </w:r>
    </w:p>
    <w:p w14:paraId="47AE6BF1" w14:textId="77777777" w:rsidR="00522FD8" w:rsidRPr="008A39EB" w:rsidRDefault="00522FD8" w:rsidP="00522FD8">
      <w:pPr>
        <w:spacing w:after="0" w:line="240" w:lineRule="auto"/>
        <w:rPr>
          <w:rFonts w:ascii="Times New Roman" w:hAnsi="Times New Roman"/>
          <w:noProof/>
        </w:rPr>
      </w:pPr>
    </w:p>
    <w:p w14:paraId="096FE049"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Įspėjimai ir atsargumo priemonės</w:t>
      </w:r>
    </w:p>
    <w:p w14:paraId="23FBFAEE" w14:textId="77777777" w:rsidR="00522FD8" w:rsidRPr="008A39EB" w:rsidRDefault="00522FD8" w:rsidP="00522FD8">
      <w:pPr>
        <w:spacing w:after="0" w:line="240" w:lineRule="auto"/>
        <w:rPr>
          <w:rFonts w:ascii="Times New Roman" w:hAnsi="Times New Roman"/>
          <w:bCs/>
        </w:rPr>
      </w:pPr>
      <w:r w:rsidRPr="008A39EB">
        <w:rPr>
          <w:rFonts w:ascii="Times New Roman" w:hAnsi="Times New Roman"/>
          <w:bCs/>
        </w:rPr>
        <w:t xml:space="preserve">Pasitarkite su gydytoju arba vaistininku, prieš pradėdami vartoti </w:t>
      </w: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Cs/>
        </w:rPr>
        <w:t>:</w:t>
      </w:r>
    </w:p>
    <w:p w14:paraId="14D64EF6" w14:textId="77777777" w:rsidR="00522FD8" w:rsidRPr="008A39EB" w:rsidRDefault="00522FD8" w:rsidP="00522FD8">
      <w:pPr>
        <w:numPr>
          <w:ilvl w:val="0"/>
          <w:numId w:val="2"/>
        </w:numPr>
        <w:spacing w:after="0" w:line="240" w:lineRule="auto"/>
        <w:ind w:left="567" w:hanging="567"/>
        <w:rPr>
          <w:rFonts w:ascii="Times New Roman" w:hAnsi="Times New Roman"/>
          <w:noProof/>
        </w:rPr>
      </w:pPr>
      <w:r w:rsidRPr="008A39EB">
        <w:rPr>
          <w:rFonts w:ascii="Times New Roman" w:hAnsi="Times New Roman"/>
          <w:noProof/>
        </w:rPr>
        <w:t>jeigu yra buvę epilepsinių traukulių priepuolių;</w:t>
      </w:r>
    </w:p>
    <w:p w14:paraId="7C9FE651" w14:textId="77777777" w:rsidR="00522FD8" w:rsidRPr="008A39EB" w:rsidRDefault="00522FD8" w:rsidP="00522FD8">
      <w:pPr>
        <w:numPr>
          <w:ilvl w:val="0"/>
          <w:numId w:val="2"/>
        </w:numPr>
        <w:spacing w:after="0" w:line="240" w:lineRule="auto"/>
        <w:ind w:left="567" w:hanging="567"/>
        <w:rPr>
          <w:rFonts w:ascii="Times New Roman" w:hAnsi="Times New Roman"/>
          <w:noProof/>
        </w:rPr>
      </w:pPr>
      <w:r w:rsidRPr="008A39EB">
        <w:rPr>
          <w:rFonts w:ascii="Times New Roman" w:hAnsi="Times New Roman"/>
          <w:noProof/>
        </w:rPr>
        <w:t>jeigu neseniai ištiko miokardo infarktas (širdies priepuolis), sergate staziniu širdies nepakankamumu arba nekontroliuojama hipertenzija (padidėjusiu kraujospūdžiu).</w:t>
      </w:r>
    </w:p>
    <w:p w14:paraId="1D539F0C" w14:textId="77777777" w:rsidR="00522FD8" w:rsidRPr="008A39EB" w:rsidRDefault="00522FD8" w:rsidP="00522FD8">
      <w:pPr>
        <w:spacing w:after="0" w:line="240" w:lineRule="auto"/>
        <w:rPr>
          <w:rFonts w:ascii="Times New Roman" w:hAnsi="Times New Roman"/>
          <w:noProof/>
        </w:rPr>
      </w:pPr>
    </w:p>
    <w:p w14:paraId="2C095F4F"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Minėtais atvejais pacientui būtina atidi gydytojo priežiūra. Jis reguliariai nustatinėja, ar naudinga toliau vartoti Memantine Orion. </w:t>
      </w:r>
    </w:p>
    <w:p w14:paraId="7E9A2C44" w14:textId="77777777" w:rsidR="00522FD8" w:rsidRPr="008A39EB" w:rsidRDefault="00522FD8" w:rsidP="00522FD8">
      <w:pPr>
        <w:spacing w:after="0" w:line="240" w:lineRule="auto"/>
        <w:rPr>
          <w:rFonts w:ascii="Times New Roman" w:hAnsi="Times New Roman"/>
          <w:noProof/>
        </w:rPr>
      </w:pPr>
    </w:p>
    <w:p w14:paraId="7BA13359"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Jeigu yra inkstų funkcijos sutrikimas (inkstų liga), gydymo metu gydytojas atidžiai seka inkstų funkciją ir, jei reikalinga, koreguoja memantino dozę. </w:t>
      </w:r>
    </w:p>
    <w:p w14:paraId="723BC6E7" w14:textId="77777777" w:rsidR="00522FD8" w:rsidRPr="008A39EB" w:rsidRDefault="00522FD8" w:rsidP="00522FD8">
      <w:pPr>
        <w:spacing w:after="0" w:line="240" w:lineRule="auto"/>
        <w:rPr>
          <w:rFonts w:ascii="Times New Roman" w:hAnsi="Times New Roman"/>
          <w:noProof/>
        </w:rPr>
      </w:pPr>
    </w:p>
    <w:p w14:paraId="7A4A8992"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lastRenderedPageBreak/>
        <w:t>Kartu su šiuo vaistu negalima vartoti amantadino (Parkinsono ligai gydyti), ketamino (medžiagos, kuri įprastai vartojama kaip anestetikas), dekstrometorfano (vaisto, kuris įprastai vartojamas gydyti kosuliui) ir kitų NMDA receptorių antagonistų.</w:t>
      </w:r>
    </w:p>
    <w:p w14:paraId="188C9769" w14:textId="77777777" w:rsidR="00522FD8" w:rsidRPr="008A39EB" w:rsidRDefault="00522FD8" w:rsidP="00522FD8">
      <w:pPr>
        <w:spacing w:after="0" w:line="240" w:lineRule="auto"/>
        <w:rPr>
          <w:rFonts w:ascii="Times New Roman" w:hAnsi="Times New Roman"/>
          <w:b/>
          <w:bCs/>
        </w:rPr>
      </w:pPr>
    </w:p>
    <w:p w14:paraId="649943E0"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Vaikams ir paaugliams</w:t>
      </w:r>
    </w:p>
    <w:p w14:paraId="66CDD312" w14:textId="77777777" w:rsidR="00522FD8" w:rsidRPr="008A39EB" w:rsidRDefault="00522FD8" w:rsidP="00522FD8">
      <w:pPr>
        <w:spacing w:after="0" w:line="240" w:lineRule="auto"/>
        <w:rPr>
          <w:rFonts w:ascii="Times New Roman" w:hAnsi="Times New Roman"/>
          <w:bCs/>
        </w:rPr>
      </w:pPr>
      <w:r w:rsidRPr="008A39EB">
        <w:rPr>
          <w:rFonts w:ascii="Times New Roman" w:hAnsi="Times New Roman"/>
          <w:bCs/>
        </w:rPr>
        <w:t xml:space="preserve">Vaikams ir jaunesniems nei 18 metų paaugliams </w:t>
      </w: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
          <w:bCs/>
        </w:rPr>
        <w:t xml:space="preserve"> </w:t>
      </w:r>
      <w:r w:rsidRPr="008A39EB">
        <w:rPr>
          <w:rFonts w:ascii="Times New Roman" w:hAnsi="Times New Roman"/>
          <w:bCs/>
        </w:rPr>
        <w:t xml:space="preserve">vartoti </w:t>
      </w:r>
      <w:r w:rsidRPr="008A39EB">
        <w:rPr>
          <w:rFonts w:ascii="Times New Roman" w:hAnsi="Times New Roman"/>
          <w:b/>
          <w:bCs/>
        </w:rPr>
        <w:t>nerekomenduojama.</w:t>
      </w:r>
    </w:p>
    <w:p w14:paraId="01274C8F" w14:textId="77777777" w:rsidR="00522FD8" w:rsidRPr="008A39EB" w:rsidRDefault="00522FD8" w:rsidP="00522FD8">
      <w:pPr>
        <w:spacing w:after="0" w:line="240" w:lineRule="auto"/>
        <w:rPr>
          <w:rFonts w:ascii="Times New Roman" w:hAnsi="Times New Roman"/>
          <w:b/>
          <w:bCs/>
        </w:rPr>
      </w:pPr>
    </w:p>
    <w:p w14:paraId="5BB0B675"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 xml:space="preserve">Kiti vaistai ir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w:t>
      </w:r>
    </w:p>
    <w:p w14:paraId="25547C4D"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Jeigu vartojate ar neseniai vartojote kitų vaistų arba dėl to nesate tikri, apie tai pasakykite gydytojui arba vaistininkui.</w:t>
      </w:r>
    </w:p>
    <w:p w14:paraId="35315417" w14:textId="77777777" w:rsidR="00522FD8" w:rsidRPr="008A39EB" w:rsidRDefault="00522FD8" w:rsidP="00522FD8">
      <w:pPr>
        <w:spacing w:after="0" w:line="240" w:lineRule="auto"/>
        <w:rPr>
          <w:rFonts w:ascii="Times New Roman" w:hAnsi="Times New Roman"/>
          <w:noProof/>
        </w:rPr>
      </w:pPr>
    </w:p>
    <w:p w14:paraId="4073C016"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Memantine Orion ypač gali keisti toliau išvardintų vaistų poveikį, todėl gydytojui gali prireikti koreguoti jų dozę:</w:t>
      </w:r>
    </w:p>
    <w:p w14:paraId="339CDBA4"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amantadino, ketamino, dekstrometorfano;</w:t>
      </w:r>
    </w:p>
    <w:p w14:paraId="23A2FFA4"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dantroleno, baklofeno;</w:t>
      </w:r>
    </w:p>
    <w:p w14:paraId="3F3600FB"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 xml:space="preserve">cimetidino, ranitidino, prokainamido, chinidino, chinino, nikotino hidrochlorotiazido (įskaitant kompleksinius </w:t>
      </w:r>
      <w:r>
        <w:rPr>
          <w:rFonts w:ascii="Times New Roman" w:hAnsi="Times New Roman"/>
          <w:noProof/>
        </w:rPr>
        <w:t>vaistus</w:t>
      </w:r>
      <w:r w:rsidRPr="008A39EB">
        <w:rPr>
          <w:rFonts w:ascii="Times New Roman" w:hAnsi="Times New Roman"/>
          <w:noProof/>
        </w:rPr>
        <w:t>, kuriuose yra hidrochlorotiazido);</w:t>
      </w:r>
    </w:p>
    <w:p w14:paraId="15D08530"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anticholinerginių vaistų (vaistų nuo judesių sutrikimo arba žarnyno spazmų);</w:t>
      </w:r>
    </w:p>
    <w:p w14:paraId="7B923A68" w14:textId="77777777" w:rsidR="00522FD8" w:rsidRPr="008A39EB" w:rsidRDefault="00522FD8" w:rsidP="00522FD8">
      <w:pPr>
        <w:numPr>
          <w:ilvl w:val="0"/>
          <w:numId w:val="3"/>
        </w:numPr>
        <w:spacing w:after="0" w:line="240" w:lineRule="auto"/>
        <w:ind w:left="567" w:hanging="567"/>
        <w:rPr>
          <w:rFonts w:ascii="Times New Roman" w:hAnsi="Times New Roman"/>
          <w:noProof/>
        </w:rPr>
      </w:pPr>
      <w:r>
        <w:rPr>
          <w:rFonts w:ascii="Times New Roman" w:hAnsi="Times New Roman"/>
          <w:noProof/>
        </w:rPr>
        <w:t>vais</w:t>
      </w:r>
      <w:r w:rsidRPr="008A39EB">
        <w:rPr>
          <w:rFonts w:ascii="Times New Roman" w:hAnsi="Times New Roman"/>
          <w:noProof/>
        </w:rPr>
        <w:t>tų nuo traukulių (juos šalinančių arba neleidžiančių jiems prasidėti);</w:t>
      </w:r>
    </w:p>
    <w:p w14:paraId="33D79BEC"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barbitūratų (migdomųjų vaistų);</w:t>
      </w:r>
    </w:p>
    <w:p w14:paraId="71857530"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dopaminerginės sistemos agonistų (pavyzdžiui L dopos, bromokriptino);</w:t>
      </w:r>
    </w:p>
    <w:p w14:paraId="27EDA514"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neuroleptikų (vaistų nuo psichikos ligų);</w:t>
      </w:r>
    </w:p>
    <w:p w14:paraId="62E2C6CE" w14:textId="77777777" w:rsidR="00522FD8" w:rsidRPr="008A39EB" w:rsidRDefault="00522FD8" w:rsidP="00522FD8">
      <w:pPr>
        <w:numPr>
          <w:ilvl w:val="0"/>
          <w:numId w:val="3"/>
        </w:numPr>
        <w:spacing w:after="0" w:line="240" w:lineRule="auto"/>
        <w:ind w:left="567" w:hanging="567"/>
        <w:rPr>
          <w:rFonts w:ascii="Times New Roman" w:hAnsi="Times New Roman"/>
          <w:noProof/>
        </w:rPr>
      </w:pPr>
      <w:r w:rsidRPr="008A39EB">
        <w:rPr>
          <w:rFonts w:ascii="Times New Roman" w:hAnsi="Times New Roman"/>
          <w:noProof/>
        </w:rPr>
        <w:t>geriamųjų antikoaguliantų.</w:t>
      </w:r>
    </w:p>
    <w:p w14:paraId="30F1C52C" w14:textId="77777777" w:rsidR="00522FD8" w:rsidRPr="008A39EB" w:rsidRDefault="00522FD8" w:rsidP="00522FD8">
      <w:pPr>
        <w:spacing w:after="0" w:line="240" w:lineRule="auto"/>
        <w:rPr>
          <w:rFonts w:ascii="Times New Roman" w:hAnsi="Times New Roman"/>
          <w:noProof/>
        </w:rPr>
      </w:pPr>
    </w:p>
    <w:p w14:paraId="4625F7E2"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Atvykus į ligoninę, gydytojui reikia pasakyti apie Memantine Orion vartojimą.</w:t>
      </w:r>
    </w:p>
    <w:p w14:paraId="39A37D35" w14:textId="77777777" w:rsidR="00522FD8" w:rsidRDefault="00522FD8" w:rsidP="00522FD8">
      <w:pPr>
        <w:spacing w:after="0" w:line="240" w:lineRule="auto"/>
        <w:rPr>
          <w:rFonts w:ascii="Times New Roman" w:hAnsi="Times New Roman"/>
          <w:noProof/>
        </w:rPr>
      </w:pPr>
    </w:p>
    <w:p w14:paraId="50072781" w14:textId="77777777" w:rsidR="00522FD8" w:rsidRPr="008A39EB" w:rsidRDefault="00522FD8" w:rsidP="00522FD8">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Pr>
          <w:rFonts w:ascii="Times New Roman" w:hAnsi="Times New Roman"/>
          <w:b/>
          <w:bCs/>
        </w:rPr>
        <w:t xml:space="preserve"> vartojimas su maistu ir gėrimais</w:t>
      </w:r>
    </w:p>
    <w:p w14:paraId="3D83641E"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Informuokite gydytoją jeigu neseniai pakeitėte ar planuojate iš esmės keisti mitybą (pvz., įprastinę į vegetarinę), yra inkstų kanalėlių acidozė (dėl inkstų funkcijos sutrikimo (blogos inkstų funkcijos) kraujyje padaugėja rūgštis sudarančių medžiagų) arba sunki infekcinė šlapimo takų liga (latakų, kuriais teka šlapimas), kadangi gali reikėti keisti dozę. </w:t>
      </w:r>
    </w:p>
    <w:p w14:paraId="74A4AE15" w14:textId="77777777" w:rsidR="00522FD8" w:rsidRPr="008A39EB" w:rsidRDefault="00522FD8" w:rsidP="00522FD8">
      <w:pPr>
        <w:spacing w:after="0" w:line="240" w:lineRule="auto"/>
        <w:rPr>
          <w:rFonts w:ascii="Times New Roman" w:hAnsi="Times New Roman"/>
          <w:noProof/>
        </w:rPr>
      </w:pPr>
    </w:p>
    <w:p w14:paraId="6CB75E00"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Nėštumas</w:t>
      </w:r>
      <w:r>
        <w:rPr>
          <w:rFonts w:ascii="Times New Roman" w:hAnsi="Times New Roman"/>
          <w:b/>
          <w:bCs/>
        </w:rPr>
        <w:t xml:space="preserve"> ir </w:t>
      </w:r>
      <w:r w:rsidRPr="008A39EB">
        <w:rPr>
          <w:rFonts w:ascii="Times New Roman" w:hAnsi="Times New Roman"/>
          <w:b/>
          <w:bCs/>
        </w:rPr>
        <w:t>žindymo laikotarpis</w:t>
      </w:r>
    </w:p>
    <w:p w14:paraId="519E284D"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Jeigu esate nėščia, žindote kūdikį, manote, kad galbūt esate nėščia arba planuojate pastoti, tai prieš vartodama šį vaistą pasitarkite su gydytoju.</w:t>
      </w:r>
    </w:p>
    <w:p w14:paraId="3B7CE704" w14:textId="77777777" w:rsidR="00522FD8" w:rsidRDefault="00522FD8" w:rsidP="00522FD8">
      <w:pPr>
        <w:spacing w:after="0" w:line="240" w:lineRule="auto"/>
        <w:rPr>
          <w:rFonts w:ascii="Times New Roman" w:hAnsi="Times New Roman"/>
          <w:noProof/>
        </w:rPr>
      </w:pPr>
    </w:p>
    <w:p w14:paraId="41B76483" w14:textId="77777777" w:rsidR="00522FD8" w:rsidRPr="004E6854" w:rsidRDefault="00522FD8" w:rsidP="00522FD8">
      <w:pPr>
        <w:spacing w:after="0" w:line="240" w:lineRule="auto"/>
        <w:rPr>
          <w:rFonts w:ascii="Times New Roman" w:hAnsi="Times New Roman"/>
          <w:noProof/>
          <w:u w:val="single"/>
        </w:rPr>
      </w:pPr>
      <w:r w:rsidRPr="004E6854">
        <w:rPr>
          <w:rFonts w:ascii="Times New Roman" w:hAnsi="Times New Roman"/>
          <w:noProof/>
          <w:u w:val="single"/>
        </w:rPr>
        <w:t>Nėštumas</w:t>
      </w:r>
    </w:p>
    <w:p w14:paraId="3397CA2F" w14:textId="77777777" w:rsidR="00522FD8" w:rsidRDefault="00522FD8" w:rsidP="00522FD8">
      <w:pPr>
        <w:spacing w:after="0" w:line="240" w:lineRule="auto"/>
        <w:rPr>
          <w:rFonts w:ascii="Times New Roman" w:hAnsi="Times New Roman"/>
          <w:b/>
          <w:noProof/>
        </w:rPr>
      </w:pPr>
      <w:r w:rsidRPr="008A39EB">
        <w:rPr>
          <w:rFonts w:ascii="Times New Roman" w:hAnsi="Times New Roman"/>
          <w:noProof/>
        </w:rPr>
        <w:t xml:space="preserve">Nėščioms meterims memantino vartoti </w:t>
      </w:r>
      <w:r w:rsidRPr="008A39EB">
        <w:rPr>
          <w:rFonts w:ascii="Times New Roman" w:hAnsi="Times New Roman"/>
          <w:b/>
          <w:noProof/>
        </w:rPr>
        <w:t>nerekomenduojama.</w:t>
      </w:r>
    </w:p>
    <w:p w14:paraId="613449AF" w14:textId="77777777" w:rsidR="00522FD8" w:rsidRDefault="00522FD8" w:rsidP="00522FD8">
      <w:pPr>
        <w:spacing w:after="0" w:line="240" w:lineRule="auto"/>
        <w:rPr>
          <w:rFonts w:ascii="Times New Roman" w:hAnsi="Times New Roman"/>
          <w:noProof/>
        </w:rPr>
      </w:pPr>
    </w:p>
    <w:p w14:paraId="2DFBABE5" w14:textId="77777777" w:rsidR="00522FD8" w:rsidRPr="004E6854" w:rsidRDefault="00522FD8" w:rsidP="00522FD8">
      <w:pPr>
        <w:spacing w:after="0" w:line="240" w:lineRule="auto"/>
        <w:rPr>
          <w:rFonts w:ascii="Times New Roman" w:hAnsi="Times New Roman"/>
          <w:noProof/>
          <w:u w:val="single"/>
        </w:rPr>
      </w:pPr>
      <w:r w:rsidRPr="004E6854">
        <w:rPr>
          <w:rFonts w:ascii="Times New Roman" w:hAnsi="Times New Roman"/>
          <w:noProof/>
          <w:u w:val="single"/>
        </w:rPr>
        <w:t>Žindymas</w:t>
      </w:r>
    </w:p>
    <w:p w14:paraId="2AFE4A8E"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Memantine Orion vartojančioms moterims </w:t>
      </w:r>
      <w:r w:rsidRPr="008A39EB">
        <w:rPr>
          <w:rFonts w:ascii="Times New Roman" w:hAnsi="Times New Roman"/>
          <w:b/>
          <w:noProof/>
        </w:rPr>
        <w:t>kūdikio krūtimi maitinti negalima.</w:t>
      </w:r>
    </w:p>
    <w:p w14:paraId="787F05AB" w14:textId="77777777" w:rsidR="00522FD8" w:rsidRPr="008A39EB" w:rsidRDefault="00522FD8" w:rsidP="00522FD8">
      <w:pPr>
        <w:spacing w:after="0" w:line="240" w:lineRule="auto"/>
        <w:rPr>
          <w:rFonts w:ascii="Times New Roman" w:hAnsi="Times New Roman"/>
          <w:b/>
          <w:bCs/>
        </w:rPr>
      </w:pPr>
    </w:p>
    <w:p w14:paraId="3C097A64"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Vairavimas ir mechanizmų valdymas</w:t>
      </w:r>
    </w:p>
    <w:p w14:paraId="52A91F2D"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Ar galima dėl Alzheimerio ligos vairuoti ir valdyti mechanizmus, nustato gydytojas. Vartojant Memantine Orion, gali kisti reakcija, todėl žmogus gali nesugebėti vairuoti ir valdyti mechanizmus.</w:t>
      </w:r>
    </w:p>
    <w:p w14:paraId="3D1DDAD0" w14:textId="77777777" w:rsidR="00522FD8" w:rsidRPr="008A39EB" w:rsidRDefault="00522FD8" w:rsidP="00522FD8">
      <w:pPr>
        <w:spacing w:after="0" w:line="240" w:lineRule="auto"/>
        <w:rPr>
          <w:rFonts w:ascii="Times New Roman" w:hAnsi="Times New Roman"/>
          <w:noProof/>
        </w:rPr>
      </w:pPr>
    </w:p>
    <w:p w14:paraId="3D6032C2" w14:textId="77777777" w:rsidR="00522FD8" w:rsidRPr="008A39EB" w:rsidRDefault="00522FD8" w:rsidP="00522FD8">
      <w:pPr>
        <w:spacing w:after="0" w:line="240" w:lineRule="auto"/>
        <w:rPr>
          <w:rFonts w:ascii="Times New Roman" w:hAnsi="Times New Roman"/>
          <w:noProof/>
        </w:rPr>
      </w:pPr>
    </w:p>
    <w:p w14:paraId="2E88041C" w14:textId="77777777" w:rsidR="00522FD8" w:rsidRPr="008A39EB" w:rsidRDefault="00522FD8" w:rsidP="00522FD8">
      <w:pPr>
        <w:keepNext/>
        <w:tabs>
          <w:tab w:val="left" w:pos="567"/>
        </w:tabs>
        <w:spacing w:after="0" w:line="240" w:lineRule="auto"/>
        <w:outlineLvl w:val="1"/>
        <w:rPr>
          <w:rFonts w:ascii="Times New Roman" w:hAnsi="Times New Roman"/>
          <w:b/>
        </w:rPr>
      </w:pPr>
      <w:bookmarkStart w:id="6" w:name="_Toc129243266"/>
      <w:bookmarkStart w:id="7" w:name="_Toc129243141"/>
      <w:r w:rsidRPr="008A39EB">
        <w:rPr>
          <w:rFonts w:ascii="Times New Roman" w:hAnsi="Times New Roman"/>
          <w:b/>
        </w:rPr>
        <w:t>3.</w:t>
      </w:r>
      <w:r w:rsidRPr="008A39EB">
        <w:rPr>
          <w:rFonts w:ascii="Times New Roman" w:hAnsi="Times New Roman"/>
          <w:b/>
        </w:rPr>
        <w:tab/>
      </w:r>
      <w:bookmarkEnd w:id="6"/>
      <w:bookmarkEnd w:id="7"/>
      <w:r w:rsidRPr="008A39EB">
        <w:rPr>
          <w:rFonts w:ascii="Times New Roman" w:hAnsi="Times New Roman"/>
          <w:b/>
        </w:rPr>
        <w:t xml:space="preserve">Kaip vartoti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33127286" w14:textId="77777777" w:rsidR="00522FD8" w:rsidRPr="008A39EB" w:rsidRDefault="00522FD8" w:rsidP="00522FD8">
      <w:pPr>
        <w:spacing w:after="0" w:line="240" w:lineRule="auto"/>
        <w:rPr>
          <w:rFonts w:ascii="Times New Roman" w:hAnsi="Times New Roman"/>
          <w:noProof/>
        </w:rPr>
      </w:pPr>
    </w:p>
    <w:p w14:paraId="65C05C0A"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Visada vartokite šį vaistą tiksliai kaip nurodė gydytojas. Jeigu abejojate, kreipkitės į gydytoją arba vaistininką. </w:t>
      </w:r>
    </w:p>
    <w:p w14:paraId="1F97D1EA" w14:textId="77777777" w:rsidR="00522FD8" w:rsidRPr="008A39EB" w:rsidRDefault="00522FD8" w:rsidP="00522FD8">
      <w:pPr>
        <w:spacing w:after="0" w:line="240" w:lineRule="auto"/>
        <w:rPr>
          <w:rFonts w:ascii="Times New Roman" w:hAnsi="Times New Roman"/>
          <w:noProof/>
        </w:rPr>
      </w:pPr>
    </w:p>
    <w:p w14:paraId="1E5CAF2A" w14:textId="77777777" w:rsidR="00522FD8" w:rsidRPr="008A39EB" w:rsidRDefault="00522FD8" w:rsidP="00522FD8">
      <w:pPr>
        <w:spacing w:after="0" w:line="240" w:lineRule="auto"/>
        <w:rPr>
          <w:rFonts w:ascii="Times New Roman" w:hAnsi="Times New Roman"/>
          <w:b/>
          <w:noProof/>
        </w:rPr>
      </w:pPr>
      <w:r w:rsidRPr="008A39EB">
        <w:rPr>
          <w:rFonts w:ascii="Times New Roman" w:hAnsi="Times New Roman"/>
          <w:b/>
          <w:noProof/>
        </w:rPr>
        <w:t>Dozavimas</w:t>
      </w:r>
    </w:p>
    <w:p w14:paraId="64B897BA" w14:textId="77777777" w:rsidR="00522FD8" w:rsidRPr="008A39EB" w:rsidRDefault="00522FD8" w:rsidP="00522FD8">
      <w:pPr>
        <w:spacing w:after="0" w:line="240" w:lineRule="auto"/>
        <w:rPr>
          <w:rFonts w:ascii="Times New Roman" w:hAnsi="Times New Roman"/>
          <w:b/>
          <w:noProof/>
        </w:rPr>
      </w:pPr>
    </w:p>
    <w:p w14:paraId="18A1A0A0" w14:textId="77777777" w:rsidR="00522FD8" w:rsidRDefault="00522FD8" w:rsidP="00522FD8">
      <w:pPr>
        <w:spacing w:after="0" w:line="240" w:lineRule="auto"/>
        <w:rPr>
          <w:rFonts w:ascii="Times New Roman" w:hAnsi="Times New Roman"/>
          <w:noProof/>
        </w:rPr>
      </w:pPr>
      <w:r w:rsidRPr="008A39EB">
        <w:rPr>
          <w:rFonts w:ascii="Times New Roman" w:hAnsi="Times New Roman"/>
          <w:noProof/>
        </w:rPr>
        <w:t>Suaugusie</w:t>
      </w:r>
      <w:r>
        <w:rPr>
          <w:rFonts w:ascii="Times New Roman" w:hAnsi="Times New Roman"/>
          <w:noProof/>
        </w:rPr>
        <w:t>sie</w:t>
      </w:r>
      <w:r w:rsidRPr="008A39EB">
        <w:rPr>
          <w:rFonts w:ascii="Times New Roman" w:hAnsi="Times New Roman"/>
          <w:noProof/>
        </w:rPr>
        <w:t>ms, įskaitant senyvus, rekomenduojama paros dozė yra 20 mg, 1 kartą per parą. Kad sumažėtų šalutinio poveikio pasireiškimo rizika, dozę reikia didinti palaipsniui taip, kaip nurodyta lentelėje.</w:t>
      </w:r>
    </w:p>
    <w:p w14:paraId="0B9BDCBD" w14:textId="77777777" w:rsidR="00522FD8" w:rsidRPr="004E6854" w:rsidRDefault="00522FD8" w:rsidP="00522FD8">
      <w:pPr>
        <w:spacing w:after="0" w:line="240" w:lineRule="auto"/>
        <w:rPr>
          <w:rFonts w:ascii="Times New Roman" w:hAnsi="Times New Roman"/>
          <w:noProof/>
          <w:u w:val="single"/>
        </w:rPr>
      </w:pPr>
      <w:r w:rsidRPr="004E6854">
        <w:rPr>
          <w:rFonts w:ascii="Times New Roman" w:hAnsi="Times New Roman"/>
          <w:noProof/>
          <w:u w:val="single"/>
        </w:rPr>
        <w:lastRenderedPageBreak/>
        <w:t>Pirma savaitė (1–7 diena)</w:t>
      </w:r>
    </w:p>
    <w:p w14:paraId="7570047E" w14:textId="77777777" w:rsidR="00522FD8" w:rsidRPr="00EF7BA4" w:rsidRDefault="00522FD8" w:rsidP="00522FD8">
      <w:pPr>
        <w:spacing w:after="0" w:line="240" w:lineRule="auto"/>
        <w:rPr>
          <w:rFonts w:ascii="Times New Roman" w:hAnsi="Times New Roman"/>
          <w:noProof/>
        </w:rPr>
      </w:pPr>
      <w:r w:rsidRPr="00EF7BA4">
        <w:rPr>
          <w:rFonts w:ascii="Times New Roman" w:hAnsi="Times New Roman"/>
          <w:noProof/>
        </w:rPr>
        <w:t xml:space="preserve">7 dienas vartokite po pusę 10 mg tabletės (5 mg) kartą per parą. </w:t>
      </w:r>
    </w:p>
    <w:p w14:paraId="65693AB3" w14:textId="77777777" w:rsidR="00522FD8" w:rsidRPr="00EF7BA4" w:rsidRDefault="00522FD8" w:rsidP="00522FD8">
      <w:pPr>
        <w:spacing w:after="0" w:line="240" w:lineRule="auto"/>
        <w:rPr>
          <w:rFonts w:ascii="Times New Roman" w:hAnsi="Times New Roman"/>
          <w:noProof/>
        </w:rPr>
      </w:pPr>
    </w:p>
    <w:p w14:paraId="10FDD8A5" w14:textId="77777777" w:rsidR="00522FD8" w:rsidRPr="004E6854" w:rsidRDefault="00522FD8" w:rsidP="00522FD8">
      <w:pPr>
        <w:spacing w:after="0" w:line="240" w:lineRule="auto"/>
        <w:rPr>
          <w:rFonts w:ascii="Times New Roman" w:hAnsi="Times New Roman"/>
          <w:noProof/>
          <w:u w:val="single"/>
        </w:rPr>
      </w:pPr>
      <w:r w:rsidRPr="004E6854">
        <w:rPr>
          <w:rFonts w:ascii="Times New Roman" w:hAnsi="Times New Roman"/>
          <w:noProof/>
          <w:u w:val="single"/>
        </w:rPr>
        <w:t>Antra savaitė (8–14 diena)</w:t>
      </w:r>
    </w:p>
    <w:p w14:paraId="756CEFD4" w14:textId="77777777" w:rsidR="00522FD8" w:rsidRPr="00EF7BA4" w:rsidRDefault="00522FD8" w:rsidP="00522FD8">
      <w:pPr>
        <w:spacing w:after="0" w:line="240" w:lineRule="auto"/>
        <w:rPr>
          <w:rFonts w:ascii="Times New Roman" w:hAnsi="Times New Roman"/>
          <w:noProof/>
        </w:rPr>
      </w:pPr>
      <w:r w:rsidRPr="00EF7BA4">
        <w:rPr>
          <w:rFonts w:ascii="Times New Roman" w:hAnsi="Times New Roman"/>
          <w:noProof/>
        </w:rPr>
        <w:t xml:space="preserve">7 dienas vartokite po vieną 10 mg </w:t>
      </w:r>
      <w:r>
        <w:rPr>
          <w:rFonts w:ascii="Times New Roman" w:hAnsi="Times New Roman"/>
          <w:noProof/>
        </w:rPr>
        <w:t xml:space="preserve">tabletę </w:t>
      </w:r>
      <w:r w:rsidRPr="00EF7BA4">
        <w:rPr>
          <w:rFonts w:ascii="Times New Roman" w:hAnsi="Times New Roman"/>
          <w:noProof/>
        </w:rPr>
        <w:t xml:space="preserve">kartą per parą. </w:t>
      </w:r>
    </w:p>
    <w:p w14:paraId="6F399990" w14:textId="77777777" w:rsidR="00522FD8" w:rsidRPr="00EF7BA4" w:rsidRDefault="00522FD8" w:rsidP="00522FD8">
      <w:pPr>
        <w:spacing w:after="0" w:line="240" w:lineRule="auto"/>
        <w:rPr>
          <w:rFonts w:ascii="Times New Roman" w:hAnsi="Times New Roman"/>
          <w:noProof/>
        </w:rPr>
      </w:pPr>
    </w:p>
    <w:p w14:paraId="0FC52BC4" w14:textId="77777777" w:rsidR="00522FD8" w:rsidRPr="004E6854" w:rsidRDefault="00522FD8" w:rsidP="00522FD8">
      <w:pPr>
        <w:spacing w:after="0" w:line="240" w:lineRule="auto"/>
        <w:rPr>
          <w:rFonts w:ascii="Times New Roman" w:hAnsi="Times New Roman"/>
          <w:noProof/>
          <w:u w:val="single"/>
        </w:rPr>
      </w:pPr>
      <w:r w:rsidRPr="004E6854">
        <w:rPr>
          <w:rFonts w:ascii="Times New Roman" w:hAnsi="Times New Roman"/>
          <w:noProof/>
          <w:u w:val="single"/>
        </w:rPr>
        <w:t>Trečia savaitė (15–21 diena)</w:t>
      </w:r>
    </w:p>
    <w:p w14:paraId="1A2CBAD3" w14:textId="77777777" w:rsidR="00522FD8" w:rsidRPr="00EF7BA4" w:rsidRDefault="00522FD8" w:rsidP="00522FD8">
      <w:pPr>
        <w:spacing w:after="0" w:line="240" w:lineRule="auto"/>
        <w:rPr>
          <w:rFonts w:ascii="Times New Roman" w:hAnsi="Times New Roman"/>
          <w:noProof/>
        </w:rPr>
      </w:pPr>
      <w:r w:rsidRPr="00EF7BA4">
        <w:rPr>
          <w:rFonts w:ascii="Times New Roman" w:hAnsi="Times New Roman"/>
          <w:noProof/>
        </w:rPr>
        <w:t>7 dienas vartokite po pusantros 10 mg tabletės (15 mg) kartą per parą.</w:t>
      </w:r>
    </w:p>
    <w:p w14:paraId="4107E21B" w14:textId="77777777" w:rsidR="00522FD8" w:rsidRPr="00EF7BA4" w:rsidRDefault="00522FD8" w:rsidP="00522FD8">
      <w:pPr>
        <w:spacing w:after="0" w:line="240" w:lineRule="auto"/>
        <w:rPr>
          <w:rFonts w:ascii="Times New Roman" w:hAnsi="Times New Roman"/>
          <w:noProof/>
        </w:rPr>
      </w:pPr>
    </w:p>
    <w:p w14:paraId="6679FB26" w14:textId="77777777" w:rsidR="00522FD8" w:rsidRPr="004E6854" w:rsidRDefault="00522FD8" w:rsidP="00522FD8">
      <w:pPr>
        <w:spacing w:after="0" w:line="240" w:lineRule="auto"/>
        <w:rPr>
          <w:rFonts w:ascii="Times New Roman" w:hAnsi="Times New Roman"/>
          <w:noProof/>
          <w:u w:val="single"/>
        </w:rPr>
      </w:pPr>
      <w:r w:rsidRPr="004E6854">
        <w:rPr>
          <w:rFonts w:ascii="Times New Roman" w:hAnsi="Times New Roman"/>
          <w:noProof/>
          <w:u w:val="single"/>
        </w:rPr>
        <w:t>Nuo ketvirtos savaitės</w:t>
      </w:r>
      <w:r w:rsidRPr="00EF7BA4">
        <w:rPr>
          <w:rFonts w:ascii="Times New Roman" w:hAnsi="Times New Roman"/>
          <w:noProof/>
          <w:u w:val="single"/>
        </w:rPr>
        <w:t xml:space="preserve"> (22-28 dienos ir vėliau</w:t>
      </w:r>
      <w:r w:rsidRPr="004E6854">
        <w:rPr>
          <w:rFonts w:ascii="Times New Roman" w:hAnsi="Times New Roman"/>
          <w:noProof/>
          <w:u w:val="single"/>
        </w:rPr>
        <w:t>)</w:t>
      </w:r>
    </w:p>
    <w:p w14:paraId="70A4DCBC" w14:textId="77777777" w:rsidR="00522FD8" w:rsidRPr="00EF7BA4" w:rsidRDefault="00522FD8" w:rsidP="00522FD8">
      <w:pPr>
        <w:spacing w:after="0" w:line="240" w:lineRule="auto"/>
        <w:rPr>
          <w:rFonts w:ascii="Times New Roman" w:hAnsi="Times New Roman"/>
          <w:noProof/>
        </w:rPr>
      </w:pPr>
      <w:r w:rsidRPr="00EF7BA4">
        <w:rPr>
          <w:rFonts w:ascii="Times New Roman" w:hAnsi="Times New Roman"/>
          <w:noProof/>
        </w:rPr>
        <w:t xml:space="preserve">Vartokite po dvi 10 mg </w:t>
      </w:r>
      <w:r>
        <w:rPr>
          <w:rFonts w:ascii="Times New Roman" w:hAnsi="Times New Roman"/>
          <w:noProof/>
        </w:rPr>
        <w:t xml:space="preserve">tabletes </w:t>
      </w:r>
      <w:r w:rsidRPr="00EF7BA4">
        <w:rPr>
          <w:rFonts w:ascii="Times New Roman" w:hAnsi="Times New Roman"/>
          <w:noProof/>
        </w:rPr>
        <w:t xml:space="preserve">arba vieną 20 mg tabletę kartą per parą. </w:t>
      </w:r>
    </w:p>
    <w:p w14:paraId="7FB502C4" w14:textId="77777777" w:rsidR="00522FD8" w:rsidRPr="008A39EB" w:rsidRDefault="00522FD8" w:rsidP="00522FD8">
      <w:pPr>
        <w:spacing w:after="0" w:line="240" w:lineRule="auto"/>
        <w:rPr>
          <w:rFonts w:ascii="Times New Roman" w:hAnsi="Times New Roman"/>
          <w:noProof/>
        </w:rPr>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835"/>
      </w:tblGrid>
      <w:tr w:rsidR="00522FD8" w:rsidRPr="00767BA5" w14:paraId="3331250F" w14:textId="77777777" w:rsidTr="001E32CB">
        <w:tc>
          <w:tcPr>
            <w:tcW w:w="2376" w:type="dxa"/>
            <w:tcBorders>
              <w:top w:val="single" w:sz="4" w:space="0" w:color="000000"/>
              <w:left w:val="single" w:sz="4" w:space="0" w:color="000000"/>
              <w:bottom w:val="single" w:sz="4" w:space="0" w:color="000000"/>
              <w:right w:val="single" w:sz="4" w:space="0" w:color="000000"/>
            </w:tcBorders>
            <w:hideMark/>
          </w:tcPr>
          <w:p w14:paraId="5E381DC0" w14:textId="77777777" w:rsidR="00522FD8" w:rsidRPr="008A39EB" w:rsidRDefault="00522FD8" w:rsidP="001E32CB">
            <w:pPr>
              <w:spacing w:after="0" w:line="240" w:lineRule="auto"/>
              <w:rPr>
                <w:rFonts w:ascii="Times New Roman" w:hAnsi="Times New Roman"/>
                <w:noProof/>
              </w:rPr>
            </w:pPr>
            <w:r w:rsidRPr="008A39EB">
              <w:rPr>
                <w:rFonts w:ascii="Times New Roman" w:hAnsi="Times New Roman"/>
                <w:noProof/>
              </w:rPr>
              <w:t>Pirma savaitė</w:t>
            </w:r>
          </w:p>
        </w:tc>
        <w:tc>
          <w:tcPr>
            <w:tcW w:w="2835" w:type="dxa"/>
            <w:tcBorders>
              <w:top w:val="single" w:sz="4" w:space="0" w:color="000000"/>
              <w:left w:val="single" w:sz="4" w:space="0" w:color="000000"/>
              <w:bottom w:val="single" w:sz="4" w:space="0" w:color="000000"/>
              <w:right w:val="single" w:sz="4" w:space="0" w:color="000000"/>
            </w:tcBorders>
            <w:hideMark/>
          </w:tcPr>
          <w:p w14:paraId="29DA3507" w14:textId="77777777" w:rsidR="00522FD8" w:rsidRPr="008A39EB" w:rsidRDefault="00522FD8" w:rsidP="001E32CB">
            <w:pPr>
              <w:spacing w:after="0" w:line="240" w:lineRule="auto"/>
              <w:rPr>
                <w:rFonts w:ascii="Times New Roman" w:hAnsi="Times New Roman"/>
                <w:noProof/>
              </w:rPr>
            </w:pPr>
            <w:r>
              <w:rPr>
                <w:rFonts w:ascii="Times New Roman" w:hAnsi="Times New Roman"/>
                <w:noProof/>
              </w:rPr>
              <w:t>pusė 10 mg tabletės</w:t>
            </w:r>
            <w:r w:rsidRPr="008A39EB">
              <w:rPr>
                <w:rFonts w:ascii="Times New Roman" w:hAnsi="Times New Roman"/>
                <w:noProof/>
              </w:rPr>
              <w:t xml:space="preserve"> kartą per parą</w:t>
            </w:r>
          </w:p>
        </w:tc>
      </w:tr>
      <w:tr w:rsidR="00522FD8" w:rsidRPr="00767BA5" w14:paraId="646FDA60" w14:textId="77777777" w:rsidTr="001E32CB">
        <w:tc>
          <w:tcPr>
            <w:tcW w:w="2376" w:type="dxa"/>
            <w:tcBorders>
              <w:top w:val="single" w:sz="4" w:space="0" w:color="000000"/>
              <w:left w:val="single" w:sz="4" w:space="0" w:color="000000"/>
              <w:bottom w:val="single" w:sz="4" w:space="0" w:color="000000"/>
              <w:right w:val="single" w:sz="4" w:space="0" w:color="000000"/>
            </w:tcBorders>
            <w:hideMark/>
          </w:tcPr>
          <w:p w14:paraId="7F679047" w14:textId="77777777" w:rsidR="00522FD8" w:rsidRPr="008A39EB" w:rsidRDefault="00522FD8" w:rsidP="001E32CB">
            <w:pPr>
              <w:spacing w:after="0" w:line="240" w:lineRule="auto"/>
              <w:rPr>
                <w:rFonts w:ascii="Times New Roman" w:hAnsi="Times New Roman"/>
                <w:noProof/>
              </w:rPr>
            </w:pPr>
            <w:r w:rsidRPr="008A39EB">
              <w:rPr>
                <w:rFonts w:ascii="Times New Roman" w:hAnsi="Times New Roman"/>
                <w:noProof/>
              </w:rPr>
              <w:t>Antra savaitė</w:t>
            </w:r>
          </w:p>
        </w:tc>
        <w:tc>
          <w:tcPr>
            <w:tcW w:w="2835" w:type="dxa"/>
            <w:tcBorders>
              <w:top w:val="single" w:sz="4" w:space="0" w:color="000000"/>
              <w:left w:val="single" w:sz="4" w:space="0" w:color="000000"/>
              <w:bottom w:val="single" w:sz="4" w:space="0" w:color="000000"/>
              <w:right w:val="single" w:sz="4" w:space="0" w:color="000000"/>
            </w:tcBorders>
            <w:hideMark/>
          </w:tcPr>
          <w:p w14:paraId="43170035" w14:textId="77777777" w:rsidR="00522FD8" w:rsidRPr="008A39EB" w:rsidRDefault="00522FD8" w:rsidP="001E32CB">
            <w:pPr>
              <w:spacing w:after="0" w:line="240" w:lineRule="auto"/>
              <w:rPr>
                <w:rFonts w:ascii="Times New Roman" w:hAnsi="Times New Roman"/>
                <w:noProof/>
              </w:rPr>
            </w:pPr>
            <w:r>
              <w:rPr>
                <w:rFonts w:ascii="Times New Roman" w:hAnsi="Times New Roman"/>
                <w:noProof/>
              </w:rPr>
              <w:t xml:space="preserve">viena </w:t>
            </w:r>
            <w:r w:rsidRPr="008A39EB">
              <w:rPr>
                <w:rFonts w:ascii="Times New Roman" w:hAnsi="Times New Roman"/>
                <w:noProof/>
              </w:rPr>
              <w:t xml:space="preserve">10 mg </w:t>
            </w:r>
            <w:r>
              <w:rPr>
                <w:rFonts w:ascii="Times New Roman" w:hAnsi="Times New Roman"/>
                <w:noProof/>
              </w:rPr>
              <w:t xml:space="preserve">tabletė </w:t>
            </w:r>
            <w:r w:rsidRPr="008A39EB">
              <w:rPr>
                <w:rFonts w:ascii="Times New Roman" w:hAnsi="Times New Roman"/>
                <w:noProof/>
              </w:rPr>
              <w:t>kartą per parą</w:t>
            </w:r>
          </w:p>
        </w:tc>
      </w:tr>
      <w:tr w:rsidR="00522FD8" w:rsidRPr="00767BA5" w14:paraId="489EDC6F" w14:textId="77777777" w:rsidTr="001E32CB">
        <w:tc>
          <w:tcPr>
            <w:tcW w:w="2376" w:type="dxa"/>
            <w:tcBorders>
              <w:top w:val="single" w:sz="4" w:space="0" w:color="000000"/>
              <w:left w:val="single" w:sz="4" w:space="0" w:color="000000"/>
              <w:bottom w:val="single" w:sz="4" w:space="0" w:color="000000"/>
              <w:right w:val="single" w:sz="4" w:space="0" w:color="000000"/>
            </w:tcBorders>
            <w:hideMark/>
          </w:tcPr>
          <w:p w14:paraId="32198F02" w14:textId="77777777" w:rsidR="00522FD8" w:rsidRPr="008A39EB" w:rsidRDefault="00522FD8" w:rsidP="001E32CB">
            <w:pPr>
              <w:spacing w:after="0" w:line="240" w:lineRule="auto"/>
              <w:rPr>
                <w:rFonts w:ascii="Times New Roman" w:hAnsi="Times New Roman"/>
                <w:noProof/>
              </w:rPr>
            </w:pPr>
            <w:r w:rsidRPr="008A39EB">
              <w:rPr>
                <w:rFonts w:ascii="Times New Roman" w:hAnsi="Times New Roman"/>
                <w:noProof/>
              </w:rPr>
              <w:t>Trečia savaitė</w:t>
            </w:r>
          </w:p>
        </w:tc>
        <w:tc>
          <w:tcPr>
            <w:tcW w:w="2835" w:type="dxa"/>
            <w:tcBorders>
              <w:top w:val="single" w:sz="4" w:space="0" w:color="000000"/>
              <w:left w:val="single" w:sz="4" w:space="0" w:color="000000"/>
              <w:bottom w:val="single" w:sz="4" w:space="0" w:color="000000"/>
              <w:right w:val="single" w:sz="4" w:space="0" w:color="000000"/>
            </w:tcBorders>
            <w:hideMark/>
          </w:tcPr>
          <w:p w14:paraId="19901C6A" w14:textId="77777777" w:rsidR="00522FD8" w:rsidRPr="008A39EB" w:rsidRDefault="00522FD8" w:rsidP="001E32CB">
            <w:pPr>
              <w:spacing w:after="0" w:line="240" w:lineRule="auto"/>
              <w:rPr>
                <w:rFonts w:ascii="Times New Roman" w:hAnsi="Times New Roman"/>
                <w:noProof/>
              </w:rPr>
            </w:pPr>
            <w:r>
              <w:rPr>
                <w:rFonts w:ascii="Times New Roman" w:hAnsi="Times New Roman"/>
                <w:noProof/>
              </w:rPr>
              <w:t xml:space="preserve">pusantros </w:t>
            </w:r>
            <w:r w:rsidRPr="008A39EB">
              <w:rPr>
                <w:rFonts w:ascii="Times New Roman" w:hAnsi="Times New Roman"/>
                <w:noProof/>
              </w:rPr>
              <w:t>1</w:t>
            </w:r>
            <w:r>
              <w:rPr>
                <w:rFonts w:ascii="Times New Roman" w:hAnsi="Times New Roman"/>
                <w:noProof/>
              </w:rPr>
              <w:t>0</w:t>
            </w:r>
            <w:r w:rsidRPr="008A39EB">
              <w:rPr>
                <w:rFonts w:ascii="Times New Roman" w:hAnsi="Times New Roman"/>
                <w:noProof/>
              </w:rPr>
              <w:t xml:space="preserve"> mg </w:t>
            </w:r>
            <w:r>
              <w:rPr>
                <w:rFonts w:ascii="Times New Roman" w:hAnsi="Times New Roman"/>
                <w:noProof/>
              </w:rPr>
              <w:t xml:space="preserve">tabletės </w:t>
            </w:r>
            <w:r w:rsidRPr="008A39EB">
              <w:rPr>
                <w:rFonts w:ascii="Times New Roman" w:hAnsi="Times New Roman"/>
                <w:noProof/>
              </w:rPr>
              <w:t>kartą per parą</w:t>
            </w:r>
          </w:p>
        </w:tc>
      </w:tr>
      <w:tr w:rsidR="00522FD8" w:rsidRPr="00767BA5" w14:paraId="07C27D1A" w14:textId="77777777" w:rsidTr="001E32CB">
        <w:tc>
          <w:tcPr>
            <w:tcW w:w="2376" w:type="dxa"/>
            <w:tcBorders>
              <w:top w:val="single" w:sz="4" w:space="0" w:color="000000"/>
              <w:left w:val="single" w:sz="4" w:space="0" w:color="000000"/>
              <w:bottom w:val="single" w:sz="4" w:space="0" w:color="000000"/>
              <w:right w:val="single" w:sz="4" w:space="0" w:color="000000"/>
            </w:tcBorders>
            <w:hideMark/>
          </w:tcPr>
          <w:p w14:paraId="117B6492" w14:textId="77777777" w:rsidR="00522FD8" w:rsidRPr="008A39EB" w:rsidRDefault="00522FD8" w:rsidP="001E32CB">
            <w:pPr>
              <w:spacing w:after="0" w:line="240" w:lineRule="auto"/>
              <w:rPr>
                <w:rFonts w:ascii="Times New Roman" w:hAnsi="Times New Roman"/>
                <w:noProof/>
              </w:rPr>
            </w:pPr>
            <w:r w:rsidRPr="008A39EB">
              <w:rPr>
                <w:rFonts w:ascii="Times New Roman" w:hAnsi="Times New Roman"/>
                <w:noProof/>
              </w:rPr>
              <w:t>Nuo ketvirtos savaitės</w:t>
            </w:r>
          </w:p>
        </w:tc>
        <w:tc>
          <w:tcPr>
            <w:tcW w:w="2835" w:type="dxa"/>
            <w:tcBorders>
              <w:top w:val="single" w:sz="4" w:space="0" w:color="000000"/>
              <w:left w:val="single" w:sz="4" w:space="0" w:color="000000"/>
              <w:bottom w:val="single" w:sz="4" w:space="0" w:color="000000"/>
              <w:right w:val="single" w:sz="4" w:space="0" w:color="000000"/>
            </w:tcBorders>
            <w:hideMark/>
          </w:tcPr>
          <w:p w14:paraId="45CDEB23" w14:textId="77777777" w:rsidR="00522FD8" w:rsidRPr="008A39EB" w:rsidRDefault="00522FD8" w:rsidP="001E32CB">
            <w:pPr>
              <w:spacing w:after="0" w:line="240" w:lineRule="auto"/>
              <w:rPr>
                <w:rFonts w:ascii="Times New Roman" w:hAnsi="Times New Roman"/>
                <w:noProof/>
              </w:rPr>
            </w:pPr>
            <w:r>
              <w:rPr>
                <w:rFonts w:ascii="Times New Roman" w:hAnsi="Times New Roman"/>
                <w:noProof/>
              </w:rPr>
              <w:t xml:space="preserve">Dvi 10 mg tabletės arba viena </w:t>
            </w:r>
            <w:r w:rsidRPr="008A39EB">
              <w:rPr>
                <w:rFonts w:ascii="Times New Roman" w:hAnsi="Times New Roman"/>
                <w:noProof/>
              </w:rPr>
              <w:t xml:space="preserve">20 mg </w:t>
            </w:r>
            <w:r>
              <w:rPr>
                <w:rFonts w:ascii="Times New Roman" w:hAnsi="Times New Roman"/>
                <w:noProof/>
              </w:rPr>
              <w:t xml:space="preserve">tabletė </w:t>
            </w:r>
            <w:r w:rsidRPr="008A39EB">
              <w:rPr>
                <w:rFonts w:ascii="Times New Roman" w:hAnsi="Times New Roman"/>
                <w:noProof/>
              </w:rPr>
              <w:t>kartą per parą</w:t>
            </w:r>
          </w:p>
        </w:tc>
      </w:tr>
    </w:tbl>
    <w:p w14:paraId="4B460AB0" w14:textId="77777777" w:rsidR="00522FD8" w:rsidRPr="001D4359" w:rsidRDefault="00522FD8" w:rsidP="00522FD8">
      <w:pPr>
        <w:spacing w:after="0" w:line="240" w:lineRule="auto"/>
        <w:rPr>
          <w:rFonts w:ascii="Times New Roman" w:hAnsi="Times New Roman"/>
          <w:noProof/>
        </w:rPr>
      </w:pPr>
    </w:p>
    <w:p w14:paraId="5914DD46" w14:textId="77777777" w:rsidR="00522FD8" w:rsidRPr="004E6854" w:rsidRDefault="00522FD8" w:rsidP="00522FD8">
      <w:pPr>
        <w:spacing w:after="0" w:line="240" w:lineRule="auto"/>
        <w:rPr>
          <w:rFonts w:ascii="Times New Roman" w:hAnsi="Times New Roman"/>
          <w:b/>
          <w:noProof/>
        </w:rPr>
      </w:pPr>
      <w:r w:rsidRPr="004E6854">
        <w:rPr>
          <w:rFonts w:ascii="Times New Roman" w:hAnsi="Times New Roman"/>
          <w:b/>
          <w:noProof/>
        </w:rPr>
        <w:t xml:space="preserve">Palaikomoji dozė </w:t>
      </w:r>
    </w:p>
    <w:p w14:paraId="1079B062" w14:textId="77777777" w:rsidR="00522FD8" w:rsidRPr="001D4359" w:rsidRDefault="00522FD8" w:rsidP="00522FD8">
      <w:pPr>
        <w:spacing w:after="0" w:line="240" w:lineRule="auto"/>
        <w:rPr>
          <w:rFonts w:ascii="Times New Roman" w:hAnsi="Times New Roman"/>
          <w:noProof/>
        </w:rPr>
      </w:pPr>
      <w:r w:rsidRPr="001D4359">
        <w:rPr>
          <w:rFonts w:ascii="Times New Roman" w:hAnsi="Times New Roman"/>
          <w:noProof/>
        </w:rPr>
        <w:t xml:space="preserve">Rekomenduojama palaikomoji dozė yra 20 mg per parą. </w:t>
      </w:r>
    </w:p>
    <w:p w14:paraId="27704CEF" w14:textId="77777777" w:rsidR="00522FD8" w:rsidRDefault="00522FD8" w:rsidP="00522FD8">
      <w:pPr>
        <w:spacing w:after="0" w:line="240" w:lineRule="auto"/>
        <w:rPr>
          <w:rFonts w:ascii="Times New Roman" w:hAnsi="Times New Roman"/>
          <w:noProof/>
        </w:rPr>
      </w:pPr>
      <w:r>
        <w:rPr>
          <w:rFonts w:ascii="Times New Roman" w:hAnsi="Times New Roman"/>
          <w:noProof/>
        </w:rPr>
        <w:t>Dėl tolesnio gydymo būtina pasitarti su gydytoju.</w:t>
      </w:r>
    </w:p>
    <w:p w14:paraId="1A44428B" w14:textId="77777777" w:rsidR="00522FD8" w:rsidRPr="008A39EB" w:rsidRDefault="00522FD8" w:rsidP="00522FD8">
      <w:pPr>
        <w:spacing w:after="0" w:line="240" w:lineRule="auto"/>
        <w:rPr>
          <w:rFonts w:ascii="Times New Roman" w:hAnsi="Times New Roman"/>
          <w:noProof/>
        </w:rPr>
      </w:pPr>
    </w:p>
    <w:p w14:paraId="47B9A08B" w14:textId="77777777" w:rsidR="00522FD8" w:rsidRPr="008A39EB" w:rsidRDefault="00522FD8" w:rsidP="00522FD8">
      <w:pPr>
        <w:spacing w:after="0" w:line="240" w:lineRule="auto"/>
        <w:rPr>
          <w:rFonts w:ascii="Times New Roman" w:hAnsi="Times New Roman"/>
          <w:b/>
          <w:noProof/>
        </w:rPr>
      </w:pPr>
      <w:r w:rsidRPr="008A39EB">
        <w:rPr>
          <w:rFonts w:ascii="Times New Roman" w:hAnsi="Times New Roman"/>
          <w:b/>
          <w:noProof/>
        </w:rPr>
        <w:t xml:space="preserve">Pacientams, kurių inkstų funkcija sutrikusi </w:t>
      </w:r>
    </w:p>
    <w:p w14:paraId="3750CA5D"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Jeigu sutrikusi inkstų funkcija, dozę nustato gydytojas atižvelgdamas į Jūsų būklę. Vaisto vartojimo metu gydytojo nurodytais intervalais reikia daryti inkstų funkcijos tyrimus. </w:t>
      </w:r>
    </w:p>
    <w:p w14:paraId="317031C5" w14:textId="77777777" w:rsidR="00522FD8" w:rsidRPr="008A39EB" w:rsidRDefault="00522FD8" w:rsidP="00522FD8">
      <w:pPr>
        <w:spacing w:after="0" w:line="240" w:lineRule="auto"/>
        <w:rPr>
          <w:rFonts w:ascii="Times New Roman" w:hAnsi="Times New Roman"/>
          <w:noProof/>
        </w:rPr>
      </w:pPr>
    </w:p>
    <w:p w14:paraId="38322031" w14:textId="77777777" w:rsidR="00522FD8" w:rsidRPr="008A39EB" w:rsidRDefault="00522FD8" w:rsidP="00522FD8">
      <w:pPr>
        <w:spacing w:after="0" w:line="240" w:lineRule="auto"/>
        <w:rPr>
          <w:rFonts w:ascii="Times New Roman" w:hAnsi="Times New Roman"/>
          <w:b/>
          <w:noProof/>
        </w:rPr>
      </w:pPr>
      <w:r w:rsidRPr="008A39EB">
        <w:rPr>
          <w:rFonts w:ascii="Times New Roman" w:hAnsi="Times New Roman"/>
          <w:b/>
          <w:noProof/>
        </w:rPr>
        <w:t xml:space="preserve">Vartojimo metodas </w:t>
      </w:r>
    </w:p>
    <w:p w14:paraId="7609D888"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Memantine Orion reikia vartoti 1 kartą per parą. Kad poveikis būtų geresnis, vaistą reikia vartoti </w:t>
      </w:r>
      <w:r w:rsidRPr="008A39EB">
        <w:rPr>
          <w:rFonts w:ascii="Times New Roman" w:hAnsi="Times New Roman"/>
          <w:b/>
          <w:noProof/>
        </w:rPr>
        <w:t>reguliariai kiekvieną dieną tuo pačiu paros metu.</w:t>
      </w:r>
      <w:r w:rsidRPr="008A39EB">
        <w:rPr>
          <w:rFonts w:ascii="Times New Roman" w:hAnsi="Times New Roman"/>
          <w:noProof/>
        </w:rPr>
        <w:t xml:space="preserve"> Tabletę reikia nuryti užsigeriant vandeniu.</w:t>
      </w:r>
    </w:p>
    <w:p w14:paraId="72C4C659" w14:textId="77777777" w:rsidR="00522FD8" w:rsidRPr="008A39EB" w:rsidRDefault="00522FD8" w:rsidP="00522FD8">
      <w:pPr>
        <w:spacing w:after="0" w:line="240" w:lineRule="auto"/>
        <w:rPr>
          <w:rFonts w:ascii="Times New Roman" w:hAnsi="Times New Roman"/>
          <w:noProof/>
        </w:rPr>
      </w:pPr>
    </w:p>
    <w:p w14:paraId="01FA48BC"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Tabletes galima vartoti valgio metu arba nevalgius.</w:t>
      </w:r>
    </w:p>
    <w:p w14:paraId="79C50645" w14:textId="77777777" w:rsidR="00522FD8" w:rsidRPr="008A39EB" w:rsidRDefault="00522FD8" w:rsidP="00522FD8">
      <w:pPr>
        <w:spacing w:after="0" w:line="240" w:lineRule="auto"/>
        <w:rPr>
          <w:rFonts w:ascii="Times New Roman" w:hAnsi="Times New Roman"/>
          <w:b/>
          <w:bCs/>
        </w:rPr>
      </w:pPr>
    </w:p>
    <w:p w14:paraId="168E8B31"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 xml:space="preserve">Gydymo trukmė </w:t>
      </w:r>
    </w:p>
    <w:p w14:paraId="757EA699" w14:textId="77777777" w:rsidR="00522FD8" w:rsidRPr="008A39EB" w:rsidRDefault="00522FD8" w:rsidP="00522FD8">
      <w:pPr>
        <w:spacing w:after="0" w:line="240" w:lineRule="auto"/>
        <w:rPr>
          <w:rFonts w:ascii="Times New Roman" w:hAnsi="Times New Roman"/>
          <w:bCs/>
        </w:rPr>
      </w:pPr>
      <w:proofErr w:type="spellStart"/>
      <w:r w:rsidRPr="008A39EB">
        <w:rPr>
          <w:rFonts w:ascii="Times New Roman" w:hAnsi="Times New Roman"/>
          <w:bCs/>
        </w:rPr>
        <w:t>Memantine</w:t>
      </w:r>
      <w:proofErr w:type="spellEnd"/>
      <w:r w:rsidRPr="008A39EB">
        <w:rPr>
          <w:rFonts w:ascii="Times New Roman" w:hAnsi="Times New Roman"/>
          <w:bCs/>
        </w:rPr>
        <w:t xml:space="preserve"> </w:t>
      </w:r>
      <w:proofErr w:type="spellStart"/>
      <w:r w:rsidRPr="008A39EB">
        <w:rPr>
          <w:rFonts w:ascii="Times New Roman" w:hAnsi="Times New Roman"/>
          <w:bCs/>
        </w:rPr>
        <w:t>Orion</w:t>
      </w:r>
      <w:proofErr w:type="spellEnd"/>
      <w:r w:rsidRPr="008A39EB">
        <w:rPr>
          <w:rFonts w:ascii="Times New Roman" w:hAnsi="Times New Roman"/>
          <w:b/>
          <w:bCs/>
        </w:rPr>
        <w:t xml:space="preserve"> </w:t>
      </w:r>
      <w:r w:rsidRPr="008A39EB">
        <w:rPr>
          <w:rFonts w:ascii="Times New Roman" w:hAnsi="Times New Roman"/>
          <w:bCs/>
        </w:rPr>
        <w:t>galima vartoti tol, kol juntamas teigiamas jo poveikis. Gydymo veiksmingumą reguliariai vertina gydytojas.</w:t>
      </w:r>
    </w:p>
    <w:p w14:paraId="16CA2695" w14:textId="77777777" w:rsidR="00522FD8" w:rsidRPr="008A39EB" w:rsidRDefault="00522FD8" w:rsidP="00522FD8">
      <w:pPr>
        <w:spacing w:after="0" w:line="240" w:lineRule="auto"/>
        <w:rPr>
          <w:rFonts w:ascii="Times New Roman" w:hAnsi="Times New Roman"/>
          <w:b/>
          <w:bCs/>
        </w:rPr>
      </w:pPr>
    </w:p>
    <w:p w14:paraId="6436E44A"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 xml:space="preserve">Ką daryti pavartojus per didelę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dozę?</w:t>
      </w:r>
    </w:p>
    <w:p w14:paraId="28E0D3A2" w14:textId="77777777" w:rsidR="00522FD8" w:rsidRPr="008A39EB" w:rsidRDefault="00522FD8" w:rsidP="00522FD8">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Įprastai, didesnė Memantine Orion dozė žalingo poveikio sukelti neturėtų. Gali pasireikšti stipresnis šalutinis poveikis (žr. 4 skyrių „Galimas šalutinis poveikis“).</w:t>
      </w:r>
    </w:p>
    <w:p w14:paraId="5423C524" w14:textId="77777777" w:rsidR="00522FD8" w:rsidRPr="008A39EB" w:rsidRDefault="00522FD8" w:rsidP="00522FD8">
      <w:pPr>
        <w:numPr>
          <w:ilvl w:val="0"/>
          <w:numId w:val="4"/>
        </w:numPr>
        <w:spacing w:after="0" w:line="240" w:lineRule="auto"/>
        <w:ind w:left="567" w:hanging="567"/>
        <w:rPr>
          <w:rFonts w:ascii="Times New Roman" w:hAnsi="Times New Roman"/>
          <w:noProof/>
        </w:rPr>
      </w:pPr>
      <w:r w:rsidRPr="008A39EB">
        <w:rPr>
          <w:rFonts w:ascii="Times New Roman" w:hAnsi="Times New Roman"/>
          <w:noProof/>
        </w:rPr>
        <w:t>Vaisto perdozavus, reikia kreiptis į gydytoją, kadangi gali būti reikalinga jo pagalba.</w:t>
      </w:r>
    </w:p>
    <w:p w14:paraId="7B4EE75E" w14:textId="77777777" w:rsidR="00522FD8" w:rsidRPr="008A39EB" w:rsidRDefault="00522FD8" w:rsidP="00522FD8">
      <w:pPr>
        <w:spacing w:after="0" w:line="240" w:lineRule="auto"/>
        <w:rPr>
          <w:rFonts w:ascii="Times New Roman" w:hAnsi="Times New Roman"/>
          <w:noProof/>
        </w:rPr>
      </w:pPr>
    </w:p>
    <w:p w14:paraId="1D0EF391" w14:textId="77777777" w:rsidR="00522FD8" w:rsidRPr="008A39EB" w:rsidRDefault="00522FD8" w:rsidP="00522FD8">
      <w:pPr>
        <w:spacing w:after="0" w:line="240" w:lineRule="auto"/>
        <w:rPr>
          <w:rFonts w:ascii="Times New Roman" w:hAnsi="Times New Roman"/>
          <w:b/>
          <w:bCs/>
        </w:rPr>
      </w:pPr>
      <w:r w:rsidRPr="008A39EB">
        <w:rPr>
          <w:rFonts w:ascii="Times New Roman" w:hAnsi="Times New Roman"/>
          <w:b/>
          <w:bCs/>
        </w:rPr>
        <w:t xml:space="preserve">Pamiršus pavartoti </w:t>
      </w: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p>
    <w:p w14:paraId="61A2C33C" w14:textId="77777777" w:rsidR="00522FD8" w:rsidRDefault="00522FD8" w:rsidP="00522FD8">
      <w:pPr>
        <w:pStyle w:val="Sraopastraipa"/>
        <w:numPr>
          <w:ilvl w:val="0"/>
          <w:numId w:val="8"/>
        </w:numPr>
        <w:spacing w:after="0" w:line="240" w:lineRule="auto"/>
        <w:ind w:left="567" w:hanging="567"/>
        <w:rPr>
          <w:rFonts w:ascii="Times New Roman" w:hAnsi="Times New Roman"/>
          <w:noProof/>
        </w:rPr>
      </w:pPr>
      <w:r w:rsidRPr="004E6854">
        <w:rPr>
          <w:rFonts w:ascii="Times New Roman" w:hAnsi="Times New Roman"/>
          <w:noProof/>
        </w:rPr>
        <w:t>Jeigu įprastu laiku pamiršote pavartoti Memantine Orion, vaistą vartokite tada, kai ateina kitos dozės vartojimo laikas.</w:t>
      </w:r>
    </w:p>
    <w:p w14:paraId="3C28D287" w14:textId="77777777" w:rsidR="00522FD8" w:rsidRPr="004E6854" w:rsidRDefault="00522FD8" w:rsidP="00522FD8">
      <w:pPr>
        <w:pStyle w:val="Sraopastraipa"/>
        <w:numPr>
          <w:ilvl w:val="0"/>
          <w:numId w:val="8"/>
        </w:numPr>
        <w:spacing w:after="0" w:line="240" w:lineRule="auto"/>
        <w:ind w:left="567" w:hanging="567"/>
        <w:rPr>
          <w:rFonts w:ascii="Times New Roman" w:hAnsi="Times New Roman"/>
          <w:noProof/>
        </w:rPr>
      </w:pPr>
      <w:r w:rsidRPr="00544F6D">
        <w:rPr>
          <w:rFonts w:ascii="Times New Roman" w:hAnsi="Times New Roman"/>
          <w:noProof/>
        </w:rPr>
        <w:t>Negalima vartoti dvigubos dozės norint kompensuoti praleistą dozę.</w:t>
      </w:r>
    </w:p>
    <w:p w14:paraId="052156F2" w14:textId="77777777" w:rsidR="00522FD8" w:rsidRPr="008A39EB" w:rsidRDefault="00522FD8" w:rsidP="00522FD8">
      <w:pPr>
        <w:spacing w:after="0" w:line="240" w:lineRule="auto"/>
        <w:rPr>
          <w:rFonts w:ascii="Times New Roman" w:hAnsi="Times New Roman"/>
          <w:noProof/>
        </w:rPr>
      </w:pPr>
    </w:p>
    <w:p w14:paraId="6B11237B"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Jeigu kiltų daugiau klausimų dėl šio vaisto vartojimo, kreipkitės į gydytoją arba vaistininką.</w:t>
      </w:r>
    </w:p>
    <w:p w14:paraId="0B8B0DEA" w14:textId="77777777" w:rsidR="00522FD8" w:rsidRPr="008A39EB" w:rsidRDefault="00522FD8" w:rsidP="00522FD8">
      <w:pPr>
        <w:spacing w:after="0" w:line="240" w:lineRule="auto"/>
        <w:rPr>
          <w:rFonts w:ascii="Times New Roman" w:hAnsi="Times New Roman"/>
          <w:noProof/>
        </w:rPr>
      </w:pPr>
    </w:p>
    <w:p w14:paraId="70A17098" w14:textId="77777777" w:rsidR="00522FD8" w:rsidRPr="008A39EB" w:rsidRDefault="00522FD8" w:rsidP="00522FD8">
      <w:pPr>
        <w:spacing w:after="0" w:line="240" w:lineRule="auto"/>
        <w:rPr>
          <w:rFonts w:ascii="Times New Roman" w:hAnsi="Times New Roman"/>
          <w:noProof/>
        </w:rPr>
      </w:pPr>
    </w:p>
    <w:p w14:paraId="7C6965F6" w14:textId="77777777" w:rsidR="00522FD8" w:rsidRPr="008A39EB" w:rsidRDefault="00522FD8" w:rsidP="00522FD8">
      <w:pPr>
        <w:keepNext/>
        <w:tabs>
          <w:tab w:val="left" w:pos="567"/>
        </w:tabs>
        <w:spacing w:after="0" w:line="240" w:lineRule="auto"/>
        <w:outlineLvl w:val="1"/>
        <w:rPr>
          <w:rFonts w:ascii="Times New Roman" w:hAnsi="Times New Roman"/>
          <w:b/>
        </w:rPr>
      </w:pPr>
      <w:bookmarkStart w:id="8" w:name="_Toc129243267"/>
      <w:bookmarkStart w:id="9" w:name="_Toc129243142"/>
      <w:r w:rsidRPr="008A39EB">
        <w:rPr>
          <w:rFonts w:ascii="Times New Roman" w:hAnsi="Times New Roman"/>
          <w:b/>
        </w:rPr>
        <w:t>4.</w:t>
      </w:r>
      <w:r w:rsidRPr="008A39EB">
        <w:rPr>
          <w:rFonts w:ascii="Times New Roman" w:hAnsi="Times New Roman"/>
          <w:b/>
        </w:rPr>
        <w:tab/>
        <w:t xml:space="preserve">Galimas šalutinis poveikis </w:t>
      </w:r>
      <w:bookmarkEnd w:id="8"/>
      <w:bookmarkEnd w:id="9"/>
    </w:p>
    <w:p w14:paraId="72797A30" w14:textId="77777777" w:rsidR="00522FD8" w:rsidRPr="008A39EB" w:rsidRDefault="00522FD8" w:rsidP="00522FD8">
      <w:pPr>
        <w:spacing w:after="0" w:line="240" w:lineRule="auto"/>
        <w:rPr>
          <w:rFonts w:ascii="Times New Roman" w:hAnsi="Times New Roman"/>
          <w:noProof/>
        </w:rPr>
      </w:pPr>
    </w:p>
    <w:p w14:paraId="39516BF7"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Šis vaistas, kaip ir visi kiti, gali sukelti šalutinį poveikį, nors jis pasireiškia ne visiems žmonėms.</w:t>
      </w:r>
    </w:p>
    <w:p w14:paraId="03A7A532" w14:textId="77777777" w:rsidR="00522FD8" w:rsidRPr="008A39EB" w:rsidRDefault="00522FD8" w:rsidP="00522FD8">
      <w:pPr>
        <w:spacing w:after="0" w:line="240" w:lineRule="auto"/>
        <w:rPr>
          <w:rFonts w:ascii="Times New Roman" w:hAnsi="Times New Roman"/>
          <w:noProof/>
        </w:rPr>
      </w:pPr>
    </w:p>
    <w:p w14:paraId="5179270F"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lastRenderedPageBreak/>
        <w:t>Paprastai jis būna silpnas arba vidutinio stiprumo.</w:t>
      </w:r>
    </w:p>
    <w:p w14:paraId="2FDC579F" w14:textId="77777777" w:rsidR="00522FD8" w:rsidRPr="008A39EB" w:rsidRDefault="00522FD8" w:rsidP="00522FD8">
      <w:pPr>
        <w:spacing w:after="0" w:line="240" w:lineRule="auto"/>
        <w:rPr>
          <w:rFonts w:ascii="Times New Roman" w:hAnsi="Times New Roman"/>
          <w:noProof/>
        </w:rPr>
      </w:pPr>
    </w:p>
    <w:p w14:paraId="331A3B31" w14:textId="77777777" w:rsidR="00522FD8" w:rsidRPr="008A39EB" w:rsidRDefault="00522FD8" w:rsidP="00522FD8">
      <w:pPr>
        <w:spacing w:after="0" w:line="240" w:lineRule="auto"/>
        <w:rPr>
          <w:rFonts w:ascii="Times New Roman" w:hAnsi="Times New Roman"/>
          <w:b/>
          <w:noProof/>
        </w:rPr>
      </w:pPr>
      <w:r w:rsidRPr="004E6854">
        <w:rPr>
          <w:rFonts w:ascii="Times New Roman" w:hAnsi="Times New Roman"/>
          <w:noProof/>
          <w:u w:val="single"/>
        </w:rPr>
        <w:t xml:space="preserve">Dažnas </w:t>
      </w:r>
      <w:r w:rsidRPr="004E6854">
        <w:rPr>
          <w:rFonts w:ascii="Times New Roman" w:hAnsi="Times New Roman"/>
          <w:i/>
          <w:noProof/>
        </w:rPr>
        <w:t>(gali pasireikšti mažiau kaip 1 žmogui iš 10):</w:t>
      </w:r>
    </w:p>
    <w:p w14:paraId="105D84C5" w14:textId="77777777" w:rsidR="00522FD8" w:rsidRPr="008A39EB" w:rsidRDefault="00522FD8" w:rsidP="00522FD8">
      <w:pPr>
        <w:numPr>
          <w:ilvl w:val="0"/>
          <w:numId w:val="5"/>
        </w:numPr>
        <w:spacing w:after="0" w:line="240" w:lineRule="auto"/>
        <w:ind w:left="567" w:hanging="567"/>
        <w:rPr>
          <w:rFonts w:ascii="Times New Roman" w:hAnsi="Times New Roman"/>
          <w:noProof/>
        </w:rPr>
      </w:pPr>
      <w:r w:rsidRPr="008A39EB">
        <w:rPr>
          <w:rFonts w:ascii="Times New Roman" w:hAnsi="Times New Roman"/>
          <w:noProof/>
        </w:rPr>
        <w:t xml:space="preserve">galvos skausmas, mieguistumas, vidurių užkietėjimas, padidėję kepenų funkcijos rodikliai, svaigulys, pusiausvyros sutrikimai, dusulys, aukštas kraujospūdis ir padidėjęs jautrumas vaistui. </w:t>
      </w:r>
    </w:p>
    <w:p w14:paraId="6EBB355B" w14:textId="77777777" w:rsidR="00522FD8" w:rsidRPr="004E6854" w:rsidRDefault="00522FD8" w:rsidP="00522FD8">
      <w:pPr>
        <w:spacing w:after="0" w:line="240" w:lineRule="auto"/>
        <w:rPr>
          <w:rFonts w:ascii="Times New Roman" w:hAnsi="Times New Roman"/>
          <w:noProof/>
          <w:u w:val="single"/>
        </w:rPr>
      </w:pPr>
    </w:p>
    <w:p w14:paraId="1EFAE251" w14:textId="77777777" w:rsidR="00522FD8" w:rsidRPr="008A39EB" w:rsidRDefault="00522FD8" w:rsidP="00522FD8">
      <w:pPr>
        <w:spacing w:after="0" w:line="240" w:lineRule="auto"/>
        <w:rPr>
          <w:rFonts w:ascii="Times New Roman" w:hAnsi="Times New Roman"/>
          <w:b/>
          <w:noProof/>
        </w:rPr>
      </w:pPr>
      <w:r w:rsidRPr="004E6854">
        <w:rPr>
          <w:rFonts w:ascii="Times New Roman" w:hAnsi="Times New Roman"/>
          <w:noProof/>
          <w:u w:val="single"/>
        </w:rPr>
        <w:t xml:space="preserve">Nedažnas </w:t>
      </w:r>
      <w:r w:rsidRPr="004E6854">
        <w:rPr>
          <w:rFonts w:ascii="Times New Roman" w:hAnsi="Times New Roman"/>
          <w:i/>
          <w:noProof/>
        </w:rPr>
        <w:t>(gali pasireikšti mažiau kaip 1 žmogui iš 100):</w:t>
      </w:r>
    </w:p>
    <w:p w14:paraId="19C8F374" w14:textId="77777777" w:rsidR="00522FD8" w:rsidRPr="008A39EB" w:rsidRDefault="00522FD8" w:rsidP="00522FD8">
      <w:pPr>
        <w:numPr>
          <w:ilvl w:val="0"/>
          <w:numId w:val="6"/>
        </w:numPr>
        <w:spacing w:after="0" w:line="240" w:lineRule="auto"/>
        <w:ind w:left="567" w:hanging="567"/>
        <w:rPr>
          <w:rFonts w:ascii="Times New Roman" w:hAnsi="Times New Roman"/>
          <w:noProof/>
        </w:rPr>
      </w:pPr>
      <w:r w:rsidRPr="008A39EB">
        <w:rPr>
          <w:rFonts w:ascii="Times New Roman" w:hAnsi="Times New Roman"/>
        </w:rPr>
        <w:t>nuovargis, grybelinė infekcija, sumiši</w:t>
      </w:r>
      <w:r w:rsidRPr="008A39EB">
        <w:rPr>
          <w:rFonts w:ascii="Times New Roman" w:hAnsi="Times New Roman"/>
          <w:noProof/>
        </w:rPr>
        <w:t xml:space="preserve">mas, haliucinacijos, vėmimas, eisenos sutrikimas, širdies nepakankamumas ir kraujo krešulių venose atsiradimas (trombozė/ tromboembolija). </w:t>
      </w:r>
    </w:p>
    <w:p w14:paraId="4D305B31" w14:textId="77777777" w:rsidR="00522FD8" w:rsidRPr="008A39EB" w:rsidRDefault="00522FD8" w:rsidP="00522FD8">
      <w:pPr>
        <w:spacing w:after="0" w:line="240" w:lineRule="auto"/>
        <w:rPr>
          <w:rFonts w:ascii="Times New Roman" w:hAnsi="Times New Roman"/>
          <w:noProof/>
        </w:rPr>
      </w:pPr>
    </w:p>
    <w:p w14:paraId="53274D87" w14:textId="77777777" w:rsidR="00522FD8" w:rsidRPr="008A39EB" w:rsidRDefault="00522FD8" w:rsidP="00522FD8">
      <w:pPr>
        <w:spacing w:after="0" w:line="240" w:lineRule="auto"/>
        <w:rPr>
          <w:rFonts w:ascii="Times New Roman" w:hAnsi="Times New Roman"/>
          <w:b/>
          <w:noProof/>
        </w:rPr>
      </w:pPr>
      <w:r w:rsidRPr="004E6854">
        <w:rPr>
          <w:rFonts w:ascii="Times New Roman" w:hAnsi="Times New Roman"/>
          <w:noProof/>
          <w:u w:val="single"/>
        </w:rPr>
        <w:t xml:space="preserve">Labai retas </w:t>
      </w:r>
      <w:r w:rsidRPr="004E6854">
        <w:rPr>
          <w:rFonts w:ascii="Times New Roman" w:hAnsi="Times New Roman"/>
          <w:i/>
          <w:noProof/>
        </w:rPr>
        <w:t>(gali pasireikšti mažiau kaip 1 žmogui iš 10000):</w:t>
      </w:r>
    </w:p>
    <w:p w14:paraId="25D60F02" w14:textId="77777777" w:rsidR="00522FD8" w:rsidRPr="008A39EB" w:rsidRDefault="00522FD8" w:rsidP="00522FD8">
      <w:pPr>
        <w:numPr>
          <w:ilvl w:val="0"/>
          <w:numId w:val="7"/>
        </w:numPr>
        <w:spacing w:after="0" w:line="240" w:lineRule="auto"/>
        <w:ind w:left="567" w:hanging="567"/>
        <w:rPr>
          <w:rFonts w:ascii="Times New Roman" w:hAnsi="Times New Roman"/>
          <w:noProof/>
        </w:rPr>
      </w:pPr>
      <w:r w:rsidRPr="008A39EB">
        <w:rPr>
          <w:rFonts w:ascii="Times New Roman" w:hAnsi="Times New Roman"/>
          <w:noProof/>
        </w:rPr>
        <w:t>traukuliai.</w:t>
      </w:r>
    </w:p>
    <w:p w14:paraId="200A86D6" w14:textId="77777777" w:rsidR="00522FD8" w:rsidRPr="008A39EB" w:rsidRDefault="00522FD8" w:rsidP="00522FD8">
      <w:pPr>
        <w:spacing w:after="0" w:line="240" w:lineRule="auto"/>
        <w:rPr>
          <w:rFonts w:ascii="Times New Roman" w:hAnsi="Times New Roman"/>
          <w:noProof/>
        </w:rPr>
      </w:pPr>
    </w:p>
    <w:p w14:paraId="4EE381AE" w14:textId="77777777" w:rsidR="00522FD8" w:rsidRPr="008A39EB" w:rsidRDefault="00522FD8" w:rsidP="00522FD8">
      <w:pPr>
        <w:keepNext/>
        <w:keepLines/>
        <w:spacing w:after="0" w:line="240" w:lineRule="auto"/>
        <w:rPr>
          <w:rFonts w:ascii="Times New Roman" w:hAnsi="Times New Roman"/>
          <w:b/>
          <w:noProof/>
        </w:rPr>
      </w:pPr>
      <w:r w:rsidRPr="004E6854">
        <w:rPr>
          <w:rFonts w:ascii="Times New Roman" w:hAnsi="Times New Roman"/>
          <w:noProof/>
          <w:u w:val="single"/>
        </w:rPr>
        <w:t>Dažnis nežinomas</w:t>
      </w:r>
      <w:r w:rsidRPr="008A39EB">
        <w:rPr>
          <w:rFonts w:ascii="Times New Roman" w:hAnsi="Times New Roman"/>
          <w:b/>
          <w:noProof/>
        </w:rPr>
        <w:t xml:space="preserve"> </w:t>
      </w:r>
      <w:r w:rsidRPr="004E6854">
        <w:rPr>
          <w:rFonts w:ascii="Times New Roman" w:hAnsi="Times New Roman"/>
          <w:i/>
          <w:noProof/>
        </w:rPr>
        <w:t>(dažnis negali būti apskaičiuotas pagal turimus duomenis):</w:t>
      </w:r>
    </w:p>
    <w:p w14:paraId="08F2C40F" w14:textId="77777777" w:rsidR="00522FD8" w:rsidRPr="00120519" w:rsidRDefault="00522FD8" w:rsidP="00522FD8">
      <w:pPr>
        <w:keepNext/>
        <w:keepLines/>
        <w:numPr>
          <w:ilvl w:val="0"/>
          <w:numId w:val="7"/>
        </w:numPr>
        <w:tabs>
          <w:tab w:val="left" w:pos="567"/>
        </w:tabs>
        <w:spacing w:after="0" w:line="240" w:lineRule="auto"/>
        <w:ind w:left="567" w:hanging="567"/>
        <w:rPr>
          <w:rFonts w:ascii="Times New Roman" w:hAnsi="Times New Roman"/>
          <w:noProof/>
        </w:rPr>
      </w:pPr>
      <w:r>
        <w:rPr>
          <w:rFonts w:ascii="Times New Roman" w:hAnsi="Times New Roman"/>
          <w:noProof/>
        </w:rPr>
        <w:t>k</w:t>
      </w:r>
      <w:r w:rsidRPr="008A39EB">
        <w:rPr>
          <w:rFonts w:ascii="Times New Roman" w:hAnsi="Times New Roman"/>
          <w:noProof/>
        </w:rPr>
        <w:t xml:space="preserve">asos uždegimas, kepenų uždegimas (hepatitas) ir psichozinės reakcijos. </w:t>
      </w:r>
    </w:p>
    <w:p w14:paraId="645830BD" w14:textId="77777777" w:rsidR="00522FD8" w:rsidRDefault="00522FD8" w:rsidP="00522FD8">
      <w:pPr>
        <w:spacing w:after="0" w:line="240" w:lineRule="auto"/>
        <w:rPr>
          <w:rFonts w:ascii="Times New Roman" w:hAnsi="Times New Roman"/>
          <w:noProof/>
        </w:rPr>
      </w:pPr>
    </w:p>
    <w:p w14:paraId="2652B2D4" w14:textId="77777777" w:rsidR="00522FD8" w:rsidRDefault="00522FD8" w:rsidP="00522FD8">
      <w:pPr>
        <w:spacing w:after="0" w:line="240" w:lineRule="auto"/>
        <w:rPr>
          <w:rFonts w:ascii="Times New Roman" w:hAnsi="Times New Roman"/>
          <w:noProof/>
        </w:rPr>
      </w:pPr>
      <w:r w:rsidRPr="008A39EB">
        <w:rPr>
          <w:rFonts w:ascii="Times New Roman" w:hAnsi="Times New Roman"/>
          <w:noProof/>
        </w:rPr>
        <w:t xml:space="preserve">Alzheimerio liga yra susijusi su depresija, mintimis apie savižudybę ir gali baigtis savižudybe. Tokių reiškinių pasitaikė pacientams, gydomiems </w:t>
      </w:r>
      <w:r>
        <w:rPr>
          <w:rFonts w:ascii="Times New Roman" w:hAnsi="Times New Roman"/>
          <w:noProof/>
        </w:rPr>
        <w:t>memantino hidrochloridu.</w:t>
      </w:r>
    </w:p>
    <w:p w14:paraId="4DA345A2" w14:textId="77777777" w:rsidR="00522FD8" w:rsidRPr="008A39EB" w:rsidRDefault="00522FD8" w:rsidP="00522FD8">
      <w:pPr>
        <w:spacing w:after="0" w:line="240" w:lineRule="auto"/>
        <w:rPr>
          <w:rFonts w:ascii="Times New Roman" w:hAnsi="Times New Roman"/>
          <w:noProof/>
        </w:rPr>
      </w:pPr>
    </w:p>
    <w:p w14:paraId="0BB330CC" w14:textId="77777777" w:rsidR="00522FD8" w:rsidRPr="008A39EB" w:rsidRDefault="00522FD8" w:rsidP="00522FD8">
      <w:pPr>
        <w:spacing w:after="0" w:line="240" w:lineRule="auto"/>
        <w:rPr>
          <w:rFonts w:ascii="Times New Roman" w:hAnsi="Times New Roman"/>
          <w:b/>
          <w:noProof/>
        </w:rPr>
      </w:pPr>
      <w:r w:rsidRPr="008A39EB">
        <w:rPr>
          <w:rFonts w:ascii="Times New Roman" w:hAnsi="Times New Roman"/>
          <w:b/>
          <w:noProof/>
        </w:rPr>
        <w:t>Pranešimas apie šalutinį poveikį</w:t>
      </w:r>
    </w:p>
    <w:p w14:paraId="7463A686"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Jeigu pasireiškė šalutinis poveikis, įskaitant šiame lapelyje nenurodytą, pasakykite gydytojui arba vaistininkui. </w:t>
      </w:r>
      <w:r w:rsidRPr="003F6350">
        <w:rPr>
          <w:rFonts w:ascii="Times New Roman" w:hAnsi="Times New Roman"/>
          <w:noProof/>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DF84729" w14:textId="77777777" w:rsidR="00522FD8" w:rsidRPr="008A39EB" w:rsidRDefault="00522FD8" w:rsidP="00522FD8">
      <w:pPr>
        <w:spacing w:after="0" w:line="240" w:lineRule="auto"/>
        <w:rPr>
          <w:rFonts w:ascii="Times New Roman" w:hAnsi="Times New Roman"/>
          <w:noProof/>
        </w:rPr>
      </w:pPr>
    </w:p>
    <w:p w14:paraId="28CEB9B3" w14:textId="77777777" w:rsidR="00522FD8" w:rsidRPr="008A39EB" w:rsidRDefault="00522FD8" w:rsidP="00522FD8">
      <w:pPr>
        <w:spacing w:after="0" w:line="240" w:lineRule="auto"/>
        <w:rPr>
          <w:rFonts w:ascii="Times New Roman" w:hAnsi="Times New Roman"/>
          <w:noProof/>
        </w:rPr>
      </w:pPr>
    </w:p>
    <w:p w14:paraId="1DB6DEA6" w14:textId="77777777" w:rsidR="00522FD8" w:rsidRPr="008A39EB" w:rsidRDefault="00522FD8" w:rsidP="00522FD8">
      <w:pPr>
        <w:keepNext/>
        <w:tabs>
          <w:tab w:val="left" w:pos="567"/>
        </w:tabs>
        <w:spacing w:after="0" w:line="240" w:lineRule="auto"/>
        <w:outlineLvl w:val="1"/>
        <w:rPr>
          <w:rFonts w:ascii="Times New Roman" w:hAnsi="Times New Roman"/>
          <w:b/>
        </w:rPr>
      </w:pPr>
      <w:bookmarkStart w:id="10" w:name="_Toc129243268"/>
      <w:bookmarkStart w:id="11" w:name="_Toc129243143"/>
      <w:r w:rsidRPr="008A39EB">
        <w:rPr>
          <w:rFonts w:ascii="Times New Roman" w:hAnsi="Times New Roman"/>
          <w:b/>
        </w:rPr>
        <w:t>5.</w:t>
      </w:r>
      <w:r w:rsidRPr="008A39EB">
        <w:rPr>
          <w:rFonts w:ascii="Times New Roman" w:hAnsi="Times New Roman"/>
          <w:b/>
        </w:rPr>
        <w:tab/>
      </w:r>
      <w:bookmarkEnd w:id="10"/>
      <w:bookmarkEnd w:id="11"/>
      <w:r w:rsidRPr="008A39EB">
        <w:rPr>
          <w:rFonts w:ascii="Times New Roman" w:hAnsi="Times New Roman"/>
          <w:b/>
        </w:rPr>
        <w:t xml:space="preserve">Kaip laikyti </w:t>
      </w:r>
      <w:proofErr w:type="spellStart"/>
      <w:r w:rsidRPr="008A39EB">
        <w:rPr>
          <w:rFonts w:ascii="Times New Roman" w:hAnsi="Times New Roman"/>
          <w:b/>
        </w:rPr>
        <w:t>Memantine</w:t>
      </w:r>
      <w:proofErr w:type="spellEnd"/>
      <w:r w:rsidRPr="008A39EB">
        <w:rPr>
          <w:rFonts w:ascii="Times New Roman" w:hAnsi="Times New Roman"/>
          <w:b/>
        </w:rPr>
        <w:t xml:space="preserve"> </w:t>
      </w:r>
      <w:proofErr w:type="spellStart"/>
      <w:r w:rsidRPr="008A39EB">
        <w:rPr>
          <w:rFonts w:ascii="Times New Roman" w:hAnsi="Times New Roman"/>
          <w:b/>
        </w:rPr>
        <w:t>Orion</w:t>
      </w:r>
      <w:proofErr w:type="spellEnd"/>
    </w:p>
    <w:p w14:paraId="0B8838E3" w14:textId="77777777" w:rsidR="00522FD8" w:rsidRPr="008A39EB" w:rsidRDefault="00522FD8" w:rsidP="00522FD8">
      <w:pPr>
        <w:spacing w:after="0" w:line="240" w:lineRule="auto"/>
        <w:rPr>
          <w:rFonts w:ascii="Times New Roman" w:hAnsi="Times New Roman"/>
          <w:noProof/>
        </w:rPr>
      </w:pPr>
    </w:p>
    <w:p w14:paraId="03FB00E2" w14:textId="77777777" w:rsidR="00522FD8" w:rsidRPr="008A39EB" w:rsidRDefault="00522FD8" w:rsidP="00522FD8">
      <w:pPr>
        <w:numPr>
          <w:ilvl w:val="12"/>
          <w:numId w:val="0"/>
        </w:numPr>
        <w:spacing w:after="0" w:line="240" w:lineRule="auto"/>
        <w:ind w:right="-2"/>
        <w:rPr>
          <w:rFonts w:ascii="Times New Roman" w:hAnsi="Times New Roman"/>
        </w:rPr>
      </w:pPr>
      <w:r w:rsidRPr="008A39EB">
        <w:rPr>
          <w:rFonts w:ascii="Times New Roman" w:hAnsi="Times New Roman"/>
        </w:rPr>
        <w:t>Šį vaistą laikykite vaikams nepastebimoje ir nepasiekiamoje vietoje.</w:t>
      </w:r>
    </w:p>
    <w:p w14:paraId="4F5D9C37" w14:textId="77777777" w:rsidR="00522FD8" w:rsidRPr="008A39EB" w:rsidRDefault="00522FD8" w:rsidP="00522FD8">
      <w:pPr>
        <w:spacing w:after="0" w:line="240" w:lineRule="auto"/>
        <w:rPr>
          <w:rFonts w:ascii="Times New Roman" w:hAnsi="Times New Roman"/>
          <w:noProof/>
        </w:rPr>
      </w:pPr>
    </w:p>
    <w:p w14:paraId="553EDA12"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Ant dėžutės ir lizdinės plokštelės po „EXP“ nurodytam tinkamumo laikui pasibaigus, šio vaisto vartoti negalima. Vaistas tinkamas vartoti iki paskutinės nurodyto mėnesio dienos.</w:t>
      </w:r>
    </w:p>
    <w:p w14:paraId="6740DA8D" w14:textId="77777777" w:rsidR="00522FD8" w:rsidRPr="008A39EB" w:rsidRDefault="00522FD8" w:rsidP="00522FD8">
      <w:pPr>
        <w:spacing w:after="0" w:line="240" w:lineRule="auto"/>
        <w:rPr>
          <w:rFonts w:ascii="Times New Roman" w:hAnsi="Times New Roman"/>
          <w:noProof/>
        </w:rPr>
      </w:pPr>
    </w:p>
    <w:p w14:paraId="3E0D3049"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 xml:space="preserve">Laikyti gamintojo pakuotėje, kad </w:t>
      </w:r>
      <w:r>
        <w:rPr>
          <w:rFonts w:ascii="Times New Roman" w:hAnsi="Times New Roman"/>
          <w:noProof/>
        </w:rPr>
        <w:t>vaistas</w:t>
      </w:r>
      <w:r w:rsidRPr="008A39EB">
        <w:rPr>
          <w:rFonts w:ascii="Times New Roman" w:hAnsi="Times New Roman"/>
          <w:noProof/>
        </w:rPr>
        <w:t xml:space="preserve"> būtų apsaugotas nuo šviesos.</w:t>
      </w:r>
    </w:p>
    <w:p w14:paraId="1B022AED" w14:textId="77777777" w:rsidR="00522FD8" w:rsidRPr="008A39EB" w:rsidRDefault="00522FD8" w:rsidP="00522FD8">
      <w:pPr>
        <w:spacing w:after="0" w:line="240" w:lineRule="auto"/>
        <w:rPr>
          <w:rFonts w:ascii="Times New Roman" w:hAnsi="Times New Roman"/>
          <w:noProof/>
        </w:rPr>
      </w:pPr>
    </w:p>
    <w:p w14:paraId="3D3587BC"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Vaistų negalima išmesti į kanalizaciją arba su buitinėmis atliekomis. Kaip išmesti nereikalingus vaistus, klauskite vaistininko. Šios priemonės padės apsaugoti aplinką.</w:t>
      </w:r>
    </w:p>
    <w:p w14:paraId="49A515A2" w14:textId="77777777" w:rsidR="00522FD8" w:rsidRPr="008A39EB" w:rsidRDefault="00522FD8" w:rsidP="00522FD8">
      <w:pPr>
        <w:spacing w:after="0" w:line="240" w:lineRule="auto"/>
        <w:rPr>
          <w:rFonts w:ascii="Times New Roman" w:hAnsi="Times New Roman"/>
          <w:noProof/>
        </w:rPr>
      </w:pPr>
    </w:p>
    <w:p w14:paraId="5D3BB5A0" w14:textId="77777777" w:rsidR="00522FD8" w:rsidRPr="008A39EB" w:rsidRDefault="00522FD8" w:rsidP="00522FD8">
      <w:pPr>
        <w:spacing w:after="0" w:line="240" w:lineRule="auto"/>
        <w:rPr>
          <w:rFonts w:ascii="Times New Roman" w:hAnsi="Times New Roman"/>
          <w:noProof/>
        </w:rPr>
      </w:pPr>
    </w:p>
    <w:p w14:paraId="56B3A9CB" w14:textId="77777777" w:rsidR="00522FD8" w:rsidRPr="008A39EB" w:rsidRDefault="00522FD8" w:rsidP="00522FD8">
      <w:pPr>
        <w:keepNext/>
        <w:tabs>
          <w:tab w:val="left" w:pos="567"/>
        </w:tabs>
        <w:spacing w:after="0" w:line="240" w:lineRule="auto"/>
        <w:outlineLvl w:val="1"/>
        <w:rPr>
          <w:rFonts w:ascii="Times New Roman" w:hAnsi="Times New Roman"/>
          <w:b/>
        </w:rPr>
      </w:pPr>
      <w:bookmarkStart w:id="12" w:name="_Toc129243269"/>
      <w:bookmarkStart w:id="13" w:name="_Toc129243144"/>
      <w:r w:rsidRPr="008A39EB">
        <w:rPr>
          <w:rFonts w:ascii="Times New Roman" w:hAnsi="Times New Roman"/>
          <w:b/>
        </w:rPr>
        <w:t>6.</w:t>
      </w:r>
      <w:r w:rsidRPr="008A39EB">
        <w:rPr>
          <w:rFonts w:ascii="Times New Roman" w:hAnsi="Times New Roman"/>
          <w:b/>
        </w:rPr>
        <w:tab/>
        <w:t xml:space="preserve">Pakuotės turinys ir kita informacija </w:t>
      </w:r>
      <w:bookmarkEnd w:id="12"/>
      <w:bookmarkEnd w:id="13"/>
    </w:p>
    <w:p w14:paraId="4585B573" w14:textId="77777777" w:rsidR="00522FD8" w:rsidRPr="008A39EB" w:rsidRDefault="00522FD8" w:rsidP="00522FD8">
      <w:pPr>
        <w:spacing w:after="0" w:line="240" w:lineRule="auto"/>
        <w:rPr>
          <w:rFonts w:ascii="Times New Roman" w:hAnsi="Times New Roman"/>
          <w:noProof/>
        </w:rPr>
      </w:pPr>
    </w:p>
    <w:p w14:paraId="358EDB6A" w14:textId="77777777" w:rsidR="00522FD8" w:rsidRPr="008A39EB" w:rsidRDefault="00522FD8" w:rsidP="00522FD8">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sudėtis</w:t>
      </w:r>
    </w:p>
    <w:p w14:paraId="448434CB" w14:textId="77777777" w:rsidR="00522FD8" w:rsidRPr="008A39EB" w:rsidRDefault="00522FD8" w:rsidP="00522FD8">
      <w:pPr>
        <w:numPr>
          <w:ilvl w:val="0"/>
          <w:numId w:val="2"/>
        </w:numPr>
        <w:spacing w:after="0" w:line="240" w:lineRule="auto"/>
        <w:ind w:left="567" w:hanging="567"/>
        <w:rPr>
          <w:rFonts w:ascii="Times New Roman" w:hAnsi="Times New Roman"/>
          <w:noProof/>
        </w:rPr>
      </w:pPr>
      <w:r w:rsidRPr="008A39EB">
        <w:rPr>
          <w:rFonts w:ascii="Times New Roman" w:hAnsi="Times New Roman"/>
          <w:noProof/>
        </w:rPr>
        <w:t>Veiklioji medžiaga yra memantino hidrochloridas.</w:t>
      </w:r>
    </w:p>
    <w:p w14:paraId="1EEA2DEF"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Kiekvienoje 10 mg plėvele dengtoje tabletėje yra 10 mg memantino hidrochlorido, atitinkančio 8,31 mg memantino.</w:t>
      </w:r>
    </w:p>
    <w:p w14:paraId="18F0E9AA" w14:textId="77777777" w:rsidR="00522FD8" w:rsidRPr="00767BA5" w:rsidRDefault="00522FD8" w:rsidP="00522FD8">
      <w:pPr>
        <w:spacing w:after="0" w:line="240" w:lineRule="auto"/>
        <w:rPr>
          <w:rFonts w:ascii="Times New Roman" w:hAnsi="Times New Roman"/>
          <w:noProof/>
          <w:highlight w:val="lightGray"/>
        </w:rPr>
      </w:pPr>
      <w:r w:rsidRPr="00767BA5">
        <w:rPr>
          <w:rFonts w:ascii="Times New Roman" w:hAnsi="Times New Roman"/>
          <w:noProof/>
          <w:highlight w:val="lightGray"/>
        </w:rPr>
        <w:t>Kiekvienoje 20 mg plėvele dengtoje tabletėje yra 20 mg memantino hidrochlorido, atitinkančio 16,62 mg memantino.</w:t>
      </w:r>
    </w:p>
    <w:p w14:paraId="6D40EF4E" w14:textId="77777777" w:rsidR="00522FD8" w:rsidRPr="008A39EB" w:rsidRDefault="00522FD8" w:rsidP="00522FD8">
      <w:pPr>
        <w:numPr>
          <w:ilvl w:val="0"/>
          <w:numId w:val="2"/>
        </w:numPr>
        <w:spacing w:after="0" w:line="240" w:lineRule="auto"/>
        <w:ind w:left="567" w:hanging="567"/>
        <w:rPr>
          <w:rFonts w:ascii="Times New Roman" w:hAnsi="Times New Roman"/>
          <w:noProof/>
        </w:rPr>
      </w:pPr>
      <w:r w:rsidRPr="008A39EB">
        <w:rPr>
          <w:rFonts w:ascii="Times New Roman" w:hAnsi="Times New Roman"/>
          <w:noProof/>
        </w:rPr>
        <w:t>Pagalbinės medžiagos yra mikrokristalinė celiuliozė, krospovidonas (B tipo), koloidinis bevandenis silicio dioksidas, talkas, magnio stearatas, h</w:t>
      </w:r>
      <w:proofErr w:type="spellStart"/>
      <w:r w:rsidRPr="008A39EB">
        <w:rPr>
          <w:rFonts w:ascii="Times New Roman" w:hAnsi="Times New Roman"/>
        </w:rPr>
        <w:t>ipromeliozė</w:t>
      </w:r>
      <w:proofErr w:type="spellEnd"/>
      <w:r w:rsidRPr="008A39EB">
        <w:rPr>
          <w:rFonts w:ascii="Times New Roman" w:hAnsi="Times New Roman"/>
        </w:rPr>
        <w:t xml:space="preserve">, </w:t>
      </w:r>
      <w:proofErr w:type="spellStart"/>
      <w:r w:rsidRPr="008A39EB">
        <w:rPr>
          <w:rFonts w:ascii="Times New Roman" w:hAnsi="Times New Roman"/>
        </w:rPr>
        <w:t>makrogolis</w:t>
      </w:r>
      <w:proofErr w:type="spellEnd"/>
      <w:r w:rsidRPr="008A39EB">
        <w:rPr>
          <w:rFonts w:ascii="Times New Roman" w:hAnsi="Times New Roman"/>
          <w:spacing w:val="-9"/>
        </w:rPr>
        <w:t xml:space="preserve"> </w:t>
      </w:r>
      <w:r w:rsidRPr="008A39EB">
        <w:rPr>
          <w:rFonts w:ascii="Times New Roman" w:hAnsi="Times New Roman"/>
          <w:spacing w:val="-1"/>
        </w:rPr>
        <w:t>4</w:t>
      </w:r>
      <w:r w:rsidRPr="008A39EB">
        <w:rPr>
          <w:rFonts w:ascii="Times New Roman" w:hAnsi="Times New Roman"/>
        </w:rPr>
        <w:t>00</w:t>
      </w:r>
      <w:r w:rsidRPr="008A39EB">
        <w:rPr>
          <w:rFonts w:ascii="Times New Roman" w:hAnsi="Times New Roman"/>
          <w:noProof/>
        </w:rPr>
        <w:t>, t</w:t>
      </w:r>
      <w:r w:rsidRPr="008A39EB">
        <w:rPr>
          <w:rFonts w:ascii="Times New Roman" w:hAnsi="Times New Roman"/>
        </w:rPr>
        <w:t>itano</w:t>
      </w:r>
      <w:r w:rsidRPr="008A39EB">
        <w:rPr>
          <w:rFonts w:ascii="Times New Roman" w:hAnsi="Times New Roman"/>
          <w:spacing w:val="-5"/>
        </w:rPr>
        <w:t xml:space="preserve"> </w:t>
      </w:r>
      <w:r w:rsidRPr="008A39EB">
        <w:rPr>
          <w:rFonts w:ascii="Times New Roman" w:hAnsi="Times New Roman"/>
        </w:rPr>
        <w:t>di</w:t>
      </w:r>
      <w:r w:rsidRPr="008A39EB">
        <w:rPr>
          <w:rFonts w:ascii="Times New Roman" w:hAnsi="Times New Roman"/>
          <w:spacing w:val="-1"/>
        </w:rPr>
        <w:t>o</w:t>
      </w:r>
      <w:r w:rsidRPr="008A39EB">
        <w:rPr>
          <w:rFonts w:ascii="Times New Roman" w:hAnsi="Times New Roman"/>
          <w:spacing w:val="1"/>
        </w:rPr>
        <w:t>k</w:t>
      </w:r>
      <w:r w:rsidRPr="008A39EB">
        <w:rPr>
          <w:rFonts w:ascii="Times New Roman" w:hAnsi="Times New Roman"/>
        </w:rPr>
        <w:t>sidas</w:t>
      </w:r>
      <w:r w:rsidRPr="008A39EB">
        <w:rPr>
          <w:rFonts w:ascii="Times New Roman" w:hAnsi="Times New Roman"/>
          <w:spacing w:val="-8"/>
        </w:rPr>
        <w:t xml:space="preserve"> </w:t>
      </w:r>
      <w:r w:rsidRPr="008A39EB">
        <w:rPr>
          <w:rFonts w:ascii="Times New Roman" w:hAnsi="Times New Roman"/>
        </w:rPr>
        <w:t>(E171).</w:t>
      </w:r>
    </w:p>
    <w:p w14:paraId="6F29674A" w14:textId="77777777" w:rsidR="00522FD8" w:rsidRPr="008A39EB" w:rsidRDefault="00522FD8" w:rsidP="00522FD8">
      <w:pPr>
        <w:widowControl w:val="0"/>
        <w:numPr>
          <w:ilvl w:val="0"/>
          <w:numId w:val="2"/>
        </w:numPr>
        <w:spacing w:after="0" w:line="240" w:lineRule="auto"/>
        <w:ind w:left="567" w:right="-20" w:hanging="567"/>
        <w:rPr>
          <w:rFonts w:ascii="Times New Roman" w:hAnsi="Times New Roman"/>
        </w:rPr>
      </w:pPr>
      <w:r w:rsidRPr="008A39EB">
        <w:rPr>
          <w:rFonts w:ascii="Times New Roman" w:hAnsi="Times New Roman"/>
        </w:rPr>
        <w:t>Papildomi dažikliai 20 mg plėvele dengtose tabletėse yra geltonasis</w:t>
      </w:r>
      <w:r w:rsidRPr="008A39EB">
        <w:rPr>
          <w:rFonts w:ascii="Times New Roman" w:hAnsi="Times New Roman"/>
          <w:spacing w:val="-9"/>
        </w:rPr>
        <w:t xml:space="preserve"> </w:t>
      </w:r>
      <w:r w:rsidRPr="008A39EB">
        <w:rPr>
          <w:rFonts w:ascii="Times New Roman" w:hAnsi="Times New Roman"/>
        </w:rPr>
        <w:t>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 xml:space="preserve">(E172) ir </w:t>
      </w:r>
      <w:r w:rsidRPr="008A39EB">
        <w:rPr>
          <w:rFonts w:ascii="Times New Roman" w:hAnsi="Times New Roman"/>
        </w:rPr>
        <w:lastRenderedPageBreak/>
        <w:t>raudonasis geležies</w:t>
      </w:r>
      <w:r w:rsidRPr="008A39EB">
        <w:rPr>
          <w:rFonts w:ascii="Times New Roman" w:hAnsi="Times New Roman"/>
          <w:spacing w:val="-6"/>
        </w:rPr>
        <w:t xml:space="preserve"> </w:t>
      </w:r>
      <w:r w:rsidRPr="008A39EB">
        <w:rPr>
          <w:rFonts w:ascii="Times New Roman" w:hAnsi="Times New Roman"/>
        </w:rPr>
        <w:t>oksidas</w:t>
      </w:r>
      <w:r w:rsidRPr="008A39EB">
        <w:rPr>
          <w:rFonts w:ascii="Times New Roman" w:hAnsi="Times New Roman"/>
          <w:spacing w:val="-7"/>
        </w:rPr>
        <w:t xml:space="preserve"> </w:t>
      </w:r>
      <w:r w:rsidRPr="008A39EB">
        <w:rPr>
          <w:rFonts w:ascii="Times New Roman" w:hAnsi="Times New Roman"/>
        </w:rPr>
        <w:t>(E172).</w:t>
      </w:r>
    </w:p>
    <w:p w14:paraId="226C67B6" w14:textId="77777777" w:rsidR="00522FD8" w:rsidRPr="008A39EB" w:rsidRDefault="00522FD8" w:rsidP="00522FD8">
      <w:pPr>
        <w:spacing w:after="0" w:line="240" w:lineRule="auto"/>
        <w:rPr>
          <w:rFonts w:ascii="Times New Roman" w:hAnsi="Times New Roman"/>
          <w:noProof/>
        </w:rPr>
      </w:pPr>
    </w:p>
    <w:p w14:paraId="33D38543" w14:textId="77777777" w:rsidR="00522FD8" w:rsidRPr="008A39EB" w:rsidRDefault="00522FD8" w:rsidP="00522FD8">
      <w:pPr>
        <w:spacing w:after="0" w:line="240" w:lineRule="auto"/>
        <w:rPr>
          <w:rFonts w:ascii="Times New Roman" w:hAnsi="Times New Roman"/>
          <w:b/>
          <w:bCs/>
        </w:rPr>
      </w:pPr>
      <w:proofErr w:type="spellStart"/>
      <w:r w:rsidRPr="008A39EB">
        <w:rPr>
          <w:rFonts w:ascii="Times New Roman" w:hAnsi="Times New Roman"/>
          <w:b/>
          <w:bCs/>
        </w:rPr>
        <w:t>Memantine</w:t>
      </w:r>
      <w:proofErr w:type="spellEnd"/>
      <w:r w:rsidRPr="008A39EB">
        <w:rPr>
          <w:rFonts w:ascii="Times New Roman" w:hAnsi="Times New Roman"/>
          <w:b/>
          <w:bCs/>
        </w:rPr>
        <w:t xml:space="preserve"> </w:t>
      </w:r>
      <w:proofErr w:type="spellStart"/>
      <w:r w:rsidRPr="008A39EB">
        <w:rPr>
          <w:rFonts w:ascii="Times New Roman" w:hAnsi="Times New Roman"/>
          <w:b/>
          <w:bCs/>
        </w:rPr>
        <w:t>Orion</w:t>
      </w:r>
      <w:proofErr w:type="spellEnd"/>
      <w:r w:rsidRPr="008A39EB">
        <w:rPr>
          <w:rFonts w:ascii="Times New Roman" w:hAnsi="Times New Roman"/>
          <w:b/>
          <w:bCs/>
        </w:rPr>
        <w:t xml:space="preserve"> išvaizda ir kiekis pakuotėje</w:t>
      </w:r>
    </w:p>
    <w:p w14:paraId="54AC3481" w14:textId="77777777" w:rsidR="00522FD8" w:rsidRPr="008A39EB" w:rsidRDefault="00522FD8" w:rsidP="00522FD8">
      <w:pPr>
        <w:spacing w:after="0" w:line="240" w:lineRule="auto"/>
        <w:rPr>
          <w:rFonts w:ascii="Times New Roman" w:hAnsi="Times New Roman"/>
          <w:noProof/>
        </w:rPr>
      </w:pPr>
    </w:p>
    <w:p w14:paraId="6D67188B"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10 mg plėvele dengtos tabletės yra baltos arba beveik baltos spalvos, ovalios formos, maždaug 13 mm ilgio ir 5,5 mm pločio, abipus išgaubtos, nuožulniais kraštais, plėvele dengtos tabletės, kurių vienoje pusėje įspausta „10“, kitoje – vagelė. Tabletę galima padalyti į lygias dozes.</w:t>
      </w:r>
    </w:p>
    <w:p w14:paraId="27258AFA" w14:textId="77777777" w:rsidR="00522FD8" w:rsidRPr="008A39EB" w:rsidRDefault="00522FD8" w:rsidP="00522FD8">
      <w:pPr>
        <w:spacing w:after="0" w:line="240" w:lineRule="auto"/>
        <w:rPr>
          <w:rFonts w:ascii="Times New Roman" w:hAnsi="Times New Roman"/>
          <w:noProof/>
        </w:rPr>
      </w:pPr>
    </w:p>
    <w:p w14:paraId="665163AC" w14:textId="77777777" w:rsidR="00522FD8" w:rsidRPr="008A39EB" w:rsidRDefault="00522FD8" w:rsidP="00522FD8">
      <w:pPr>
        <w:spacing w:after="0" w:line="240" w:lineRule="auto"/>
        <w:rPr>
          <w:rFonts w:ascii="Times New Roman" w:hAnsi="Times New Roman"/>
          <w:noProof/>
        </w:rPr>
      </w:pPr>
      <w:r w:rsidRPr="00767BA5">
        <w:rPr>
          <w:rFonts w:ascii="Times New Roman" w:hAnsi="Times New Roman"/>
          <w:noProof/>
          <w:highlight w:val="lightGray"/>
        </w:rPr>
        <w:t>20 mg plėvele dengtos tabletės yra šviesiai raudonos arba pilkšvai raudonos spalvos, ovalios formos, maždaug 15,3 mm ilgio ir 6,2 mm pločio, abipus išgaubtos, nuožulniais kraštais, plėvele dengtos tabletės, kurių vienoje pusėje įspausta „20“, kita pusė lygi.</w:t>
      </w:r>
    </w:p>
    <w:p w14:paraId="5B69A8EE" w14:textId="77777777" w:rsidR="00522FD8" w:rsidRPr="008A39EB" w:rsidRDefault="00522FD8" w:rsidP="00522FD8">
      <w:pPr>
        <w:spacing w:after="0" w:line="240" w:lineRule="auto"/>
        <w:rPr>
          <w:rFonts w:ascii="Times New Roman" w:hAnsi="Times New Roman"/>
          <w:noProof/>
        </w:rPr>
      </w:pPr>
    </w:p>
    <w:p w14:paraId="7F829E6E"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Pakuočių dydžiai:</w:t>
      </w:r>
    </w:p>
    <w:p w14:paraId="5104D859" w14:textId="77777777" w:rsidR="00522FD8" w:rsidRPr="008A39EB" w:rsidRDefault="00522FD8" w:rsidP="00522FD8">
      <w:pPr>
        <w:spacing w:after="0" w:line="240" w:lineRule="auto"/>
        <w:rPr>
          <w:rFonts w:ascii="Times New Roman" w:hAnsi="Times New Roman"/>
          <w:noProof/>
        </w:rPr>
      </w:pPr>
    </w:p>
    <w:p w14:paraId="41ECA7DF" w14:textId="77777777" w:rsidR="00522FD8" w:rsidRPr="008A39EB" w:rsidRDefault="00522FD8" w:rsidP="00522FD8">
      <w:pPr>
        <w:spacing w:after="0" w:line="240" w:lineRule="auto"/>
        <w:rPr>
          <w:rFonts w:ascii="Times New Roman" w:hAnsi="Times New Roman"/>
          <w:noProof/>
        </w:rPr>
      </w:pPr>
      <w:r w:rsidRPr="008A39EB">
        <w:rPr>
          <w:rFonts w:ascii="Times New Roman" w:hAnsi="Times New Roman"/>
          <w:noProof/>
        </w:rPr>
        <w:t>Lizdinės plokštelės: 28, 30, 50, 56, 98 arba 100 tablečių.</w:t>
      </w:r>
    </w:p>
    <w:p w14:paraId="2EF0F22D" w14:textId="77777777" w:rsidR="00522FD8" w:rsidRPr="008A39EB" w:rsidRDefault="00522FD8" w:rsidP="00522FD8">
      <w:pPr>
        <w:spacing w:after="0" w:line="240" w:lineRule="auto"/>
        <w:rPr>
          <w:rFonts w:ascii="Times New Roman" w:hAnsi="Times New Roman"/>
          <w:bCs/>
        </w:rPr>
      </w:pPr>
      <w:r w:rsidRPr="008A39EB">
        <w:rPr>
          <w:rFonts w:ascii="Times New Roman" w:hAnsi="Times New Roman"/>
          <w:bCs/>
        </w:rPr>
        <w:t>DTPE buteliukas: 100 arba 150 tablečių.</w:t>
      </w:r>
    </w:p>
    <w:p w14:paraId="6C876BDB" w14:textId="77777777" w:rsidR="00522FD8" w:rsidRPr="008A39EB" w:rsidRDefault="00522FD8" w:rsidP="00522FD8">
      <w:pPr>
        <w:spacing w:after="0" w:line="240" w:lineRule="auto"/>
        <w:rPr>
          <w:rFonts w:ascii="Times New Roman" w:hAnsi="Times New Roman"/>
          <w:bCs/>
        </w:rPr>
      </w:pPr>
    </w:p>
    <w:p w14:paraId="2241A3A7" w14:textId="77777777" w:rsidR="00522FD8" w:rsidRPr="008A39EB" w:rsidRDefault="00522FD8" w:rsidP="00522FD8">
      <w:pPr>
        <w:spacing w:after="0" w:line="240" w:lineRule="auto"/>
        <w:rPr>
          <w:rFonts w:ascii="Times New Roman" w:hAnsi="Times New Roman"/>
          <w:bCs/>
        </w:rPr>
      </w:pPr>
      <w:r w:rsidRPr="008A39EB">
        <w:rPr>
          <w:rFonts w:ascii="Times New Roman" w:hAnsi="Times New Roman"/>
          <w:bCs/>
        </w:rPr>
        <w:t>Gali būti tiekiamos ne visų dydžių pakuotės.</w:t>
      </w:r>
    </w:p>
    <w:p w14:paraId="4B2FF125" w14:textId="77777777" w:rsidR="00522FD8" w:rsidRPr="008A39EB" w:rsidRDefault="00522FD8" w:rsidP="00522FD8">
      <w:pPr>
        <w:spacing w:after="0" w:line="240" w:lineRule="auto"/>
        <w:rPr>
          <w:rFonts w:ascii="Times New Roman" w:hAnsi="Times New Roman"/>
          <w:bCs/>
        </w:rPr>
      </w:pPr>
    </w:p>
    <w:p w14:paraId="0942EA1E" w14:textId="77777777" w:rsidR="00522FD8" w:rsidRPr="008A39EB" w:rsidRDefault="00522FD8" w:rsidP="00522FD8">
      <w:pPr>
        <w:spacing w:after="0" w:line="240" w:lineRule="auto"/>
        <w:rPr>
          <w:rFonts w:ascii="Times New Roman" w:hAnsi="Times New Roman"/>
          <w:b/>
          <w:bCs/>
        </w:rPr>
      </w:pPr>
      <w:r w:rsidRPr="003F6350">
        <w:rPr>
          <w:rFonts w:ascii="Times New Roman" w:hAnsi="Times New Roman"/>
          <w:b/>
          <w:bCs/>
        </w:rPr>
        <w:t>Registruotojas</w:t>
      </w:r>
      <w:r w:rsidRPr="003F6350" w:rsidDel="003F6350">
        <w:rPr>
          <w:rFonts w:ascii="Times New Roman" w:hAnsi="Times New Roman"/>
          <w:b/>
          <w:bCs/>
        </w:rPr>
        <w:t xml:space="preserve"> </w:t>
      </w:r>
      <w:r w:rsidRPr="008A39EB">
        <w:rPr>
          <w:rFonts w:ascii="Times New Roman" w:hAnsi="Times New Roman"/>
          <w:b/>
          <w:bCs/>
        </w:rPr>
        <w:t>ir gamintojas</w:t>
      </w:r>
    </w:p>
    <w:p w14:paraId="671C33EC" w14:textId="77777777" w:rsidR="00522FD8" w:rsidRPr="008A39EB" w:rsidRDefault="00522FD8" w:rsidP="00522FD8">
      <w:pPr>
        <w:suppressAutoHyphens/>
        <w:spacing w:after="0" w:line="240" w:lineRule="auto"/>
        <w:rPr>
          <w:rFonts w:ascii="Times New Roman" w:hAnsi="Times New Roman"/>
          <w:lang w:eastAsia="zh-CN"/>
        </w:rPr>
      </w:pPr>
    </w:p>
    <w:p w14:paraId="4000D953" w14:textId="77777777" w:rsidR="00522FD8" w:rsidRDefault="00522FD8" w:rsidP="00522FD8">
      <w:pPr>
        <w:suppressAutoHyphens/>
        <w:spacing w:after="0" w:line="240" w:lineRule="auto"/>
        <w:rPr>
          <w:rFonts w:ascii="Times New Roman" w:hAnsi="Times New Roman"/>
          <w:i/>
          <w:lang w:eastAsia="zh-CN"/>
        </w:rPr>
      </w:pPr>
      <w:r w:rsidRPr="003F6350">
        <w:rPr>
          <w:rFonts w:ascii="Times New Roman" w:hAnsi="Times New Roman"/>
          <w:i/>
          <w:lang w:eastAsia="zh-CN"/>
        </w:rPr>
        <w:t>Registruotojas</w:t>
      </w:r>
      <w:r w:rsidRPr="003F6350" w:rsidDel="003F6350">
        <w:rPr>
          <w:rFonts w:ascii="Times New Roman" w:hAnsi="Times New Roman"/>
          <w:i/>
          <w:lang w:eastAsia="zh-CN"/>
        </w:rPr>
        <w:t xml:space="preserve"> </w:t>
      </w:r>
    </w:p>
    <w:p w14:paraId="7B9E10E7" w14:textId="77777777" w:rsidR="00522FD8" w:rsidRPr="008A39EB" w:rsidRDefault="00522FD8" w:rsidP="00522FD8">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Corporation</w:t>
      </w:r>
      <w:proofErr w:type="spellEnd"/>
    </w:p>
    <w:p w14:paraId="79FB6041" w14:textId="77777777" w:rsidR="00522FD8" w:rsidRPr="008A39EB" w:rsidRDefault="00522FD8" w:rsidP="00522FD8">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3BA8A502" w14:textId="77777777" w:rsidR="00522FD8" w:rsidRPr="008A39EB" w:rsidRDefault="00522FD8" w:rsidP="00522FD8">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4FCF2042" w14:textId="77777777" w:rsidR="00522FD8" w:rsidRPr="008A39EB" w:rsidRDefault="00522FD8" w:rsidP="00522FD8">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58155858" w14:textId="77777777" w:rsidR="00522FD8" w:rsidRPr="008A39EB" w:rsidRDefault="00522FD8" w:rsidP="00522FD8">
      <w:pPr>
        <w:spacing w:after="0" w:line="240" w:lineRule="auto"/>
        <w:rPr>
          <w:rFonts w:ascii="Times New Roman" w:hAnsi="Times New Roman"/>
          <w:noProof/>
        </w:rPr>
      </w:pPr>
    </w:p>
    <w:p w14:paraId="45EB160A" w14:textId="77777777" w:rsidR="00522FD8" w:rsidRPr="008A39EB" w:rsidRDefault="00522FD8" w:rsidP="00522FD8">
      <w:pPr>
        <w:spacing w:after="0" w:line="240" w:lineRule="auto"/>
        <w:rPr>
          <w:rFonts w:ascii="Times New Roman" w:hAnsi="Times New Roman"/>
          <w:i/>
          <w:noProof/>
        </w:rPr>
      </w:pPr>
      <w:r w:rsidRPr="008A39EB">
        <w:rPr>
          <w:rFonts w:ascii="Times New Roman" w:hAnsi="Times New Roman"/>
          <w:i/>
          <w:noProof/>
        </w:rPr>
        <w:t>Gamintojas</w:t>
      </w:r>
    </w:p>
    <w:p w14:paraId="66B950F3" w14:textId="77777777" w:rsidR="00522FD8" w:rsidRPr="008A39EB" w:rsidRDefault="00522FD8" w:rsidP="00522FD8">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Corporation</w:t>
      </w:r>
      <w:proofErr w:type="spellEnd"/>
      <w:r w:rsidRPr="008A39EB">
        <w:rPr>
          <w:rFonts w:ascii="Times New Roman" w:hAnsi="Times New Roman"/>
          <w:lang w:eastAsia="zh-CN"/>
        </w:rPr>
        <w:t xml:space="preserve"> </w:t>
      </w:r>
      <w:proofErr w:type="spellStart"/>
      <w:r w:rsidRPr="008A39EB">
        <w:rPr>
          <w:rFonts w:ascii="Times New Roman" w:hAnsi="Times New Roman"/>
          <w:lang w:eastAsia="zh-CN"/>
        </w:rPr>
        <w:t>Orion</w:t>
      </w:r>
      <w:proofErr w:type="spellEnd"/>
      <w:r w:rsidRPr="008A39EB">
        <w:rPr>
          <w:rFonts w:ascii="Times New Roman" w:hAnsi="Times New Roman"/>
          <w:lang w:eastAsia="zh-CN"/>
        </w:rPr>
        <w:t xml:space="preserve"> Pharma</w:t>
      </w:r>
    </w:p>
    <w:p w14:paraId="6E6379E1" w14:textId="77777777" w:rsidR="00522FD8" w:rsidRPr="008A39EB" w:rsidRDefault="00522FD8" w:rsidP="00522FD8">
      <w:pPr>
        <w:suppressAutoHyphens/>
        <w:spacing w:after="0" w:line="240" w:lineRule="auto"/>
        <w:rPr>
          <w:rFonts w:ascii="Times New Roman" w:hAnsi="Times New Roman"/>
          <w:lang w:eastAsia="zh-CN"/>
        </w:rPr>
      </w:pPr>
      <w:proofErr w:type="spellStart"/>
      <w:r w:rsidRPr="008A39EB">
        <w:rPr>
          <w:rFonts w:ascii="Times New Roman" w:hAnsi="Times New Roman"/>
          <w:lang w:eastAsia="zh-CN"/>
        </w:rPr>
        <w:t>Orionintie</w:t>
      </w:r>
      <w:proofErr w:type="spellEnd"/>
      <w:r w:rsidRPr="008A39EB">
        <w:rPr>
          <w:rFonts w:ascii="Times New Roman" w:hAnsi="Times New Roman"/>
          <w:lang w:eastAsia="zh-CN"/>
        </w:rPr>
        <w:t xml:space="preserve"> 1</w:t>
      </w:r>
    </w:p>
    <w:p w14:paraId="79479363" w14:textId="77777777" w:rsidR="00522FD8" w:rsidRPr="008A39EB" w:rsidRDefault="00522FD8" w:rsidP="00522FD8">
      <w:pPr>
        <w:suppressAutoHyphens/>
        <w:spacing w:after="0" w:line="240" w:lineRule="auto"/>
        <w:rPr>
          <w:rFonts w:ascii="Times New Roman" w:hAnsi="Times New Roman"/>
          <w:lang w:eastAsia="zh-CN"/>
        </w:rPr>
      </w:pPr>
      <w:r w:rsidRPr="008A39EB">
        <w:rPr>
          <w:rFonts w:ascii="Times New Roman" w:hAnsi="Times New Roman"/>
          <w:lang w:eastAsia="zh-CN"/>
        </w:rPr>
        <w:t xml:space="preserve">FI-02200 </w:t>
      </w:r>
      <w:proofErr w:type="spellStart"/>
      <w:r w:rsidRPr="008A39EB">
        <w:rPr>
          <w:rFonts w:ascii="Times New Roman" w:hAnsi="Times New Roman"/>
          <w:lang w:eastAsia="zh-CN"/>
        </w:rPr>
        <w:t>Espoo</w:t>
      </w:r>
      <w:proofErr w:type="spellEnd"/>
    </w:p>
    <w:p w14:paraId="49EE3779" w14:textId="77777777" w:rsidR="00522FD8" w:rsidRPr="008A39EB" w:rsidRDefault="00522FD8" w:rsidP="00522FD8">
      <w:pPr>
        <w:suppressAutoHyphens/>
        <w:spacing w:after="0" w:line="240" w:lineRule="auto"/>
        <w:rPr>
          <w:rFonts w:ascii="Times New Roman" w:hAnsi="Times New Roman"/>
          <w:lang w:eastAsia="zh-CN"/>
        </w:rPr>
      </w:pPr>
      <w:r w:rsidRPr="008A39EB">
        <w:rPr>
          <w:rFonts w:ascii="Times New Roman" w:hAnsi="Times New Roman"/>
          <w:lang w:eastAsia="zh-CN"/>
        </w:rPr>
        <w:t>Suomija</w:t>
      </w:r>
    </w:p>
    <w:p w14:paraId="52D2F632" w14:textId="77777777" w:rsidR="00522FD8" w:rsidRDefault="00522FD8" w:rsidP="00522FD8">
      <w:pPr>
        <w:spacing w:after="0" w:line="240" w:lineRule="auto"/>
        <w:rPr>
          <w:rFonts w:ascii="Times New Roman" w:hAnsi="Times New Roman"/>
          <w:noProof/>
        </w:rPr>
      </w:pPr>
    </w:p>
    <w:p w14:paraId="023BC2D2" w14:textId="77777777" w:rsidR="00522FD8" w:rsidRDefault="00522FD8" w:rsidP="00522FD8">
      <w:pPr>
        <w:spacing w:after="0" w:line="240" w:lineRule="auto"/>
        <w:rPr>
          <w:rFonts w:ascii="Times New Roman" w:hAnsi="Times New Roman"/>
          <w:noProof/>
        </w:rPr>
      </w:pPr>
      <w:r>
        <w:rPr>
          <w:rFonts w:ascii="Times New Roman" w:hAnsi="Times New Roman"/>
          <w:noProof/>
        </w:rPr>
        <w:t>arba</w:t>
      </w:r>
    </w:p>
    <w:p w14:paraId="49AD9FEC" w14:textId="77777777" w:rsidR="00522FD8" w:rsidRPr="008A39EB" w:rsidRDefault="00522FD8" w:rsidP="00522FD8">
      <w:pPr>
        <w:spacing w:after="0" w:line="240" w:lineRule="auto"/>
        <w:rPr>
          <w:rFonts w:ascii="Times New Roman" w:hAnsi="Times New Roman"/>
          <w:noProof/>
        </w:rPr>
      </w:pPr>
    </w:p>
    <w:p w14:paraId="24DCEBF7" w14:textId="77777777" w:rsidR="00522FD8" w:rsidRPr="00EA0611" w:rsidRDefault="00522FD8" w:rsidP="00522FD8">
      <w:pPr>
        <w:spacing w:after="0" w:line="240" w:lineRule="auto"/>
        <w:rPr>
          <w:rFonts w:ascii="Times New Roman" w:hAnsi="Times New Roman"/>
          <w:noProof/>
        </w:rPr>
      </w:pPr>
      <w:r w:rsidRPr="00EA0611">
        <w:rPr>
          <w:rFonts w:ascii="Times New Roman" w:hAnsi="Times New Roman"/>
          <w:noProof/>
        </w:rPr>
        <w:t>Orion Corporation Orion Pharma</w:t>
      </w:r>
    </w:p>
    <w:p w14:paraId="4A553B4C" w14:textId="77777777" w:rsidR="00522FD8" w:rsidRPr="00EA0611" w:rsidRDefault="00522FD8" w:rsidP="00522FD8">
      <w:pPr>
        <w:spacing w:after="0" w:line="240" w:lineRule="auto"/>
        <w:rPr>
          <w:rFonts w:ascii="Times New Roman" w:hAnsi="Times New Roman"/>
          <w:noProof/>
        </w:rPr>
      </w:pPr>
      <w:r w:rsidRPr="00EA0611">
        <w:rPr>
          <w:rFonts w:ascii="Times New Roman" w:hAnsi="Times New Roman"/>
          <w:noProof/>
        </w:rPr>
        <w:t>Joensuunkatu 7</w:t>
      </w:r>
    </w:p>
    <w:p w14:paraId="42D0A0E9" w14:textId="77777777" w:rsidR="00522FD8" w:rsidRPr="00EA0611" w:rsidRDefault="00522FD8" w:rsidP="00522FD8">
      <w:pPr>
        <w:spacing w:after="0" w:line="240" w:lineRule="auto"/>
        <w:rPr>
          <w:rFonts w:ascii="Times New Roman" w:hAnsi="Times New Roman"/>
          <w:noProof/>
        </w:rPr>
      </w:pPr>
      <w:r w:rsidRPr="00EA0611">
        <w:rPr>
          <w:rFonts w:ascii="Times New Roman" w:hAnsi="Times New Roman"/>
          <w:noProof/>
        </w:rPr>
        <w:t>FI-24100 Salo</w:t>
      </w:r>
    </w:p>
    <w:p w14:paraId="58B9DD5D" w14:textId="77777777" w:rsidR="00522FD8" w:rsidRDefault="00522FD8" w:rsidP="00522FD8">
      <w:pPr>
        <w:spacing w:after="0" w:line="240" w:lineRule="auto"/>
        <w:rPr>
          <w:rFonts w:ascii="Times New Roman" w:hAnsi="Times New Roman"/>
          <w:noProof/>
        </w:rPr>
      </w:pPr>
      <w:r>
        <w:rPr>
          <w:rFonts w:ascii="Times New Roman" w:hAnsi="Times New Roman"/>
          <w:noProof/>
        </w:rPr>
        <w:t>Suomija</w:t>
      </w:r>
    </w:p>
    <w:p w14:paraId="6D6E2701" w14:textId="77777777" w:rsidR="00522FD8" w:rsidRPr="008A39EB" w:rsidRDefault="00522FD8" w:rsidP="00522FD8">
      <w:pPr>
        <w:spacing w:after="0" w:line="240" w:lineRule="auto"/>
        <w:rPr>
          <w:rFonts w:ascii="Times New Roman" w:hAnsi="Times New Roman"/>
          <w:noProof/>
        </w:rPr>
      </w:pPr>
    </w:p>
    <w:p w14:paraId="35DB329F" w14:textId="77777777" w:rsidR="00522FD8" w:rsidRPr="008A39EB" w:rsidRDefault="00522FD8" w:rsidP="00522FD8">
      <w:pPr>
        <w:spacing w:after="0" w:line="240" w:lineRule="auto"/>
        <w:rPr>
          <w:rFonts w:ascii="Times New Roman" w:hAnsi="Times New Roman"/>
          <w:bCs/>
        </w:rPr>
      </w:pPr>
      <w:r w:rsidRPr="008A39EB">
        <w:rPr>
          <w:rFonts w:ascii="Times New Roman" w:hAnsi="Times New Roman"/>
          <w:noProof/>
        </w:rPr>
        <w:t xml:space="preserve">Jeigu apie šį </w:t>
      </w:r>
      <w:r w:rsidRPr="008A39EB">
        <w:rPr>
          <w:rFonts w:ascii="Times New Roman" w:hAnsi="Times New Roman"/>
          <w:bCs/>
        </w:rPr>
        <w:t>v</w:t>
      </w:r>
      <w:r w:rsidRPr="008A39EB">
        <w:rPr>
          <w:rFonts w:ascii="Times New Roman" w:hAnsi="Times New Roman"/>
          <w:noProof/>
        </w:rPr>
        <w:t xml:space="preserve">aistą norite sužinoti daugiau, kreipkitės į vietinį </w:t>
      </w:r>
      <w:r w:rsidRPr="003F6350">
        <w:rPr>
          <w:rFonts w:ascii="Times New Roman" w:hAnsi="Times New Roman"/>
          <w:noProof/>
        </w:rPr>
        <w:t>registruotojo</w:t>
      </w:r>
      <w:r w:rsidRPr="003F6350" w:rsidDel="003F6350">
        <w:rPr>
          <w:rFonts w:ascii="Times New Roman" w:hAnsi="Times New Roman"/>
          <w:noProof/>
        </w:rPr>
        <w:t xml:space="preserve"> </w:t>
      </w:r>
      <w:r w:rsidRPr="008A39EB">
        <w:rPr>
          <w:rFonts w:ascii="Times New Roman" w:hAnsi="Times New Roman"/>
          <w:noProof/>
        </w:rPr>
        <w:t>atstovą.</w:t>
      </w:r>
    </w:p>
    <w:p w14:paraId="3531CEE9" w14:textId="77777777" w:rsidR="00522FD8" w:rsidRPr="008A39EB" w:rsidRDefault="00522FD8" w:rsidP="00522FD8">
      <w:pPr>
        <w:spacing w:after="0" w:line="240" w:lineRule="auto"/>
        <w:rPr>
          <w:rFonts w:ascii="Times New Roman" w:hAnsi="Times New Roman"/>
        </w:rPr>
      </w:pPr>
    </w:p>
    <w:p w14:paraId="52DB8F9E" w14:textId="77777777" w:rsidR="00522FD8" w:rsidRPr="004D7F77" w:rsidRDefault="00522FD8" w:rsidP="00522FD8">
      <w:pPr>
        <w:spacing w:after="0" w:line="240" w:lineRule="auto"/>
        <w:rPr>
          <w:rFonts w:ascii="Times New Roman" w:hAnsi="Times New Roman"/>
        </w:rPr>
      </w:pPr>
      <w:r w:rsidRPr="004D7F77">
        <w:rPr>
          <w:rFonts w:ascii="Times New Roman" w:hAnsi="Times New Roman"/>
        </w:rPr>
        <w:t>UAB „ORION PHARMA“</w:t>
      </w:r>
    </w:p>
    <w:p w14:paraId="4C218B78" w14:textId="77777777" w:rsidR="00522FD8" w:rsidRPr="004D7F77" w:rsidRDefault="00522FD8" w:rsidP="00522FD8">
      <w:pPr>
        <w:spacing w:after="0" w:line="240" w:lineRule="auto"/>
        <w:rPr>
          <w:rFonts w:ascii="Times New Roman" w:hAnsi="Times New Roman"/>
        </w:rPr>
      </w:pPr>
      <w:r w:rsidRPr="004D7F77">
        <w:rPr>
          <w:rFonts w:ascii="Times New Roman" w:hAnsi="Times New Roman"/>
        </w:rPr>
        <w:t>Tel. +370 5 2769 499</w:t>
      </w:r>
    </w:p>
    <w:p w14:paraId="3DF06A16" w14:textId="77777777" w:rsidR="00522FD8" w:rsidRPr="008A39EB" w:rsidRDefault="00522FD8" w:rsidP="00522FD8">
      <w:pPr>
        <w:spacing w:after="0" w:line="240" w:lineRule="auto"/>
        <w:rPr>
          <w:rFonts w:ascii="Times New Roman" w:hAnsi="Times New Roman"/>
          <w:noProof/>
        </w:rPr>
      </w:pPr>
      <w:r w:rsidRPr="004D7F77">
        <w:rPr>
          <w:rFonts w:ascii="Times New Roman" w:hAnsi="Times New Roman"/>
        </w:rPr>
        <w:t>El. paštas: info@orionpharma.lt</w:t>
      </w:r>
    </w:p>
    <w:p w14:paraId="4B22B29F" w14:textId="77777777" w:rsidR="00522FD8" w:rsidRPr="008A39EB" w:rsidRDefault="00522FD8" w:rsidP="00522FD8">
      <w:pPr>
        <w:spacing w:after="0" w:line="240" w:lineRule="auto"/>
        <w:rPr>
          <w:rFonts w:ascii="Times New Roman" w:hAnsi="Times New Roman"/>
          <w:noProof/>
        </w:rPr>
      </w:pPr>
    </w:p>
    <w:p w14:paraId="0D2B556E" w14:textId="77777777" w:rsidR="00522FD8" w:rsidRPr="008A39EB" w:rsidRDefault="00522FD8" w:rsidP="00522FD8">
      <w:pPr>
        <w:spacing w:after="0" w:line="240" w:lineRule="auto"/>
        <w:rPr>
          <w:rFonts w:ascii="Times New Roman" w:hAnsi="Times New Roman"/>
          <w:noProof/>
        </w:rPr>
      </w:pPr>
    </w:p>
    <w:p w14:paraId="5279245E" w14:textId="77777777" w:rsidR="00522FD8" w:rsidRPr="008A39EB" w:rsidRDefault="00522FD8" w:rsidP="00522FD8">
      <w:pPr>
        <w:spacing w:after="0" w:line="240" w:lineRule="auto"/>
        <w:rPr>
          <w:rFonts w:ascii="Times New Roman" w:hAnsi="Times New Roman"/>
          <w:b/>
          <w:noProof/>
        </w:rPr>
      </w:pPr>
      <w:r w:rsidRPr="008A39EB">
        <w:rPr>
          <w:rFonts w:ascii="Times New Roman" w:hAnsi="Times New Roman"/>
          <w:b/>
          <w:bCs/>
          <w:noProof/>
        </w:rPr>
        <w:t>Šis pakuotės lapelis</w:t>
      </w:r>
      <w:r w:rsidRPr="008A39EB">
        <w:rPr>
          <w:rFonts w:ascii="Times New Roman" w:hAnsi="Times New Roman"/>
          <w:b/>
          <w:noProof/>
        </w:rPr>
        <w:t xml:space="preserve"> paskutinį kartą peržiūrėtas </w:t>
      </w:r>
      <w:r>
        <w:rPr>
          <w:rFonts w:ascii="Times New Roman" w:hAnsi="Times New Roman"/>
          <w:b/>
          <w:noProof/>
        </w:rPr>
        <w:t>2026-03-19.</w:t>
      </w:r>
    </w:p>
    <w:p w14:paraId="0C7507F6" w14:textId="77777777" w:rsidR="00522FD8" w:rsidRPr="008A39EB" w:rsidRDefault="00522FD8" w:rsidP="00522FD8">
      <w:pPr>
        <w:spacing w:after="0" w:line="240" w:lineRule="auto"/>
        <w:rPr>
          <w:rFonts w:ascii="Times New Roman" w:hAnsi="Times New Roman"/>
        </w:rPr>
      </w:pPr>
    </w:p>
    <w:p w14:paraId="00BF2BBB" w14:textId="77777777" w:rsidR="00522FD8" w:rsidRPr="008A39EB" w:rsidRDefault="00522FD8" w:rsidP="00522FD8">
      <w:pPr>
        <w:spacing w:after="0" w:line="240" w:lineRule="auto"/>
        <w:rPr>
          <w:rFonts w:ascii="Times New Roman" w:hAnsi="Times New Roman"/>
        </w:rPr>
      </w:pPr>
      <w:r w:rsidRPr="008A39EB">
        <w:rPr>
          <w:rFonts w:ascii="Times New Roman" w:hAnsi="Times New Roman"/>
          <w:noProof/>
        </w:rPr>
        <w:t>Išsami informacija apie šį vaistą pateikiama Valstybinės vaistų kontrolės tarnybos prie Lietuvos Respublikos sveikatos apsaugos ministerijos tinklalapyje http://www.vvkt.lt/.</w:t>
      </w:r>
    </w:p>
    <w:p w14:paraId="40FD63B9" w14:textId="77777777" w:rsidR="00522FD8" w:rsidRPr="008A39EB" w:rsidRDefault="00522FD8" w:rsidP="00522FD8">
      <w:pPr>
        <w:spacing w:after="0" w:line="240" w:lineRule="auto"/>
        <w:rPr>
          <w:rFonts w:ascii="Times New Roman" w:hAnsi="Times New Roman"/>
          <w:lang w:eastAsia="lt-LT"/>
        </w:rPr>
      </w:pPr>
    </w:p>
    <w:p w14:paraId="53E7924A" w14:textId="77777777" w:rsidR="00522FD8" w:rsidRPr="008A39EB" w:rsidRDefault="00522FD8" w:rsidP="00522FD8">
      <w:pPr>
        <w:spacing w:after="200" w:line="276" w:lineRule="auto"/>
        <w:rPr>
          <w:lang w:eastAsia="lt-LT"/>
        </w:rPr>
      </w:pPr>
    </w:p>
    <w:p w14:paraId="75E3FD44" w14:textId="77777777" w:rsidR="00522FD8" w:rsidRDefault="00522FD8" w:rsidP="00522FD8"/>
    <w:p w14:paraId="5C76E060"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4A3"/>
    <w:multiLevelType w:val="hybridMultilevel"/>
    <w:tmpl w:val="FBE63F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7260E1A"/>
    <w:multiLevelType w:val="hybridMultilevel"/>
    <w:tmpl w:val="EB76A5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85856DC"/>
    <w:multiLevelType w:val="hybridMultilevel"/>
    <w:tmpl w:val="E9784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1C3F18"/>
    <w:multiLevelType w:val="hybridMultilevel"/>
    <w:tmpl w:val="6BB67F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D401A89"/>
    <w:multiLevelType w:val="hybridMultilevel"/>
    <w:tmpl w:val="83F01C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1067C10"/>
    <w:multiLevelType w:val="hybridMultilevel"/>
    <w:tmpl w:val="756E6E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9900507"/>
    <w:multiLevelType w:val="hybridMultilevel"/>
    <w:tmpl w:val="FDE609E6"/>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972591F"/>
    <w:multiLevelType w:val="hybridMultilevel"/>
    <w:tmpl w:val="409E4FC6"/>
    <w:lvl w:ilvl="0" w:tplc="7010B042">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885524680">
    <w:abstractNumId w:val="6"/>
  </w:num>
  <w:num w:numId="2" w16cid:durableId="1493908798">
    <w:abstractNumId w:val="7"/>
  </w:num>
  <w:num w:numId="3" w16cid:durableId="246614315">
    <w:abstractNumId w:val="4"/>
  </w:num>
  <w:num w:numId="4" w16cid:durableId="273289995">
    <w:abstractNumId w:val="5"/>
  </w:num>
  <w:num w:numId="5" w16cid:durableId="1421220362">
    <w:abstractNumId w:val="0"/>
  </w:num>
  <w:num w:numId="6" w16cid:durableId="275597046">
    <w:abstractNumId w:val="3"/>
  </w:num>
  <w:num w:numId="7" w16cid:durableId="1274904475">
    <w:abstractNumId w:val="1"/>
  </w:num>
  <w:num w:numId="8" w16cid:durableId="799884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D8"/>
    <w:rsid w:val="00186EC8"/>
    <w:rsid w:val="00222FED"/>
    <w:rsid w:val="00522FD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63B2"/>
  <w15:chartTrackingRefBased/>
  <w15:docId w15:val="{627B7E5F-F2E7-4CF3-B5E0-9450470E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FD8"/>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522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2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2F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2F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2FD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22F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2FD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22FD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2FD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2F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2F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2FD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2FD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2FD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22FD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2FD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22FD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2FD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2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2F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2F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2FD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2F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2FD8"/>
    <w:rPr>
      <w:i/>
      <w:iCs/>
      <w:color w:val="404040" w:themeColor="text1" w:themeTint="BF"/>
    </w:rPr>
  </w:style>
  <w:style w:type="paragraph" w:styleId="Sraopastraipa">
    <w:name w:val="List Paragraph"/>
    <w:basedOn w:val="prastasis"/>
    <w:uiPriority w:val="34"/>
    <w:qFormat/>
    <w:rsid w:val="00522FD8"/>
    <w:pPr>
      <w:ind w:left="720"/>
      <w:contextualSpacing/>
    </w:pPr>
  </w:style>
  <w:style w:type="character" w:styleId="Rykuspabraukimas">
    <w:name w:val="Intense Emphasis"/>
    <w:basedOn w:val="Numatytasispastraiposriftas"/>
    <w:uiPriority w:val="21"/>
    <w:qFormat/>
    <w:rsid w:val="00522FD8"/>
    <w:rPr>
      <w:i/>
      <w:iCs/>
      <w:color w:val="0F4761" w:themeColor="accent1" w:themeShade="BF"/>
    </w:rPr>
  </w:style>
  <w:style w:type="paragraph" w:styleId="Iskirtacitata">
    <w:name w:val="Intense Quote"/>
    <w:basedOn w:val="prastasis"/>
    <w:next w:val="prastasis"/>
    <w:link w:val="IskirtacitataDiagrama"/>
    <w:uiPriority w:val="30"/>
    <w:qFormat/>
    <w:rsid w:val="00522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2FD8"/>
    <w:rPr>
      <w:i/>
      <w:iCs/>
      <w:color w:val="0F4761" w:themeColor="accent1" w:themeShade="BF"/>
    </w:rPr>
  </w:style>
  <w:style w:type="character" w:styleId="Rykinuoroda">
    <w:name w:val="Intense Reference"/>
    <w:basedOn w:val="Numatytasispastraiposriftas"/>
    <w:uiPriority w:val="32"/>
    <w:qFormat/>
    <w:rsid w:val="00522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7442</Words>
  <Characters>4243</Characters>
  <Application>Microsoft Office Word</Application>
  <DocSecurity>0</DocSecurity>
  <Lines>35</Lines>
  <Paragraphs>23</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2026-03-19T08:11:00Z</dcterms:created>
  <dcterms:modified xsi:type="dcterms:W3CDTF">2026-03-19T08:12:00Z</dcterms:modified>
</cp:coreProperties>
</file>