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2C" w:rsidRDefault="0087592C" w:rsidP="0087592C">
      <w:pPr>
        <w:widowControl w:val="0"/>
        <w:tabs>
          <w:tab w:val="left" w:pos="567"/>
        </w:tabs>
        <w:ind w:left="567" w:hanging="567"/>
        <w:jc w:val="center"/>
        <w:outlineLvl w:val="0"/>
        <w:rPr>
          <w:sz w:val="22"/>
          <w:lang w:val="lt-LT"/>
        </w:rPr>
      </w:pPr>
      <w:bookmarkStart w:id="0" w:name="_Toc129243138"/>
      <w:bookmarkStart w:id="1" w:name="_Toc129243263"/>
      <w:r>
        <w:rPr>
          <w:b/>
          <w:sz w:val="22"/>
          <w:lang w:val="lt-LT"/>
        </w:rPr>
        <w:t>Pakuotės lapelis: informacija vartotojui</w:t>
      </w:r>
      <w:bookmarkEnd w:id="0"/>
      <w:bookmarkEnd w:id="1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jc w:val="center"/>
        <w:rPr>
          <w:b/>
          <w:sz w:val="22"/>
          <w:lang w:val="lt-LT"/>
        </w:rPr>
      </w:pP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10 mg plėvele dengtos tabletės</w:t>
      </w:r>
    </w:p>
    <w:p w:rsidR="0087592C" w:rsidRDefault="0087592C" w:rsidP="0087592C">
      <w:pPr>
        <w:widowControl w:val="0"/>
        <w:jc w:val="center"/>
        <w:rPr>
          <w:b/>
          <w:sz w:val="22"/>
          <w:lang w:val="lt-LT"/>
        </w:rPr>
      </w:pPr>
      <w:proofErr w:type="spellStart"/>
      <w:r>
        <w:rPr>
          <w:b/>
          <w:sz w:val="22"/>
          <w:highlight w:val="lightGray"/>
          <w:lang w:val="lt-LT"/>
        </w:rPr>
        <w:t>Maryzola</w:t>
      </w:r>
      <w:proofErr w:type="spellEnd"/>
      <w:r>
        <w:rPr>
          <w:b/>
          <w:sz w:val="22"/>
          <w:highlight w:val="lightGray"/>
          <w:lang w:val="lt-LT"/>
        </w:rPr>
        <w:t xml:space="preserve"> 20 mg plėvele dengtos tabletės</w:t>
      </w:r>
    </w:p>
    <w:p w:rsidR="0087592C" w:rsidRDefault="0087592C" w:rsidP="0087592C">
      <w:pPr>
        <w:widowControl w:val="0"/>
        <w:jc w:val="center"/>
        <w:rPr>
          <w:sz w:val="22"/>
          <w:lang w:val="lt-LT"/>
        </w:rPr>
      </w:pPr>
      <w:proofErr w:type="spellStart"/>
      <w:r>
        <w:rPr>
          <w:sz w:val="22"/>
          <w:lang w:val="lt-LT"/>
        </w:rPr>
        <w:t>memantino</w:t>
      </w:r>
      <w:proofErr w:type="spellEnd"/>
      <w:r>
        <w:rPr>
          <w:sz w:val="22"/>
          <w:lang w:val="lt-LT"/>
        </w:rPr>
        <w:t xml:space="preserve"> hidrochloridas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>Atidžiai perskaitykite visą šį lapelį, prieš pradėdami vartoti vaistą, nes jame pateikiama Jums svarbi informacija.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>Neišmeskite šio lapelio, nes vėl gali prireikti jį perskaityti.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>Jeigu kiltų daugiau klausimų, kreipkitės į gydytoją, vaistininką arba slaugytoją.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>Jeigu pasireiškė šalutinis poveikis (net jeigu jis šiame lapelyje nenurodytas), kreipkitės į gydytoją, vaistininką arba slaugytoją.</w:t>
      </w:r>
      <w:r>
        <w:rPr>
          <w:sz w:val="22"/>
          <w:szCs w:val="22"/>
        </w:rPr>
        <w:t xml:space="preserve"> Žr. 4 skyrių.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jc w:val="both"/>
        <w:outlineLvl w:val="3"/>
        <w:rPr>
          <w:rFonts w:eastAsia="SimSun"/>
          <w:b/>
          <w:sz w:val="22"/>
          <w:lang w:val="lt-LT"/>
        </w:rPr>
      </w:pPr>
      <w:r>
        <w:rPr>
          <w:rFonts w:eastAsia="SimSun"/>
          <w:b/>
          <w:sz w:val="22"/>
          <w:lang w:val="lt-LT"/>
        </w:rPr>
        <w:t>Apie ką rašoma šiame lapelyje?</w:t>
      </w:r>
    </w:p>
    <w:p w:rsidR="0087592C" w:rsidRDefault="0087592C" w:rsidP="0087592C">
      <w:pPr>
        <w:widowControl w:val="0"/>
        <w:rPr>
          <w:sz w:val="22"/>
          <w:szCs w:val="22"/>
        </w:rPr>
      </w:pPr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lt-LT"/>
        </w:rPr>
      </w:pPr>
      <w:r>
        <w:rPr>
          <w:sz w:val="22"/>
          <w:lang w:val="lt-LT"/>
        </w:rPr>
        <w:t>1.</w:t>
      </w:r>
      <w:r>
        <w:rPr>
          <w:sz w:val="22"/>
          <w:lang w:val="lt-LT"/>
        </w:rPr>
        <w:tab/>
        <w:t xml:space="preserve">Kas yra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ir kam jis vartojamas</w:t>
      </w:r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lt-LT"/>
        </w:rPr>
      </w:pPr>
      <w:r>
        <w:rPr>
          <w:sz w:val="22"/>
          <w:lang w:val="lt-LT"/>
        </w:rPr>
        <w:t>2.</w:t>
      </w:r>
      <w:r>
        <w:rPr>
          <w:sz w:val="22"/>
          <w:lang w:val="lt-LT"/>
        </w:rPr>
        <w:tab/>
        <w:t xml:space="preserve">Kas žinotina prieš vartojant </w:t>
      </w:r>
      <w:proofErr w:type="spellStart"/>
      <w:r>
        <w:rPr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lt-LT"/>
        </w:rPr>
      </w:pPr>
      <w:r>
        <w:rPr>
          <w:sz w:val="22"/>
          <w:lang w:val="lt-LT"/>
        </w:rPr>
        <w:t>3.</w:t>
      </w:r>
      <w:r>
        <w:rPr>
          <w:sz w:val="22"/>
          <w:lang w:val="lt-LT"/>
        </w:rPr>
        <w:tab/>
        <w:t xml:space="preserve">Kaip vartoti </w:t>
      </w:r>
      <w:proofErr w:type="spellStart"/>
      <w:r>
        <w:rPr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lt-LT"/>
        </w:rPr>
      </w:pPr>
      <w:r>
        <w:rPr>
          <w:sz w:val="22"/>
          <w:lang w:val="lt-LT"/>
        </w:rPr>
        <w:t>4.</w:t>
      </w:r>
      <w:r>
        <w:rPr>
          <w:sz w:val="22"/>
          <w:lang w:val="lt-LT"/>
        </w:rPr>
        <w:tab/>
        <w:t>Galimas šalutinis poveikis</w:t>
      </w:r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lt-LT"/>
        </w:rPr>
      </w:pPr>
      <w:r>
        <w:rPr>
          <w:sz w:val="22"/>
          <w:lang w:val="lt-LT"/>
        </w:rPr>
        <w:t>5.</w:t>
      </w:r>
      <w:r>
        <w:rPr>
          <w:sz w:val="22"/>
          <w:lang w:val="lt-LT"/>
        </w:rPr>
        <w:tab/>
        <w:t xml:space="preserve">Kaip laikyti </w:t>
      </w:r>
      <w:proofErr w:type="spellStart"/>
      <w:r>
        <w:rPr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lt-LT"/>
        </w:rPr>
      </w:pPr>
      <w:r>
        <w:rPr>
          <w:sz w:val="22"/>
          <w:lang w:val="lt-LT"/>
        </w:rPr>
        <w:t>6.</w:t>
      </w:r>
      <w:r>
        <w:rPr>
          <w:sz w:val="22"/>
          <w:lang w:val="lt-LT"/>
        </w:rPr>
        <w:tab/>
        <w:t>Pakuotės turinys ir kita informacija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2" w:name="_Toc129243139"/>
      <w:bookmarkStart w:id="3" w:name="_Toc129243264"/>
      <w:r>
        <w:rPr>
          <w:b/>
          <w:sz w:val="22"/>
          <w:lang w:val="lt-LT"/>
        </w:rPr>
        <w:t>1.</w:t>
      </w:r>
      <w:r>
        <w:rPr>
          <w:b/>
          <w:sz w:val="22"/>
          <w:lang w:val="lt-LT"/>
        </w:rPr>
        <w:tab/>
        <w:t xml:space="preserve">Kas yra </w:t>
      </w: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ir kam jis vartojamas</w:t>
      </w:r>
      <w:bookmarkEnd w:id="2"/>
      <w:bookmarkEnd w:id="3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szCs w:val="22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priklauso vaistų, kurie vadinami </w:t>
      </w:r>
      <w:proofErr w:type="spellStart"/>
      <w:r>
        <w:rPr>
          <w:sz w:val="22"/>
          <w:lang w:val="lt-LT"/>
        </w:rPr>
        <w:t>priešdemenciniais</w:t>
      </w:r>
      <w:proofErr w:type="spellEnd"/>
      <w:r>
        <w:rPr>
          <w:sz w:val="22"/>
          <w:lang w:val="lt-LT"/>
        </w:rPr>
        <w:t>, grupei. Atmintis, sergant Alzheimerio liga, prarandama dėl signalų perdavimo galvos smegenyse sutrikimo. Smegenyse yra N-</w:t>
      </w:r>
      <w:proofErr w:type="spellStart"/>
      <w:r>
        <w:rPr>
          <w:sz w:val="22"/>
          <w:lang w:val="lt-LT"/>
        </w:rPr>
        <w:t>metil</w:t>
      </w:r>
      <w:proofErr w:type="spellEnd"/>
      <w:r>
        <w:rPr>
          <w:sz w:val="22"/>
          <w:lang w:val="lt-LT"/>
        </w:rPr>
        <w:t>-D-</w:t>
      </w:r>
      <w:proofErr w:type="spellStart"/>
      <w:r>
        <w:rPr>
          <w:sz w:val="22"/>
          <w:lang w:val="lt-LT"/>
        </w:rPr>
        <w:t>aspartatui</w:t>
      </w:r>
      <w:proofErr w:type="spellEnd"/>
      <w:r>
        <w:rPr>
          <w:sz w:val="22"/>
          <w:lang w:val="lt-LT"/>
        </w:rPr>
        <w:t xml:space="preserve"> (NMDA) jautrių receptorių, kurie dalyvauja perduodant nervinį signalą, svarbų mokymuisi ir atminčiai.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priklauso vaistų, vadinamų NMDA receptorių antagonistais, grupei. Veikdama šiuos receptorius,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gerina nervinių signalų perdavimą ir atmintį.</w:t>
      </w:r>
    </w:p>
    <w:p w:rsidR="0087592C" w:rsidRDefault="0087592C" w:rsidP="0087592C">
      <w:pPr>
        <w:widowControl w:val="0"/>
        <w:rPr>
          <w:sz w:val="22"/>
          <w:szCs w:val="22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skiriamas vidutinio sunkumo ir sunkiai Alzheimerio ligai gydyti.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4" w:name="_Toc129243140"/>
      <w:bookmarkStart w:id="5" w:name="_Toc129243265"/>
      <w:r>
        <w:rPr>
          <w:b/>
          <w:sz w:val="22"/>
          <w:lang w:val="lt-LT"/>
        </w:rPr>
        <w:t>2.</w:t>
      </w:r>
      <w:r>
        <w:rPr>
          <w:b/>
          <w:sz w:val="22"/>
          <w:lang w:val="lt-LT"/>
        </w:rPr>
        <w:tab/>
        <w:t xml:space="preserve">Kas žinotina prieš vartojant </w:t>
      </w:r>
      <w:bookmarkEnd w:id="4"/>
      <w:bookmarkEnd w:id="5"/>
      <w:proofErr w:type="spellStart"/>
      <w:r>
        <w:rPr>
          <w:b/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vartoti draudžiama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 xml:space="preserve">jeigu yra alergija </w:t>
      </w:r>
      <w:proofErr w:type="spellStart"/>
      <w:r>
        <w:rPr>
          <w:sz w:val="22"/>
          <w:lang w:val="lt-LT"/>
        </w:rPr>
        <w:t>memantino</w:t>
      </w:r>
      <w:proofErr w:type="spellEnd"/>
      <w:r>
        <w:rPr>
          <w:sz w:val="22"/>
          <w:lang w:val="lt-LT"/>
        </w:rPr>
        <w:t xml:space="preserve"> hidrochloridui arba bet kuriai pagalbinei šio vaisto medžiagai (jos išvardytos 6 skyriuje).</w:t>
      </w:r>
    </w:p>
    <w:p w:rsidR="0087592C" w:rsidRDefault="0087592C" w:rsidP="0087592C">
      <w:pPr>
        <w:widowControl w:val="0"/>
        <w:ind w:left="567" w:hanging="567"/>
        <w:rPr>
          <w:sz w:val="22"/>
          <w:lang w:val="lt-LT"/>
        </w:rPr>
      </w:pPr>
    </w:p>
    <w:p w:rsidR="0087592C" w:rsidRDefault="0087592C" w:rsidP="0087592C">
      <w:pPr>
        <w:widowControl w:val="0"/>
        <w:ind w:left="567" w:hanging="567"/>
        <w:rPr>
          <w:b/>
          <w:sz w:val="22"/>
          <w:lang w:val="lt-LT"/>
        </w:rPr>
      </w:pPr>
      <w:r>
        <w:rPr>
          <w:b/>
          <w:sz w:val="22"/>
          <w:lang w:val="lt-LT"/>
        </w:rPr>
        <w:t>Įspėjimai ir atsargumo priemonės</w:t>
      </w:r>
    </w:p>
    <w:p w:rsidR="0087592C" w:rsidRDefault="0087592C" w:rsidP="0087592C">
      <w:pPr>
        <w:numPr>
          <w:ilvl w:val="12"/>
          <w:numId w:val="0"/>
        </w:numPr>
        <w:ind w:left="567" w:right="-2" w:hanging="567"/>
        <w:rPr>
          <w:sz w:val="22"/>
          <w:lang w:val="lt-LT"/>
        </w:rPr>
      </w:pPr>
      <w:r>
        <w:rPr>
          <w:sz w:val="22"/>
          <w:lang w:val="lt-LT"/>
        </w:rPr>
        <w:t xml:space="preserve">Pasitarkite su gydytoju, vaistininku arba slaugytoju prieš pradėdami vartoti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>: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 xml:space="preserve">jeigu yra buvę </w:t>
      </w:r>
      <w:proofErr w:type="spellStart"/>
      <w:r>
        <w:rPr>
          <w:sz w:val="22"/>
          <w:lang w:val="lt-LT"/>
        </w:rPr>
        <w:t>epilepsinių</w:t>
      </w:r>
      <w:proofErr w:type="spellEnd"/>
      <w:r>
        <w:rPr>
          <w:sz w:val="22"/>
          <w:lang w:val="lt-LT"/>
        </w:rPr>
        <w:t xml:space="preserve"> traukulių priepuolių;</w:t>
      </w:r>
    </w:p>
    <w:p w:rsidR="0087592C" w:rsidRDefault="0087592C" w:rsidP="0087592C">
      <w:pPr>
        <w:widowControl w:val="0"/>
        <w:numPr>
          <w:ilvl w:val="0"/>
          <w:numId w:val="1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 xml:space="preserve">jeigu neseniai ištiko miokardo infarktas (širdies priepuolis), sergate </w:t>
      </w:r>
      <w:proofErr w:type="spellStart"/>
      <w:r>
        <w:rPr>
          <w:sz w:val="22"/>
          <w:lang w:val="lt-LT"/>
        </w:rPr>
        <w:t>staziniu</w:t>
      </w:r>
      <w:proofErr w:type="spellEnd"/>
      <w:r>
        <w:rPr>
          <w:sz w:val="22"/>
          <w:lang w:val="lt-LT"/>
        </w:rPr>
        <w:t xml:space="preserve"> širdies nepakankamumu arba nekontroliuojama hipertenzija (padidėjusiu kraujospūdžiu).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szCs w:val="22"/>
        </w:rPr>
      </w:pPr>
      <w:r>
        <w:rPr>
          <w:sz w:val="22"/>
          <w:lang w:val="lt-LT"/>
        </w:rPr>
        <w:t xml:space="preserve">Minėtais atvejais būtina atidi gydytojo priežiūra. Jis reguliariai nustatinėja, ar naudinga toliau vartoti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>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Jeigu yra inkstų funkcijos sutrikimas (inkstų liga), gydymo metu gydytojas atidžiai seka inkstų funkciją ir, </w:t>
      </w:r>
      <w:r>
        <w:rPr>
          <w:sz w:val="22"/>
          <w:lang w:val="lt-LT"/>
        </w:rPr>
        <w:lastRenderedPageBreak/>
        <w:t>jei reikalinga, koreguoja dozę.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Kartu su šiuo vaistu negalima vartoti </w:t>
      </w:r>
      <w:proofErr w:type="spellStart"/>
      <w:r>
        <w:rPr>
          <w:sz w:val="22"/>
          <w:lang w:val="lt-LT"/>
        </w:rPr>
        <w:t>amantadino</w:t>
      </w:r>
      <w:proofErr w:type="spellEnd"/>
      <w:r>
        <w:rPr>
          <w:sz w:val="22"/>
          <w:lang w:val="lt-LT"/>
        </w:rPr>
        <w:t xml:space="preserve"> (</w:t>
      </w:r>
      <w:proofErr w:type="spellStart"/>
      <w:r>
        <w:rPr>
          <w:sz w:val="22"/>
          <w:lang w:val="lt-LT"/>
        </w:rPr>
        <w:t>Parkinsono</w:t>
      </w:r>
      <w:proofErr w:type="spellEnd"/>
      <w:r>
        <w:rPr>
          <w:sz w:val="22"/>
          <w:lang w:val="lt-LT"/>
        </w:rPr>
        <w:t xml:space="preserve"> ligai gydyti), </w:t>
      </w:r>
      <w:proofErr w:type="spellStart"/>
      <w:r>
        <w:rPr>
          <w:sz w:val="22"/>
          <w:lang w:val="lt-LT"/>
        </w:rPr>
        <w:t>ketamino</w:t>
      </w:r>
      <w:proofErr w:type="spellEnd"/>
      <w:r>
        <w:rPr>
          <w:sz w:val="22"/>
          <w:lang w:val="lt-LT"/>
        </w:rPr>
        <w:t xml:space="preserve"> (medžiagos, kuri įprastai vartojama kaip anestetikas), </w:t>
      </w:r>
      <w:proofErr w:type="spellStart"/>
      <w:r>
        <w:rPr>
          <w:sz w:val="22"/>
          <w:lang w:val="lt-LT"/>
        </w:rPr>
        <w:t>dekstrometorfano</w:t>
      </w:r>
      <w:proofErr w:type="spellEnd"/>
      <w:r>
        <w:rPr>
          <w:sz w:val="22"/>
          <w:lang w:val="lt-LT"/>
        </w:rPr>
        <w:t xml:space="preserve"> (vaisto, kuris įprastai vartojamas gydyti kosuliui) bei kitų NMDA receptorių antagonistų.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>Vaikams ir paaugliams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Vaikams ir jaunesniems nei 18 metų paaugliams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</w:t>
      </w:r>
      <w:r>
        <w:rPr>
          <w:sz w:val="22"/>
          <w:lang w:val="lt-LT"/>
        </w:rPr>
        <w:t>vartoti nerekomenduojama.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szCs w:val="22"/>
        </w:rPr>
      </w:pPr>
      <w:r>
        <w:rPr>
          <w:b/>
          <w:sz w:val="22"/>
          <w:lang w:val="lt-LT"/>
        </w:rPr>
        <w:t xml:space="preserve">Kiti vaistai ir </w:t>
      </w:r>
      <w:proofErr w:type="spellStart"/>
      <w:r>
        <w:rPr>
          <w:b/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Jeigu vartojate arba neseniai vartojote kitų vaistų</w:t>
      </w:r>
      <w:r>
        <w:rPr>
          <w:sz w:val="22"/>
          <w:szCs w:val="22"/>
        </w:rPr>
        <w:t xml:space="preserve"> arba dėl to nesate tikri, apie tai</w:t>
      </w:r>
      <w:r>
        <w:rPr>
          <w:sz w:val="22"/>
          <w:lang w:val="lt-LT"/>
        </w:rPr>
        <w:t xml:space="preserve"> pasakykite gydytojui arba vaistininkui.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ypač gali keisti toliau išvardintų vaistų poveikį, todėl gydytojui gali prireikti koreguoti jų dozę: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lang w:val="lt-LT"/>
        </w:rPr>
      </w:pPr>
      <w:proofErr w:type="spellStart"/>
      <w:r>
        <w:rPr>
          <w:sz w:val="22"/>
          <w:lang w:val="lt-LT"/>
        </w:rPr>
        <w:t>amantadino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ketamino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dekstrometorfano</w:t>
      </w:r>
      <w:proofErr w:type="spellEnd"/>
      <w:r>
        <w:rPr>
          <w:sz w:val="22"/>
          <w:lang w:val="lt-LT"/>
        </w:rPr>
        <w:t xml:space="preserve"> (žr. poskyrį „Įspėjimai ir atsargumo priemonės“);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lang w:val="lt-LT"/>
        </w:rPr>
        <w:t>dantroleno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baklofeno</w:t>
      </w:r>
      <w:proofErr w:type="spellEnd"/>
      <w:r>
        <w:rPr>
          <w:sz w:val="22"/>
          <w:lang w:val="lt-LT"/>
        </w:rPr>
        <w:t>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lang w:val="lt-LT"/>
        </w:rPr>
        <w:t>cimetidino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ranitidino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prokainamido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chinidino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chinino</w:t>
      </w:r>
      <w:proofErr w:type="spellEnd"/>
      <w:r>
        <w:rPr>
          <w:sz w:val="22"/>
          <w:lang w:val="lt-LT"/>
        </w:rPr>
        <w:t>, nikotino;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lang w:val="lt-LT"/>
        </w:rPr>
        <w:t>hidrochlorotiazido</w:t>
      </w:r>
      <w:proofErr w:type="spellEnd"/>
      <w:r>
        <w:rPr>
          <w:sz w:val="22"/>
          <w:lang w:val="lt-LT"/>
        </w:rPr>
        <w:t xml:space="preserve"> (įskaitant sudėtinius vaistus, kurių sudėtyje yra </w:t>
      </w:r>
      <w:proofErr w:type="spellStart"/>
      <w:r>
        <w:rPr>
          <w:sz w:val="22"/>
          <w:lang w:val="lt-LT"/>
        </w:rPr>
        <w:t>hidrochlorotiazido</w:t>
      </w:r>
      <w:proofErr w:type="spellEnd"/>
      <w:r>
        <w:rPr>
          <w:sz w:val="22"/>
          <w:lang w:val="lt-LT"/>
        </w:rPr>
        <w:t>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lang w:val="lt-LT"/>
        </w:rPr>
        <w:t>anticholinerginių</w:t>
      </w:r>
      <w:proofErr w:type="spellEnd"/>
      <w:r>
        <w:rPr>
          <w:sz w:val="22"/>
          <w:lang w:val="lt-LT"/>
        </w:rPr>
        <w:t xml:space="preserve"> vaistų (vaistų nuo judesių sutrikimo arba žarnyno spazmų);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lang w:val="lt-LT"/>
        </w:rPr>
        <w:t>vaistų nuo traukulių (juos šalinančių arba neleidžiančių jiems prasidėti);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lang w:val="lt-LT"/>
        </w:rPr>
        <w:t>barbitūratų (migdomųjų vaistų);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lang w:val="lt-LT"/>
        </w:rPr>
        <w:t>dopaminerginės</w:t>
      </w:r>
      <w:proofErr w:type="spellEnd"/>
      <w:r>
        <w:rPr>
          <w:sz w:val="22"/>
          <w:lang w:val="lt-LT"/>
        </w:rPr>
        <w:t xml:space="preserve"> sistemos </w:t>
      </w:r>
      <w:proofErr w:type="spellStart"/>
      <w:r>
        <w:rPr>
          <w:sz w:val="22"/>
          <w:lang w:val="lt-LT"/>
        </w:rPr>
        <w:t>agonistų</w:t>
      </w:r>
      <w:proofErr w:type="spellEnd"/>
      <w:r>
        <w:rPr>
          <w:sz w:val="22"/>
          <w:lang w:val="lt-LT"/>
        </w:rPr>
        <w:t xml:space="preserve"> (pavyzdžiui L </w:t>
      </w:r>
      <w:proofErr w:type="spellStart"/>
      <w:r>
        <w:rPr>
          <w:sz w:val="22"/>
          <w:lang w:val="lt-LT"/>
        </w:rPr>
        <w:t>dopos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bromokriptino</w:t>
      </w:r>
      <w:proofErr w:type="spellEnd"/>
      <w:r>
        <w:rPr>
          <w:sz w:val="22"/>
          <w:lang w:val="lt-LT"/>
        </w:rPr>
        <w:t>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lang w:val="lt-LT"/>
        </w:rPr>
        <w:t>neuroleptikų</w:t>
      </w:r>
      <w:proofErr w:type="spellEnd"/>
      <w:r>
        <w:rPr>
          <w:sz w:val="22"/>
          <w:lang w:val="lt-LT"/>
        </w:rPr>
        <w:t xml:space="preserve"> (vaistų nuo psichikos ligų);</w:t>
      </w:r>
    </w:p>
    <w:p w:rsidR="0087592C" w:rsidRDefault="0087592C" w:rsidP="0087592C">
      <w:pPr>
        <w:widowControl w:val="0"/>
        <w:numPr>
          <w:ilvl w:val="0"/>
          <w:numId w:val="2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 xml:space="preserve">geriamųjų antikoaguliantų (pvz., </w:t>
      </w:r>
      <w:proofErr w:type="spellStart"/>
      <w:r>
        <w:rPr>
          <w:sz w:val="22"/>
          <w:lang w:val="lt-LT"/>
        </w:rPr>
        <w:t>varfarino</w:t>
      </w:r>
      <w:proofErr w:type="spellEnd"/>
      <w:r>
        <w:rPr>
          <w:sz w:val="22"/>
          <w:lang w:val="lt-LT"/>
        </w:rPr>
        <w:t>).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Atvykus į ligoninę, gydytojui reikia pasakyti apie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vartojimą.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vartojimas su maistu ir gėrimais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Jeigu planuojama iš esmės keisti dietą arba neseniai ji buvo pakeista (pvz., įprastinė į vegetarinę), yra inkstų kanalėlių </w:t>
      </w:r>
      <w:proofErr w:type="spellStart"/>
      <w:r>
        <w:rPr>
          <w:sz w:val="22"/>
          <w:lang w:val="lt-LT"/>
        </w:rPr>
        <w:t>acidozė</w:t>
      </w:r>
      <w:proofErr w:type="spellEnd"/>
      <w:r>
        <w:rPr>
          <w:sz w:val="22"/>
          <w:lang w:val="lt-LT"/>
        </w:rPr>
        <w:t xml:space="preserve"> (dėl inkstų funkcijos sutrikimo (blogos inkstų funkcijos) kraujyje padaugėja rūgštis sudarančių medžiagų) arba sunki infekcinė šlapimo takų liga (latakų, kuriais teka šlapimas), reikia informuoti gydytoją, kadangi gali reikėti keisti dozę.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>Nėštumas ir žindymo laikotarpis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Jeigu esate nėščia, žindote kūdikį, manote, kad galbūt esate nėščia, arba planuojate pastoti, tai prieš vartodama šį vaistą, pasitarkite su gydytoju</w:t>
      </w:r>
      <w:r>
        <w:rPr>
          <w:sz w:val="22"/>
          <w:szCs w:val="22"/>
        </w:rPr>
        <w:t>.</w:t>
      </w:r>
    </w:p>
    <w:p w:rsidR="0087592C" w:rsidRDefault="0087592C" w:rsidP="0087592C">
      <w:pPr>
        <w:widowControl w:val="0"/>
        <w:rPr>
          <w:sz w:val="22"/>
          <w:szCs w:val="22"/>
        </w:rPr>
      </w:pPr>
      <w:r>
        <w:rPr>
          <w:sz w:val="22"/>
          <w:lang w:val="lt-LT"/>
        </w:rPr>
        <w:t xml:space="preserve">Nėštumo metu </w:t>
      </w:r>
      <w:proofErr w:type="spellStart"/>
      <w:r>
        <w:rPr>
          <w:sz w:val="22"/>
          <w:lang w:val="lt-LT"/>
        </w:rPr>
        <w:t>memantino</w:t>
      </w:r>
      <w:proofErr w:type="spellEnd"/>
      <w:r>
        <w:rPr>
          <w:sz w:val="22"/>
          <w:lang w:val="lt-LT"/>
        </w:rPr>
        <w:t xml:space="preserve"> vartoti nerekomenduojama.</w:t>
      </w: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vartojančioms moterims kūdikio krūtimi maitinti negalima.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>Vairavimas ir mechanizmų valdymas</w:t>
      </w:r>
    </w:p>
    <w:p w:rsidR="0087592C" w:rsidRDefault="0087592C" w:rsidP="0087592C">
      <w:pPr>
        <w:widowControl w:val="0"/>
        <w:rPr>
          <w:sz w:val="22"/>
          <w:szCs w:val="22"/>
        </w:rPr>
      </w:pPr>
      <w:r>
        <w:rPr>
          <w:sz w:val="22"/>
          <w:lang w:val="lt-LT"/>
        </w:rPr>
        <w:t>Ar galima dėl Alzheimerio ligos vairuoti ir valdyti mechanizmus, nustato gydytojas.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Vartojant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>, gali pablogėti reakcija, todėl žmogus gali nesugebėti vairuoti ir valdyti mechanizmų.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</w:t>
      </w:r>
      <w:r>
        <w:rPr>
          <w:b/>
          <w:sz w:val="22"/>
          <w:szCs w:val="22"/>
        </w:rPr>
        <w:t>sudėtyje yra laktozės ir natrio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Jei gydytojas Jums yra sakęs, kad netoleruojate kokių nors angliavandenių, kreipkitės į jį prieš pradėdami vartoti šį vaistą.</w:t>
      </w:r>
    </w:p>
    <w:p w:rsidR="0087592C" w:rsidRDefault="0087592C" w:rsidP="0087592C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Šio vaisto tabletėje yra mažiau kaip 1 </w:t>
      </w:r>
      <w:proofErr w:type="spellStart"/>
      <w:r>
        <w:rPr>
          <w:sz w:val="22"/>
          <w:szCs w:val="22"/>
          <w:lang w:val="lt-LT"/>
        </w:rPr>
        <w:t>mmol</w:t>
      </w:r>
      <w:proofErr w:type="spellEnd"/>
      <w:r>
        <w:rPr>
          <w:sz w:val="22"/>
          <w:szCs w:val="22"/>
          <w:lang w:val="lt-LT"/>
        </w:rPr>
        <w:t xml:space="preserve"> (23 mg) natrio, t. y. jis beveik neturi reikšmės.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6" w:name="_Toc129243141"/>
      <w:bookmarkStart w:id="7" w:name="_Toc129243266"/>
      <w:r>
        <w:rPr>
          <w:b/>
          <w:sz w:val="22"/>
          <w:lang w:val="lt-LT"/>
        </w:rPr>
        <w:t>3.</w:t>
      </w:r>
      <w:r>
        <w:rPr>
          <w:b/>
          <w:sz w:val="22"/>
          <w:lang w:val="lt-LT"/>
        </w:rPr>
        <w:tab/>
      </w:r>
      <w:bookmarkEnd w:id="6"/>
      <w:bookmarkEnd w:id="7"/>
      <w:r>
        <w:rPr>
          <w:b/>
          <w:sz w:val="22"/>
          <w:lang w:val="lt-LT"/>
        </w:rPr>
        <w:t xml:space="preserve">Kaip vartoti </w:t>
      </w:r>
      <w:proofErr w:type="spellStart"/>
      <w:r>
        <w:rPr>
          <w:b/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lastRenderedPageBreak/>
        <w:t>Maryzola</w:t>
      </w:r>
      <w:proofErr w:type="spellEnd"/>
      <w:r>
        <w:rPr>
          <w:sz w:val="22"/>
          <w:lang w:val="lt-LT"/>
        </w:rPr>
        <w:t xml:space="preserve"> visada vartokite tiksliai kaip nurodė gydytojas. Jeigu abejojate, kreipkitės į gydytoją.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>Dozavimas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Suaugusiems žmonėms, įskaitant senyvus, gydomoji paros dozė yra 20 mg, skiriama 1 kartą per parą. Kad sumažėtų šalutinio poveikio pasireiškimo rizika, pradžioje reikia gerti mažą dozę, ją palaipsniui taip, kaip nurodyta lentelėje, didinti iki gydomosios.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670"/>
      </w:tblGrid>
      <w:tr w:rsidR="0087592C" w:rsidTr="002B0C03">
        <w:tc>
          <w:tcPr>
            <w:tcW w:w="2235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Pirma savaitė</w:t>
            </w:r>
          </w:p>
        </w:tc>
        <w:tc>
          <w:tcPr>
            <w:tcW w:w="5670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Pusė 10 mg tabletės</w:t>
            </w:r>
          </w:p>
        </w:tc>
      </w:tr>
      <w:tr w:rsidR="0087592C" w:rsidTr="002B0C03">
        <w:tc>
          <w:tcPr>
            <w:tcW w:w="2235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Antra savaitė</w:t>
            </w:r>
          </w:p>
        </w:tc>
        <w:tc>
          <w:tcPr>
            <w:tcW w:w="5670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Viena 10 mg tabletė</w:t>
            </w:r>
          </w:p>
        </w:tc>
      </w:tr>
      <w:tr w:rsidR="0087592C" w:rsidTr="002B0C03">
        <w:tc>
          <w:tcPr>
            <w:tcW w:w="2235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Trečia savaitė</w:t>
            </w:r>
          </w:p>
        </w:tc>
        <w:tc>
          <w:tcPr>
            <w:tcW w:w="5670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Pusantros 10 mg tabletės</w:t>
            </w:r>
          </w:p>
        </w:tc>
      </w:tr>
      <w:tr w:rsidR="0087592C" w:rsidTr="002B0C03">
        <w:tc>
          <w:tcPr>
            <w:tcW w:w="2235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Nuo ketvirtos savaitės</w:t>
            </w:r>
          </w:p>
        </w:tc>
        <w:tc>
          <w:tcPr>
            <w:tcW w:w="5670" w:type="dxa"/>
          </w:tcPr>
          <w:p w:rsidR="0087592C" w:rsidRDefault="0087592C" w:rsidP="002B0C03">
            <w:pPr>
              <w:widowControl w:val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Dvi 10 mg tabletės arba viena 20 mg tabletė 1 kartą per parą</w:t>
            </w:r>
          </w:p>
        </w:tc>
      </w:tr>
    </w:tbl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Pirmą savaitę reikia gerti po pusę tabletės 1 kartą per parą, antrą savaitę - po vieną tabletę 1 kartą per parą, trečią savaitę - po pusantros tabletės 1 kartą per parą. Nuo ketvirtos savaitės galima gerti po dvi 10 mg plėvele dengtas tabletes arba vieną 20 mg plėvele dengtą tabletę 1 kartą per parą.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szCs w:val="22"/>
        </w:rPr>
      </w:pPr>
      <w:r>
        <w:rPr>
          <w:sz w:val="22"/>
          <w:lang w:val="lt-LT"/>
        </w:rPr>
        <w:t>Jeigu sutrikusi inkstų funkcija, dozę nustato gydytojas. Vaisto vartojimo metu gydytojo nurodytais intervalais reikia atlikti inkstų funkcijos tyrimus.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reikia gerti 1 kartą per parą. Kad poveikis būtų geresnis, vaistą reikia kasdien vartoti tuo pačiu paros metu. Tabletę reikia nuryti užsigeriant vandeniu. 10 mg plėvele dengtą tabletę galima padalyti į dvi lygias dozes. Vaisto galima gerti valgio metu arba nevalgius.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</w:t>
      </w:r>
      <w:r>
        <w:rPr>
          <w:sz w:val="22"/>
          <w:lang w:val="lt-LT"/>
        </w:rPr>
        <w:t>galima vartoti tol, kol juntamas teigiamas jo poveikis. Gydymo metu vaisto veiksmingumą reguliariai nustatinėja gydytojas.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 xml:space="preserve">Ką daryti pavartojus per didelę </w:t>
      </w: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dozę</w:t>
      </w:r>
    </w:p>
    <w:p w:rsidR="0087592C" w:rsidRDefault="0087592C" w:rsidP="0087592C">
      <w:pPr>
        <w:widowControl w:val="0"/>
        <w:tabs>
          <w:tab w:val="num" w:pos="360"/>
        </w:tabs>
        <w:rPr>
          <w:sz w:val="22"/>
          <w:lang w:val="lt-LT"/>
        </w:rPr>
      </w:pPr>
      <w:r>
        <w:rPr>
          <w:sz w:val="22"/>
          <w:lang w:val="lt-LT"/>
        </w:rPr>
        <w:t xml:space="preserve">Didesnė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dozė žalingo poveikio sukelti neturėtų. Gali pasireikšti stipresnis šalutinis poveikis (žr. 4 skyrių „Galimas šalutinis poveikis“).</w:t>
      </w:r>
    </w:p>
    <w:p w:rsidR="0087592C" w:rsidRDefault="0087592C" w:rsidP="0087592C">
      <w:pPr>
        <w:widowControl w:val="0"/>
        <w:tabs>
          <w:tab w:val="num" w:pos="360"/>
        </w:tabs>
        <w:rPr>
          <w:sz w:val="22"/>
          <w:lang w:val="lt-LT"/>
        </w:rPr>
      </w:pPr>
      <w:r>
        <w:rPr>
          <w:sz w:val="22"/>
          <w:lang w:val="lt-LT"/>
        </w:rPr>
        <w:t>Vaisto perdozavus, reikia kreiptis į gydytoją, kadangi gali būti reikalinga jo pagalba.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lang w:val="lt-LT"/>
        </w:rPr>
        <w:t xml:space="preserve">Pamiršus pavartoti </w:t>
      </w:r>
      <w:proofErr w:type="spellStart"/>
      <w:r>
        <w:rPr>
          <w:b/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tabs>
          <w:tab w:val="num" w:pos="360"/>
        </w:tabs>
        <w:rPr>
          <w:sz w:val="22"/>
          <w:lang w:val="lt-LT"/>
        </w:rPr>
      </w:pPr>
      <w:r>
        <w:rPr>
          <w:b/>
          <w:sz w:val="22"/>
          <w:lang w:val="lt-LT"/>
        </w:rPr>
        <w:t>N</w:t>
      </w:r>
      <w:r>
        <w:rPr>
          <w:sz w:val="22"/>
          <w:lang w:val="lt-LT"/>
        </w:rPr>
        <w:t>egalima vartoti dvigubos dozės norint kompensuoti praleistą dozę.</w:t>
      </w:r>
    </w:p>
    <w:p w:rsidR="0087592C" w:rsidRDefault="0087592C" w:rsidP="0087592C">
      <w:pPr>
        <w:pStyle w:val="BTEMEASMCA"/>
        <w:widowControl w:val="0"/>
      </w:pPr>
      <w:r>
        <w:t>Jeigu pamiršote išgerti Maryzola dozę, praleistą dozę gerkite tada, kai ateina kitos dozės vartojimo laikas.</w:t>
      </w:r>
    </w:p>
    <w:p w:rsidR="0087592C" w:rsidRDefault="0087592C" w:rsidP="0087592C">
      <w:pPr>
        <w:pStyle w:val="BTEMEASMCA"/>
        <w:widowControl w:val="0"/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Jeigu kiltų daugiau klausimų dėl šio vaisto vartojimo, kreipkitės į gydytoją arba vaistininką.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ind w:left="567" w:hanging="567"/>
        <w:outlineLvl w:val="1"/>
        <w:rPr>
          <w:sz w:val="22"/>
          <w:szCs w:val="22"/>
        </w:rPr>
      </w:pPr>
      <w:bookmarkStart w:id="8" w:name="_Toc129243142"/>
      <w:bookmarkStart w:id="9" w:name="_Toc129243267"/>
      <w:r>
        <w:rPr>
          <w:b/>
          <w:sz w:val="22"/>
          <w:lang w:val="lt-LT"/>
        </w:rPr>
        <w:t>4.</w:t>
      </w:r>
      <w:r>
        <w:rPr>
          <w:b/>
          <w:sz w:val="22"/>
          <w:lang w:val="lt-LT"/>
        </w:rPr>
        <w:tab/>
        <w:t>Galimas šalutinis poveikis</w:t>
      </w:r>
      <w:bookmarkEnd w:id="8"/>
      <w:bookmarkEnd w:id="9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szCs w:val="22"/>
        </w:rPr>
        <w:t>Šis vaistas</w:t>
      </w:r>
      <w:r>
        <w:rPr>
          <w:sz w:val="22"/>
          <w:lang w:val="lt-LT"/>
        </w:rPr>
        <w:t>, kaip ir visi kiti, gali sukelti šalutinį poveikį, nors jis pasireiškia ne visiems žmonėms.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Paprastai jis būna silpnas arba vidutinio stiprumo.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i/>
          <w:sz w:val="22"/>
          <w:szCs w:val="22"/>
        </w:rPr>
      </w:pPr>
      <w:r>
        <w:rPr>
          <w:i/>
          <w:sz w:val="22"/>
          <w:lang w:val="lt-LT"/>
        </w:rPr>
        <w:t>Dažni šalutinio poveikio reiškiniai (gali pasireikšti rečiau kaip 1 iš 10 asmenų)</w:t>
      </w:r>
    </w:p>
    <w:p w:rsidR="0087592C" w:rsidRDefault="0087592C" w:rsidP="0087592C">
      <w:pPr>
        <w:widowControl w:val="0"/>
        <w:tabs>
          <w:tab w:val="num" w:pos="360"/>
        </w:tabs>
        <w:rPr>
          <w:sz w:val="22"/>
          <w:szCs w:val="22"/>
        </w:rPr>
      </w:pPr>
      <w:r>
        <w:rPr>
          <w:sz w:val="22"/>
          <w:lang w:val="lt-LT"/>
        </w:rPr>
        <w:t xml:space="preserve">Galvos skausmas, mieguistumas, vidurių užkietėjimas, </w:t>
      </w:r>
      <w:r>
        <w:rPr>
          <w:sz w:val="22"/>
          <w:szCs w:val="22"/>
        </w:rPr>
        <w:t xml:space="preserve">kepenų tyrimų rodiklių padidėjimas, </w:t>
      </w:r>
      <w:r>
        <w:rPr>
          <w:sz w:val="22"/>
          <w:lang w:val="lt-LT"/>
        </w:rPr>
        <w:t xml:space="preserve">svaigulys, </w:t>
      </w:r>
      <w:r>
        <w:rPr>
          <w:sz w:val="22"/>
          <w:szCs w:val="22"/>
        </w:rPr>
        <w:t>p</w:t>
      </w:r>
      <w:r>
        <w:rPr>
          <w:rFonts w:eastAsia="SimSun"/>
          <w:sz w:val="22"/>
          <w:szCs w:val="22"/>
          <w:lang w:eastAsia="is-IS"/>
        </w:rPr>
        <w:t>usiausvyros sutrikimas,</w:t>
      </w:r>
      <w:r>
        <w:rPr>
          <w:sz w:val="22"/>
          <w:szCs w:val="22"/>
        </w:rPr>
        <w:t xml:space="preserve"> </w:t>
      </w:r>
      <w:r>
        <w:rPr>
          <w:sz w:val="22"/>
          <w:lang w:val="lt-LT"/>
        </w:rPr>
        <w:t>dusulys, aukštas kraujospūdis ir padidėjęs jautrumas vaistui.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i/>
          <w:sz w:val="22"/>
          <w:szCs w:val="22"/>
        </w:rPr>
      </w:pPr>
      <w:r>
        <w:rPr>
          <w:i/>
          <w:sz w:val="22"/>
          <w:lang w:val="lt-LT"/>
        </w:rPr>
        <w:t>Nedažni šalutinio poveikio reiškiniai (gali pasireikšti rečiau kaip 1 iš 100 asmenų)</w:t>
      </w:r>
    </w:p>
    <w:p w:rsidR="0087592C" w:rsidRDefault="0087592C" w:rsidP="0087592C">
      <w:pPr>
        <w:widowControl w:val="0"/>
        <w:tabs>
          <w:tab w:val="num" w:pos="360"/>
        </w:tabs>
        <w:rPr>
          <w:sz w:val="22"/>
          <w:szCs w:val="22"/>
        </w:rPr>
      </w:pPr>
      <w:r>
        <w:rPr>
          <w:sz w:val="22"/>
          <w:lang w:val="lt-LT"/>
        </w:rPr>
        <w:t xml:space="preserve">Nuovargis, grybelinė infekcija, sumišimas, haliucinacijos, vėmimas, eisenos sutrikimas, širdies nepakankamumas ir kraujo krešulių venose atsiradimas (trombozė, </w:t>
      </w:r>
      <w:proofErr w:type="spellStart"/>
      <w:r>
        <w:rPr>
          <w:sz w:val="22"/>
          <w:lang w:val="lt-LT"/>
        </w:rPr>
        <w:t>tromboembolija</w:t>
      </w:r>
      <w:proofErr w:type="spellEnd"/>
      <w:r>
        <w:rPr>
          <w:sz w:val="22"/>
          <w:lang w:val="lt-LT"/>
        </w:rPr>
        <w:t>).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i/>
          <w:sz w:val="22"/>
          <w:lang w:val="lt-LT"/>
        </w:rPr>
      </w:pPr>
      <w:r>
        <w:rPr>
          <w:i/>
          <w:sz w:val="22"/>
          <w:lang w:val="lt-LT"/>
        </w:rPr>
        <w:t>Labai reti šalutinio poveikio reiškiniai (gali pasireikšti rečiau kaip 1 iš 10 000 asmenų)</w:t>
      </w:r>
    </w:p>
    <w:p w:rsidR="0087592C" w:rsidRDefault="0087592C" w:rsidP="0087592C">
      <w:pPr>
        <w:widowControl w:val="0"/>
        <w:tabs>
          <w:tab w:val="num" w:pos="360"/>
        </w:tabs>
        <w:rPr>
          <w:sz w:val="22"/>
          <w:szCs w:val="22"/>
        </w:rPr>
      </w:pPr>
      <w:r>
        <w:rPr>
          <w:sz w:val="22"/>
          <w:lang w:val="lt-LT"/>
        </w:rPr>
        <w:lastRenderedPageBreak/>
        <w:t>Traukuliai.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i/>
          <w:sz w:val="22"/>
          <w:lang w:val="lt-LT"/>
        </w:rPr>
      </w:pPr>
      <w:r>
        <w:rPr>
          <w:i/>
          <w:sz w:val="22"/>
          <w:lang w:val="lt-LT"/>
        </w:rPr>
        <w:t>Šalutinio poveikio reiškiniai, kurių dažnis nežinomas (negali būti apskaičiuotas pagal turimus duomenis)</w:t>
      </w:r>
    </w:p>
    <w:p w:rsidR="0087592C" w:rsidRDefault="0087592C" w:rsidP="0087592C">
      <w:pPr>
        <w:widowControl w:val="0"/>
        <w:tabs>
          <w:tab w:val="num" w:pos="360"/>
        </w:tabs>
        <w:rPr>
          <w:sz w:val="22"/>
          <w:szCs w:val="22"/>
        </w:rPr>
      </w:pPr>
      <w:r>
        <w:rPr>
          <w:sz w:val="22"/>
          <w:lang w:val="lt-LT"/>
        </w:rPr>
        <w:t xml:space="preserve">Kasos uždegimas, </w:t>
      </w:r>
      <w:r>
        <w:rPr>
          <w:sz w:val="22"/>
          <w:szCs w:val="22"/>
        </w:rPr>
        <w:t xml:space="preserve">kepenų uždegimas (hepatitas), </w:t>
      </w:r>
      <w:proofErr w:type="spellStart"/>
      <w:r>
        <w:rPr>
          <w:sz w:val="22"/>
          <w:lang w:val="lt-LT"/>
        </w:rPr>
        <w:t>psichozinės</w:t>
      </w:r>
      <w:proofErr w:type="spellEnd"/>
      <w:r>
        <w:rPr>
          <w:sz w:val="22"/>
          <w:lang w:val="lt-LT"/>
        </w:rPr>
        <w:t xml:space="preserve"> reakcijos.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szCs w:val="22"/>
        </w:rPr>
      </w:pPr>
      <w:r>
        <w:rPr>
          <w:sz w:val="22"/>
          <w:lang w:val="lt-LT"/>
        </w:rPr>
        <w:t>Alzheimerio ligos metu gali pasireikšti depresija, mintys apie savižudybę ir liga baigtis savižudybe.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Tokių reiškinių pasitaikė pacientams, gydomiems </w:t>
      </w: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>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87592C" w:rsidRDefault="0087592C" w:rsidP="0087592C">
      <w:pPr>
        <w:widowControl w:val="0"/>
        <w:ind w:right="-449"/>
        <w:rPr>
          <w:sz w:val="22"/>
          <w:szCs w:val="22"/>
        </w:rPr>
      </w:pPr>
      <w:r>
        <w:rPr>
          <w:sz w:val="22"/>
          <w:szCs w:val="22"/>
        </w:rPr>
        <w:t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10" w:name="_Toc129243143"/>
      <w:bookmarkStart w:id="11" w:name="_Toc129243268"/>
      <w:r>
        <w:rPr>
          <w:b/>
          <w:sz w:val="22"/>
          <w:lang w:val="lt-LT"/>
        </w:rPr>
        <w:t>5.</w:t>
      </w:r>
      <w:r>
        <w:rPr>
          <w:b/>
          <w:sz w:val="22"/>
          <w:lang w:val="lt-LT"/>
        </w:rPr>
        <w:tab/>
      </w:r>
      <w:bookmarkEnd w:id="10"/>
      <w:bookmarkEnd w:id="11"/>
      <w:r>
        <w:rPr>
          <w:b/>
          <w:sz w:val="22"/>
          <w:lang w:val="lt-LT"/>
        </w:rPr>
        <w:t xml:space="preserve">Kaip laikyti </w:t>
      </w:r>
      <w:proofErr w:type="spellStart"/>
      <w:r>
        <w:rPr>
          <w:b/>
          <w:sz w:val="22"/>
          <w:lang w:val="lt-LT"/>
        </w:rPr>
        <w:t>Maryzola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numPr>
          <w:ilvl w:val="12"/>
          <w:numId w:val="0"/>
        </w:numPr>
        <w:ind w:right="-2"/>
        <w:rPr>
          <w:sz w:val="22"/>
          <w:lang w:val="lt-LT"/>
        </w:rPr>
      </w:pPr>
      <w:r>
        <w:rPr>
          <w:sz w:val="22"/>
          <w:lang w:val="lt-LT"/>
        </w:rPr>
        <w:t>Šį vaistą laikykite vaikams nepastebimoje ir nepasiekiamoje vietoje.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Ant dėžutės ir lizdinės plokštelės po „EXP</w:t>
      </w:r>
      <w:r>
        <w:rPr>
          <w:sz w:val="22"/>
          <w:highlight w:val="lightGray"/>
          <w:lang w:val="lt-LT"/>
        </w:rPr>
        <w:t>/Tinka iki</w:t>
      </w:r>
      <w:r>
        <w:rPr>
          <w:sz w:val="22"/>
          <w:szCs w:val="22"/>
        </w:rPr>
        <w:t>“</w:t>
      </w:r>
      <w:r>
        <w:rPr>
          <w:sz w:val="22"/>
          <w:lang w:val="lt-LT"/>
        </w:rPr>
        <w:t xml:space="preserve"> nurodytam tinkamumo laikui pasibaigus, šio vaisto vartoti negalima. Vaistas tinkamas vartoti iki paskutinės nurodyto mėnesio dienos.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Šiam vaistui specialių laikymo sąlygų nereikia.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tabs>
          <w:tab w:val="left" w:pos="567"/>
        </w:tabs>
        <w:ind w:left="567" w:hanging="567"/>
        <w:outlineLvl w:val="1"/>
        <w:rPr>
          <w:sz w:val="22"/>
          <w:szCs w:val="22"/>
        </w:rPr>
      </w:pPr>
      <w:bookmarkStart w:id="12" w:name="_Toc129243144"/>
      <w:bookmarkStart w:id="13" w:name="_Toc129243269"/>
      <w:r>
        <w:rPr>
          <w:b/>
          <w:sz w:val="22"/>
          <w:lang w:val="lt-LT"/>
        </w:rPr>
        <w:t>6.</w:t>
      </w:r>
      <w:r>
        <w:rPr>
          <w:b/>
          <w:sz w:val="22"/>
          <w:lang w:val="lt-LT"/>
        </w:rPr>
        <w:tab/>
        <w:t>Pakuotės turinys ir kita informacija</w:t>
      </w:r>
      <w:bookmarkEnd w:id="12"/>
      <w:bookmarkEnd w:id="13"/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sudėtis</w:t>
      </w:r>
    </w:p>
    <w:p w:rsidR="0087592C" w:rsidRDefault="0087592C" w:rsidP="0087592C">
      <w:pPr>
        <w:widowControl w:val="0"/>
        <w:numPr>
          <w:ilvl w:val="0"/>
          <w:numId w:val="2"/>
        </w:numPr>
        <w:ind w:left="360"/>
        <w:rPr>
          <w:sz w:val="22"/>
          <w:lang w:val="lt-LT"/>
        </w:rPr>
      </w:pPr>
      <w:r>
        <w:rPr>
          <w:sz w:val="22"/>
          <w:lang w:val="lt-LT"/>
        </w:rPr>
        <w:t xml:space="preserve">Veiklioji medžiaga yra </w:t>
      </w:r>
      <w:proofErr w:type="spellStart"/>
      <w:r>
        <w:rPr>
          <w:sz w:val="22"/>
          <w:lang w:val="lt-LT"/>
        </w:rPr>
        <w:t>memantino</w:t>
      </w:r>
      <w:proofErr w:type="spellEnd"/>
      <w:r>
        <w:rPr>
          <w:sz w:val="22"/>
          <w:lang w:val="lt-LT"/>
        </w:rPr>
        <w:t xml:space="preserve"> hidrochloridas.</w:t>
      </w:r>
    </w:p>
    <w:p w:rsidR="0087592C" w:rsidRDefault="0087592C" w:rsidP="0087592C">
      <w:pPr>
        <w:widowControl w:val="0"/>
        <w:tabs>
          <w:tab w:val="num" w:pos="360"/>
        </w:tabs>
        <w:ind w:left="374"/>
        <w:rPr>
          <w:sz w:val="22"/>
          <w:lang w:val="lt-LT"/>
        </w:rPr>
      </w:pPr>
      <w:r>
        <w:rPr>
          <w:sz w:val="22"/>
          <w:highlight w:val="darkGray"/>
          <w:lang w:val="lt-LT"/>
        </w:rPr>
        <w:t>Kiekvienoje plėvele dengtoje tabletėje</w:t>
      </w:r>
      <w:r>
        <w:rPr>
          <w:sz w:val="22"/>
          <w:lang w:val="lt-LT"/>
        </w:rPr>
        <w:t xml:space="preserve"> yra 10 mg </w:t>
      </w:r>
      <w:proofErr w:type="spellStart"/>
      <w:r>
        <w:rPr>
          <w:sz w:val="22"/>
          <w:lang w:val="lt-LT"/>
        </w:rPr>
        <w:t>memantino</w:t>
      </w:r>
      <w:proofErr w:type="spellEnd"/>
      <w:r>
        <w:rPr>
          <w:sz w:val="22"/>
          <w:lang w:val="lt-LT"/>
        </w:rPr>
        <w:t xml:space="preserve"> hidrochlorido, atitinkančio 8,31 mg </w:t>
      </w:r>
      <w:proofErr w:type="spellStart"/>
      <w:r>
        <w:rPr>
          <w:sz w:val="22"/>
          <w:lang w:val="lt-LT"/>
        </w:rPr>
        <w:t>memantino</w:t>
      </w:r>
      <w:proofErr w:type="spellEnd"/>
      <w:r>
        <w:rPr>
          <w:sz w:val="22"/>
          <w:lang w:val="lt-LT"/>
        </w:rPr>
        <w:t>.</w:t>
      </w:r>
    </w:p>
    <w:p w:rsidR="0087592C" w:rsidRDefault="0087592C" w:rsidP="0087592C">
      <w:pPr>
        <w:widowControl w:val="0"/>
        <w:tabs>
          <w:tab w:val="num" w:pos="360"/>
        </w:tabs>
        <w:ind w:left="374"/>
        <w:rPr>
          <w:sz w:val="22"/>
          <w:highlight w:val="lightGray"/>
          <w:lang w:val="lt-LT"/>
        </w:rPr>
      </w:pPr>
      <w:r>
        <w:rPr>
          <w:sz w:val="22"/>
          <w:highlight w:val="lightGray"/>
          <w:lang w:val="lt-LT"/>
        </w:rPr>
        <w:t xml:space="preserve">Kiekvienoje plėvele dengtoje tabletėje yra 20 mg </w:t>
      </w:r>
      <w:proofErr w:type="spellStart"/>
      <w:r>
        <w:rPr>
          <w:sz w:val="22"/>
          <w:highlight w:val="lightGray"/>
          <w:lang w:val="lt-LT"/>
        </w:rPr>
        <w:t>memantino</w:t>
      </w:r>
      <w:proofErr w:type="spellEnd"/>
      <w:r>
        <w:rPr>
          <w:sz w:val="22"/>
          <w:highlight w:val="lightGray"/>
          <w:lang w:val="lt-LT"/>
        </w:rPr>
        <w:t xml:space="preserve"> hidrochlorido, atitinkančio 16,62 mg </w:t>
      </w:r>
      <w:proofErr w:type="spellStart"/>
      <w:r>
        <w:rPr>
          <w:sz w:val="22"/>
          <w:highlight w:val="lightGray"/>
          <w:lang w:val="lt-LT"/>
        </w:rPr>
        <w:t>memantino</w:t>
      </w:r>
      <w:proofErr w:type="spellEnd"/>
      <w:r>
        <w:rPr>
          <w:sz w:val="22"/>
          <w:highlight w:val="lightGray"/>
          <w:lang w:val="lt-LT"/>
        </w:rPr>
        <w:t>.</w:t>
      </w:r>
    </w:p>
    <w:p w:rsidR="0087592C" w:rsidRDefault="0087592C" w:rsidP="0087592C">
      <w:pPr>
        <w:widowControl w:val="0"/>
        <w:numPr>
          <w:ilvl w:val="0"/>
          <w:numId w:val="2"/>
        </w:numPr>
        <w:ind w:left="360"/>
        <w:rPr>
          <w:sz w:val="22"/>
          <w:lang w:val="lt-LT"/>
        </w:rPr>
      </w:pPr>
      <w:r>
        <w:rPr>
          <w:sz w:val="22"/>
          <w:lang w:val="lt-LT"/>
        </w:rPr>
        <w:t>Pagalbinės medžiagos:</w:t>
      </w:r>
    </w:p>
    <w:p w:rsidR="0087592C" w:rsidRDefault="0087592C" w:rsidP="0087592C">
      <w:pPr>
        <w:widowControl w:val="0"/>
        <w:ind w:left="360"/>
        <w:rPr>
          <w:sz w:val="22"/>
          <w:lang w:val="lt-LT"/>
        </w:rPr>
      </w:pPr>
      <w:r>
        <w:rPr>
          <w:i/>
          <w:sz w:val="22"/>
          <w:lang w:val="lt-LT"/>
        </w:rPr>
        <w:t>Tablečių šerdyje</w:t>
      </w:r>
      <w:r>
        <w:rPr>
          <w:sz w:val="22"/>
          <w:lang w:val="lt-LT"/>
        </w:rPr>
        <w:t xml:space="preserve"> yra laktozės </w:t>
      </w:r>
      <w:proofErr w:type="spellStart"/>
      <w:r>
        <w:rPr>
          <w:sz w:val="22"/>
          <w:lang w:val="lt-LT"/>
        </w:rPr>
        <w:t>monohidrato</w:t>
      </w:r>
      <w:proofErr w:type="spellEnd"/>
      <w:r>
        <w:rPr>
          <w:sz w:val="22"/>
          <w:lang w:val="lt-LT"/>
        </w:rPr>
        <w:t xml:space="preserve">, </w:t>
      </w:r>
      <w:proofErr w:type="spellStart"/>
      <w:r>
        <w:rPr>
          <w:sz w:val="22"/>
          <w:lang w:val="lt-LT"/>
        </w:rPr>
        <w:t>mikrokristalinės</w:t>
      </w:r>
      <w:proofErr w:type="spellEnd"/>
      <w:r>
        <w:rPr>
          <w:sz w:val="22"/>
          <w:lang w:val="lt-LT"/>
        </w:rPr>
        <w:t xml:space="preserve"> celiuliozės, bevandenio koloidinio silicio dioksido, talko ir magnio </w:t>
      </w:r>
      <w:proofErr w:type="spellStart"/>
      <w:r>
        <w:rPr>
          <w:sz w:val="22"/>
          <w:lang w:val="lt-LT"/>
        </w:rPr>
        <w:t>stearato</w:t>
      </w:r>
      <w:proofErr w:type="spellEnd"/>
      <w:r>
        <w:rPr>
          <w:sz w:val="22"/>
          <w:lang w:val="lt-LT"/>
        </w:rPr>
        <w:t>.</w:t>
      </w:r>
    </w:p>
    <w:p w:rsidR="0087592C" w:rsidRDefault="0087592C" w:rsidP="0087592C">
      <w:pPr>
        <w:widowControl w:val="0"/>
        <w:ind w:left="360"/>
        <w:rPr>
          <w:sz w:val="22"/>
          <w:lang w:val="lt-LT"/>
        </w:rPr>
      </w:pPr>
      <w:r>
        <w:rPr>
          <w:i/>
          <w:sz w:val="22"/>
          <w:lang w:val="lt-LT"/>
        </w:rPr>
        <w:t>Tablečių plėvelėje</w:t>
      </w:r>
      <w:r>
        <w:rPr>
          <w:sz w:val="22"/>
          <w:lang w:val="lt-LT"/>
        </w:rPr>
        <w:t xml:space="preserve"> yra </w:t>
      </w:r>
      <w:proofErr w:type="spellStart"/>
      <w:r>
        <w:rPr>
          <w:sz w:val="22"/>
          <w:lang w:val="lt-LT"/>
        </w:rPr>
        <w:t>metakrilo</w:t>
      </w:r>
      <w:proofErr w:type="spellEnd"/>
      <w:r>
        <w:rPr>
          <w:sz w:val="22"/>
          <w:lang w:val="lt-LT"/>
        </w:rPr>
        <w:t xml:space="preserve"> rūgšties ir </w:t>
      </w:r>
      <w:proofErr w:type="spellStart"/>
      <w:r>
        <w:rPr>
          <w:sz w:val="22"/>
          <w:lang w:val="lt-LT"/>
        </w:rPr>
        <w:t>etilakrilato</w:t>
      </w:r>
      <w:proofErr w:type="spellEnd"/>
      <w:r>
        <w:rPr>
          <w:sz w:val="22"/>
          <w:lang w:val="lt-LT"/>
        </w:rPr>
        <w:t xml:space="preserve"> 1:1 </w:t>
      </w:r>
      <w:proofErr w:type="spellStart"/>
      <w:r>
        <w:rPr>
          <w:sz w:val="22"/>
          <w:lang w:val="lt-LT"/>
        </w:rPr>
        <w:t>kopolimero</w:t>
      </w:r>
      <w:proofErr w:type="spellEnd"/>
      <w:r>
        <w:rPr>
          <w:sz w:val="22"/>
          <w:lang w:val="lt-LT"/>
        </w:rPr>
        <w:t xml:space="preserve"> 30% dispersija (sudėtyje yra natrio </w:t>
      </w:r>
      <w:proofErr w:type="spellStart"/>
      <w:r>
        <w:rPr>
          <w:sz w:val="22"/>
          <w:lang w:val="lt-LT"/>
        </w:rPr>
        <w:t>laurilsulfato</w:t>
      </w:r>
      <w:proofErr w:type="spellEnd"/>
      <w:r>
        <w:rPr>
          <w:sz w:val="22"/>
          <w:lang w:val="lt-LT"/>
        </w:rPr>
        <w:t xml:space="preserve"> ir </w:t>
      </w:r>
      <w:proofErr w:type="spellStart"/>
      <w:r>
        <w:rPr>
          <w:sz w:val="22"/>
          <w:lang w:val="lt-LT"/>
        </w:rPr>
        <w:t>polisorbato</w:t>
      </w:r>
      <w:proofErr w:type="spellEnd"/>
      <w:r>
        <w:rPr>
          <w:sz w:val="22"/>
          <w:lang w:val="lt-LT"/>
        </w:rPr>
        <w:t xml:space="preserve"> 80), talko, </w:t>
      </w:r>
      <w:proofErr w:type="spellStart"/>
      <w:r>
        <w:rPr>
          <w:sz w:val="22"/>
          <w:lang w:val="lt-LT"/>
        </w:rPr>
        <w:t>triacetino</w:t>
      </w:r>
      <w:proofErr w:type="spellEnd"/>
      <w:r>
        <w:rPr>
          <w:sz w:val="22"/>
          <w:lang w:val="lt-LT"/>
        </w:rPr>
        <w:t xml:space="preserve"> ir </w:t>
      </w:r>
      <w:proofErr w:type="spellStart"/>
      <w:r>
        <w:rPr>
          <w:sz w:val="22"/>
          <w:lang w:val="lt-LT"/>
        </w:rPr>
        <w:t>simetikono</w:t>
      </w:r>
      <w:proofErr w:type="spellEnd"/>
      <w:r>
        <w:rPr>
          <w:sz w:val="22"/>
          <w:lang w:val="lt-LT"/>
        </w:rPr>
        <w:t xml:space="preserve"> emulsijos. </w:t>
      </w:r>
      <w:r>
        <w:rPr>
          <w:sz w:val="22"/>
          <w:szCs w:val="22"/>
          <w:lang w:val="lt-LT" w:eastAsia="lt-LT"/>
        </w:rPr>
        <w:t>Žr. 2 skyrių „</w:t>
      </w:r>
      <w:proofErr w:type="spellStart"/>
      <w:r>
        <w:rPr>
          <w:sz w:val="22"/>
          <w:szCs w:val="22"/>
          <w:lang w:val="lt-LT" w:eastAsia="lt-LT"/>
        </w:rPr>
        <w:t>Maryzola</w:t>
      </w:r>
      <w:proofErr w:type="spellEnd"/>
      <w:r>
        <w:rPr>
          <w:sz w:val="22"/>
          <w:szCs w:val="22"/>
          <w:lang w:val="lt-LT" w:eastAsia="lt-LT"/>
        </w:rPr>
        <w:t xml:space="preserve"> sudėtyje yra laktozės ir </w:t>
      </w:r>
      <w:r>
        <w:rPr>
          <w:rFonts w:eastAsia="Calibri"/>
          <w:color w:val="000000"/>
          <w:sz w:val="22"/>
          <w:szCs w:val="22"/>
          <w:lang w:val="lt-LT" w:eastAsia="lt-LT"/>
        </w:rPr>
        <w:t>natrio</w:t>
      </w:r>
      <w:r>
        <w:rPr>
          <w:sz w:val="22"/>
          <w:szCs w:val="22"/>
          <w:lang w:val="lt-LT" w:eastAsia="lt-LT"/>
        </w:rPr>
        <w:t>“.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proofErr w:type="spellStart"/>
      <w:r>
        <w:rPr>
          <w:b/>
          <w:sz w:val="22"/>
          <w:lang w:val="lt-LT"/>
        </w:rPr>
        <w:t>Maryzola</w:t>
      </w:r>
      <w:proofErr w:type="spellEnd"/>
      <w:r>
        <w:rPr>
          <w:b/>
          <w:sz w:val="22"/>
          <w:lang w:val="lt-LT"/>
        </w:rPr>
        <w:t xml:space="preserve"> išvaizda ir kiekis pakuotėje</w:t>
      </w: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u w:val="single"/>
          <w:lang w:val="lt-LT"/>
        </w:rPr>
        <w:t>Maryzola</w:t>
      </w:r>
      <w:proofErr w:type="spellEnd"/>
      <w:r>
        <w:rPr>
          <w:sz w:val="22"/>
          <w:u w:val="single"/>
          <w:lang w:val="lt-LT"/>
        </w:rPr>
        <w:t xml:space="preserve"> 10 mg plėvele dengtos tabletės</w:t>
      </w:r>
      <w:r>
        <w:rPr>
          <w:sz w:val="22"/>
          <w:highlight w:val="lightGray"/>
          <w:lang w:val="lt-LT"/>
        </w:rPr>
        <w:t>.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Baltos, ovalios, abipus išgaubtos, apytiksliai 12,5 mm ilgio ir 5,5 mm pločio plėvele dengtos tabletės su vagele vienoje pusėje. Tabletę galima padalyti į lygias dozes.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highlight w:val="lightGray"/>
          <w:u w:val="single"/>
          <w:lang w:val="lt-LT"/>
        </w:rPr>
        <w:t>Maryzola</w:t>
      </w:r>
      <w:proofErr w:type="spellEnd"/>
      <w:r>
        <w:rPr>
          <w:sz w:val="22"/>
          <w:highlight w:val="lightGray"/>
          <w:u w:val="single"/>
          <w:lang w:val="lt-LT"/>
        </w:rPr>
        <w:t xml:space="preserve"> 20 mg plėvele dengtos tabletės</w:t>
      </w:r>
      <w:r>
        <w:rPr>
          <w:sz w:val="22"/>
          <w:highlight w:val="lightGray"/>
          <w:lang w:val="lt-LT"/>
        </w:rPr>
        <w:t>.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highlight w:val="lightGray"/>
          <w:lang w:val="lt-LT"/>
        </w:rPr>
        <w:lastRenderedPageBreak/>
        <w:t>Baltos, ovalios, abipus išgaubtos, apytiksliai 16 mm ilgio ir 7 mm pločio plėvele dengtos tabletės.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szCs w:val="22"/>
        </w:rPr>
      </w:pPr>
      <w:proofErr w:type="spellStart"/>
      <w:r>
        <w:rPr>
          <w:sz w:val="22"/>
          <w:lang w:val="lt-LT"/>
        </w:rPr>
        <w:t>Maryzola</w:t>
      </w:r>
      <w:proofErr w:type="spellEnd"/>
      <w:r>
        <w:rPr>
          <w:sz w:val="22"/>
          <w:lang w:val="lt-LT"/>
        </w:rPr>
        <w:t xml:space="preserve"> tiekiamas dėžutėmis, kuriose yra 14, 28, 30, 42, 50, 56, 60, 70, 84, 90, 98, 100 ar 112 plėvele dengtų tablečių supakuotų į lizdines plokšteles.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>Gali būti tiekiamos ne visų dydžių pakuotės.</w:t>
      </w:r>
    </w:p>
    <w:p w:rsidR="0087592C" w:rsidRDefault="0087592C" w:rsidP="0087592C">
      <w:pPr>
        <w:widowControl w:val="0"/>
        <w:rPr>
          <w:b/>
          <w:sz w:val="22"/>
          <w:lang w:val="lt-LT"/>
        </w:rPr>
      </w:pPr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b/>
          <w:sz w:val="22"/>
          <w:szCs w:val="22"/>
        </w:rPr>
        <w:t>Registruotojas</w:t>
      </w:r>
      <w:r>
        <w:rPr>
          <w:b/>
          <w:sz w:val="22"/>
          <w:lang w:val="lt-LT"/>
        </w:rPr>
        <w:t xml:space="preserve"> ir gamintojas</w:t>
      </w:r>
    </w:p>
    <w:p w:rsidR="0087592C" w:rsidRDefault="0087592C" w:rsidP="0087592C">
      <w:pPr>
        <w:widowControl w:val="0"/>
        <w:rPr>
          <w:i/>
          <w:iCs/>
          <w:sz w:val="22"/>
          <w:lang w:val="lt-LT"/>
        </w:rPr>
      </w:pPr>
      <w:r>
        <w:rPr>
          <w:i/>
          <w:iCs/>
          <w:sz w:val="22"/>
          <w:lang w:val="lt-LT"/>
        </w:rPr>
        <w:t>Registruotojas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TAD </w:t>
      </w:r>
      <w:proofErr w:type="spellStart"/>
      <w:r>
        <w:rPr>
          <w:sz w:val="22"/>
          <w:lang w:val="lt-LT"/>
        </w:rPr>
        <w:t>Pharma</w:t>
      </w:r>
      <w:proofErr w:type="spellEnd"/>
      <w:r>
        <w:rPr>
          <w:sz w:val="22"/>
          <w:lang w:val="lt-LT"/>
        </w:rPr>
        <w:t xml:space="preserve"> </w:t>
      </w:r>
      <w:proofErr w:type="spellStart"/>
      <w:r>
        <w:rPr>
          <w:sz w:val="22"/>
          <w:lang w:val="lt-LT"/>
        </w:rPr>
        <w:t>GmbH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Heinz-Lohmann-Straße</w:t>
      </w:r>
      <w:proofErr w:type="spellEnd"/>
      <w:r>
        <w:rPr>
          <w:sz w:val="22"/>
          <w:lang w:val="lt-LT"/>
        </w:rPr>
        <w:t xml:space="preserve"> 5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27472 </w:t>
      </w:r>
      <w:proofErr w:type="spellStart"/>
      <w:r>
        <w:rPr>
          <w:sz w:val="22"/>
          <w:lang w:val="lt-LT"/>
        </w:rPr>
        <w:t>Cuxhaven</w:t>
      </w:r>
      <w:proofErr w:type="spellEnd"/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sz w:val="22"/>
          <w:lang w:val="lt-LT"/>
        </w:rPr>
        <w:t>Vokietija</w:t>
      </w:r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en-GB"/>
        </w:rPr>
      </w:pPr>
    </w:p>
    <w:p w:rsidR="0087592C" w:rsidRDefault="0087592C" w:rsidP="0087592C">
      <w:pPr>
        <w:widowControl w:val="0"/>
        <w:tabs>
          <w:tab w:val="left" w:pos="567"/>
        </w:tabs>
        <w:rPr>
          <w:i/>
          <w:iCs/>
          <w:sz w:val="22"/>
          <w:lang w:val="en-GB"/>
        </w:rPr>
      </w:pPr>
      <w:proofErr w:type="spellStart"/>
      <w:r>
        <w:rPr>
          <w:i/>
          <w:iCs/>
          <w:sz w:val="22"/>
          <w:lang w:val="en-GB"/>
        </w:rPr>
        <w:t>Gamintojas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TAD </w:t>
      </w:r>
      <w:proofErr w:type="spellStart"/>
      <w:r>
        <w:rPr>
          <w:sz w:val="22"/>
          <w:lang w:val="lt-LT"/>
        </w:rPr>
        <w:t>Pharma</w:t>
      </w:r>
      <w:proofErr w:type="spellEnd"/>
      <w:r>
        <w:rPr>
          <w:sz w:val="22"/>
          <w:lang w:val="lt-LT"/>
        </w:rPr>
        <w:t xml:space="preserve"> </w:t>
      </w:r>
      <w:proofErr w:type="spellStart"/>
      <w:r>
        <w:rPr>
          <w:sz w:val="22"/>
          <w:lang w:val="lt-LT"/>
        </w:rPr>
        <w:t>GmbH</w:t>
      </w:r>
      <w:proofErr w:type="spellEnd"/>
    </w:p>
    <w:p w:rsidR="0087592C" w:rsidRDefault="0087592C" w:rsidP="0087592C">
      <w:pPr>
        <w:widowControl w:val="0"/>
        <w:rPr>
          <w:sz w:val="22"/>
          <w:lang w:val="lt-LT"/>
        </w:rPr>
      </w:pPr>
      <w:proofErr w:type="spellStart"/>
      <w:r>
        <w:rPr>
          <w:sz w:val="22"/>
          <w:lang w:val="lt-LT"/>
        </w:rPr>
        <w:t>Heinz-Lohmann-Straße</w:t>
      </w:r>
      <w:proofErr w:type="spellEnd"/>
      <w:r>
        <w:rPr>
          <w:sz w:val="22"/>
          <w:lang w:val="lt-LT"/>
        </w:rPr>
        <w:t xml:space="preserve"> 5</w:t>
      </w: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27472 </w:t>
      </w:r>
      <w:proofErr w:type="spellStart"/>
      <w:r>
        <w:rPr>
          <w:sz w:val="22"/>
          <w:lang w:val="lt-LT"/>
        </w:rPr>
        <w:t>Cuxhaven</w:t>
      </w:r>
      <w:proofErr w:type="spellEnd"/>
    </w:p>
    <w:p w:rsidR="0087592C" w:rsidRDefault="0087592C" w:rsidP="0087592C">
      <w:pPr>
        <w:widowControl w:val="0"/>
        <w:rPr>
          <w:b/>
          <w:sz w:val="22"/>
          <w:lang w:val="lt-LT"/>
        </w:rPr>
      </w:pPr>
      <w:r>
        <w:rPr>
          <w:sz w:val="22"/>
          <w:lang w:val="lt-LT"/>
        </w:rPr>
        <w:t>Vokietija</w:t>
      </w:r>
    </w:p>
    <w:p w:rsidR="0087592C" w:rsidRDefault="0087592C" w:rsidP="0087592C">
      <w:pPr>
        <w:widowControl w:val="0"/>
        <w:tabs>
          <w:tab w:val="left" w:pos="567"/>
        </w:tabs>
        <w:rPr>
          <w:sz w:val="22"/>
          <w:lang w:val="en-GB"/>
        </w:rPr>
      </w:pPr>
    </w:p>
    <w:p w:rsidR="0087592C" w:rsidRDefault="0087592C" w:rsidP="0087592C">
      <w:pPr>
        <w:widowControl w:val="0"/>
        <w:tabs>
          <w:tab w:val="left" w:pos="567"/>
        </w:tabs>
        <w:rPr>
          <w:sz w:val="22"/>
          <w:highlight w:val="lightGray"/>
          <w:lang w:val="en-GB"/>
        </w:rPr>
      </w:pPr>
      <w:proofErr w:type="spellStart"/>
      <w:proofErr w:type="gramStart"/>
      <w:r>
        <w:rPr>
          <w:sz w:val="22"/>
          <w:highlight w:val="lightGray"/>
          <w:lang w:val="en-GB"/>
        </w:rPr>
        <w:t>arba</w:t>
      </w:r>
      <w:proofErr w:type="spellEnd"/>
      <w:proofErr w:type="gramEnd"/>
    </w:p>
    <w:p w:rsidR="0087592C" w:rsidRDefault="0087592C" w:rsidP="0087592C">
      <w:pPr>
        <w:widowControl w:val="0"/>
        <w:tabs>
          <w:tab w:val="left" w:pos="567"/>
        </w:tabs>
        <w:rPr>
          <w:sz w:val="22"/>
          <w:highlight w:val="lightGray"/>
          <w:lang w:val="en-GB"/>
        </w:rPr>
      </w:pPr>
    </w:p>
    <w:p w:rsidR="0087592C" w:rsidRDefault="0087592C" w:rsidP="0087592C">
      <w:pPr>
        <w:widowControl w:val="0"/>
        <w:tabs>
          <w:tab w:val="left" w:pos="567"/>
        </w:tabs>
        <w:rPr>
          <w:sz w:val="22"/>
          <w:highlight w:val="lightGray"/>
          <w:lang w:val="en-GB"/>
        </w:rPr>
      </w:pPr>
      <w:r>
        <w:rPr>
          <w:sz w:val="22"/>
          <w:highlight w:val="lightGray"/>
          <w:lang w:val="en-GB"/>
        </w:rPr>
        <w:t>KRKA</w:t>
      </w:r>
      <w:r>
        <w:rPr>
          <w:snapToGrid w:val="0"/>
          <w:sz w:val="22"/>
          <w:szCs w:val="22"/>
          <w:highlight w:val="lightGray"/>
          <w:lang w:val="en-GB" w:eastAsia="en-US"/>
        </w:rPr>
        <w:t xml:space="preserve"> </w:t>
      </w:r>
      <w:proofErr w:type="spellStart"/>
      <w:proofErr w:type="gramStart"/>
      <w:r>
        <w:rPr>
          <w:snapToGrid w:val="0"/>
          <w:sz w:val="22"/>
          <w:szCs w:val="22"/>
          <w:highlight w:val="lightGray"/>
          <w:lang w:val="en-GB" w:eastAsia="en-US"/>
        </w:rPr>
        <w:t>d.d</w:t>
      </w:r>
      <w:proofErr w:type="spellEnd"/>
      <w:proofErr w:type="gramEnd"/>
      <w:r>
        <w:rPr>
          <w:snapToGrid w:val="0"/>
          <w:sz w:val="22"/>
          <w:szCs w:val="22"/>
          <w:highlight w:val="lightGray"/>
          <w:lang w:val="en-GB" w:eastAsia="en-US"/>
        </w:rPr>
        <w:t xml:space="preserve">. Novo </w:t>
      </w:r>
      <w:proofErr w:type="spellStart"/>
      <w:r>
        <w:rPr>
          <w:snapToGrid w:val="0"/>
          <w:sz w:val="22"/>
          <w:szCs w:val="22"/>
          <w:highlight w:val="lightGray"/>
          <w:lang w:val="en-GB" w:eastAsia="en-US"/>
        </w:rPr>
        <w:t>mesto</w:t>
      </w:r>
      <w:proofErr w:type="spellEnd"/>
    </w:p>
    <w:p w:rsidR="0087592C" w:rsidRDefault="0087592C" w:rsidP="0087592C">
      <w:pPr>
        <w:widowControl w:val="0"/>
        <w:tabs>
          <w:tab w:val="left" w:pos="567"/>
        </w:tabs>
        <w:rPr>
          <w:sz w:val="22"/>
          <w:highlight w:val="lightGray"/>
          <w:lang w:val="hu-HU"/>
        </w:rPr>
      </w:pPr>
      <w:r>
        <w:rPr>
          <w:rFonts w:hint="eastAsia"/>
          <w:snapToGrid w:val="0"/>
          <w:sz w:val="22"/>
          <w:szCs w:val="22"/>
          <w:highlight w:val="lightGray"/>
          <w:lang w:val="hu-HU" w:eastAsia="en-US"/>
        </w:rPr>
        <w:t>Š</w:t>
      </w:r>
      <w:r>
        <w:rPr>
          <w:snapToGrid w:val="0"/>
          <w:sz w:val="22"/>
          <w:szCs w:val="22"/>
          <w:highlight w:val="lightGray"/>
          <w:lang w:val="hu-HU" w:eastAsia="en-US"/>
        </w:rPr>
        <w:t>marje</w:t>
      </w:r>
      <w:r>
        <w:rPr>
          <w:rFonts w:hint="eastAsia"/>
          <w:snapToGrid w:val="0"/>
          <w:sz w:val="22"/>
          <w:szCs w:val="22"/>
          <w:highlight w:val="lightGray"/>
          <w:lang w:val="hu-HU" w:eastAsia="en-US"/>
        </w:rPr>
        <w:t>š</w:t>
      </w:r>
      <w:r>
        <w:rPr>
          <w:snapToGrid w:val="0"/>
          <w:sz w:val="22"/>
          <w:szCs w:val="22"/>
          <w:highlight w:val="lightGray"/>
          <w:lang w:val="hu-HU" w:eastAsia="en-US"/>
        </w:rPr>
        <w:t>ka cesta 6</w:t>
      </w:r>
    </w:p>
    <w:p w:rsidR="0087592C" w:rsidRDefault="0087592C" w:rsidP="0087592C">
      <w:pPr>
        <w:widowControl w:val="0"/>
        <w:tabs>
          <w:tab w:val="left" w:pos="567"/>
        </w:tabs>
        <w:rPr>
          <w:sz w:val="22"/>
          <w:highlight w:val="lightGray"/>
          <w:lang w:val="hu-HU"/>
        </w:rPr>
      </w:pPr>
      <w:r>
        <w:rPr>
          <w:snapToGrid w:val="0"/>
          <w:sz w:val="22"/>
          <w:szCs w:val="22"/>
          <w:highlight w:val="lightGray"/>
          <w:lang w:val="hu-HU" w:eastAsia="en-US"/>
        </w:rPr>
        <w:t>8501 Novo mesto</w:t>
      </w:r>
    </w:p>
    <w:p w:rsidR="0087592C" w:rsidRDefault="0087592C" w:rsidP="0087592C">
      <w:pPr>
        <w:widowControl w:val="0"/>
        <w:tabs>
          <w:tab w:val="left" w:pos="567"/>
        </w:tabs>
        <w:rPr>
          <w:snapToGrid w:val="0"/>
          <w:sz w:val="22"/>
          <w:szCs w:val="22"/>
          <w:lang w:val="hu-HU" w:eastAsia="en-US"/>
        </w:rPr>
      </w:pPr>
      <w:r>
        <w:rPr>
          <w:snapToGrid w:val="0"/>
          <w:sz w:val="22"/>
          <w:szCs w:val="22"/>
          <w:highlight w:val="lightGray"/>
          <w:lang w:val="hu-HU" w:eastAsia="en-US"/>
        </w:rPr>
        <w:t>Slovėnija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sz w:val="22"/>
          <w:lang w:val="lt-LT"/>
        </w:rPr>
        <w:t xml:space="preserve">Jeigu apie šį vaistą norite sužinoti daugiau, kreipkitės į vietinį </w:t>
      </w:r>
      <w:r>
        <w:rPr>
          <w:sz w:val="22"/>
          <w:szCs w:val="22"/>
        </w:rPr>
        <w:t>registruotojo</w:t>
      </w:r>
      <w:r>
        <w:rPr>
          <w:sz w:val="22"/>
          <w:lang w:val="lt-LT"/>
        </w:rPr>
        <w:t xml:space="preserve"> atstovą.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7592C" w:rsidTr="002B0C03">
        <w:tc>
          <w:tcPr>
            <w:tcW w:w="4678" w:type="dxa"/>
          </w:tcPr>
          <w:p w:rsidR="0087592C" w:rsidRDefault="0087592C" w:rsidP="002B0C03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UAB KRKA Lietuva</w:t>
            </w:r>
          </w:p>
          <w:p w:rsidR="0087592C" w:rsidRDefault="0087592C" w:rsidP="002B0C03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Senasis Ukmergės kelias 4,</w:t>
            </w:r>
          </w:p>
          <w:p w:rsidR="0087592C" w:rsidRDefault="0087592C" w:rsidP="002B0C03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Užubalių km.,Vilniaus r.</w:t>
            </w:r>
          </w:p>
          <w:p w:rsidR="0087592C" w:rsidRDefault="0087592C" w:rsidP="002B0C03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LT - 14013</w:t>
            </w:r>
          </w:p>
          <w:p w:rsidR="0087592C" w:rsidRDefault="0087592C" w:rsidP="002B0C03">
            <w:pPr>
              <w:widowControl w:val="0"/>
              <w:tabs>
                <w:tab w:val="left" w:pos="-720"/>
              </w:tabs>
              <w:rPr>
                <w:sz w:val="22"/>
              </w:rPr>
            </w:pPr>
            <w:r>
              <w:rPr>
                <w:sz w:val="22"/>
              </w:rPr>
              <w:t>Tel. +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370 </w:t>
            </w:r>
            <w:r>
              <w:rPr>
                <w:snapToGrid w:val="0"/>
                <w:sz w:val="22"/>
                <w:szCs w:val="22"/>
              </w:rPr>
              <w:t>5 236 27 40</w:t>
            </w:r>
          </w:p>
        </w:tc>
      </w:tr>
    </w:tbl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  <w:r>
        <w:rPr>
          <w:b/>
          <w:sz w:val="22"/>
          <w:lang w:val="lt-LT"/>
        </w:rPr>
        <w:t>Šis pakuotės lapelis paskutinį kartą peržiūrėtas 2024-10-30</w:t>
      </w:r>
      <w:r>
        <w:rPr>
          <w:b/>
          <w:noProof/>
          <w:sz w:val="22"/>
          <w:szCs w:val="22"/>
          <w:lang w:val="lt-LT" w:eastAsia="x-none"/>
        </w:rPr>
        <w:t>.</w:t>
      </w: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sz w:val="22"/>
          <w:lang w:val="lt-LT"/>
        </w:rPr>
      </w:pPr>
    </w:p>
    <w:p w:rsidR="0087592C" w:rsidRDefault="0087592C" w:rsidP="0087592C">
      <w:pPr>
        <w:widowControl w:val="0"/>
        <w:rPr>
          <w:rStyle w:val="Hipersaitas"/>
          <w:sz w:val="22"/>
          <w:lang w:val="lt-LT"/>
        </w:rPr>
      </w:pPr>
      <w:r>
        <w:rPr>
          <w:sz w:val="22"/>
          <w:szCs w:val="22"/>
        </w:rPr>
        <w:t>Išsami informacija apie šį vaistą</w:t>
      </w:r>
      <w:r>
        <w:rPr>
          <w:sz w:val="22"/>
          <w:szCs w:val="22"/>
          <w:lang w:eastAsia="x-none"/>
        </w:rPr>
        <w:t xml:space="preserve"> pateikiama Valstybinės vaistų kontrolės tarnybos prie Lietuvos Respublikos sveikatos apsaugos ministerijos </w:t>
      </w:r>
      <w:r>
        <w:rPr>
          <w:sz w:val="22"/>
          <w:szCs w:val="22"/>
        </w:rPr>
        <w:t>tinklalapyje</w:t>
      </w:r>
      <w:r>
        <w:rPr>
          <w:sz w:val="22"/>
          <w:szCs w:val="22"/>
          <w:lang w:eastAsia="x-none"/>
        </w:rPr>
        <w:t xml:space="preserve"> </w:t>
      </w:r>
      <w:hyperlink r:id="rId5" w:history="1">
        <w:r>
          <w:rPr>
            <w:rStyle w:val="Hipersaitas"/>
            <w:sz w:val="22"/>
            <w:lang w:val="lt-LT"/>
          </w:rPr>
          <w:t>http://www.vvkt.lt/</w:t>
        </w:r>
      </w:hyperlink>
    </w:p>
    <w:p w:rsidR="0087592C" w:rsidRDefault="0087592C" w:rsidP="0087592C">
      <w:pPr>
        <w:widowControl w:val="0"/>
        <w:rPr>
          <w:rStyle w:val="Hipersaitas"/>
          <w:sz w:val="22"/>
          <w:lang w:val="lt-LT"/>
        </w:rPr>
      </w:pPr>
    </w:p>
    <w:p w:rsidR="0087592C" w:rsidRDefault="0087592C" w:rsidP="0087592C">
      <w:pPr>
        <w:widowControl w:val="0"/>
        <w:rPr>
          <w:rStyle w:val="Hipersaitas"/>
          <w:sz w:val="22"/>
          <w:lang w:val="lt-LT"/>
        </w:rPr>
      </w:pPr>
      <w:bookmarkStart w:id="14" w:name="_GoBack"/>
      <w:bookmarkEnd w:id="14"/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13D"/>
    <w:multiLevelType w:val="hybridMultilevel"/>
    <w:tmpl w:val="96D26BE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C0785"/>
    <w:multiLevelType w:val="hybridMultilevel"/>
    <w:tmpl w:val="681C871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2C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7592C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4185"/>
  <w15:chartTrackingRefBased/>
  <w15:docId w15:val="{104395F3-B483-44BD-ABDF-C20008B8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59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87592C"/>
    <w:rPr>
      <w:rFonts w:ascii="Times New Roman" w:hAnsi="Times New Roman"/>
      <w:color w:val="auto"/>
      <w:sz w:val="24"/>
      <w:szCs w:val="24"/>
      <w:u w:val="single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87592C"/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rsid w:val="0087592C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7244</Words>
  <Characters>4130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Maryzola ir kam jis vartojamas</vt:lpstr>
      <vt:lpstr>    2.	Kas žinotina prieš vartojant Maryzola</vt:lpstr>
      <vt:lpstr>    3.	Kaip vartoti Maryzola</vt:lpstr>
      <vt:lpstr>    4.	Galimas šalutinis poveikis</vt:lpstr>
      <vt:lpstr>    5.	Kaip laikyti Maryzola</vt:lpstr>
      <vt:lpstr>    6.	Pakuotės turinys ir kita informacija</vt:lpstr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2024-12-06T08:01:00Z</dcterms:created>
  <dcterms:modified xsi:type="dcterms:W3CDTF">2024-12-06T08:01:00Z</dcterms:modified>
</cp:coreProperties>
</file>